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351" w:lineRule="exact"/>
        <w:rPr>
          <w:sz w:val="24"/>
          <w:szCs w:val="24"/>
          <w:color w:val="auto"/>
        </w:rPr>
      </w:pPr>
    </w:p>
    <w:p>
      <w:pPr>
        <w:jc w:val="right"/>
        <w:ind w:right="1259"/>
        <w:spacing w:after="0"/>
        <w:rPr>
          <w:sz w:val="20"/>
          <w:szCs w:val="20"/>
          <w:color w:val="auto"/>
        </w:rPr>
      </w:pPr>
      <w:r>
        <w:rPr>
          <w:rFonts w:ascii="Arial" w:cs="Arial" w:eastAsia="Arial" w:hAnsi="Arial"/>
          <w:sz w:val="14"/>
          <w:szCs w:val="14"/>
          <w:b w:val="1"/>
          <w:bCs w:val="1"/>
          <w:color w:val="auto"/>
        </w:rPr>
        <w:t>Filed Pursuant to Rule 424(b)(4)</w:t>
      </w:r>
    </w:p>
    <w:p>
      <w:pPr>
        <w:jc w:val="right"/>
        <w:ind w:right="1259"/>
        <w:spacing w:after="0"/>
        <w:rPr>
          <w:sz w:val="20"/>
          <w:szCs w:val="20"/>
          <w:color w:val="auto"/>
        </w:rPr>
      </w:pPr>
      <w:r>
        <w:rPr>
          <w:rFonts w:ascii="Arial" w:cs="Arial" w:eastAsia="Arial" w:hAnsi="Arial"/>
          <w:sz w:val="14"/>
          <w:szCs w:val="14"/>
          <w:b w:val="1"/>
          <w:bCs w:val="1"/>
          <w:color w:val="auto"/>
        </w:rPr>
        <w:t>Registration No. 333-256648</w:t>
      </w:r>
    </w:p>
    <w:p>
      <w:pPr>
        <w:spacing w:after="0" w:line="138" w:lineRule="exact"/>
        <w:rPr>
          <w:sz w:val="24"/>
          <w:szCs w:val="24"/>
          <w:color w:val="auto"/>
        </w:rPr>
      </w:pPr>
    </w:p>
    <w:p>
      <w:pPr>
        <w:ind w:left="1240"/>
        <w:spacing w:after="0"/>
        <w:rPr>
          <w:sz w:val="20"/>
          <w:szCs w:val="20"/>
          <w:color w:val="auto"/>
        </w:rPr>
      </w:pPr>
      <w:r>
        <w:rPr>
          <w:rFonts w:ascii="Arial" w:cs="Arial" w:eastAsia="Arial" w:hAnsi="Arial"/>
          <w:sz w:val="16"/>
          <w:szCs w:val="16"/>
          <w:b w:val="1"/>
          <w:bCs w:val="1"/>
          <w:color w:val="auto"/>
        </w:rPr>
        <w:t>Prospectus</w:t>
      </w:r>
    </w:p>
    <w:p>
      <w:pPr>
        <w:spacing w:after="0" w:line="142" w:lineRule="exact"/>
        <w:rPr>
          <w:sz w:val="24"/>
          <w:szCs w:val="24"/>
          <w:color w:val="auto"/>
        </w:rPr>
      </w:pPr>
    </w:p>
    <w:p>
      <w:pPr>
        <w:ind w:left="1240"/>
        <w:spacing w:after="0"/>
        <w:rPr>
          <w:sz w:val="20"/>
          <w:szCs w:val="20"/>
          <w:color w:val="auto"/>
        </w:rPr>
      </w:pPr>
      <w:r>
        <w:rPr>
          <w:rFonts w:ascii="Arial" w:cs="Arial" w:eastAsia="Arial" w:hAnsi="Arial"/>
          <w:sz w:val="26"/>
          <w:szCs w:val="26"/>
          <w:b w:val="1"/>
          <w:bCs w:val="1"/>
          <w:color w:val="auto"/>
        </w:rPr>
        <w:t>10,550,000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796290</wp:posOffset>
            </wp:positionH>
            <wp:positionV relativeFrom="paragraph">
              <wp:posOffset>121285</wp:posOffset>
            </wp:positionV>
            <wp:extent cx="233235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235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1240"/>
        <w:spacing w:after="0"/>
        <w:rPr>
          <w:sz w:val="20"/>
          <w:szCs w:val="20"/>
          <w:color w:val="auto"/>
        </w:rPr>
      </w:pPr>
      <w:r>
        <w:rPr>
          <w:rFonts w:ascii="Arial" w:cs="Arial" w:eastAsia="Arial" w:hAnsi="Arial"/>
          <w:sz w:val="26"/>
          <w:szCs w:val="26"/>
          <w:b w:val="1"/>
          <w:bCs w:val="1"/>
          <w:i w:val="1"/>
          <w:iCs w:val="1"/>
          <w:color w:val="auto"/>
        </w:rPr>
        <w:t>Common stock</w:t>
      </w:r>
    </w:p>
    <w:p>
      <w:pPr>
        <w:spacing w:after="0" w:line="136" w:lineRule="exact"/>
        <w:rPr>
          <w:sz w:val="24"/>
          <w:szCs w:val="24"/>
          <w:color w:val="auto"/>
        </w:rPr>
      </w:pPr>
    </w:p>
    <w:p>
      <w:pPr>
        <w:ind w:left="1240"/>
        <w:spacing w:after="0"/>
        <w:rPr>
          <w:sz w:val="20"/>
          <w:szCs w:val="20"/>
          <w:color w:val="auto"/>
        </w:rPr>
      </w:pPr>
      <w:r>
        <w:rPr>
          <w:rFonts w:ascii="Arial" w:cs="Arial" w:eastAsia="Arial" w:hAnsi="Arial"/>
          <w:sz w:val="14"/>
          <w:szCs w:val="14"/>
          <w:color w:val="auto"/>
        </w:rPr>
        <w:t>This is the initial public offering of shares of common stock of Century Therapeutics, Inc.</w:t>
      </w:r>
    </w:p>
    <w:p>
      <w:pPr>
        <w:spacing w:after="0" w:line="107" w:lineRule="exact"/>
        <w:rPr>
          <w:sz w:val="24"/>
          <w:szCs w:val="24"/>
          <w:color w:val="auto"/>
        </w:rPr>
      </w:pPr>
    </w:p>
    <w:p>
      <w:pPr>
        <w:ind w:left="1240" w:right="1339"/>
        <w:spacing w:after="0" w:line="286" w:lineRule="auto"/>
        <w:rPr>
          <w:sz w:val="20"/>
          <w:szCs w:val="20"/>
          <w:color w:val="auto"/>
        </w:rPr>
      </w:pPr>
      <w:r>
        <w:rPr>
          <w:rFonts w:ascii="Arial" w:cs="Arial" w:eastAsia="Arial" w:hAnsi="Arial"/>
          <w:sz w:val="14"/>
          <w:szCs w:val="14"/>
          <w:color w:val="auto"/>
        </w:rPr>
        <w:t>We are offering 10,550,000 shares of our common stock. Prior to this offering, there has been no public market for our common stock. The initial public offering price is $20.00 per share.</w:t>
      </w:r>
    </w:p>
    <w:p>
      <w:pPr>
        <w:spacing w:after="0" w:line="66" w:lineRule="exact"/>
        <w:rPr>
          <w:sz w:val="24"/>
          <w:szCs w:val="24"/>
          <w:color w:val="auto"/>
        </w:rPr>
      </w:pPr>
    </w:p>
    <w:p>
      <w:pPr>
        <w:ind w:left="1240" w:right="1399"/>
        <w:spacing w:after="0" w:line="286" w:lineRule="auto"/>
        <w:rPr>
          <w:sz w:val="20"/>
          <w:szCs w:val="20"/>
          <w:color w:val="auto"/>
        </w:rPr>
      </w:pPr>
      <w:r>
        <w:rPr>
          <w:rFonts w:ascii="Arial" w:cs="Arial" w:eastAsia="Arial" w:hAnsi="Arial"/>
          <w:sz w:val="14"/>
          <w:szCs w:val="14"/>
          <w:color w:val="auto"/>
        </w:rPr>
        <w:t>Our common stock has been approved for listing on the Nasdaq Global Select Market under the trading symbol “IPSC”.</w:t>
      </w:r>
    </w:p>
    <w:p>
      <w:pPr>
        <w:spacing w:after="0" w:line="66" w:lineRule="exact"/>
        <w:rPr>
          <w:sz w:val="24"/>
          <w:szCs w:val="24"/>
          <w:color w:val="auto"/>
        </w:rPr>
      </w:pPr>
    </w:p>
    <w:p>
      <w:pPr>
        <w:ind w:left="1240" w:right="1299"/>
        <w:spacing w:after="0" w:line="278" w:lineRule="auto"/>
        <w:rPr>
          <w:sz w:val="20"/>
          <w:szCs w:val="20"/>
          <w:color w:val="auto"/>
        </w:rPr>
      </w:pPr>
      <w:r>
        <w:rPr>
          <w:rFonts w:ascii="Arial" w:cs="Arial" w:eastAsia="Arial" w:hAnsi="Arial"/>
          <w:sz w:val="14"/>
          <w:szCs w:val="14"/>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w:t>
      </w:r>
    </w:p>
    <w:p>
      <w:pPr>
        <w:spacing w:after="0" w:line="37" w:lineRule="exact"/>
        <w:rPr>
          <w:sz w:val="24"/>
          <w:szCs w:val="24"/>
          <w:color w:val="auto"/>
        </w:rPr>
      </w:pPr>
    </w:p>
    <w:p>
      <w:pPr>
        <w:ind w:left="1240" w:right="1379"/>
        <w:spacing w:after="0" w:line="24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the section titled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xml:space="preserve">” beginning on page </w:t>
      </w:r>
      <w:hyperlink w:anchor="page13">
        <w:r>
          <w:rPr>
            <w:rFonts w:ascii="Arial" w:cs="Arial" w:eastAsia="Arial" w:hAnsi="Arial"/>
            <w:sz w:val="17"/>
            <w:szCs w:val="17"/>
            <w:b w:val="1"/>
            <w:bCs w:val="1"/>
            <w:u w:val="single" w:color="auto"/>
            <w:color w:val="0000EE"/>
          </w:rPr>
          <w:t>1</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796290</wp:posOffset>
            </wp:positionH>
            <wp:positionV relativeFrom="paragraph">
              <wp:posOffset>70485</wp:posOffset>
            </wp:positionV>
            <wp:extent cx="413448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19" w:lineRule="exact"/>
        <w:rPr>
          <w:sz w:val="24"/>
          <w:szCs w:val="24"/>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Per share</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211,000,000</w:t>
            </w:r>
          </w:p>
        </w:tc>
      </w:tr>
      <w:tr>
        <w:trPr>
          <w:trHeight w:val="214"/>
        </w:trPr>
        <w:tc>
          <w:tcPr>
            <w:tcW w:w="20" w:type="dxa"/>
            <w:vAlign w:val="bottom"/>
          </w:tcPr>
          <w:p>
            <w:pPr>
              <w:spacing w:after="0"/>
              <w:rPr>
                <w:sz w:val="18"/>
                <w:szCs w:val="18"/>
                <w:color w:val="auto"/>
              </w:rPr>
            </w:pPr>
          </w:p>
        </w:tc>
        <w:tc>
          <w:tcPr>
            <w:tcW w:w="4720" w:type="dxa"/>
            <w:vAlign w:val="bottom"/>
          </w:tcPr>
          <w:p>
            <w:pPr>
              <w:spacing w:after="0" w:line="214"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1.40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14,770,000</w:t>
            </w:r>
          </w:p>
        </w:tc>
      </w:tr>
      <w:tr>
        <w:trPr>
          <w:trHeight w:val="194"/>
        </w:trPr>
        <w:tc>
          <w:tcPr>
            <w:tcW w:w="20" w:type="dxa"/>
            <w:vAlign w:val="bottom"/>
          </w:tcPr>
          <w:p>
            <w:pPr>
              <w:spacing w:after="0"/>
              <w:rPr>
                <w:sz w:val="16"/>
                <w:szCs w:val="16"/>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196,230,000</w:t>
            </w:r>
          </w:p>
        </w:tc>
      </w:tr>
      <w:tr>
        <w:trPr>
          <w:trHeight w:val="21"/>
        </w:trPr>
        <w:tc>
          <w:tcPr>
            <w:tcW w:w="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796290</wp:posOffset>
            </wp:positionH>
            <wp:positionV relativeFrom="paragraph">
              <wp:posOffset>-414020</wp:posOffset>
            </wp:positionV>
            <wp:extent cx="29991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9105" cy="6985"/>
                    </a:xfrm>
                    <a:prstGeom prst="rect">
                      <a:avLst/>
                    </a:prstGeom>
                    <a:noFill/>
                  </pic:spPr>
                </pic:pic>
              </a:graphicData>
            </a:graphic>
          </wp:anchor>
        </w:drawing>
      </w:r>
    </w:p>
    <w:p>
      <w:pPr>
        <w:spacing w:after="0" w:line="119" w:lineRule="exact"/>
        <w:rPr>
          <w:sz w:val="24"/>
          <w:szCs w:val="24"/>
          <w:color w:val="auto"/>
        </w:rPr>
      </w:pPr>
    </w:p>
    <w:p>
      <w:pPr>
        <w:ind w:left="1240" w:right="1379" w:firstLine="9"/>
        <w:spacing w:after="0" w:line="248" w:lineRule="auto"/>
        <w:tabs>
          <w:tab w:leader="none" w:pos="1411" w:val="left"/>
        </w:tabs>
        <w:numPr>
          <w:ilvl w:val="0"/>
          <w:numId w:val="1"/>
        </w:numPr>
        <w:rPr>
          <w:rFonts w:ascii="Arial" w:cs="Arial" w:eastAsia="Arial" w:hAnsi="Arial"/>
          <w:sz w:val="11"/>
          <w:szCs w:val="11"/>
          <w:color w:val="auto"/>
        </w:rPr>
      </w:pPr>
      <w:r>
        <w:rPr>
          <w:rFonts w:ascii="Arial" w:cs="Arial" w:eastAsia="Arial" w:hAnsi="Arial"/>
          <w:sz w:val="11"/>
          <w:szCs w:val="11"/>
          <w:color w:val="auto"/>
        </w:rPr>
        <w:t xml:space="preserve">See the section titled “Underwriting” beginning on page </w:t>
      </w:r>
      <w:hyperlink w:anchor="page202">
        <w:r>
          <w:rPr>
            <w:rFonts w:ascii="Arial" w:cs="Arial" w:eastAsia="Arial" w:hAnsi="Arial"/>
            <w:sz w:val="11"/>
            <w:szCs w:val="11"/>
            <w:u w:val="single" w:color="auto"/>
            <w:color w:val="0000EE"/>
          </w:rPr>
          <w:t>190</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for additional information regarding compensation payable to the underwriters.</w:t>
      </w:r>
    </w:p>
    <w:p>
      <w:pPr>
        <w:spacing w:after="0" w:line="113" w:lineRule="exact"/>
        <w:rPr>
          <w:sz w:val="24"/>
          <w:szCs w:val="24"/>
          <w:color w:val="auto"/>
        </w:rPr>
      </w:pPr>
    </w:p>
    <w:p>
      <w:pPr>
        <w:ind w:left="1240" w:right="1379"/>
        <w:spacing w:after="0" w:line="278" w:lineRule="auto"/>
        <w:rPr>
          <w:sz w:val="20"/>
          <w:szCs w:val="20"/>
          <w:color w:val="auto"/>
        </w:rPr>
      </w:pPr>
      <w:r>
        <w:rPr>
          <w:rFonts w:ascii="Arial" w:cs="Arial" w:eastAsia="Arial" w:hAnsi="Arial"/>
          <w:sz w:val="14"/>
          <w:szCs w:val="14"/>
          <w:color w:val="auto"/>
        </w:rPr>
        <w:t>We have granted the underwriters an option for a period of 30 days to purchase up to 1,582,500 additional shares of common stock at the initial public offering price, less the underwriting discounts and commissions.</w:t>
      </w:r>
    </w:p>
    <w:p>
      <w:pPr>
        <w:spacing w:after="0" w:line="105" w:lineRule="exact"/>
        <w:rPr>
          <w:sz w:val="24"/>
          <w:szCs w:val="24"/>
          <w:color w:val="auto"/>
        </w:rPr>
      </w:pPr>
    </w:p>
    <w:p>
      <w:pPr>
        <w:ind w:left="1240" w:right="1839"/>
        <w:spacing w:after="0" w:line="286" w:lineRule="auto"/>
        <w:rPr>
          <w:sz w:val="20"/>
          <w:szCs w:val="20"/>
          <w:color w:val="auto"/>
        </w:rPr>
      </w:pPr>
      <w:r>
        <w:rPr>
          <w:rFonts w:ascii="Arial" w:cs="Arial" w:eastAsia="Arial" w:hAnsi="Arial"/>
          <w:sz w:val="14"/>
          <w:szCs w:val="14"/>
          <w:color w:val="auto"/>
        </w:rPr>
        <w:t>The underwriters expect to deliver the shares against payment in New York, New York on June 22, 2021.</w:t>
      </w:r>
    </w:p>
    <w:p>
      <w:pPr>
        <w:spacing w:after="0" w:line="48" w:lineRule="exact"/>
        <w:rPr>
          <w:sz w:val="24"/>
          <w:szCs w:val="24"/>
          <w:color w:val="auto"/>
        </w:rPr>
      </w:pPr>
    </w:p>
    <w:p>
      <w:pPr>
        <w:jc w:val="both"/>
        <w:ind w:left="1240" w:right="1299"/>
        <w:spacing w:after="0" w:line="292"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Prospectus dated June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184785</wp:posOffset>
            </wp:positionV>
            <wp:extent cx="541782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218" w:right="1440" w:bottom="1440" w:gutter="0" w:footer="0" w:header="0"/>
        </w:sectPr>
      </w:pPr>
    </w:p>
    <w:bookmarkStart w:id="1" w:name="page2"/>
    <w:bookmarkEnd w:id="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Table of contents</w:t>
      </w:r>
    </w:p>
    <w:p>
      <w:pPr>
        <w:spacing w:after="0" w:line="127" w:lineRule="exact"/>
        <w:rPr>
          <w:sz w:val="20"/>
          <w:szCs w:val="20"/>
          <w:color w:val="auto"/>
        </w:rPr>
      </w:pPr>
    </w:p>
    <w:tbl>
      <w:tblPr>
        <w:tblLayout w:type="fixed"/>
        <w:tblInd w:w="12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183"/>
        </w:trPr>
        <w:tc>
          <w:tcPr>
            <w:tcW w:w="20" w:type="dxa"/>
            <w:vAlign w:val="bottom"/>
            <w:tcBorders>
              <w:bottom w:val="single" w:sz="8" w:color="0000EE"/>
            </w:tcBorders>
          </w:tcPr>
          <w:p>
            <w:pPr>
              <w:spacing w:after="0"/>
              <w:rPr>
                <w:sz w:val="15"/>
                <w:szCs w:val="15"/>
                <w:color w:val="auto"/>
              </w:rPr>
            </w:pPr>
          </w:p>
        </w:tc>
        <w:tc>
          <w:tcPr>
            <w:tcW w:w="1460" w:type="dxa"/>
            <w:vAlign w:val="bottom"/>
            <w:tcBorders>
              <w:bottom w:val="single" w:sz="8" w:color="0000EE"/>
              <w:right w:val="single" w:sz="8" w:color="CCEEFF"/>
            </w:tcBorders>
            <w:gridSpan w:val="7"/>
            <w:shd w:val="clear" w:color="auto" w:fill="CCEEFF"/>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Prospectus summary</w:t>
              </w:r>
            </w:hyperlink>
          </w:p>
        </w:tc>
        <w:tc>
          <w:tcPr>
            <w:tcW w:w="4240" w:type="dxa"/>
            <w:vAlign w:val="bottom"/>
            <w:tcBorders>
              <w:bottom w:val="single" w:sz="8" w:color="CCEEFF"/>
            </w:tcBorders>
            <w:gridSpan w:val="8"/>
            <w:shd w:val="clear" w:color="auto" w:fill="CCEEFF"/>
          </w:tcPr>
          <w:p>
            <w:pPr>
              <w:spacing w:after="0"/>
              <w:rPr>
                <w:sz w:val="15"/>
                <w:szCs w:val="15"/>
                <w:color w:val="auto"/>
              </w:rPr>
            </w:pPr>
          </w:p>
        </w:tc>
        <w:tc>
          <w:tcPr>
            <w:tcW w:w="6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w:t>
              </w:r>
            </w:hyperlink>
          </w:p>
        </w:tc>
      </w:tr>
      <w:tr>
        <w:trPr>
          <w:trHeight w:val="182"/>
        </w:trPr>
        <w:tc>
          <w:tcPr>
            <w:tcW w:w="800" w:type="dxa"/>
            <w:vAlign w:val="bottom"/>
            <w:gridSpan w:val="4"/>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The offering</w:t>
              </w:r>
            </w:hyperlink>
          </w:p>
        </w:tc>
        <w:tc>
          <w:tcPr>
            <w:tcW w:w="4920" w:type="dxa"/>
            <w:vAlign w:val="bottom"/>
            <w:gridSpan w:val="12"/>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gridSpan w:val="2"/>
          </w:tcPr>
          <w:p>
            <w:pPr>
              <w:jc w:val="right"/>
              <w:spacing w:after="0"/>
              <w:rPr>
                <w:rFonts w:ascii="Arial" w:cs="Arial" w:eastAsia="Arial" w:hAnsi="Arial"/>
                <w:sz w:val="14"/>
                <w:szCs w:val="14"/>
                <w:color w:val="0000EE"/>
                <w:w w:val="85"/>
              </w:rPr>
            </w:pPr>
            <w:hyperlink w:anchor="page9">
              <w:r>
                <w:rPr>
                  <w:rFonts w:ascii="Arial" w:cs="Arial" w:eastAsia="Arial" w:hAnsi="Arial"/>
                  <w:sz w:val="14"/>
                  <w:szCs w:val="14"/>
                  <w:color w:val="0000EE"/>
                  <w:w w:val="85"/>
                </w:rPr>
                <w:t>viii</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Summary consolidated financial data</w:t>
              </w:r>
            </w:hyperlink>
          </w:p>
        </w:tc>
        <w:tc>
          <w:tcPr>
            <w:tcW w:w="6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rFonts w:ascii="Arial" w:cs="Arial" w:eastAsia="Arial" w:hAnsi="Arial"/>
                <w:sz w:val="14"/>
                <w:szCs w:val="14"/>
                <w:color w:val="0000EE"/>
                <w:w w:val="84"/>
              </w:rPr>
            </w:pPr>
            <w:hyperlink w:anchor="page11">
              <w:r>
                <w:rPr>
                  <w:rFonts w:ascii="Arial" w:cs="Arial" w:eastAsia="Arial" w:hAnsi="Arial"/>
                  <w:sz w:val="14"/>
                  <w:szCs w:val="14"/>
                  <w:color w:val="0000EE"/>
                  <w:w w:val="84"/>
                </w:rPr>
                <w:t>x</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800" w:type="dxa"/>
            <w:vAlign w:val="bottom"/>
            <w:gridSpan w:val="4"/>
          </w:tcPr>
          <w:p>
            <w:pPr>
              <w:spacing w:after="0"/>
              <w:rPr>
                <w:rFonts w:ascii="Arial" w:cs="Arial" w:eastAsia="Arial" w:hAnsi="Arial"/>
                <w:sz w:val="14"/>
                <w:szCs w:val="14"/>
                <w:color w:val="0000EE"/>
              </w:rPr>
            </w:pPr>
            <w:hyperlink w:anchor="page13">
              <w:r>
                <w:rPr>
                  <w:rFonts w:ascii="Arial" w:cs="Arial" w:eastAsia="Arial" w:hAnsi="Arial"/>
                  <w:sz w:val="14"/>
                  <w:szCs w:val="14"/>
                  <w:color w:val="0000EE"/>
                </w:rPr>
                <w:t>Risk factors</w:t>
              </w:r>
            </w:hyperlink>
          </w:p>
        </w:tc>
        <w:tc>
          <w:tcPr>
            <w:tcW w:w="1660" w:type="dxa"/>
            <w:vAlign w:val="bottom"/>
            <w:gridSpan w:val="8"/>
          </w:tcPr>
          <w:p>
            <w:pPr>
              <w:spacing w:after="0"/>
              <w:rPr>
                <w:sz w:val="15"/>
                <w:szCs w:val="15"/>
                <w:color w:val="auto"/>
              </w:rPr>
            </w:pPr>
          </w:p>
        </w:tc>
        <w:tc>
          <w:tcPr>
            <w:tcW w:w="3260" w:type="dxa"/>
            <w:vAlign w:val="bottom"/>
            <w:gridSpan w:val="4"/>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3">
              <w:r>
                <w:rPr>
                  <w:rFonts w:ascii="Arial" w:cs="Arial" w:eastAsia="Arial" w:hAnsi="Arial"/>
                  <w:sz w:val="14"/>
                  <w:szCs w:val="14"/>
                  <w:color w:val="0000EE"/>
                </w:rPr>
                <w:t>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Special note regarding forward-looking statements</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0">
              <w:r>
                <w:rPr>
                  <w:rFonts w:ascii="Arial" w:cs="Arial" w:eastAsia="Arial" w:hAnsi="Arial"/>
                  <w:sz w:val="14"/>
                  <w:szCs w:val="14"/>
                  <w:color w:val="0000EE"/>
                </w:rPr>
                <w:t>58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20" w:type="dxa"/>
            <w:vAlign w:val="bottom"/>
            <w:gridSpan w:val="14"/>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Market and industry data</w:t>
              </w:r>
            </w:hyperlink>
          </w:p>
        </w:tc>
        <w:tc>
          <w:tcPr>
            <w:tcW w:w="230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2">
              <w:r>
                <w:rPr>
                  <w:rFonts w:ascii="Arial" w:cs="Arial" w:eastAsia="Arial" w:hAnsi="Arial"/>
                  <w:sz w:val="14"/>
                  <w:szCs w:val="14"/>
                  <w:color w:val="0000EE"/>
                </w:rPr>
                <w:t>60</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gridSpan w:val="6"/>
            <w:shd w:val="clear" w:color="auto" w:fill="CCEEFF"/>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Use of proceeds</w:t>
              </w:r>
            </w:hyperlink>
          </w:p>
        </w:tc>
        <w:tc>
          <w:tcPr>
            <w:tcW w:w="560" w:type="dxa"/>
            <w:vAlign w:val="bottom"/>
            <w:tcBorders>
              <w:right w:val="single" w:sz="8" w:color="CCEEFF"/>
            </w:tcBorders>
            <w:gridSpan w:val="2"/>
            <w:shd w:val="clear" w:color="auto" w:fill="CCEEFF"/>
          </w:tcPr>
          <w:p>
            <w:pPr>
              <w:spacing w:after="0"/>
              <w:rPr>
                <w:sz w:val="15"/>
                <w:szCs w:val="15"/>
                <w:color w:val="auto"/>
              </w:rPr>
            </w:pPr>
          </w:p>
        </w:tc>
        <w:tc>
          <w:tcPr>
            <w:tcW w:w="406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3">
              <w:r>
                <w:rPr>
                  <w:rFonts w:ascii="Arial" w:cs="Arial" w:eastAsia="Arial" w:hAnsi="Arial"/>
                  <w:sz w:val="14"/>
                  <w:szCs w:val="14"/>
                  <w:color w:val="0000EE"/>
                </w:rPr>
                <w:t>61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1020" w:type="dxa"/>
            <w:vAlign w:val="bottom"/>
            <w:gridSpan w:val="6"/>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Dividend policy</w:t>
              </w:r>
            </w:hyperlink>
          </w:p>
        </w:tc>
        <w:tc>
          <w:tcPr>
            <w:tcW w:w="80" w:type="dxa"/>
            <w:vAlign w:val="bottom"/>
          </w:tcPr>
          <w:p>
            <w:pPr>
              <w:spacing w:after="0"/>
              <w:rPr>
                <w:sz w:val="15"/>
                <w:szCs w:val="15"/>
                <w:color w:val="auto"/>
              </w:rPr>
            </w:pPr>
          </w:p>
        </w:tc>
        <w:tc>
          <w:tcPr>
            <w:tcW w:w="4620" w:type="dxa"/>
            <w:vAlign w:val="bottom"/>
            <w:gridSpan w:val="9"/>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62</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60" w:type="dxa"/>
            <w:vAlign w:val="bottom"/>
            <w:gridSpan w:val="4"/>
            <w:shd w:val="clear" w:color="auto" w:fill="CCEEFF"/>
          </w:tcPr>
          <w:p>
            <w:pPr>
              <w:spacing w:after="0"/>
              <w:rPr>
                <w:rFonts w:ascii="Arial" w:cs="Arial" w:eastAsia="Arial" w:hAnsi="Arial"/>
                <w:sz w:val="14"/>
                <w:szCs w:val="14"/>
                <w:color w:val="0000EE"/>
                <w:w w:val="97"/>
              </w:rPr>
            </w:pPr>
            <w:hyperlink w:anchor="page75">
              <w:r>
                <w:rPr>
                  <w:rFonts w:ascii="Arial" w:cs="Arial" w:eastAsia="Arial" w:hAnsi="Arial"/>
                  <w:sz w:val="14"/>
                  <w:szCs w:val="14"/>
                  <w:color w:val="0000EE"/>
                  <w:w w:val="97"/>
                </w:rPr>
                <w:t>Capitalization</w:t>
              </w:r>
            </w:hyperlink>
          </w:p>
        </w:tc>
        <w:tc>
          <w:tcPr>
            <w:tcW w:w="140" w:type="dxa"/>
            <w:vAlign w:val="bottom"/>
            <w:tcBorders>
              <w:left w:val="single" w:sz="8" w:color="CCEEFF"/>
            </w:tcBorders>
            <w:shd w:val="clear" w:color="auto" w:fill="CCEEFF"/>
          </w:tcPr>
          <w:p>
            <w:pPr>
              <w:spacing w:after="0"/>
              <w:rPr>
                <w:sz w:val="15"/>
                <w:szCs w:val="15"/>
                <w:color w:val="auto"/>
              </w:rPr>
            </w:pPr>
          </w:p>
        </w:tc>
        <w:tc>
          <w:tcPr>
            <w:tcW w:w="4700" w:type="dxa"/>
            <w:vAlign w:val="bottom"/>
            <w:gridSpan w:val="10"/>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63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520" w:type="dxa"/>
            <w:vAlign w:val="bottom"/>
            <w:gridSpan w:val="2"/>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Dilution</w:t>
              </w:r>
            </w:hyperlink>
          </w:p>
        </w:tc>
        <w:tc>
          <w:tcPr>
            <w:tcW w:w="360" w:type="dxa"/>
            <w:vAlign w:val="bottom"/>
            <w:gridSpan w:val="3"/>
          </w:tcPr>
          <w:p>
            <w:pPr>
              <w:spacing w:after="0"/>
              <w:rPr>
                <w:sz w:val="15"/>
                <w:szCs w:val="15"/>
                <w:color w:val="auto"/>
              </w:rPr>
            </w:pPr>
          </w:p>
        </w:tc>
        <w:tc>
          <w:tcPr>
            <w:tcW w:w="484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65</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Borders>
              <w:right w:val="single" w:sz="8" w:color="CCEEFF"/>
            </w:tcBorders>
            <w:gridSpan w:val="11"/>
            <w:shd w:val="clear" w:color="auto" w:fill="CCEEFF"/>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Selected consolidated financial data</w:t>
              </w:r>
            </w:hyperlink>
          </w:p>
        </w:tc>
        <w:tc>
          <w:tcPr>
            <w:tcW w:w="3260" w:type="dxa"/>
            <w:vAlign w:val="bottom"/>
            <w:gridSpan w:val="4"/>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9">
              <w:r>
                <w:rPr>
                  <w:rFonts w:ascii="Arial" w:cs="Arial" w:eastAsia="Arial" w:hAnsi="Arial"/>
                  <w:sz w:val="14"/>
                  <w:szCs w:val="14"/>
                  <w:color w:val="0000EE"/>
                </w:rPr>
                <w:t>67</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5720" w:type="dxa"/>
            <w:vAlign w:val="bottom"/>
            <w:gridSpan w:val="16"/>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Management’s discussion and analysis of financial condition and results of operations</w:t>
              </w:r>
            </w:hyperlink>
          </w:p>
        </w:tc>
        <w:tc>
          <w:tcPr>
            <w:tcW w:w="800" w:type="dxa"/>
            <w:vAlign w:val="bottom"/>
            <w:gridSpan w:val="3"/>
          </w:tcPr>
          <w:p>
            <w:pPr>
              <w:jc w:val="right"/>
              <w:spacing w:after="0"/>
              <w:rPr>
                <w:rFonts w:ascii="Arial" w:cs="Arial" w:eastAsia="Arial" w:hAnsi="Arial"/>
                <w:sz w:val="14"/>
                <w:szCs w:val="14"/>
                <w:color w:val="0000EE"/>
              </w:rPr>
            </w:pPr>
            <w:hyperlink w:anchor="page81">
              <w:r>
                <w:rPr>
                  <w:rFonts w:ascii="Arial" w:cs="Arial" w:eastAsia="Arial" w:hAnsi="Arial"/>
                  <w:sz w:val="14"/>
                  <w:szCs w:val="14"/>
                  <w:color w:val="0000EE"/>
                </w:rPr>
                <w:t>69</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gridSpan w:val="2"/>
            <w:shd w:val="clear" w:color="auto" w:fill="CCEEFF"/>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Business</w:t>
              </w:r>
            </w:hyperlink>
          </w:p>
        </w:tc>
        <w:tc>
          <w:tcPr>
            <w:tcW w:w="5100" w:type="dxa"/>
            <w:vAlign w:val="bottom"/>
            <w:gridSpan w:val="13"/>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99">
              <w:r>
                <w:rPr>
                  <w:rFonts w:ascii="Arial" w:cs="Arial" w:eastAsia="Arial" w:hAnsi="Arial"/>
                  <w:sz w:val="14"/>
                  <w:szCs w:val="14"/>
                  <w:color w:val="0000EE"/>
                </w:rPr>
                <w:t>87</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880" w:type="dxa"/>
            <w:vAlign w:val="bottom"/>
            <w:gridSpan w:val="5"/>
          </w:tcPr>
          <w:p>
            <w:pPr>
              <w:spacing w:after="0"/>
              <w:rPr>
                <w:rFonts w:ascii="Arial" w:cs="Arial" w:eastAsia="Arial" w:hAnsi="Arial"/>
                <w:sz w:val="14"/>
                <w:szCs w:val="14"/>
                <w:color w:val="0000EE"/>
              </w:rPr>
            </w:pPr>
            <w:hyperlink w:anchor="page162">
              <w:r>
                <w:rPr>
                  <w:rFonts w:ascii="Arial" w:cs="Arial" w:eastAsia="Arial" w:hAnsi="Arial"/>
                  <w:sz w:val="14"/>
                  <w:szCs w:val="14"/>
                  <w:color w:val="0000EE"/>
                </w:rPr>
                <w:t>Management</w:t>
              </w:r>
            </w:hyperlink>
          </w:p>
        </w:tc>
        <w:tc>
          <w:tcPr>
            <w:tcW w:w="484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62">
              <w:r>
                <w:rPr>
                  <w:rFonts w:ascii="Arial" w:cs="Arial" w:eastAsia="Arial" w:hAnsi="Arial"/>
                  <w:sz w:val="14"/>
                  <w:szCs w:val="14"/>
                  <w:color w:val="0000EE"/>
                </w:rPr>
                <w:t>150</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right w:val="single" w:sz="8" w:color="CCEEFF"/>
            </w:tcBorders>
            <w:gridSpan w:val="8"/>
            <w:shd w:val="clear" w:color="auto" w:fill="CCEEFF"/>
          </w:tcPr>
          <w:p>
            <w:pPr>
              <w:spacing w:after="0"/>
              <w:rPr>
                <w:rFonts w:ascii="Arial" w:cs="Arial" w:eastAsia="Arial" w:hAnsi="Arial"/>
                <w:sz w:val="14"/>
                <w:szCs w:val="14"/>
                <w:color w:val="0000EE"/>
              </w:rPr>
            </w:pPr>
            <w:hyperlink w:anchor="page174">
              <w:r>
                <w:rPr>
                  <w:rFonts w:ascii="Arial" w:cs="Arial" w:eastAsia="Arial" w:hAnsi="Arial"/>
                  <w:sz w:val="14"/>
                  <w:szCs w:val="14"/>
                  <w:color w:val="0000EE"/>
                </w:rPr>
                <w:t>Executive compensation</w:t>
              </w:r>
            </w:hyperlink>
          </w:p>
        </w:tc>
        <w:tc>
          <w:tcPr>
            <w:tcW w:w="406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74">
              <w:r>
                <w:rPr>
                  <w:rFonts w:ascii="Arial" w:cs="Arial" w:eastAsia="Arial" w:hAnsi="Arial"/>
                  <w:sz w:val="14"/>
                  <w:szCs w:val="14"/>
                  <w:color w:val="0000EE"/>
                </w:rPr>
                <w:t>162</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2"/>
        </w:trPr>
        <w:tc>
          <w:tcPr>
            <w:tcW w:w="3420" w:type="dxa"/>
            <w:vAlign w:val="bottom"/>
            <w:gridSpan w:val="14"/>
          </w:tcPr>
          <w:p>
            <w:pPr>
              <w:spacing w:after="0"/>
              <w:rPr>
                <w:rFonts w:ascii="Arial" w:cs="Arial" w:eastAsia="Arial" w:hAnsi="Arial"/>
                <w:sz w:val="14"/>
                <w:szCs w:val="14"/>
                <w:color w:val="0000EE"/>
              </w:rPr>
            </w:pPr>
            <w:hyperlink w:anchor="page185">
              <w:r>
                <w:rPr>
                  <w:rFonts w:ascii="Arial" w:cs="Arial" w:eastAsia="Arial" w:hAnsi="Arial"/>
                  <w:sz w:val="14"/>
                  <w:szCs w:val="14"/>
                  <w:color w:val="0000EE"/>
                </w:rPr>
                <w:t>Certain relationships and related party transactions</w:t>
              </w:r>
            </w:hyperlink>
          </w:p>
        </w:tc>
        <w:tc>
          <w:tcPr>
            <w:tcW w:w="230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85">
              <w:r>
                <w:rPr>
                  <w:rFonts w:ascii="Arial" w:cs="Arial" w:eastAsia="Arial" w:hAnsi="Arial"/>
                  <w:sz w:val="14"/>
                  <w:szCs w:val="14"/>
                  <w:color w:val="0000EE"/>
                </w:rPr>
                <w:t>173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Borders>
              <w:right w:val="single" w:sz="8" w:color="CCEEFF"/>
            </w:tcBorders>
            <w:gridSpan w:val="7"/>
            <w:shd w:val="clear" w:color="auto" w:fill="CCEEFF"/>
          </w:tcPr>
          <w:p>
            <w:pPr>
              <w:spacing w:after="0"/>
              <w:rPr>
                <w:rFonts w:ascii="Arial" w:cs="Arial" w:eastAsia="Arial" w:hAnsi="Arial"/>
                <w:sz w:val="14"/>
                <w:szCs w:val="14"/>
                <w:color w:val="0000EE"/>
              </w:rPr>
            </w:pPr>
            <w:hyperlink w:anchor="page188">
              <w:r>
                <w:rPr>
                  <w:rFonts w:ascii="Arial" w:cs="Arial" w:eastAsia="Arial" w:hAnsi="Arial"/>
                  <w:sz w:val="14"/>
                  <w:szCs w:val="14"/>
                  <w:color w:val="0000EE"/>
                </w:rPr>
                <w:t>Principal stockholders</w:t>
              </w:r>
            </w:hyperlink>
          </w:p>
        </w:tc>
        <w:tc>
          <w:tcPr>
            <w:tcW w:w="1940" w:type="dxa"/>
            <w:vAlign w:val="bottom"/>
            <w:tcBorders>
              <w:right w:val="single" w:sz="8" w:color="CCEEFF"/>
            </w:tcBorders>
            <w:gridSpan w:val="6"/>
            <w:shd w:val="clear" w:color="auto" w:fill="CCEEFF"/>
          </w:tcPr>
          <w:p>
            <w:pPr>
              <w:spacing w:after="0"/>
              <w:rPr>
                <w:sz w:val="16"/>
                <w:szCs w:val="16"/>
                <w:color w:val="auto"/>
              </w:rPr>
            </w:pPr>
          </w:p>
        </w:tc>
        <w:tc>
          <w:tcPr>
            <w:tcW w:w="2300" w:type="dxa"/>
            <w:vAlign w:val="bottom"/>
            <w:gridSpan w:val="2"/>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88">
              <w:r>
                <w:rPr>
                  <w:rFonts w:ascii="Arial" w:cs="Arial" w:eastAsia="Arial" w:hAnsi="Arial"/>
                  <w:sz w:val="14"/>
                  <w:szCs w:val="14"/>
                  <w:color w:val="0000EE"/>
                </w:rPr>
                <w:t>176</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5720" w:type="dxa"/>
            <w:vAlign w:val="bottom"/>
            <w:gridSpan w:val="16"/>
          </w:tcPr>
          <w:p>
            <w:pPr>
              <w:spacing w:after="0"/>
              <w:rPr>
                <w:rFonts w:ascii="Arial" w:cs="Arial" w:eastAsia="Arial" w:hAnsi="Arial"/>
                <w:sz w:val="14"/>
                <w:szCs w:val="14"/>
                <w:color w:val="0000EE"/>
              </w:rPr>
            </w:pPr>
            <w:hyperlink w:anchor="page190">
              <w:r>
                <w:rPr>
                  <w:rFonts w:ascii="Arial" w:cs="Arial" w:eastAsia="Arial" w:hAnsi="Arial"/>
                  <w:sz w:val="14"/>
                  <w:szCs w:val="14"/>
                  <w:color w:val="0000EE"/>
                </w:rPr>
                <w:t>Description of capital stock</w:t>
              </w:r>
            </w:hyperlink>
          </w:p>
        </w:tc>
        <w:tc>
          <w:tcPr>
            <w:tcW w:w="800" w:type="dxa"/>
            <w:vAlign w:val="bottom"/>
            <w:gridSpan w:val="3"/>
          </w:tcPr>
          <w:p>
            <w:pPr>
              <w:jc w:val="right"/>
              <w:spacing w:after="0"/>
              <w:rPr>
                <w:rFonts w:ascii="Arial" w:cs="Arial" w:eastAsia="Arial" w:hAnsi="Arial"/>
                <w:sz w:val="14"/>
                <w:szCs w:val="14"/>
                <w:color w:val="0000EE"/>
              </w:rPr>
            </w:pPr>
            <w:hyperlink w:anchor="page190">
              <w:r>
                <w:rPr>
                  <w:rFonts w:ascii="Arial" w:cs="Arial" w:eastAsia="Arial" w:hAnsi="Arial"/>
                  <w:sz w:val="14"/>
                  <w:szCs w:val="14"/>
                  <w:color w:val="0000EE"/>
                </w:rPr>
                <w:t>178</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195">
              <w:r>
                <w:rPr>
                  <w:rFonts w:ascii="Arial" w:cs="Arial" w:eastAsia="Arial" w:hAnsi="Arial"/>
                  <w:sz w:val="14"/>
                  <w:szCs w:val="14"/>
                  <w:color w:val="0000EE"/>
                </w:rPr>
                <w:t>Shares eligible for future sale</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5">
              <w:r>
                <w:rPr>
                  <w:rFonts w:ascii="Arial" w:cs="Arial" w:eastAsia="Arial" w:hAnsi="Arial"/>
                  <w:sz w:val="14"/>
                  <w:szCs w:val="14"/>
                  <w:color w:val="0000EE"/>
                </w:rPr>
                <w:t>183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5720" w:type="dxa"/>
            <w:vAlign w:val="bottom"/>
            <w:gridSpan w:val="16"/>
          </w:tcPr>
          <w:p>
            <w:pPr>
              <w:spacing w:after="0"/>
              <w:rPr>
                <w:rFonts w:ascii="Arial" w:cs="Arial" w:eastAsia="Arial" w:hAnsi="Arial"/>
                <w:sz w:val="14"/>
                <w:szCs w:val="14"/>
                <w:color w:val="0000EE"/>
              </w:rPr>
            </w:pPr>
            <w:hyperlink w:anchor="page198">
              <w:r>
                <w:rPr>
                  <w:rFonts w:ascii="Arial" w:cs="Arial" w:eastAsia="Arial" w:hAnsi="Arial"/>
                  <w:sz w:val="14"/>
                  <w:szCs w:val="14"/>
                  <w:color w:val="0000EE"/>
                </w:rPr>
                <w:t>Material U.S. federal income tax consequences to Non-U.S. Holders</w:t>
              </w:r>
            </w:hyperlink>
          </w:p>
        </w:tc>
        <w:tc>
          <w:tcPr>
            <w:tcW w:w="800" w:type="dxa"/>
            <w:vAlign w:val="bottom"/>
            <w:gridSpan w:val="3"/>
          </w:tcPr>
          <w:p>
            <w:pPr>
              <w:jc w:val="right"/>
              <w:spacing w:after="0"/>
              <w:rPr>
                <w:rFonts w:ascii="Arial" w:cs="Arial" w:eastAsia="Arial" w:hAnsi="Arial"/>
                <w:sz w:val="14"/>
                <w:szCs w:val="14"/>
                <w:color w:val="0000EE"/>
              </w:rPr>
            </w:pPr>
            <w:hyperlink w:anchor="page198">
              <w:r>
                <w:rPr>
                  <w:rFonts w:ascii="Arial" w:cs="Arial" w:eastAsia="Arial" w:hAnsi="Arial"/>
                  <w:sz w:val="14"/>
                  <w:szCs w:val="14"/>
                  <w:color w:val="0000EE"/>
                </w:rPr>
                <w:t>186</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80" w:type="dxa"/>
            <w:vAlign w:val="bottom"/>
            <w:gridSpan w:val="3"/>
            <w:shd w:val="clear" w:color="auto" w:fill="CCEEFF"/>
          </w:tcPr>
          <w:p>
            <w:pPr>
              <w:spacing w:after="0"/>
              <w:rPr>
                <w:rFonts w:ascii="Arial" w:cs="Arial" w:eastAsia="Arial" w:hAnsi="Arial"/>
                <w:sz w:val="14"/>
                <w:szCs w:val="14"/>
                <w:color w:val="0000EE"/>
                <w:w w:val="94"/>
              </w:rPr>
            </w:pPr>
            <w:hyperlink w:anchor="page202">
              <w:r>
                <w:rPr>
                  <w:rFonts w:ascii="Arial" w:cs="Arial" w:eastAsia="Arial" w:hAnsi="Arial"/>
                  <w:sz w:val="14"/>
                  <w:szCs w:val="14"/>
                  <w:color w:val="0000EE"/>
                  <w:w w:val="94"/>
                </w:rPr>
                <w:t>Underwriting</w:t>
              </w:r>
            </w:hyperlink>
          </w:p>
        </w:tc>
        <w:tc>
          <w:tcPr>
            <w:tcW w:w="3740" w:type="dxa"/>
            <w:vAlign w:val="bottom"/>
            <w:tcBorders>
              <w:left w:val="single" w:sz="8" w:color="CCEEFF"/>
            </w:tcBorders>
            <w:gridSpan w:val="11"/>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02">
              <w:r>
                <w:rPr>
                  <w:rFonts w:ascii="Arial" w:cs="Arial" w:eastAsia="Arial" w:hAnsi="Arial"/>
                  <w:sz w:val="14"/>
                  <w:szCs w:val="14"/>
                  <w:color w:val="0000EE"/>
                </w:rPr>
                <w:t>190</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880" w:type="dxa"/>
            <w:vAlign w:val="bottom"/>
            <w:gridSpan w:val="5"/>
          </w:tcPr>
          <w:p>
            <w:pPr>
              <w:spacing w:after="0"/>
              <w:rPr>
                <w:rFonts w:ascii="Arial" w:cs="Arial" w:eastAsia="Arial" w:hAnsi="Arial"/>
                <w:sz w:val="14"/>
                <w:szCs w:val="14"/>
                <w:color w:val="0000EE"/>
                <w:w w:val="98"/>
              </w:rPr>
            </w:pPr>
            <w:hyperlink w:anchor="page213">
              <w:r>
                <w:rPr>
                  <w:rFonts w:ascii="Arial" w:cs="Arial" w:eastAsia="Arial" w:hAnsi="Arial"/>
                  <w:sz w:val="14"/>
                  <w:szCs w:val="14"/>
                  <w:color w:val="0000EE"/>
                  <w:w w:val="98"/>
                </w:rPr>
                <w:t>Legal matters</w:t>
              </w:r>
            </w:hyperlink>
          </w:p>
        </w:tc>
        <w:tc>
          <w:tcPr>
            <w:tcW w:w="4840" w:type="dxa"/>
            <w:vAlign w:val="bottom"/>
            <w:gridSpan w:val="11"/>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3">
              <w:r>
                <w:rPr>
                  <w:rFonts w:ascii="Arial" w:cs="Arial" w:eastAsia="Arial" w:hAnsi="Arial"/>
                  <w:sz w:val="14"/>
                  <w:szCs w:val="14"/>
                  <w:color w:val="0000EE"/>
                </w:rPr>
                <w:t>201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00" w:type="dxa"/>
            <w:vAlign w:val="bottom"/>
            <w:shd w:val="clear" w:color="auto" w:fill="CCEEFF"/>
          </w:tcPr>
          <w:p>
            <w:pPr>
              <w:spacing w:after="0"/>
              <w:rPr>
                <w:rFonts w:ascii="Arial" w:cs="Arial" w:eastAsia="Arial" w:hAnsi="Arial"/>
                <w:sz w:val="14"/>
                <w:szCs w:val="14"/>
                <w:color w:val="0000EE"/>
              </w:rPr>
            </w:pPr>
            <w:hyperlink w:anchor="page214">
              <w:r>
                <w:rPr>
                  <w:rFonts w:ascii="Arial" w:cs="Arial" w:eastAsia="Arial" w:hAnsi="Arial"/>
                  <w:sz w:val="14"/>
                  <w:szCs w:val="14"/>
                  <w:color w:val="0000EE"/>
                </w:rPr>
                <w:t>Experts</w:t>
              </w:r>
            </w:hyperlink>
          </w:p>
        </w:tc>
        <w:tc>
          <w:tcPr>
            <w:tcW w:w="360" w:type="dxa"/>
            <w:vAlign w:val="bottom"/>
            <w:gridSpan w:val="3"/>
            <w:shd w:val="clear" w:color="auto" w:fill="CCEEFF"/>
          </w:tcPr>
          <w:p>
            <w:pPr>
              <w:spacing w:after="0"/>
              <w:rPr>
                <w:sz w:val="16"/>
                <w:szCs w:val="16"/>
                <w:color w:val="auto"/>
              </w:rPr>
            </w:pPr>
          </w:p>
        </w:tc>
        <w:tc>
          <w:tcPr>
            <w:tcW w:w="4840" w:type="dxa"/>
            <w:vAlign w:val="bottom"/>
            <w:tcBorders>
              <w:left w:val="single" w:sz="8" w:color="CCEEFF"/>
            </w:tcBorders>
            <w:gridSpan w:val="11"/>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14">
              <w:r>
                <w:rPr>
                  <w:rFonts w:ascii="Arial" w:cs="Arial" w:eastAsia="Arial" w:hAnsi="Arial"/>
                  <w:sz w:val="14"/>
                  <w:szCs w:val="14"/>
                  <w:color w:val="0000EE"/>
                </w:rPr>
                <w:t>202</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780" w:type="dxa"/>
            <w:vAlign w:val="bottom"/>
            <w:gridSpan w:val="13"/>
          </w:tcPr>
          <w:p>
            <w:pPr>
              <w:spacing w:after="0"/>
              <w:rPr>
                <w:rFonts w:ascii="Arial" w:cs="Arial" w:eastAsia="Arial" w:hAnsi="Arial"/>
                <w:sz w:val="14"/>
                <w:szCs w:val="14"/>
                <w:color w:val="0000EE"/>
              </w:rPr>
            </w:pPr>
            <w:hyperlink w:anchor="page215">
              <w:r>
                <w:rPr>
                  <w:rFonts w:ascii="Arial" w:cs="Arial" w:eastAsia="Arial" w:hAnsi="Arial"/>
                  <w:sz w:val="14"/>
                  <w:szCs w:val="14"/>
                  <w:color w:val="0000EE"/>
                </w:rPr>
                <w:t>Where you can find additional information</w:t>
              </w:r>
            </w:hyperlink>
          </w:p>
        </w:tc>
        <w:tc>
          <w:tcPr>
            <w:tcW w:w="2940" w:type="dxa"/>
            <w:vAlign w:val="bottom"/>
            <w:gridSpan w:val="3"/>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5">
              <w:r>
                <w:rPr>
                  <w:rFonts w:ascii="Arial" w:cs="Arial" w:eastAsia="Arial" w:hAnsi="Arial"/>
                  <w:sz w:val="14"/>
                  <w:szCs w:val="14"/>
                  <w:color w:val="0000EE"/>
                </w:rPr>
                <w:t>203</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700" w:type="dxa"/>
            <w:vAlign w:val="bottom"/>
            <w:gridSpan w:val="15"/>
            <w:shd w:val="clear" w:color="auto" w:fill="CCEEFF"/>
          </w:tcPr>
          <w:p>
            <w:pPr>
              <w:spacing w:after="0"/>
              <w:rPr>
                <w:rFonts w:ascii="Arial" w:cs="Arial" w:eastAsia="Arial" w:hAnsi="Arial"/>
                <w:sz w:val="14"/>
                <w:szCs w:val="14"/>
                <w:color w:val="0000EE"/>
              </w:rPr>
            </w:pPr>
            <w:hyperlink w:anchor="page216">
              <w:r>
                <w:rPr>
                  <w:rFonts w:ascii="Arial" w:cs="Arial" w:eastAsia="Arial" w:hAnsi="Arial"/>
                  <w:sz w:val="14"/>
                  <w:szCs w:val="14"/>
                  <w:color w:val="0000EE"/>
                </w:rPr>
                <w:t>Index to consolidated financial statements</w:t>
              </w:r>
            </w:hyperlink>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rFonts w:ascii="Arial" w:cs="Arial" w:eastAsia="Arial" w:hAnsi="Arial"/>
                <w:sz w:val="13"/>
                <w:szCs w:val="13"/>
                <w:color w:val="0000EE"/>
                <w:w w:val="71"/>
              </w:rPr>
            </w:pPr>
            <w:hyperlink w:anchor="page216">
              <w:r>
                <w:rPr>
                  <w:rFonts w:ascii="Arial" w:cs="Arial" w:eastAsia="Arial" w:hAnsi="Arial"/>
                  <w:sz w:val="13"/>
                  <w:szCs w:val="13"/>
                  <w:color w:val="0000EE"/>
                  <w:w w:val="71"/>
                </w:rPr>
                <w:t>F-1</w:t>
              </w:r>
            </w:hyperlink>
          </w:p>
        </w:tc>
      </w:tr>
      <w:tr>
        <w:trPr>
          <w:trHeight w:val="21"/>
        </w:trPr>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06"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6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Neither we nor the underwriters have authorized anyone to provide you with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and results of operations may have changed since that date.</w:t>
      </w:r>
    </w:p>
    <w:p>
      <w:pPr>
        <w:spacing w:after="0" w:line="10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450215</wp:posOffset>
            </wp:positionV>
            <wp:extent cx="541782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 w:name="page3"/>
    <w:bookmarkEnd w:id="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942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71975" cy="69424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Prospectus summary</w:t>
      </w:r>
    </w:p>
    <w:p>
      <w:pPr>
        <w:spacing w:after="0" w:line="116" w:lineRule="exact"/>
        <w:rPr>
          <w:sz w:val="20"/>
          <w:szCs w:val="20"/>
          <w:color w:val="auto"/>
        </w:rPr>
      </w:pPr>
    </w:p>
    <w:p>
      <w:pPr>
        <w:ind w:left="1260" w:right="1259"/>
        <w:spacing w:after="0" w:line="258" w:lineRule="auto"/>
        <w:rPr>
          <w:sz w:val="20"/>
          <w:szCs w:val="20"/>
          <w:color w:val="auto"/>
        </w:rPr>
      </w:pPr>
      <w:r>
        <w:rPr>
          <w:rFonts w:ascii="Arial" w:cs="Arial" w:eastAsia="Arial" w:hAnsi="Arial"/>
          <w:sz w:val="14"/>
          <w:szCs w:val="14"/>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As used in this prospectus, unless the context otherwise requires, references to “we,” “us,” “our,” “the company,” “Century,” and similar references refer to: (i) on or prior to June 2019, to our predecessor, Century Therapeutics, Inc., which we refer to as “Prior Century,” (ii) from June 2019 to the completion of the 2021 Reorganization (as defined herein), to Century Therapeutics, LLC, and (iii) upon completion of the 2021 Reorganization, to Century Therapeutics, Inc., the registrant on the cover page of the registration statement of which this prospectus forms a part.</w:t>
      </w:r>
    </w:p>
    <w:p>
      <w:pPr>
        <w:spacing w:after="0" w:line="31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Overview</w:t>
      </w:r>
    </w:p>
    <w:p>
      <w:pPr>
        <w:spacing w:after="0" w:line="140" w:lineRule="exact"/>
        <w:rPr>
          <w:sz w:val="20"/>
          <w:szCs w:val="20"/>
          <w:color w:val="auto"/>
        </w:rPr>
      </w:pPr>
    </w:p>
    <w:p>
      <w:pPr>
        <w:ind w:left="1260" w:right="1259"/>
        <w:spacing w:after="0" w:line="265"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88" w:lineRule="exact"/>
        <w:rPr>
          <w:sz w:val="20"/>
          <w:szCs w:val="20"/>
          <w:color w:val="auto"/>
        </w:rPr>
      </w:pPr>
    </w:p>
    <w:p>
      <w:pPr>
        <w:ind w:left="1260" w:right="1299"/>
        <w:spacing w:after="0" w:line="272"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is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The key elements of our approach include:</w:t>
      </w:r>
    </w:p>
    <w:p>
      <w:pPr>
        <w:spacing w:after="0" w:line="121" w:lineRule="exact"/>
        <w:rPr>
          <w:sz w:val="20"/>
          <w:szCs w:val="20"/>
          <w:color w:val="auto"/>
        </w:rPr>
      </w:pPr>
    </w:p>
    <w:p>
      <w:pPr>
        <w:ind w:left="1260" w:right="1379"/>
        <w:spacing w:after="0" w:line="292" w:lineRule="auto"/>
        <w:rPr>
          <w:sz w:val="20"/>
          <w:szCs w:val="20"/>
          <w:color w:val="auto"/>
        </w:rPr>
      </w:pPr>
      <w:r>
        <w:rPr>
          <w:rFonts w:ascii="Arial" w:cs="Arial" w:eastAsia="Arial" w:hAnsi="Arial"/>
          <w:sz w:val="14"/>
          <w:szCs w:val="14"/>
          <w:b w:val="1"/>
          <w:bCs w:val="1"/>
          <w:color w:val="auto"/>
        </w:rPr>
        <w:t xml:space="preserve">Our efficient precision gene editing technology: </w:t>
      </w:r>
      <w:r>
        <w:rPr>
          <w:rFonts w:ascii="Arial" w:cs="Arial" w:eastAsia="Arial" w:hAnsi="Arial"/>
          <w:sz w:val="14"/>
          <w:szCs w:val="14"/>
          <w:color w:val="auto"/>
        </w:rPr>
        <w:t>We have developed highly efficient gene</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processes to generate our product candidates. Our first product candidate will have six CRISPR-mediated homologous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7003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71975" cy="70034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60" w:right="1359"/>
        <w:spacing w:after="0" w:line="257" w:lineRule="auto"/>
        <w:rPr>
          <w:sz w:val="20"/>
          <w:szCs w:val="20"/>
          <w:color w:val="auto"/>
        </w:rPr>
      </w:pPr>
      <w:r>
        <w:rPr>
          <w:rFonts w:ascii="Arial" w:cs="Arial" w:eastAsia="Arial" w:hAnsi="Arial"/>
          <w:sz w:val="14"/>
          <w:szCs w:val="14"/>
          <w:color w:val="auto"/>
        </w:rPr>
        <w:t>recombination and repair edits, and we plan to incorporate additional edits in our future product candidates. We are currently using the CRISPR-MAD7 nuclease to enable precise cutting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64" w:lineRule="exact"/>
        <w:rPr>
          <w:sz w:val="20"/>
          <w:szCs w:val="20"/>
          <w:color w:val="auto"/>
        </w:rPr>
      </w:pPr>
    </w:p>
    <w:p>
      <w:pPr>
        <w:ind w:left="1260" w:right="1339"/>
        <w:spacing w:after="0" w:line="246" w:lineRule="auto"/>
        <w:rPr>
          <w:sz w:val="20"/>
          <w:szCs w:val="20"/>
          <w:color w:val="auto"/>
        </w:rPr>
      </w:pPr>
      <w:r>
        <w:rPr>
          <w:rFonts w:ascii="Arial" w:cs="Arial" w:eastAsia="Arial" w:hAnsi="Arial"/>
          <w:sz w:val="14"/>
          <w:szCs w:val="14"/>
          <w:b w:val="1"/>
          <w:bCs w:val="1"/>
          <w:color w:val="auto"/>
        </w:rPr>
        <w:t>Our proprietary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w:t>
      </w:r>
      <w:r>
        <w:rPr>
          <w:rFonts w:ascii="Arial" w:cs="Arial" w:eastAsia="Arial" w:hAnsi="Arial"/>
          <w:sz w:val="14"/>
          <w:szCs w:val="14"/>
          <w:color w:val="auto"/>
        </w:rPr>
        <w:t>: We are leveraging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99" w:lineRule="exact"/>
        <w:rPr>
          <w:sz w:val="20"/>
          <w:szCs w:val="20"/>
          <w:color w:val="auto"/>
        </w:rPr>
      </w:pPr>
    </w:p>
    <w:p>
      <w:pPr>
        <w:ind w:left="1260" w:right="1259"/>
        <w:spacing w:after="0" w:line="260" w:lineRule="auto"/>
        <w:rPr>
          <w:sz w:val="20"/>
          <w:szCs w:val="20"/>
          <w:color w:val="auto"/>
        </w:rPr>
      </w:pPr>
      <w:r>
        <w:rPr>
          <w:rFonts w:ascii="Arial" w:cs="Arial" w:eastAsia="Arial" w:hAnsi="Arial"/>
          <w:sz w:val="14"/>
          <w:szCs w:val="14"/>
          <w:b w:val="1"/>
          <w:bCs w:val="1"/>
          <w:color w:val="auto"/>
        </w:rPr>
        <w:t>CAR and protein engineering</w:t>
      </w:r>
      <w:r>
        <w:rPr>
          <w:rFonts w:ascii="Arial" w:cs="Arial" w:eastAsia="Arial" w:hAnsi="Arial"/>
          <w:sz w:val="14"/>
          <w:szCs w:val="14"/>
          <w:color w:val="auto"/>
        </w:rPr>
        <w:t>: CAR design is a critical component of innovative cell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90" w:lineRule="exact"/>
        <w:rPr>
          <w:sz w:val="20"/>
          <w:szCs w:val="20"/>
          <w:color w:val="auto"/>
        </w:rPr>
      </w:pPr>
    </w:p>
    <w:p>
      <w:pPr>
        <w:ind w:left="1260" w:right="1259"/>
        <w:spacing w:after="0" w:line="261" w:lineRule="auto"/>
        <w:rPr>
          <w:sz w:val="20"/>
          <w:szCs w:val="20"/>
          <w:color w:val="auto"/>
        </w:rPr>
      </w:pPr>
      <w:r>
        <w:rPr>
          <w:rFonts w:ascii="Arial" w:cs="Arial" w:eastAsia="Arial" w:hAnsi="Arial"/>
          <w:sz w:val="14"/>
          <w:szCs w:val="14"/>
          <w:b w:val="1"/>
          <w:bCs w:val="1"/>
          <w:color w:val="auto"/>
        </w:rPr>
        <w:t>Common engineered iPSC progenitor accelerates new product candidate generation</w:t>
      </w:r>
      <w:r>
        <w:rPr>
          <w:rFonts w:ascii="Arial" w:cs="Arial" w:eastAsia="Arial" w:hAnsi="Arial"/>
          <w:sz w:val="14"/>
          <w:szCs w:val="14"/>
          <w:color w:val="auto"/>
        </w:rPr>
        <w:t>: With</w:t>
      </w:r>
      <w:r>
        <w:rPr>
          <w:rFonts w:ascii="Arial" w:cs="Arial" w:eastAsia="Arial" w:hAnsi="Arial"/>
          <w:sz w:val="14"/>
          <w:szCs w:val="14"/>
          <w:b w:val="1"/>
          <w:bCs w:val="1"/>
          <w:color w:val="auto"/>
        </w:rPr>
        <w:t xml:space="preserve"> </w:t>
      </w:r>
      <w:r>
        <w:rPr>
          <w:rFonts w:ascii="Arial" w:cs="Arial" w:eastAsia="Arial" w:hAnsi="Arial"/>
          <w:sz w:val="14"/>
          <w:szCs w:val="14"/>
          <w:color w:val="auto"/>
        </w:rPr>
        <w:t>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231" w:lineRule="exact"/>
        <w:rPr>
          <w:sz w:val="20"/>
          <w:szCs w:val="20"/>
          <w:color w:val="auto"/>
        </w:rPr>
      </w:pPr>
    </w:p>
    <w:p>
      <w:pPr>
        <w:ind w:left="1640" w:right="1259" w:hanging="120"/>
        <w:spacing w:after="0" w:line="280"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i w:val="1"/>
          <w:iCs w:val="1"/>
          <w:color w:val="auto"/>
        </w:rPr>
        <w:t>Significant acceleration of new product candidate generation</w:t>
      </w:r>
      <w:r>
        <w:rPr>
          <w:rFonts w:ascii="Arial" w:cs="Arial" w:eastAsia="Arial" w:hAnsi="Arial"/>
          <w:sz w:val="14"/>
          <w:szCs w:val="14"/>
          <w:color w:val="auto"/>
        </w:rPr>
        <w:t>. Multiple product candidates</w:t>
      </w:r>
      <w:r>
        <w:rPr>
          <w:rFonts w:ascii="Arial" w:cs="Arial" w:eastAsia="Arial" w:hAnsi="Arial"/>
          <w:sz w:val="14"/>
          <w:szCs w:val="14"/>
          <w:i w:val="1"/>
          <w:iCs w:val="1"/>
          <w:color w:val="auto"/>
        </w:rPr>
        <w:t xml:space="preserve"> </w:t>
      </w:r>
      <w:r>
        <w:rPr>
          <w:rFonts w:ascii="Arial" w:cs="Arial" w:eastAsia="Arial" w:hAnsi="Arial"/>
          <w:sz w:val="14"/>
          <w:szCs w:val="14"/>
          <w:color w:val="auto"/>
        </w:rPr>
        <w:t>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56" w:lineRule="exact"/>
        <w:rPr>
          <w:rFonts w:ascii="Arial" w:cs="Arial" w:eastAsia="Arial" w:hAnsi="Arial"/>
          <w:sz w:val="14"/>
          <w:szCs w:val="14"/>
          <w:color w:val="auto"/>
        </w:rPr>
      </w:pPr>
    </w:p>
    <w:p>
      <w:pPr>
        <w:ind w:left="1640" w:right="1459" w:hanging="120"/>
        <w:spacing w:after="0" w:line="289"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i w:val="1"/>
          <w:iCs w:val="1"/>
          <w:color w:val="auto"/>
        </w:rPr>
        <w:t>Robust manufacturing processes for multiple product candidates</w:t>
      </w:r>
      <w:r>
        <w:rPr>
          <w:rFonts w:ascii="Arial" w:cs="Arial" w:eastAsia="Arial" w:hAnsi="Arial"/>
          <w:sz w:val="14"/>
          <w:szCs w:val="14"/>
          <w:color w:val="auto"/>
        </w:rPr>
        <w:t>. Since the starting iPSC</w:t>
      </w:r>
      <w:r>
        <w:rPr>
          <w:rFonts w:ascii="Arial" w:cs="Arial" w:eastAsia="Arial" w:hAnsi="Arial"/>
          <w:sz w:val="14"/>
          <w:szCs w:val="14"/>
          <w:i w:val="1"/>
          <w:iCs w:val="1"/>
          <w:color w:val="auto"/>
        </w:rPr>
        <w:t xml:space="preserve"> </w:t>
      </w:r>
      <w:r>
        <w:rPr>
          <w:rFonts w:ascii="Arial" w:cs="Arial" w:eastAsia="Arial" w:hAnsi="Arial"/>
          <w:sz w:val="14"/>
          <w:szCs w:val="14"/>
          <w:color w:val="auto"/>
        </w:rPr>
        <w:t>line is the same for multiple product candidates, our manufacturing processes are predictable and robust.</w:t>
      </w:r>
    </w:p>
    <w:p>
      <w:pPr>
        <w:spacing w:after="0" w:line="50" w:lineRule="exact"/>
        <w:rPr>
          <w:rFonts w:ascii="Arial" w:cs="Arial" w:eastAsia="Arial" w:hAnsi="Arial"/>
          <w:sz w:val="14"/>
          <w:szCs w:val="14"/>
          <w:color w:val="auto"/>
        </w:rPr>
      </w:pPr>
    </w:p>
    <w:p>
      <w:pPr>
        <w:ind w:left="1640" w:right="1299" w:hanging="120"/>
        <w:spacing w:after="0" w:line="280" w:lineRule="auto"/>
        <w:tabs>
          <w:tab w:leader="none" w:pos="1640" w:val="left"/>
        </w:tabs>
        <w:numPr>
          <w:ilvl w:val="0"/>
          <w:numId w:val="2"/>
        </w:numPr>
        <w:rPr>
          <w:rFonts w:ascii="Arial" w:cs="Arial" w:eastAsia="Arial" w:hAnsi="Arial"/>
          <w:sz w:val="14"/>
          <w:szCs w:val="14"/>
          <w:color w:val="auto"/>
        </w:rPr>
      </w:pPr>
      <w:r>
        <w:rPr>
          <w:rFonts w:ascii="Arial" w:cs="Arial" w:eastAsia="Arial" w:hAnsi="Arial"/>
          <w:sz w:val="14"/>
          <w:szCs w:val="14"/>
          <w:i w:val="1"/>
          <w:iCs w:val="1"/>
          <w:color w:val="auto"/>
        </w:rPr>
        <w:t>Predictability of product candidate functionality, safety, and persistence</w:t>
      </w:r>
      <w:r>
        <w:rPr>
          <w:rFonts w:ascii="Arial" w:cs="Arial" w:eastAsia="Arial" w:hAnsi="Arial"/>
          <w:sz w:val="14"/>
          <w:szCs w:val="14"/>
          <w:color w:val="auto"/>
        </w:rPr>
        <w:t>. Because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92" w:lineRule="exact"/>
        <w:rPr>
          <w:sz w:val="20"/>
          <w:szCs w:val="20"/>
          <w:color w:val="auto"/>
        </w:rPr>
      </w:pPr>
    </w:p>
    <w:p>
      <w:pPr>
        <w:ind w:left="1260" w:right="1259"/>
        <w:spacing w:after="0" w:line="257"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707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71975" cy="70783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260" w:right="1319"/>
        <w:spacing w:after="0" w:line="274" w:lineRule="auto"/>
        <w:rPr>
          <w:sz w:val="20"/>
          <w:szCs w:val="20"/>
          <w:color w:val="auto"/>
        </w:rPr>
      </w:pPr>
      <w:r>
        <w:rPr>
          <w:rFonts w:ascii="Arial" w:cs="Arial" w:eastAsia="Arial" w:hAnsi="Arial"/>
          <w:sz w:val="14"/>
          <w:szCs w:val="14"/>
          <w:color w:val="auto"/>
        </w:rPr>
        <w:t>solid tumor targets using our iNK and iT cell therapy platforms. We believe that the therapeutics we discover and develop, if approved, will have a significant impact on the quality of life of patients suffering from devastating solid tumor and hematological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97" w:lineRule="exact"/>
        <w:rPr>
          <w:sz w:val="20"/>
          <w:szCs w:val="20"/>
          <w:color w:val="auto"/>
        </w:rPr>
      </w:pPr>
    </w:p>
    <w:p>
      <w:pPr>
        <w:ind w:left="1260" w:right="1339"/>
        <w:spacing w:after="0" w:line="273"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31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Advantages of our proprietary allogeneic cell platform technology</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Key advantages of our proprietary allogeneic cell platform technology include:</w:t>
      </w:r>
    </w:p>
    <w:p>
      <w:pPr>
        <w:spacing w:after="0" w:line="75" w:lineRule="exact"/>
        <w:rPr>
          <w:sz w:val="20"/>
          <w:szCs w:val="20"/>
          <w:color w:val="auto"/>
        </w:rPr>
      </w:pPr>
    </w:p>
    <w:p>
      <w:pPr>
        <w:ind w:left="1640" w:right="1279" w:hanging="120"/>
        <w:spacing w:after="0" w:line="263"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Greatly improved therapeutic application: </w:t>
      </w: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technology will allow our cell product candidates to escape recognition and destruction by the host immune system. We believe the reduction in allogeneic reactivity enabled by our use of this technology will allow repeat dosing of our CAR-modified cell therapies to improve therapeutic efficacy.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regimes.</w:t>
      </w:r>
    </w:p>
    <w:p>
      <w:pPr>
        <w:spacing w:after="0" w:line="249" w:lineRule="exact"/>
        <w:rPr>
          <w:rFonts w:ascii="Arial" w:cs="Arial" w:eastAsia="Arial" w:hAnsi="Arial"/>
          <w:sz w:val="14"/>
          <w:szCs w:val="14"/>
          <w:color w:val="auto"/>
        </w:rPr>
      </w:pPr>
    </w:p>
    <w:p>
      <w:pPr>
        <w:ind w:left="1640" w:right="1339" w:hanging="120"/>
        <w:spacing w:after="0" w:line="279" w:lineRule="auto"/>
        <w:tabs>
          <w:tab w:leader="none" w:pos="164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Manufacturing, product quality, and COGS advantages: </w:t>
      </w:r>
      <w:r>
        <w:rPr>
          <w:rFonts w:ascii="Arial" w:cs="Arial" w:eastAsia="Arial" w:hAnsi="Arial"/>
          <w:sz w:val="14"/>
          <w:szCs w:val="14"/>
          <w:color w:val="auto"/>
        </w:rPr>
        <w:t>We believe our use of iPSCs,</w:t>
      </w:r>
      <w:r>
        <w:rPr>
          <w:rFonts w:ascii="Arial" w:cs="Arial" w:eastAsia="Arial" w:hAnsi="Arial"/>
          <w:sz w:val="14"/>
          <w:szCs w:val="14"/>
          <w:b w:val="1"/>
          <w:bCs w:val="1"/>
          <w:color w:val="auto"/>
        </w:rPr>
        <w:t xml:space="preserve"> </w:t>
      </w:r>
      <w:r>
        <w:rPr>
          <w:rFonts w:ascii="Arial" w:cs="Arial" w:eastAsia="Arial" w:hAnsi="Arial"/>
          <w:sz w:val="14"/>
          <w:szCs w:val="14"/>
          <w:color w:val="auto"/>
        </w:rPr>
        <w:t>which have the potential to propagate indefinitely, will allow us to develop a streamlined manufacturing process with scalability advantages while producing consistent, high quality, off-the-shelf products at reduced manufacturing costs. Given the indefinite propagation potential of iPSC-derived allogeneic cells, we believe that a single master cell bank can be used for the lifetime of the product.</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pipeline</w:t>
      </w:r>
    </w:p>
    <w:p>
      <w:pPr>
        <w:spacing w:after="0" w:line="140" w:lineRule="exact"/>
        <w:rPr>
          <w:sz w:val="20"/>
          <w:szCs w:val="20"/>
          <w:color w:val="auto"/>
        </w:rPr>
      </w:pPr>
    </w:p>
    <w:p>
      <w:pPr>
        <w:ind w:left="1260" w:right="1299"/>
        <w:spacing w:after="0" w:line="262"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intended to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 development programs consist of the product candidates illustrated in the pipeline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915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71975" cy="691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20" w:right="1339" w:hanging="257"/>
        <w:spacing w:after="0" w:line="244" w:lineRule="auto"/>
        <w:tabs>
          <w:tab w:leader="none" w:pos="1520" w:val="left"/>
        </w:tabs>
        <w:numPr>
          <w:ilvl w:val="0"/>
          <w:numId w:val="4"/>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"Business—Licensing, partnership and collaboration—Bayer HealthCare LLC—Option Agreement" for more information.</w:t>
      </w:r>
    </w:p>
    <w:p>
      <w:pPr>
        <w:spacing w:after="0" w:line="99" w:lineRule="exact"/>
        <w:rPr>
          <w:sz w:val="20"/>
          <w:szCs w:val="20"/>
          <w:color w:val="auto"/>
        </w:rPr>
      </w:pPr>
    </w:p>
    <w:p>
      <w:pPr>
        <w:ind w:left="1260" w:right="1259"/>
        <w:spacing w:after="0" w:line="241" w:lineRule="auto"/>
        <w:rPr>
          <w:sz w:val="20"/>
          <w:szCs w:val="20"/>
          <w:color w:val="auto"/>
        </w:rPr>
      </w:pPr>
      <w:r>
        <w:rPr>
          <w:rFonts w:ascii="Arial" w:cs="Arial" w:eastAsia="Arial" w:hAnsi="Arial"/>
          <w:sz w:val="14"/>
          <w:szCs w:val="14"/>
          <w:b w:val="1"/>
          <w:bCs w:val="1"/>
          <w:color w:val="auto"/>
        </w:rPr>
        <w:t xml:space="preserve">CNTY-101: Our CAR-iNK candidate targeting CD19 for relapsed, refractory B-cell lymphoma. </w:t>
      </w:r>
      <w:r>
        <w:rPr>
          <w:rFonts w:ascii="Arial" w:cs="Arial" w:eastAsia="Arial" w:hAnsi="Arial"/>
          <w:sz w:val="14"/>
          <w:szCs w:val="14"/>
          <w:color w:val="auto"/>
        </w:rPr>
        <w:t>Our lead product candidate, CNTY-101, is an allogeneic, iPSC-derived CAR-iNK cell</w:t>
      </w:r>
      <w:r>
        <w:rPr>
          <w:rFonts w:ascii="Arial" w:cs="Arial" w:eastAsia="Arial" w:hAnsi="Arial"/>
          <w:sz w:val="14"/>
          <w:szCs w:val="14"/>
          <w:b w:val="1"/>
          <w:bCs w:val="1"/>
          <w:color w:val="auto"/>
        </w:rPr>
        <w:t xml:space="preserve"> </w:t>
      </w:r>
      <w:r>
        <w:rPr>
          <w:rFonts w:ascii="Arial" w:cs="Arial" w:eastAsia="Arial" w:hAnsi="Arial"/>
          <w:sz w:val="14"/>
          <w:szCs w:val="14"/>
          <w:color w:val="auto"/>
        </w:rPr>
        <w:t>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266" w:lineRule="exact"/>
        <w:rPr>
          <w:sz w:val="20"/>
          <w:szCs w:val="20"/>
          <w:color w:val="auto"/>
        </w:rPr>
      </w:pPr>
    </w:p>
    <w:p>
      <w:pPr>
        <w:ind w:left="1260" w:right="1279"/>
        <w:spacing w:after="0" w:line="262" w:lineRule="auto"/>
        <w:rPr>
          <w:sz w:val="20"/>
          <w:szCs w:val="20"/>
          <w:color w:val="auto"/>
        </w:rPr>
      </w:pPr>
      <w:r>
        <w:rPr>
          <w:rFonts w:ascii="Arial" w:cs="Arial" w:eastAsia="Arial" w:hAnsi="Arial"/>
          <w:sz w:val="14"/>
          <w:szCs w:val="14"/>
          <w:b w:val="1"/>
          <w:bCs w:val="1"/>
          <w:color w:val="auto"/>
        </w:rPr>
        <w:t xml:space="preserve">CNTY-103: Our CAR-iNK candidate targeting CD133 + EGFR for recurrent glioblastoma. </w:t>
      </w:r>
      <w:r>
        <w:rPr>
          <w:rFonts w:ascii="Arial" w:cs="Arial" w:eastAsia="Arial" w:hAnsi="Arial"/>
          <w:sz w:val="14"/>
          <w:szCs w:val="14"/>
          <w:color w:val="auto"/>
        </w:rPr>
        <w:t>We</w:t>
      </w:r>
      <w:r>
        <w:rPr>
          <w:rFonts w:ascii="Arial" w:cs="Arial" w:eastAsia="Arial" w:hAnsi="Arial"/>
          <w:sz w:val="14"/>
          <w:szCs w:val="14"/>
          <w:b w:val="1"/>
          <w:bCs w:val="1"/>
          <w:color w:val="auto"/>
        </w:rPr>
        <w:t xml:space="preserve"> </w:t>
      </w:r>
      <w:r>
        <w:rPr>
          <w:rFonts w:ascii="Arial" w:cs="Arial" w:eastAsia="Arial" w:hAnsi="Arial"/>
          <w:sz w:val="14"/>
          <w:szCs w:val="14"/>
          <w:color w:val="auto"/>
        </w:rPr>
        <w:t>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87" w:lineRule="exact"/>
        <w:rPr>
          <w:sz w:val="20"/>
          <w:szCs w:val="20"/>
          <w:color w:val="auto"/>
        </w:rPr>
      </w:pPr>
    </w:p>
    <w:p>
      <w:pPr>
        <w:ind w:left="1260" w:right="1299"/>
        <w:spacing w:after="0" w:line="263" w:lineRule="auto"/>
        <w:rPr>
          <w:sz w:val="20"/>
          <w:szCs w:val="20"/>
          <w:color w:val="auto"/>
        </w:rPr>
      </w:pPr>
      <w:r>
        <w:rPr>
          <w:rFonts w:ascii="Arial" w:cs="Arial" w:eastAsia="Arial" w:hAnsi="Arial"/>
          <w:sz w:val="14"/>
          <w:szCs w:val="14"/>
          <w:b w:val="1"/>
          <w:bCs w:val="1"/>
          <w:color w:val="auto"/>
        </w:rPr>
        <w:t xml:space="preserve">CNTY-102: Our CAR-iT or CAR-iNK candidate targeting CD19 + CD79b for relapsed, refractory B-cell lymphoma and other B-cell malignancies. </w:t>
      </w:r>
      <w:r>
        <w:rPr>
          <w:rFonts w:ascii="Arial" w:cs="Arial" w:eastAsia="Arial" w:hAnsi="Arial"/>
          <w:sz w:val="14"/>
          <w:szCs w:val="14"/>
          <w:color w:val="auto"/>
        </w:rPr>
        <w:t>CNTY-102 will simultaneously</w:t>
      </w:r>
      <w:r>
        <w:rPr>
          <w:rFonts w:ascii="Arial" w:cs="Arial" w:eastAsia="Arial" w:hAnsi="Arial"/>
          <w:sz w:val="14"/>
          <w:szCs w:val="14"/>
          <w:b w:val="1"/>
          <w:bCs w:val="1"/>
          <w:color w:val="auto"/>
        </w:rPr>
        <w:t xml:space="preserve"> </w:t>
      </w:r>
      <w:r>
        <w:rPr>
          <w:rFonts w:ascii="Arial" w:cs="Arial" w:eastAsia="Arial" w:hAnsi="Arial"/>
          <w:sz w:val="14"/>
          <w:szCs w:val="14"/>
          <w:color w:val="auto"/>
        </w:rPr>
        <w:t>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87" w:lineRule="exact"/>
        <w:rPr>
          <w:sz w:val="20"/>
          <w:szCs w:val="20"/>
          <w:color w:val="auto"/>
        </w:rPr>
      </w:pPr>
    </w:p>
    <w:p>
      <w:pPr>
        <w:ind w:left="1260" w:right="1279"/>
        <w:spacing w:after="0" w:line="263" w:lineRule="auto"/>
        <w:rPr>
          <w:sz w:val="20"/>
          <w:szCs w:val="20"/>
          <w:color w:val="auto"/>
        </w:rPr>
      </w:pPr>
      <w:r>
        <w:rPr>
          <w:rFonts w:ascii="Arial" w:cs="Arial" w:eastAsia="Arial" w:hAnsi="Arial"/>
          <w:sz w:val="14"/>
          <w:szCs w:val="14"/>
          <w:b w:val="1"/>
          <w:bCs w:val="1"/>
          <w:color w:val="auto"/>
        </w:rPr>
        <w:t xml:space="preserve">CNTY-104: Our CAR-iT or CAR-iNK multi-specific candidate for acute myeloid leukemia. </w:t>
      </w: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77" w:lineRule="exact"/>
        <w:rPr>
          <w:sz w:val="20"/>
          <w:szCs w:val="20"/>
          <w:color w:val="auto"/>
        </w:rPr>
      </w:pPr>
    </w:p>
    <w:p>
      <w:pPr>
        <w:ind w:left="1260" w:right="1299"/>
        <w:spacing w:after="0" w:line="263" w:lineRule="auto"/>
        <w:rPr>
          <w:sz w:val="20"/>
          <w:szCs w:val="20"/>
          <w:color w:val="auto"/>
        </w:rPr>
      </w:pPr>
      <w:r>
        <w:rPr>
          <w:rFonts w:ascii="Arial" w:cs="Arial" w:eastAsia="Arial" w:hAnsi="Arial"/>
          <w:sz w:val="14"/>
          <w:szCs w:val="14"/>
          <w:b w:val="1"/>
          <w:bCs w:val="1"/>
          <w:color w:val="auto"/>
        </w:rPr>
        <w:t xml:space="preserve">Discovery platform. </w:t>
      </w:r>
      <w:r>
        <w:rPr>
          <w:rFonts w:ascii="Arial" w:cs="Arial" w:eastAsia="Arial" w:hAnsi="Arial"/>
          <w:sz w:val="14"/>
          <w:szCs w:val="14"/>
          <w:color w:val="auto"/>
        </w:rPr>
        <w:t>In addition to our named programs, we are actively engaged in a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strategy</w:t>
      </w:r>
    </w:p>
    <w:p>
      <w:pPr>
        <w:spacing w:after="0" w:line="129" w:lineRule="exact"/>
        <w:rPr>
          <w:sz w:val="20"/>
          <w:szCs w:val="20"/>
          <w:color w:val="auto"/>
        </w:rPr>
      </w:pPr>
    </w:p>
    <w:p>
      <w:pPr>
        <w:ind w:left="1260" w:right="1399"/>
        <w:spacing w:after="0" w:line="258"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840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71975" cy="68402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380" w:right="1299" w:hanging="117"/>
        <w:spacing w:after="0" w:line="309" w:lineRule="auto"/>
        <w:tabs>
          <w:tab w:leader="none" w:pos="138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Build a leading cell therapy company leveraging our comprehensive iPSC-derived allogeneic cell therapy platforms designed to overcome the limitations of existing cancer therapies.</w:t>
      </w:r>
    </w:p>
    <w:p>
      <w:pPr>
        <w:spacing w:after="0" w:line="217" w:lineRule="exact"/>
        <w:rPr>
          <w:rFonts w:ascii="Arial" w:cs="Arial" w:eastAsia="Arial" w:hAnsi="Arial"/>
          <w:sz w:val="14"/>
          <w:szCs w:val="14"/>
          <w:color w:val="auto"/>
        </w:rPr>
      </w:pPr>
    </w:p>
    <w:p>
      <w:pPr>
        <w:ind w:left="1380" w:right="1839" w:hanging="117"/>
        <w:spacing w:after="0" w:line="313" w:lineRule="auto"/>
        <w:tabs>
          <w:tab w:leader="none" w:pos="138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Maximize the potential to treat a broad range of cancers by exploiting the distinct biologies of both NK and T cells.</w:t>
      </w:r>
    </w:p>
    <w:p>
      <w:pPr>
        <w:spacing w:after="0" w:line="3" w:lineRule="exact"/>
        <w:rPr>
          <w:rFonts w:ascii="Arial" w:cs="Arial" w:eastAsia="Arial" w:hAnsi="Arial"/>
          <w:sz w:val="14"/>
          <w:szCs w:val="14"/>
          <w:color w:val="auto"/>
        </w:rPr>
      </w:pPr>
    </w:p>
    <w:p>
      <w:pPr>
        <w:ind w:left="1380" w:right="1719" w:hanging="117"/>
        <w:spacing w:after="0" w:line="248" w:lineRule="auto"/>
        <w:tabs>
          <w:tab w:leader="none" w:pos="138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Leverage our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 across our product platform to avoid host rejection and enable repeat dosing.</w:t>
      </w:r>
    </w:p>
    <w:p>
      <w:pPr>
        <w:spacing w:after="0" w:line="59" w:lineRule="exact"/>
        <w:rPr>
          <w:rFonts w:ascii="Arial" w:cs="Arial" w:eastAsia="Arial" w:hAnsi="Arial"/>
          <w:sz w:val="14"/>
          <w:szCs w:val="14"/>
          <w:color w:val="auto"/>
        </w:rPr>
      </w:pPr>
    </w:p>
    <w:p>
      <w:pPr>
        <w:ind w:left="1380" w:right="1939" w:hanging="117"/>
        <w:spacing w:after="0" w:line="313" w:lineRule="auto"/>
        <w:tabs>
          <w:tab w:leader="none" w:pos="138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Exploit serial gene editing of iPSCs to create product candidates with enhanced functionalities and fit for purpose product characteristics.</w:t>
      </w:r>
    </w:p>
    <w:p>
      <w:pPr>
        <w:spacing w:after="0" w:line="29" w:lineRule="exact"/>
        <w:rPr>
          <w:rFonts w:ascii="Arial" w:cs="Arial" w:eastAsia="Arial" w:hAnsi="Arial"/>
          <w:sz w:val="14"/>
          <w:szCs w:val="14"/>
          <w:color w:val="auto"/>
        </w:rPr>
      </w:pPr>
    </w:p>
    <w:p>
      <w:pPr>
        <w:ind w:left="1380" w:right="2239" w:hanging="117"/>
        <w:spacing w:after="0" w:line="313" w:lineRule="auto"/>
        <w:tabs>
          <w:tab w:leader="none" w:pos="138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Leverage our own future manufacturing infrastructure, product and process understanding, and scale-up technologies to minimize manufacturing risk.</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team</w:t>
      </w:r>
    </w:p>
    <w:p>
      <w:pPr>
        <w:spacing w:after="0" w:line="129" w:lineRule="exact"/>
        <w:rPr>
          <w:sz w:val="20"/>
          <w:szCs w:val="20"/>
          <w:color w:val="auto"/>
        </w:rPr>
      </w:pPr>
    </w:p>
    <w:p>
      <w:pPr>
        <w:ind w:left="1260" w:right="1259"/>
        <w:spacing w:after="0" w:line="256"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12" w:lineRule="exact"/>
        <w:rPr>
          <w:sz w:val="20"/>
          <w:szCs w:val="20"/>
          <w:color w:val="auto"/>
        </w:rPr>
      </w:pPr>
    </w:p>
    <w:p>
      <w:pPr>
        <w:ind w:left="1260" w:right="1379"/>
        <w:spacing w:after="0" w:line="257"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00" w:lineRule="exact"/>
        <w:rPr>
          <w:sz w:val="20"/>
          <w:szCs w:val="20"/>
          <w:color w:val="auto"/>
        </w:rPr>
      </w:pPr>
    </w:p>
    <w:p>
      <w:pPr>
        <w:ind w:left="1260" w:right="1439"/>
        <w:spacing w:after="0" w:line="259"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Risks associated with our business</w:t>
      </w:r>
    </w:p>
    <w:p>
      <w:pPr>
        <w:spacing w:after="0" w:line="129" w:lineRule="exact"/>
        <w:rPr>
          <w:sz w:val="20"/>
          <w:szCs w:val="20"/>
          <w:color w:val="auto"/>
        </w:rPr>
      </w:pPr>
    </w:p>
    <w:p>
      <w:pPr>
        <w:ind w:left="1260" w:right="1279"/>
        <w:spacing w:after="0" w:line="263" w:lineRule="auto"/>
        <w:rPr>
          <w:sz w:val="20"/>
          <w:szCs w:val="20"/>
          <w:color w:val="auto"/>
        </w:rPr>
      </w:pPr>
      <w:r>
        <w:rPr>
          <w:rFonts w:ascii="Arial" w:cs="Arial" w:eastAsia="Arial" w:hAnsi="Arial"/>
          <w:sz w:val="14"/>
          <w:szCs w:val="14"/>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52" w:lineRule="exact"/>
        <w:rPr>
          <w:sz w:val="20"/>
          <w:szCs w:val="20"/>
          <w:color w:val="auto"/>
        </w:rPr>
      </w:pPr>
    </w:p>
    <w:p>
      <w:pPr>
        <w:ind w:left="1380" w:right="1519" w:hanging="117"/>
        <w:spacing w:after="0" w:line="286"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a limited operating history, have incurred significant losses since our inception, and anticipate that we will continue to incur significant losses in the foreseeable future;</w:t>
      </w:r>
    </w:p>
    <w:p>
      <w:pPr>
        <w:spacing w:after="0" w:line="66" w:lineRule="exact"/>
        <w:rPr>
          <w:rFonts w:ascii="Arial" w:cs="Arial" w:eastAsia="Arial" w:hAnsi="Arial"/>
          <w:sz w:val="14"/>
          <w:szCs w:val="14"/>
          <w:color w:val="auto"/>
        </w:rPr>
      </w:pPr>
    </w:p>
    <w:p>
      <w:pPr>
        <w:ind w:left="1380" w:right="1279" w:hanging="117"/>
        <w:spacing w:after="0" w:line="281"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248" w:lineRule="exact"/>
        <w:rPr>
          <w:rFonts w:ascii="Arial" w:cs="Arial" w:eastAsia="Arial" w:hAnsi="Arial"/>
          <w:sz w:val="14"/>
          <w:szCs w:val="14"/>
          <w:color w:val="auto"/>
        </w:rPr>
      </w:pPr>
    </w:p>
    <w:p>
      <w:pPr>
        <w:ind w:left="1380" w:right="1519" w:hanging="117"/>
        <w:spacing w:after="0" w:line="286" w:lineRule="auto"/>
        <w:tabs>
          <w:tab w:leader="none" w:pos="1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will need to raise substantial additional financing to fund our operations and continue the development of our product candidates;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880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71975" cy="688086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380" w:right="1319" w:hanging="117"/>
        <w:spacing w:after="0" w:line="278"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highly dependent on our strategic relationships and collaborations and any termination or loss of significant rights under such arrangements with our strategic partners could seriously harm our business;</w:t>
      </w:r>
    </w:p>
    <w:p>
      <w:pPr>
        <w:spacing w:after="0" w:line="61" w:lineRule="exact"/>
        <w:rPr>
          <w:rFonts w:ascii="Arial" w:cs="Arial" w:eastAsia="Arial" w:hAnsi="Arial"/>
          <w:sz w:val="14"/>
          <w:szCs w:val="14"/>
          <w:color w:val="auto"/>
        </w:rPr>
      </w:pPr>
    </w:p>
    <w:p>
      <w:pPr>
        <w:ind w:left="1380" w:right="1519" w:hanging="117"/>
        <w:spacing w:after="0" w:line="291"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COVID-19 pandemic may materially and adversely affect our business and our financial results and could cause a disruption to our supply chain and the development of our product candidates;</w:t>
      </w:r>
    </w:p>
    <w:p>
      <w:pPr>
        <w:spacing w:after="0" w:line="220" w:lineRule="exact"/>
        <w:rPr>
          <w:rFonts w:ascii="Arial" w:cs="Arial" w:eastAsia="Arial" w:hAnsi="Arial"/>
          <w:sz w:val="14"/>
          <w:szCs w:val="14"/>
          <w:color w:val="auto"/>
        </w:rPr>
      </w:pPr>
    </w:p>
    <w:p>
      <w:pPr>
        <w:ind w:left="1380" w:right="1239" w:hanging="117"/>
        <w:spacing w:after="0" w:line="278"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utilizing CAR-iNK and CAR-iT cells represents a novel approach to immuno-oncology treatment of cancer, and we must overcome significant challenges in order to develop, commercialize, and manufacture our product candidates;</w:t>
      </w:r>
    </w:p>
    <w:p>
      <w:pPr>
        <w:spacing w:after="0" w:line="61" w:lineRule="exact"/>
        <w:rPr>
          <w:rFonts w:ascii="Arial" w:cs="Arial" w:eastAsia="Arial" w:hAnsi="Arial"/>
          <w:sz w:val="14"/>
          <w:szCs w:val="14"/>
          <w:color w:val="auto"/>
        </w:rPr>
      </w:pPr>
    </w:p>
    <w:p>
      <w:pPr>
        <w:ind w:left="1380" w:right="1499" w:hanging="117"/>
        <w:spacing w:after="0" w:line="286"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manufacture and distribution of our iPSC-derived cell product candidates is complex and subject to a multitude of risks;</w:t>
      </w:r>
    </w:p>
    <w:p>
      <w:pPr>
        <w:spacing w:after="0" w:line="55" w:lineRule="exact"/>
        <w:rPr>
          <w:rFonts w:ascii="Arial" w:cs="Arial" w:eastAsia="Arial" w:hAnsi="Arial"/>
          <w:sz w:val="14"/>
          <w:szCs w:val="14"/>
          <w:color w:val="auto"/>
        </w:rPr>
      </w:pPr>
    </w:p>
    <w:p>
      <w:pPr>
        <w:ind w:left="1380" w:right="1279" w:hanging="117"/>
        <w:spacing w:after="0" w:line="278"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we are unable to successfully commercialize our lead product candidate CNTY-101 or any of our other product candidates for which we receive regulatory approval, or experience significant delays in doing so, our business will be materially harmed; and</w:t>
      </w:r>
    </w:p>
    <w:p>
      <w:pPr>
        <w:spacing w:after="0" w:line="50" w:lineRule="exact"/>
        <w:rPr>
          <w:rFonts w:ascii="Arial" w:cs="Arial" w:eastAsia="Arial" w:hAnsi="Arial"/>
          <w:sz w:val="14"/>
          <w:szCs w:val="14"/>
          <w:color w:val="auto"/>
        </w:rPr>
      </w:pPr>
    </w:p>
    <w:p>
      <w:pPr>
        <w:ind w:left="1380" w:right="1659" w:hanging="117"/>
        <w:spacing w:after="0" w:line="286" w:lineRule="auto"/>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may face difficulties in obtaining, protecting, maintaining, and enforcing our intellectual property rights, including intellectual property rights that are licensed to us.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Recent developments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i w:val="1"/>
          <w:iCs w:val="1"/>
          <w:color w:val="auto"/>
        </w:rPr>
        <w:t>Series C Preferred Stock Financing</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On February 25, 2021, we sold 24,721,999 shares of our Series C preferred stock, par value</w:t>
      </w:r>
    </w:p>
    <w:p>
      <w:pPr>
        <w:spacing w:after="0" w:line="10" w:lineRule="exact"/>
        <w:rPr>
          <w:sz w:val="20"/>
          <w:szCs w:val="20"/>
          <w:color w:val="auto"/>
        </w:rPr>
      </w:pPr>
    </w:p>
    <w:p>
      <w:pPr>
        <w:ind w:left="1260" w:right="1259"/>
        <w:spacing w:after="0" w:line="258" w:lineRule="auto"/>
        <w:rPr>
          <w:sz w:val="20"/>
          <w:szCs w:val="20"/>
          <w:color w:val="auto"/>
        </w:rPr>
      </w:pPr>
      <w:r>
        <w:rPr>
          <w:rFonts w:ascii="Arial" w:cs="Arial" w:eastAsia="Arial" w:hAnsi="Arial"/>
          <w:sz w:val="14"/>
          <w:szCs w:val="14"/>
          <w:color w:val="auto"/>
        </w:rPr>
        <w:t>$0.0001 per share, or the Series C preferred stock, to certain institutional investors at a price of approximately $6.472 per share, for gross proceeds of approximately $160 million, which we refer to herein as the Series C Financing. The shares of Series C preferred stock were sold pursuant to an exemption from registration under the Securities Act. Upon the closing of this offering, all outstanding shares of our preferred stock, including our Series C preferred stock, will be automatically converted into an aggregate of 34,126,528 shares of common stock.</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corporate information</w:t>
      </w:r>
    </w:p>
    <w:p>
      <w:pPr>
        <w:spacing w:after="0" w:line="129" w:lineRule="exact"/>
        <w:rPr>
          <w:sz w:val="20"/>
          <w:szCs w:val="20"/>
          <w:color w:val="auto"/>
        </w:rPr>
      </w:pPr>
    </w:p>
    <w:p>
      <w:pPr>
        <w:ind w:left="1260" w:right="1299"/>
        <w:spacing w:after="0" w:line="256" w:lineRule="auto"/>
        <w:rPr>
          <w:sz w:val="20"/>
          <w:szCs w:val="20"/>
          <w:color w:val="auto"/>
        </w:rPr>
      </w:pPr>
      <w:r>
        <w:rPr>
          <w:rFonts w:ascii="Arial" w:cs="Arial" w:eastAsia="Arial" w:hAnsi="Arial"/>
          <w:sz w:val="14"/>
          <w:szCs w:val="14"/>
          <w:color w:val="auto"/>
        </w:rPr>
        <w:t>We were formed in 2018 as Century Therapeutics, Inc., a Delaware corporation, or Prior Century. In connection with an investment in our Company by Bayer HealthCare LLC, or Bayer, in 2019, Prior Century contributed substantially all of its operating assets and cash to a newly formed entity, Century Therapeutics, LLC, or the LLC Entity, in exchange for units of the LLC Entity. We refer to this transaction as the 2019 Reorganization. From June 2019 to February 2021, our business was operated through the LLC Entity. On February 25, 2021, the LLC Entity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 We refer to these transactions on February 25, 2021 as the 2021 Reorganization.</w:t>
      </w:r>
    </w:p>
    <w:p>
      <w:pPr>
        <w:spacing w:after="0" w:line="274" w:lineRule="exact"/>
        <w:rPr>
          <w:sz w:val="20"/>
          <w:szCs w:val="20"/>
          <w:color w:val="auto"/>
        </w:rPr>
      </w:pPr>
    </w:p>
    <w:p>
      <w:pPr>
        <w:ind w:left="1260" w:right="1539"/>
        <w:spacing w:after="0" w:line="258" w:lineRule="auto"/>
        <w:rPr>
          <w:sz w:val="20"/>
          <w:szCs w:val="20"/>
          <w:color w:val="auto"/>
        </w:rPr>
      </w:pPr>
      <w:r>
        <w:rPr>
          <w:rFonts w:ascii="Arial" w:cs="Arial" w:eastAsia="Arial" w:hAnsi="Arial"/>
          <w:sz w:val="14"/>
          <w:szCs w:val="14"/>
          <w:color w:val="auto"/>
        </w:rPr>
        <w:t>Our principal executive offices are located at 3675 Market Street, Philadelphia, Pennsylvania 19104, and our telephone number is (267) 817-5790. Our corporate website is www.centurytx.com.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 and do not intend it to be an active link to our website.</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29" w:lineRule="exact"/>
        <w:rPr>
          <w:sz w:val="20"/>
          <w:szCs w:val="20"/>
          <w:color w:val="auto"/>
        </w:rPr>
      </w:pPr>
    </w:p>
    <w:p>
      <w:pPr>
        <w:ind w:left="1260" w:right="1319"/>
        <w:spacing w:after="0" w:line="258"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724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1975" cy="67246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380" w:right="131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a correspondingly reduced “Management’s discussion and analysis of financial condition and results of operations” disclosure in this prospectus;</w:t>
      </w:r>
    </w:p>
    <w:p>
      <w:pPr>
        <w:spacing w:after="0" w:line="72" w:lineRule="exact"/>
        <w:rPr>
          <w:rFonts w:ascii="Arial" w:cs="Arial" w:eastAsia="Arial" w:hAnsi="Arial"/>
          <w:sz w:val="14"/>
          <w:szCs w:val="14"/>
          <w:color w:val="auto"/>
        </w:rPr>
      </w:pPr>
    </w:p>
    <w:p>
      <w:pPr>
        <w:ind w:left="1380" w:right="1959" w:hanging="117"/>
        <w:spacing w:after="0" w:line="286"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66" w:lineRule="exact"/>
        <w:rPr>
          <w:rFonts w:ascii="Arial" w:cs="Arial" w:eastAsia="Arial" w:hAnsi="Arial"/>
          <w:sz w:val="14"/>
          <w:szCs w:val="14"/>
          <w:color w:val="auto"/>
        </w:rPr>
      </w:pPr>
    </w:p>
    <w:p>
      <w:pPr>
        <w:ind w:left="1380" w:right="1499" w:hanging="117"/>
        <w:spacing w:after="0" w:line="278"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2" w:lineRule="exact"/>
        <w:rPr>
          <w:rFonts w:ascii="Arial" w:cs="Arial" w:eastAsia="Arial" w:hAnsi="Arial"/>
          <w:sz w:val="14"/>
          <w:szCs w:val="14"/>
          <w:color w:val="auto"/>
        </w:rPr>
      </w:pPr>
    </w:p>
    <w:p>
      <w:pPr>
        <w:ind w:left="1380" w:hanging="117"/>
        <w:spacing w:after="0"/>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80" w:right="1559" w:hanging="117"/>
        <w:spacing w:after="0" w:line="286" w:lineRule="auto"/>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80" w:hanging="117"/>
        <w:spacing w:after="0"/>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28" w:lineRule="exact"/>
        <w:rPr>
          <w:sz w:val="20"/>
          <w:szCs w:val="20"/>
          <w:color w:val="auto"/>
        </w:rPr>
      </w:pPr>
    </w:p>
    <w:p>
      <w:pPr>
        <w:ind w:left="1260" w:right="1439"/>
        <w:spacing w:after="0" w:line="276"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5" w:lineRule="exact"/>
        <w:rPr>
          <w:sz w:val="20"/>
          <w:szCs w:val="20"/>
          <w:color w:val="auto"/>
        </w:rPr>
      </w:pPr>
    </w:p>
    <w:p>
      <w:pPr>
        <w:ind w:left="1260" w:right="1259"/>
        <w:spacing w:after="0" w:line="276"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w:t>
      </w:r>
    </w:p>
    <w:p>
      <w:pPr>
        <w:spacing w:after="0" w:line="105" w:lineRule="exact"/>
        <w:rPr>
          <w:sz w:val="20"/>
          <w:szCs w:val="20"/>
          <w:color w:val="auto"/>
        </w:rPr>
      </w:pPr>
    </w:p>
    <w:p>
      <w:pPr>
        <w:ind w:left="1260" w:right="1299"/>
        <w:spacing w:after="0" w:line="273" w:lineRule="auto"/>
        <w:rPr>
          <w:sz w:val="20"/>
          <w:szCs w:val="20"/>
          <w:color w:val="auto"/>
        </w:rPr>
      </w:pPr>
      <w:r>
        <w:rPr>
          <w:rFonts w:ascii="Arial" w:cs="Arial" w:eastAsia="Arial" w:hAnsi="Arial"/>
          <w:sz w:val="14"/>
          <w:szCs w:val="14"/>
          <w:color w:val="auto"/>
        </w:rPr>
        <w:t>We will remain an emerging growth company until the earliest of (1) the last day of the fiscal year following the fifth anniversary of the closing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98" w:lineRule="exact"/>
        <w:rPr>
          <w:sz w:val="20"/>
          <w:szCs w:val="20"/>
          <w:color w:val="auto"/>
        </w:rPr>
      </w:pPr>
    </w:p>
    <w:p>
      <w:pPr>
        <w:ind w:left="1260" w:right="1359"/>
        <w:spacing w:after="0" w:line="271"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663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1975" cy="666305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The offering</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Common stock offered by us</w:t>
      </w:r>
    </w:p>
    <w:p>
      <w:pPr>
        <w:spacing w:after="0" w:line="107" w:lineRule="exact"/>
        <w:rPr>
          <w:sz w:val="20"/>
          <w:szCs w:val="20"/>
          <w:color w:val="auto"/>
        </w:rPr>
      </w:pPr>
    </w:p>
    <w:p>
      <w:pPr>
        <w:ind w:left="1260" w:right="20"/>
        <w:spacing w:after="0" w:line="297" w:lineRule="auto"/>
        <w:rPr>
          <w:sz w:val="20"/>
          <w:szCs w:val="20"/>
          <w:color w:val="auto"/>
        </w:rPr>
      </w:pPr>
      <w:r>
        <w:rPr>
          <w:rFonts w:ascii="Arial" w:cs="Arial" w:eastAsia="Arial" w:hAnsi="Arial"/>
          <w:sz w:val="14"/>
          <w:szCs w:val="14"/>
          <w:b w:val="1"/>
          <w:bCs w:val="1"/>
          <w:color w:val="auto"/>
        </w:rPr>
        <w:t>Underwriters’ option to purchase additional shares</w:t>
      </w:r>
    </w:p>
    <w:p>
      <w:pPr>
        <w:spacing w:after="0" w:line="41" w:lineRule="exact"/>
        <w:rPr>
          <w:sz w:val="20"/>
          <w:szCs w:val="20"/>
          <w:color w:val="auto"/>
        </w:rPr>
      </w:pPr>
    </w:p>
    <w:p>
      <w:pPr>
        <w:ind w:left="1260"/>
        <w:spacing w:after="0" w:line="297" w:lineRule="auto"/>
        <w:rPr>
          <w:sz w:val="20"/>
          <w:szCs w:val="20"/>
          <w:color w:val="auto"/>
        </w:rPr>
      </w:pPr>
      <w:r>
        <w:rPr>
          <w:rFonts w:ascii="Arial" w:cs="Arial" w:eastAsia="Arial" w:hAnsi="Arial"/>
          <w:sz w:val="14"/>
          <w:szCs w:val="14"/>
          <w:b w:val="1"/>
          <w:bCs w:val="1"/>
          <w:color w:val="auto"/>
        </w:rPr>
        <w:t>Common stock to be outstanding after this offering</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Nasdaq Global Select Market</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10,550,000 shares.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1,582,500 shares.</w:t>
      </w:r>
    </w:p>
    <w:p>
      <w:pPr>
        <w:spacing w:after="0" w:line="278" w:lineRule="exact"/>
        <w:rPr>
          <w:sz w:val="20"/>
          <w:szCs w:val="20"/>
          <w:color w:val="auto"/>
        </w:rPr>
      </w:pPr>
    </w:p>
    <w:p>
      <w:pPr>
        <w:ind w:right="1399"/>
        <w:spacing w:after="0" w:line="278" w:lineRule="auto"/>
        <w:rPr>
          <w:sz w:val="20"/>
          <w:szCs w:val="20"/>
          <w:color w:val="auto"/>
        </w:rPr>
      </w:pPr>
      <w:r>
        <w:rPr>
          <w:rFonts w:ascii="Arial" w:cs="Arial" w:eastAsia="Arial" w:hAnsi="Arial"/>
          <w:sz w:val="14"/>
          <w:szCs w:val="14"/>
          <w:color w:val="auto"/>
        </w:rPr>
        <w:t>54,824,608 shares (or 56,407,108 shares if the underwriters exercise in full their option to purchase additional shares).</w:t>
      </w:r>
    </w:p>
    <w:p>
      <w:pPr>
        <w:spacing w:after="0" w:line="72" w:lineRule="exact"/>
        <w:rPr>
          <w:sz w:val="20"/>
          <w:szCs w:val="20"/>
          <w:color w:val="auto"/>
        </w:rPr>
      </w:pPr>
    </w:p>
    <w:p>
      <w:pPr>
        <w:ind w:right="1259"/>
        <w:spacing w:after="0" w:line="273" w:lineRule="auto"/>
        <w:rPr>
          <w:sz w:val="20"/>
          <w:szCs w:val="20"/>
          <w:color w:val="auto"/>
        </w:rPr>
      </w:pPr>
      <w:r>
        <w:rPr>
          <w:rFonts w:ascii="Arial" w:cs="Arial" w:eastAsia="Arial" w:hAnsi="Arial"/>
          <w:sz w:val="14"/>
          <w:szCs w:val="14"/>
          <w:color w:val="auto"/>
        </w:rPr>
        <w:t>We estimate that the net proceeds from this offering will be approximately $192.2 million (or approximately $221.7 million if the underwriters exercise in full their option to purchase up to 1,582,500 additional shares of common stock), after deducting underwriting discounts and commissions and estimated offering expenses payable by us.</w:t>
      </w:r>
    </w:p>
    <w:p>
      <w:pPr>
        <w:spacing w:after="0" w:line="110" w:lineRule="exact"/>
        <w:rPr>
          <w:sz w:val="20"/>
          <w:szCs w:val="20"/>
          <w:color w:val="auto"/>
        </w:rPr>
      </w:pPr>
    </w:p>
    <w:p>
      <w:pPr>
        <w:ind w:right="1299"/>
        <w:spacing w:after="0" w:line="289" w:lineRule="auto"/>
        <w:rPr>
          <w:sz w:val="20"/>
          <w:szCs w:val="20"/>
          <w:color w:val="auto"/>
        </w:rPr>
      </w:pPr>
      <w:r>
        <w:rPr>
          <w:rFonts w:ascii="Arial" w:cs="Arial" w:eastAsia="Arial" w:hAnsi="Arial"/>
          <w:sz w:val="14"/>
          <w:szCs w:val="14"/>
          <w:color w:val="auto"/>
        </w:rPr>
        <w:t>We intend to use the net proceeds from this offering to fund research and development of our product candidates and development programs, including our pre-clinical and clinical development of CNTY-101, CNTY-103, CNTY-102, and CNTY-104, to continue developing manufacturing capabilities for our product candidates, and for working capital and other general corporate purposes, including costs and expenses associated with being a public company.</w:t>
      </w:r>
    </w:p>
    <w:p>
      <w:pPr>
        <w:spacing w:after="0" w:line="108" w:lineRule="exact"/>
        <w:rPr>
          <w:sz w:val="20"/>
          <w:szCs w:val="20"/>
          <w:color w:val="auto"/>
        </w:rPr>
      </w:pPr>
    </w:p>
    <w:p>
      <w:pPr>
        <w:ind w:right="1299"/>
        <w:spacing w:after="0" w:line="286" w:lineRule="auto"/>
        <w:rPr>
          <w:sz w:val="20"/>
          <w:szCs w:val="20"/>
          <w:color w:val="auto"/>
        </w:rPr>
      </w:pPr>
      <w:r>
        <w:rPr>
          <w:rFonts w:ascii="Arial" w:cs="Arial" w:eastAsia="Arial" w:hAnsi="Arial"/>
          <w:sz w:val="14"/>
          <w:szCs w:val="14"/>
          <w:color w:val="auto"/>
        </w:rPr>
        <w:t>See the section titled “Use of proceeds” for additional information.</w:t>
      </w:r>
    </w:p>
    <w:p>
      <w:pPr>
        <w:spacing w:after="0" w:line="66" w:lineRule="exact"/>
        <w:rPr>
          <w:sz w:val="20"/>
          <w:szCs w:val="20"/>
          <w:color w:val="auto"/>
        </w:rPr>
      </w:pPr>
    </w:p>
    <w:p>
      <w:pPr>
        <w:ind w:right="1339"/>
        <w:spacing w:after="0" w:line="277" w:lineRule="auto"/>
        <w:rPr>
          <w:sz w:val="20"/>
          <w:szCs w:val="20"/>
          <w:color w:val="auto"/>
        </w:rPr>
      </w:pPr>
      <w:r>
        <w:rPr>
          <w:rFonts w:ascii="Arial" w:cs="Arial" w:eastAsia="Arial" w:hAnsi="Arial"/>
          <w:sz w:val="14"/>
          <w:szCs w:val="14"/>
          <w:color w:val="auto"/>
        </w:rPr>
        <w:t>You should read the section titled “Risk factors” for a discussion of factors to consider carefully, together with all the other information included in this prospectus, before deciding to invest in our common stock.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“IPSC”</w:t>
      </w:r>
    </w:p>
    <w:p>
      <w:pPr>
        <w:spacing w:after="0" w:line="128" w:lineRule="exact"/>
        <w:rPr>
          <w:sz w:val="20"/>
          <w:szCs w:val="20"/>
          <w:color w:val="auto"/>
        </w:rPr>
      </w:pPr>
    </w:p>
    <w:p>
      <w:pPr>
        <w:sectPr>
          <w:pgSz w:w="11900" w:h="16838" w:orient="portrait"/>
          <w:cols w:equalWidth="0" w:num="2">
            <w:col w:w="3640" w:space="540"/>
            <w:col w:w="4839"/>
          </w:cols>
          <w:pgMar w:left="1440" w:top="134" w:right="1440" w:bottom="1440" w:gutter="0" w:footer="0" w:header="0"/>
          <w:type w:val="continuous"/>
        </w:sectPr>
      </w:pPr>
    </w:p>
    <w:p>
      <w:pPr>
        <w:ind w:left="1260" w:right="1299"/>
        <w:spacing w:after="0" w:line="275" w:lineRule="auto"/>
        <w:rPr>
          <w:sz w:val="20"/>
          <w:szCs w:val="20"/>
          <w:color w:val="auto"/>
        </w:rPr>
      </w:pPr>
      <w:r>
        <w:rPr>
          <w:rFonts w:ascii="Arial" w:cs="Arial" w:eastAsia="Arial" w:hAnsi="Arial"/>
          <w:sz w:val="14"/>
          <w:szCs w:val="14"/>
          <w:color w:val="auto"/>
        </w:rPr>
        <w:t>The number of shares of our common stock to be outstanding after this offering is based on 44,274,608 shares of common stock outstanding as of June 11, 2021, (which includes 3,775,535 shares outstanding that are subject to forfeiture or our right to repurchase as of such date) assuming the conversion of all outstanding shares of our convertible preferred stock into an aggregate of 34,126,528 shares of common stock upon the closing of this offering, and excludes:</w:t>
      </w:r>
    </w:p>
    <w:p>
      <w:pPr>
        <w:spacing w:after="0" w:line="74" w:lineRule="exact"/>
        <w:rPr>
          <w:sz w:val="20"/>
          <w:szCs w:val="20"/>
          <w:color w:val="auto"/>
        </w:rPr>
      </w:pPr>
    </w:p>
    <w:p>
      <w:pPr>
        <w:ind w:left="1380" w:right="1759" w:hanging="117"/>
        <w:spacing w:after="0" w:line="28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5,389,519 shares of our common stock issuable upon the exercise of stock options as of June 11, 2021, at a weighted-average exercise price of $3.74 per share;</w:t>
      </w:r>
    </w:p>
    <w:p>
      <w:pPr>
        <w:spacing w:after="0" w:line="66" w:lineRule="exact"/>
        <w:rPr>
          <w:rFonts w:ascii="Arial" w:cs="Arial" w:eastAsia="Arial" w:hAnsi="Arial"/>
          <w:sz w:val="14"/>
          <w:szCs w:val="14"/>
          <w:color w:val="auto"/>
        </w:rPr>
      </w:pPr>
    </w:p>
    <w:p>
      <w:pPr>
        <w:ind w:left="1380" w:right="1819" w:hanging="117"/>
        <w:spacing w:after="0" w:line="28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32,009 shares of our common stock issuable upon the exercise of warrants to purchase common stock, at a weighted-average exercise price of $10.64 per share;</w:t>
      </w:r>
    </w:p>
    <w:p>
      <w:pPr>
        <w:spacing w:after="0" w:line="66" w:lineRule="exact"/>
        <w:rPr>
          <w:rFonts w:ascii="Arial" w:cs="Arial" w:eastAsia="Arial" w:hAnsi="Arial"/>
          <w:sz w:val="14"/>
          <w:szCs w:val="14"/>
          <w:color w:val="auto"/>
        </w:rPr>
      </w:pPr>
    </w:p>
    <w:p>
      <w:pPr>
        <w:ind w:left="1380" w:right="1539" w:hanging="117"/>
        <w:spacing w:after="0" w:line="28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61,466 shares of our common stock reserved for issuance pursuant to future awards as of June 11, 2021 under our 2018 Stock Option and Grant Plan, as amended, or the 2018 Plan;</w:t>
      </w:r>
    </w:p>
    <w:p>
      <w:pPr>
        <w:spacing w:after="0" w:line="66" w:lineRule="exact"/>
        <w:rPr>
          <w:rFonts w:ascii="Arial" w:cs="Arial" w:eastAsia="Arial" w:hAnsi="Arial"/>
          <w:sz w:val="14"/>
          <w:szCs w:val="14"/>
          <w:color w:val="auto"/>
        </w:rPr>
      </w:pPr>
    </w:p>
    <w:p>
      <w:pPr>
        <w:ind w:left="1380" w:right="1319" w:hanging="117"/>
        <w:spacing w:after="0" w:line="276" w:lineRule="auto"/>
        <w:tabs>
          <w:tab w:leader="none" w:pos="1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became effective upon the effectiveness of the Registration Statement of which this prospectus forms a part, as well as any future increases in the number of shares of our common stock reserved for future issuance pursuant to the 2021 Plan; and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0" w:name="page11"/>
    <w:bookmarkEnd w:id="1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7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71975" cy="63709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380" w:right="1319" w:hanging="117"/>
        <w:spacing w:after="0" w:line="276" w:lineRule="auto"/>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our Employee Stock Purchase Plan, or the ESPP, which became effective upon the effectiveness of the Registration Statement of which this prospectus forms a part, as well as any future increases in the number of shares of common stock reserved for issuance under the ESPP.</w:t>
      </w:r>
    </w:p>
    <w:p>
      <w:pPr>
        <w:spacing w:after="0" w:line="95" w:lineRule="exact"/>
        <w:rPr>
          <w:sz w:val="20"/>
          <w:szCs w:val="20"/>
          <w:color w:val="auto"/>
        </w:rPr>
      </w:pPr>
    </w:p>
    <w:p>
      <w:pPr>
        <w:ind w:left="1260" w:right="1379"/>
        <w:spacing w:after="0" w:line="286" w:lineRule="auto"/>
        <w:rPr>
          <w:sz w:val="20"/>
          <w:szCs w:val="20"/>
          <w:color w:val="auto"/>
        </w:rPr>
      </w:pPr>
      <w:r>
        <w:rPr>
          <w:rFonts w:ascii="Arial" w:cs="Arial" w:eastAsia="Arial" w:hAnsi="Arial"/>
          <w:sz w:val="14"/>
          <w:szCs w:val="14"/>
          <w:color w:val="auto"/>
        </w:rPr>
        <w:t>Unless otherwise indicated, all information contained in this prospectus, including the number of shares of common stock that will be outstanding after this offering, assumes or gives effect to:</w:t>
      </w:r>
    </w:p>
    <w:p>
      <w:pPr>
        <w:spacing w:after="0" w:line="66" w:lineRule="exact"/>
        <w:rPr>
          <w:sz w:val="20"/>
          <w:szCs w:val="20"/>
          <w:color w:val="auto"/>
        </w:rPr>
      </w:pPr>
    </w:p>
    <w:p>
      <w:pPr>
        <w:ind w:left="1380" w:hanging="117"/>
        <w:spacing w:after="0"/>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 exercise of the outstanding options or warrants described above;</w:t>
      </w:r>
    </w:p>
    <w:p>
      <w:pPr>
        <w:spacing w:after="0" w:line="106" w:lineRule="exact"/>
        <w:rPr>
          <w:rFonts w:ascii="Arial" w:cs="Arial" w:eastAsia="Arial" w:hAnsi="Arial"/>
          <w:sz w:val="14"/>
          <w:szCs w:val="14"/>
          <w:color w:val="auto"/>
        </w:rPr>
      </w:pPr>
    </w:p>
    <w:p>
      <w:pPr>
        <w:ind w:left="1380" w:right="1599" w:hanging="117"/>
        <w:spacing w:after="0" w:line="28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filing and effectiveness of our second amended and restated certificate of incorporation immediately prior to the closing of this offering;</w:t>
      </w:r>
    </w:p>
    <w:p>
      <w:pPr>
        <w:spacing w:after="0" w:line="66" w:lineRule="exact"/>
        <w:rPr>
          <w:rFonts w:ascii="Arial" w:cs="Arial" w:eastAsia="Arial" w:hAnsi="Arial"/>
          <w:sz w:val="14"/>
          <w:szCs w:val="14"/>
          <w:color w:val="auto"/>
        </w:rPr>
      </w:pPr>
    </w:p>
    <w:p>
      <w:pPr>
        <w:ind w:left="1380" w:right="1459" w:hanging="117"/>
        <w:spacing w:after="0" w:line="28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one for 2.5161 reverse stock split of our common stock to be effected prior to the closing of this offering;</w:t>
      </w:r>
    </w:p>
    <w:p>
      <w:pPr>
        <w:spacing w:after="0" w:line="66" w:lineRule="exact"/>
        <w:rPr>
          <w:rFonts w:ascii="Arial" w:cs="Arial" w:eastAsia="Arial" w:hAnsi="Arial"/>
          <w:sz w:val="14"/>
          <w:szCs w:val="14"/>
          <w:color w:val="auto"/>
        </w:rPr>
      </w:pPr>
    </w:p>
    <w:p>
      <w:pPr>
        <w:ind w:left="1380" w:right="1299" w:hanging="117"/>
        <w:spacing w:after="0" w:line="28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automatic conversion of all our preferred stock outstanding into an aggregate of 34,126,528 shares of our common stock upon the closing of this offering; and</w:t>
      </w:r>
    </w:p>
    <w:p>
      <w:pPr>
        <w:spacing w:after="0" w:line="66" w:lineRule="exact"/>
        <w:rPr>
          <w:rFonts w:ascii="Arial" w:cs="Arial" w:eastAsia="Arial" w:hAnsi="Arial"/>
          <w:sz w:val="14"/>
          <w:szCs w:val="14"/>
          <w:color w:val="auto"/>
        </w:rPr>
      </w:pPr>
    </w:p>
    <w:p>
      <w:pPr>
        <w:ind w:left="1380" w:right="1319" w:hanging="117"/>
        <w:spacing w:after="0" w:line="286" w:lineRule="auto"/>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 exercise by the underwriters of their option to purchase up to 1,582,500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23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71975" cy="632333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Summary consolidated financial data</w:t>
      </w:r>
    </w:p>
    <w:p>
      <w:pPr>
        <w:spacing w:after="0" w:line="141" w:lineRule="exact"/>
        <w:rPr>
          <w:sz w:val="20"/>
          <w:szCs w:val="20"/>
          <w:color w:val="auto"/>
        </w:rPr>
      </w:pPr>
    </w:p>
    <w:p>
      <w:pPr>
        <w:ind w:left="1260" w:right="1279"/>
        <w:spacing w:after="0" w:line="271"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60" w:right="1279"/>
        <w:spacing w:after="0" w:line="273"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363" w:lineRule="exact"/>
        <w:rPr>
          <w:sz w:val="20"/>
          <w:szCs w:val="20"/>
          <w:color w:val="auto"/>
        </w:rPr>
      </w:pPr>
    </w:p>
    <w:tbl>
      <w:tblPr>
        <w:tblLayout w:type="fixed"/>
        <w:tblInd w:w="1260" w:type="dxa"/>
        <w:tblCellMar>
          <w:top w:w="0" w:type="dxa"/>
          <w:left w:w="0" w:type="dxa"/>
          <w:bottom w:w="0" w:type="dxa"/>
          <w:right w:w="0" w:type="dxa"/>
        </w:tblCellMar>
      </w:tblP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tcPr>
          <w:p>
            <w:pPr>
              <w:jc w:val="right"/>
              <w:ind w:right="3"/>
              <w:spacing w:after="0"/>
              <w:rPr>
                <w:sz w:val="20"/>
                <w:szCs w:val="20"/>
                <w:color w:val="auto"/>
              </w:rPr>
            </w:pPr>
            <w:r>
              <w:rPr>
                <w:rFonts w:ascii="Arial" w:cs="Arial" w:eastAsia="Arial" w:hAnsi="Arial"/>
                <w:sz w:val="12"/>
                <w:szCs w:val="12"/>
                <w:b w:val="1"/>
                <w:bCs w:val="1"/>
                <w:color w:val="auto"/>
              </w:rPr>
              <w:t>Successor Predecessor</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period from</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period from</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June 21, 2019</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January 1,</w:t>
            </w:r>
          </w:p>
        </w:tc>
        <w:tc>
          <w:tcPr>
            <w:tcW w:w="0" w:type="dxa"/>
            <w:vAlign w:val="bottom"/>
          </w:tcPr>
          <w:p>
            <w:pPr>
              <w:spacing w:after="0"/>
              <w:rPr>
                <w:sz w:val="1"/>
                <w:szCs w:val="1"/>
                <w:color w:val="auto"/>
              </w:rPr>
            </w:pPr>
          </w:p>
        </w:tc>
      </w:tr>
      <w:tr>
        <w:trPr>
          <w:trHeight w:val="139"/>
        </w:trPr>
        <w:tc>
          <w:tcPr>
            <w:tcW w:w="28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March 31,</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b w:val="1"/>
                <w:bCs w:val="1"/>
                <w:color w:val="auto"/>
              </w:rPr>
              <w:t>(Inception) to</w:t>
            </w:r>
          </w:p>
        </w:tc>
        <w:tc>
          <w:tcPr>
            <w:tcW w:w="780" w:type="dxa"/>
            <w:vAlign w:val="bottom"/>
          </w:tcPr>
          <w:p>
            <w:pPr>
              <w:jc w:val="right"/>
              <w:ind w:right="3"/>
              <w:spacing w:after="0"/>
              <w:rPr>
                <w:sz w:val="20"/>
                <w:szCs w:val="20"/>
                <w:color w:val="auto"/>
              </w:rPr>
            </w:pPr>
            <w:r>
              <w:rPr>
                <w:rFonts w:ascii="Arial" w:cs="Arial" w:eastAsia="Arial" w:hAnsi="Arial"/>
                <w:sz w:val="12"/>
                <w:szCs w:val="12"/>
                <w:b w:val="1"/>
                <w:bCs w:val="1"/>
                <w:color w:val="auto"/>
              </w:rPr>
              <w:t>2019 to</w:t>
            </w:r>
          </w:p>
        </w:tc>
        <w:tc>
          <w:tcPr>
            <w:tcW w:w="0" w:type="dxa"/>
            <w:vAlign w:val="bottom"/>
          </w:tcPr>
          <w:p>
            <w:pPr>
              <w:spacing w:after="0"/>
              <w:rPr>
                <w:sz w:val="1"/>
                <w:szCs w:val="1"/>
                <w:color w:val="auto"/>
              </w:rPr>
            </w:pPr>
          </w:p>
        </w:tc>
      </w:tr>
      <w:tr>
        <w:trPr>
          <w:trHeight w:val="105"/>
        </w:trPr>
        <w:tc>
          <w:tcPr>
            <w:tcW w:w="2820" w:type="dxa"/>
            <w:vAlign w:val="bottom"/>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20" w:type="dxa"/>
            <w:vAlign w:val="bottom"/>
            <w:gridSpan w:val="2"/>
          </w:tcPr>
          <w:p>
            <w:pPr>
              <w:jc w:val="right"/>
              <w:ind w:right="1"/>
              <w:spacing w:after="0" w:line="100" w:lineRule="exact"/>
              <w:rPr>
                <w:sz w:val="20"/>
                <w:szCs w:val="20"/>
                <w:color w:val="auto"/>
              </w:rPr>
            </w:pPr>
            <w:r>
              <w:rPr>
                <w:rFonts w:ascii="Arial" w:cs="Arial" w:eastAsia="Arial" w:hAnsi="Arial"/>
                <w:sz w:val="11"/>
                <w:szCs w:val="11"/>
                <w:b w:val="1"/>
                <w:bCs w:val="1"/>
                <w:color w:val="auto"/>
              </w:rPr>
              <w:t>December 31, December 31,</w:t>
            </w:r>
          </w:p>
        </w:tc>
        <w:tc>
          <w:tcPr>
            <w:tcW w:w="780" w:type="dxa"/>
            <w:vAlign w:val="bottom"/>
          </w:tcPr>
          <w:p>
            <w:pPr>
              <w:jc w:val="right"/>
              <w:ind w:right="3"/>
              <w:spacing w:after="0" w:line="100" w:lineRule="exact"/>
              <w:rPr>
                <w:sz w:val="20"/>
                <w:szCs w:val="20"/>
                <w:color w:val="auto"/>
              </w:rPr>
            </w:pPr>
            <w:r>
              <w:rPr>
                <w:rFonts w:ascii="Arial" w:cs="Arial" w:eastAsia="Arial" w:hAnsi="Arial"/>
                <w:sz w:val="11"/>
                <w:szCs w:val="11"/>
                <w:b w:val="1"/>
                <w:bCs w:val="1"/>
                <w:color w:val="auto"/>
              </w:rPr>
              <w:t>June 20,</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Statements of Operations Data:</w:t>
            </w: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9019"/>
          </w:cols>
          <w:pgMar w:left="1440" w:top="134" w:right="1440" w:bottom="1440" w:gutter="0" w:footer="0" w:header="0"/>
        </w:sectPr>
      </w:pPr>
    </w:p>
    <w:p>
      <w:pPr>
        <w:ind w:left="1260"/>
        <w:spacing w:after="0"/>
        <w:rPr>
          <w:sz w:val="20"/>
          <w:szCs w:val="20"/>
          <w:color w:val="auto"/>
        </w:rPr>
      </w:pPr>
      <w:r>
        <w:rPr>
          <w:rFonts w:ascii="Arial" w:cs="Arial" w:eastAsia="Arial" w:hAnsi="Arial"/>
          <w:sz w:val="12"/>
          <w:szCs w:val="12"/>
          <w:color w:val="auto"/>
        </w:rPr>
        <w:t>Operating expenses:</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Research and development</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General and administrative</w:t>
      </w:r>
    </w:p>
    <w:p>
      <w:pPr>
        <w:spacing w:after="0" w:line="33" w:lineRule="exact"/>
        <w:rPr>
          <w:sz w:val="20"/>
          <w:szCs w:val="20"/>
          <w:color w:val="auto"/>
        </w:rPr>
      </w:pPr>
    </w:p>
    <w:p>
      <w:pPr>
        <w:ind w:left="1380"/>
        <w:spacing w:after="0"/>
        <w:rPr>
          <w:sz w:val="20"/>
          <w:szCs w:val="20"/>
          <w:color w:val="auto"/>
        </w:rPr>
      </w:pPr>
      <w:r>
        <w:rPr>
          <w:rFonts w:ascii="Arial" w:cs="Arial" w:eastAsia="Arial" w:hAnsi="Arial"/>
          <w:sz w:val="12"/>
          <w:szCs w:val="12"/>
          <w:color w:val="auto"/>
        </w:rPr>
        <w:t>Write off of in-process research and</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development asset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Total operating expenses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Loss from operations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Interest expense</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Other income, net</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Net loss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Net loss per common share</w:t>
      </w:r>
    </w:p>
    <w:p>
      <w:pPr>
        <w:ind w:left="1380"/>
        <w:spacing w:after="0" w:line="231" w:lineRule="auto"/>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p>
      <w:pPr>
        <w:spacing w:after="0" w:line="17" w:lineRule="exact"/>
        <w:rPr>
          <w:sz w:val="20"/>
          <w:szCs w:val="20"/>
          <w:color w:val="auto"/>
        </w:rPr>
      </w:pPr>
    </w:p>
    <w:p>
      <w:pPr>
        <w:ind w:left="1380" w:right="60" w:hanging="116"/>
        <w:spacing w:after="0" w:line="254" w:lineRule="auto"/>
        <w:rPr>
          <w:sz w:val="20"/>
          <w:szCs w:val="20"/>
          <w:color w:val="auto"/>
        </w:rPr>
      </w:pPr>
      <w:r>
        <w:rPr>
          <w:rFonts w:ascii="Arial" w:cs="Arial" w:eastAsia="Arial" w:hAnsi="Arial"/>
          <w:sz w:val="12"/>
          <w:szCs w:val="12"/>
          <w:color w:val="auto"/>
        </w:rPr>
        <w:t>Weighted average common shares outstanding Basic and Diluted</w:t>
      </w:r>
      <w:r>
        <w:rPr>
          <w:rFonts w:ascii="Arial" w:cs="Arial" w:eastAsia="Arial" w:hAnsi="Arial"/>
          <w:sz w:val="17"/>
          <w:szCs w:val="17"/>
          <w:color w:val="auto"/>
          <w:vertAlign w:val="superscript"/>
        </w:rPr>
        <w:t>(1)</w:t>
      </w:r>
    </w:p>
    <w:p>
      <w:pPr>
        <w:jc w:val="both"/>
        <w:ind w:left="1380" w:right="280" w:hanging="116"/>
        <w:spacing w:after="0" w:line="228" w:lineRule="auto"/>
        <w:rPr>
          <w:sz w:val="20"/>
          <w:szCs w:val="20"/>
          <w:color w:val="auto"/>
        </w:rPr>
      </w:pPr>
      <w:r>
        <w:rPr>
          <w:rFonts w:ascii="Arial" w:cs="Arial" w:eastAsia="Arial" w:hAnsi="Arial"/>
          <w:sz w:val="12"/>
          <w:szCs w:val="12"/>
          <w:color w:val="auto"/>
        </w:rPr>
        <w:t>Pro forma net loss per share attributable to common stockholders – basic and diluted (unaudited)</w:t>
      </w:r>
      <w:r>
        <w:rPr>
          <w:rFonts w:ascii="Arial" w:cs="Arial" w:eastAsia="Arial" w:hAnsi="Arial"/>
          <w:sz w:val="17"/>
          <w:szCs w:val="17"/>
          <w:color w:val="auto"/>
          <w:vertAlign w:val="superscript"/>
        </w:rPr>
        <w:t>(2)</w:t>
      </w:r>
    </w:p>
    <w:p>
      <w:pPr>
        <w:spacing w:after="0" w:line="2" w:lineRule="exact"/>
        <w:rPr>
          <w:sz w:val="20"/>
          <w:szCs w:val="20"/>
          <w:color w:val="auto"/>
        </w:rPr>
      </w:pPr>
    </w:p>
    <w:p>
      <w:pPr>
        <w:ind w:left="1380" w:hanging="116"/>
        <w:spacing w:after="0" w:line="238" w:lineRule="auto"/>
        <w:rPr>
          <w:sz w:val="20"/>
          <w:szCs w:val="20"/>
          <w:color w:val="auto"/>
        </w:rPr>
      </w:pPr>
      <w:r>
        <w:rPr>
          <w:rFonts w:ascii="Arial" w:cs="Arial" w:eastAsia="Arial" w:hAnsi="Arial"/>
          <w:sz w:val="12"/>
          <w:szCs w:val="12"/>
          <w:color w:val="auto"/>
        </w:rPr>
        <w:t>Pro forma weighted-average number of common shares – basic and diluted (unaudited)</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15,374 $</w:t>
            </w:r>
          </w:p>
        </w:tc>
        <w:tc>
          <w:tcPr>
            <w:tcW w:w="520" w:type="dxa"/>
            <w:vAlign w:val="bottom"/>
          </w:tcPr>
          <w:p>
            <w:pPr>
              <w:jc w:val="right"/>
              <w:spacing w:after="0"/>
              <w:rPr>
                <w:sz w:val="20"/>
                <w:szCs w:val="20"/>
                <w:color w:val="auto"/>
              </w:rPr>
            </w:pPr>
            <w:r>
              <w:rPr>
                <w:rFonts w:ascii="Arial" w:cs="Arial" w:eastAsia="Arial" w:hAnsi="Arial"/>
                <w:sz w:val="12"/>
                <w:szCs w:val="12"/>
                <w:color w:val="auto"/>
              </w:rPr>
              <w:t>7,943</w:t>
            </w:r>
          </w:p>
        </w:tc>
        <w:tc>
          <w:tcPr>
            <w:tcW w:w="4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39,681</w:t>
            </w:r>
          </w:p>
        </w:tc>
        <w:tc>
          <w:tcPr>
            <w:tcW w:w="1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10,107</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4,159</w:t>
            </w:r>
          </w:p>
        </w:tc>
        <w:tc>
          <w:tcPr>
            <w:tcW w:w="20" w:type="dxa"/>
            <w:vAlign w:val="bottom"/>
          </w:tcPr>
          <w:p>
            <w:pPr>
              <w:spacing w:after="0"/>
              <w:rPr>
                <w:sz w:val="12"/>
                <w:szCs w:val="12"/>
                <w:color w:val="auto"/>
              </w:rPr>
            </w:pPr>
          </w:p>
        </w:tc>
      </w:tr>
      <w:tr>
        <w:trPr>
          <w:trHeight w:val="182"/>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2,688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9,495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3,622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2,145</w:t>
            </w:r>
          </w:p>
        </w:tc>
        <w:tc>
          <w:tcPr>
            <w:tcW w:w="20" w:type="dxa"/>
            <w:vAlign w:val="bottom"/>
          </w:tcPr>
          <w:p>
            <w:pPr>
              <w:spacing w:after="0"/>
              <w:rPr>
                <w:sz w:val="15"/>
                <w:szCs w:val="15"/>
                <w:color w:val="auto"/>
              </w:rPr>
            </w:pPr>
          </w:p>
        </w:tc>
      </w:tr>
      <w:tr>
        <w:trPr>
          <w:trHeight w:val="310"/>
        </w:trPr>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4,722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225,946</w:t>
            </w:r>
          </w:p>
        </w:tc>
        <w:tc>
          <w:tcPr>
            <w:tcW w:w="16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1"/>
        </w:trPr>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18,062</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9,993</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53,898</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239,675</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6,304</w:t>
            </w:r>
          </w:p>
        </w:tc>
        <w:tc>
          <w:tcPr>
            <w:tcW w:w="20" w:type="dxa"/>
            <w:vAlign w:val="bottom"/>
          </w:tcPr>
          <w:p>
            <w:pPr>
              <w:spacing w:after="0"/>
              <w:rPr>
                <w:sz w:val="12"/>
                <w:szCs w:val="12"/>
                <w:color w:val="auto"/>
              </w:rPr>
            </w:pPr>
          </w:p>
        </w:tc>
      </w:tr>
      <w:tr>
        <w:trPr>
          <w:trHeight w:val="171"/>
        </w:trPr>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(18,062)</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(9,993)</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(53,898)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(239,675)</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(6,304)</w:t>
            </w:r>
          </w:p>
        </w:tc>
      </w:tr>
      <w:tr>
        <w:trPr>
          <w:trHeight w:val="171"/>
        </w:trPr>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(314)</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(381)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76"/>
        </w:trPr>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908</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w:t>
            </w:r>
          </w:p>
        </w:tc>
        <w:tc>
          <w:tcPr>
            <w:tcW w:w="20" w:type="dxa"/>
            <w:vAlign w:val="bottom"/>
          </w:tcPr>
          <w:p>
            <w:pPr>
              <w:spacing w:after="0"/>
              <w:rPr>
                <w:sz w:val="15"/>
                <w:szCs w:val="15"/>
                <w:color w:val="auto"/>
              </w:rPr>
            </w:pPr>
          </w:p>
        </w:tc>
      </w:tr>
      <w:tr>
        <w:trPr>
          <w:trHeight w:val="141"/>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(18,348)$</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(9,673)</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(53,575)</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(238,767)</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(6,002)</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(2.39)$</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(1.29)</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(7.16)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(31.91)</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(1.00)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7,677,196</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7,481,861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7,481,861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7,481,861</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5,973,228</w:t>
            </w:r>
          </w:p>
        </w:tc>
        <w:tc>
          <w:tcPr>
            <w:tcW w:w="20" w:type="dxa"/>
            <w:vAlign w:val="bottom"/>
          </w:tcPr>
          <w:p>
            <w:pPr>
              <w:spacing w:after="0"/>
              <w:rPr>
                <w:sz w:val="24"/>
                <w:szCs w:val="2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(0.44)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(1.29)</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41,803,724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41,608,389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96" w:lineRule="exact"/>
        <w:rPr>
          <w:sz w:val="20"/>
          <w:szCs w:val="20"/>
          <w:color w:val="auto"/>
        </w:rPr>
      </w:pPr>
    </w:p>
    <w:p>
      <w:pPr>
        <w:sectPr>
          <w:pgSz w:w="11900" w:h="16838" w:orient="portrait"/>
          <w:cols w:equalWidth="0" w:num="2">
            <w:col w:w="3900" w:space="180"/>
            <w:col w:w="4939"/>
          </w:cols>
          <w:pgMar w:left="1440" w:top="134" w:right="1440" w:bottom="1440" w:gutter="0" w:footer="0" w:header="0"/>
          <w:type w:val="continuous"/>
        </w:sectPr>
      </w:pPr>
    </w:p>
    <w:p>
      <w:pPr>
        <w:ind w:left="1260" w:right="1259" w:firstLine="3"/>
        <w:spacing w:after="0" w:line="246" w:lineRule="auto"/>
        <w:tabs>
          <w:tab w:leader="none" w:pos="1431" w:val="left"/>
        </w:tabs>
        <w:numPr>
          <w:ilvl w:val="0"/>
          <w:numId w:val="12"/>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50" w:lineRule="exact"/>
        <w:rPr>
          <w:rFonts w:ascii="Arial" w:cs="Arial" w:eastAsia="Arial" w:hAnsi="Arial"/>
          <w:sz w:val="11"/>
          <w:szCs w:val="11"/>
          <w:color w:val="auto"/>
        </w:rPr>
      </w:pPr>
    </w:p>
    <w:p>
      <w:pPr>
        <w:ind w:left="1260" w:right="1279" w:firstLine="3"/>
        <w:spacing w:after="0" w:line="246" w:lineRule="auto"/>
        <w:tabs>
          <w:tab w:leader="none" w:pos="1431" w:val="left"/>
        </w:tabs>
        <w:numPr>
          <w:ilvl w:val="0"/>
          <w:numId w:val="12"/>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2" w:name="page13"/>
    <w:bookmarkEnd w:id="1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240030</wp:posOffset>
            </wp:positionV>
            <wp:extent cx="4371975" cy="6316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71975" cy="63163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4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4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2"/>
        </w:trPr>
        <w:tc>
          <w:tcPr>
            <w:tcW w:w="3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260" w:right="1359" w:firstLine="3"/>
        <w:spacing w:after="0" w:line="248" w:lineRule="auto"/>
        <w:tabs>
          <w:tab w:leader="none" w:pos="1431" w:val="left"/>
        </w:tabs>
        <w:numPr>
          <w:ilvl w:val="0"/>
          <w:numId w:val="13"/>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Risk factors</w:t>
      </w:r>
    </w:p>
    <w:p>
      <w:pPr>
        <w:spacing w:after="0" w:line="116"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and results of operations.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financial position and capital requirements</w:t>
      </w:r>
    </w:p>
    <w:p>
      <w:pPr>
        <w:spacing w:after="0" w:line="124" w:lineRule="exact"/>
        <w:rPr>
          <w:sz w:val="20"/>
          <w:szCs w:val="20"/>
          <w:color w:val="auto"/>
        </w:rPr>
      </w:pPr>
    </w:p>
    <w:p>
      <w:pPr>
        <w:ind w:left="1240" w:right="1479"/>
        <w:spacing w:after="0" w:line="310" w:lineRule="auto"/>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82"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 mid 2022. 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267" w:lineRule="exact"/>
        <w:rPr>
          <w:sz w:val="20"/>
          <w:szCs w:val="20"/>
          <w:color w:val="auto"/>
        </w:rPr>
      </w:pPr>
    </w:p>
    <w:p>
      <w:pPr>
        <w:ind w:left="1240" w:right="1659"/>
        <w:spacing w:after="0" w:line="310" w:lineRule="auto"/>
        <w:rPr>
          <w:sz w:val="20"/>
          <w:szCs w:val="20"/>
          <w:color w:val="auto"/>
        </w:rPr>
      </w:pPr>
      <w:r>
        <w:rPr>
          <w:rFonts w:ascii="Arial" w:cs="Arial" w:eastAsia="Arial" w:hAnsi="Arial"/>
          <w:sz w:val="14"/>
          <w:szCs w:val="14"/>
          <w:b w:val="1"/>
          <w:bCs w:val="1"/>
          <w:i w:val="1"/>
          <w:iCs w:val="1"/>
          <w:color w:val="auto"/>
        </w:rPr>
        <w:t>We have incurred significant operating losses since our inception and expect to incur significant losses for the foreseeable future.</w:t>
      </w:r>
    </w:p>
    <w:p>
      <w:pPr>
        <w:spacing w:after="0" w:line="82"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have incurred significant operating losses since our inception. If our product candidates are not successfully developed and approved, we may never generate any revenue. Our net losses were $6.0 million, $238.8 million, $53.6 million, and $18.3 million for the period from January 1, 2019 through June 20, 2019 (our predecessor, Century Therapeutics, Inc., or Prior Century), the period from June 21, 2019 through December 31, 2019 (our successor after the completion of the 2019 Reorganization (as defined herein), or the Successor), the year ended December 31, 2020 (Successor) and the quarter ended March 31, 2021 (Successor), respectively. We had an accumulated deficit of $310.7 million as of March 31, 2021. Our net loss for the period from June 21, 2019 through December 31, 2019 (Successor) and our members’ deficit as of December 31, 2020 (Successor) included a charge to expense of $225.9 million related to in-process research and development assets, or IPR&amp;D, acquired from Prior Century. Substantially all of our losses have resulted from expenses incurred in connection with our research and development programs, the acquisition of IPR&amp;D from Prior Century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We expect that it will be several years, if ever, before we have a commercialized product. We anticipate that our expenses will increase substantially if, and as, we:</w:t>
      </w:r>
    </w:p>
    <w:p>
      <w:pPr>
        <w:spacing w:after="0" w:line="66" w:lineRule="exact"/>
        <w:rPr>
          <w:sz w:val="20"/>
          <w:szCs w:val="20"/>
          <w:color w:val="auto"/>
        </w:rPr>
      </w:pPr>
    </w:p>
    <w:p>
      <w:pPr>
        <w:ind w:left="1360" w:right="1299" w:hanging="111"/>
        <w:spacing w:after="0" w:line="286" w:lineRule="auto"/>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continue to advance our induced pluripotent stem cells, or iPSC-derived allogeneic, cell therapy platforms;</w:t>
      </w:r>
    </w:p>
    <w:p>
      <w:pPr>
        <w:spacing w:after="0" w:line="66" w:lineRule="exact"/>
        <w:rPr>
          <w:rFonts w:ascii="Arial" w:cs="Arial" w:eastAsia="Arial" w:hAnsi="Arial"/>
          <w:sz w:val="14"/>
          <w:szCs w:val="14"/>
          <w:color w:val="auto"/>
        </w:rPr>
      </w:pPr>
    </w:p>
    <w:p>
      <w:pPr>
        <w:ind w:left="1360" w:right="1639" w:hanging="111"/>
        <w:spacing w:after="0" w:line="286" w:lineRule="auto"/>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continue preclinical development of, and initiate clinical development of CNTY-101 and our other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establish and validate our own clinical-scale current good manufacturing practices, or cGMP, facilities;</w:t>
      </w:r>
    </w:p>
    <w:p>
      <w:pPr>
        <w:spacing w:after="0" w:line="55"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96"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3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We may never succeed in any or all of these activities and, even if we do, we may never generate revenue.</w:t>
      </w:r>
    </w:p>
    <w:p>
      <w:pPr>
        <w:spacing w:after="0" w:line="71" w:lineRule="exact"/>
        <w:rPr>
          <w:sz w:val="20"/>
          <w:szCs w:val="20"/>
          <w:color w:val="auto"/>
        </w:rPr>
      </w:pPr>
    </w:p>
    <w:p>
      <w:pPr>
        <w:ind w:left="1240" w:right="1439"/>
        <w:spacing w:after="0" w:line="310" w:lineRule="auto"/>
        <w:rPr>
          <w:sz w:val="20"/>
          <w:szCs w:val="20"/>
          <w:color w:val="auto"/>
        </w:rPr>
      </w:pPr>
      <w:r>
        <w:rPr>
          <w:rFonts w:ascii="Arial" w:cs="Arial" w:eastAsia="Arial" w:hAnsi="Arial"/>
          <w:sz w:val="14"/>
          <w:szCs w:val="14"/>
          <w:b w:val="1"/>
          <w:bCs w:val="1"/>
          <w:i w:val="1"/>
          <w:iCs w:val="1"/>
          <w:color w:val="auto"/>
        </w:rPr>
        <w:t>We have never generated revenue from product sales and may never achieve or maintain profitability.</w:t>
      </w:r>
    </w:p>
    <w:p>
      <w:pPr>
        <w:spacing w:after="0" w:line="7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14" w:lineRule="exact"/>
        <w:rPr>
          <w:sz w:val="20"/>
          <w:szCs w:val="20"/>
          <w:color w:val="auto"/>
        </w:rPr>
      </w:pPr>
    </w:p>
    <w:p>
      <w:pPr>
        <w:jc w:val="both"/>
        <w:ind w:left="1240" w:right="1579"/>
        <w:spacing w:after="0" w:line="260" w:lineRule="auto"/>
        <w:rPr>
          <w:sz w:val="20"/>
          <w:szCs w:val="20"/>
          <w:color w:val="auto"/>
        </w:rPr>
      </w:pPr>
      <w:r>
        <w:rPr>
          <w:rFonts w:ascii="Arial" w:cs="Arial" w:eastAsia="Arial" w:hAnsi="Arial"/>
          <w:sz w:val="14"/>
          <w:szCs w:val="14"/>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79"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96"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We intend to use the proceeds from this offering to, among other uses, fund research and development of our product candidates and development programs, including our preclinical and clinical development of CNTY-101, CNTY-103, CNTY-102, and CNTY-104. Our research and development expenses increased from $14.3 million for the year ended December 31, 2019 to $39.7 million for the year ended December 31, 2020 and from $7.9 million for the quarter ended March 31, 2020 to $15.4 million for the quarter ended March 31, 2021. As of March 31, 2021,</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we had cash, and cash equivalents of $79.5 million and marketable securities of $166.6 million. Based on our current business plans, we believe that the net proceeds from this offering, together with our existing cash and cash equivalents, will be sufficient for us to fund our operating expenses and capital expenditures requirements for the next 42 months after this filing.</w:t>
      </w:r>
    </w:p>
    <w:p>
      <w:pPr>
        <w:spacing w:after="0" w:line="95"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72" w:lineRule="exact"/>
        <w:rPr>
          <w:sz w:val="20"/>
          <w:szCs w:val="20"/>
          <w:color w:val="auto"/>
        </w:rPr>
      </w:pPr>
    </w:p>
    <w:p>
      <w:pPr>
        <w:jc w:val="both"/>
        <w:ind w:left="1240" w:right="1299"/>
        <w:spacing w:after="0" w:line="290"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9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282"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If we raise additional funds through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 Because of the numerous risks and uncertainties associated with product development, we are unable to predict the timing or amount of increased expenses or when or if we will be able to achieve or maintain profitability.</w:t>
      </w:r>
    </w:p>
    <w:p>
      <w:pPr>
        <w:spacing w:after="0" w:line="94" w:lineRule="exact"/>
        <w:rPr>
          <w:sz w:val="20"/>
          <w:szCs w:val="20"/>
          <w:color w:val="auto"/>
        </w:rPr>
      </w:pPr>
    </w:p>
    <w:p>
      <w:pPr>
        <w:ind w:left="1240" w:right="1459"/>
        <w:spacing w:after="0" w:line="310" w:lineRule="auto"/>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82"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The net operating losses of Prior Century carried over to us as a result of the merger of Prior Century with and into us on February 25, 2021 in the amount of approximately $5.0 million of federal net operating loss carryforwards, and approximately $9.5 million of state and local net operating loss carryforwards. 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believe that Prior Century or we may have experienced an ownership change in the past, which may affect our ability to utilize our net operating loss carryforwards. In addition, we may experience ownership changes in the future as a result of this offering or subsequent shifts in our stock</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286" w:lineRule="auto"/>
        <w:rPr>
          <w:sz w:val="20"/>
          <w:szCs w:val="20"/>
          <w:color w:val="auto"/>
        </w:rPr>
      </w:pPr>
      <w:r>
        <w:rPr>
          <w:rFonts w:ascii="Arial" w:cs="Arial" w:eastAsia="Arial" w:hAnsi="Arial"/>
          <w:sz w:val="14"/>
          <w:szCs w:val="14"/>
          <w:color w:val="auto"/>
        </w:rPr>
        <w:t>ownership, some of which are outside our control. Similar limitations will apply to our ability to carry forward any unused tax credits to offset future taxable income.</w:t>
      </w:r>
    </w:p>
    <w:p>
      <w:pPr>
        <w:spacing w:after="0" w:line="71" w:lineRule="exact"/>
        <w:rPr>
          <w:sz w:val="20"/>
          <w:szCs w:val="20"/>
          <w:color w:val="auto"/>
        </w:rPr>
      </w:pPr>
    </w:p>
    <w:p>
      <w:pPr>
        <w:ind w:left="1240" w:right="1599"/>
        <w:spacing w:after="0" w:line="290" w:lineRule="auto"/>
        <w:rPr>
          <w:sz w:val="20"/>
          <w:szCs w:val="20"/>
          <w:color w:val="auto"/>
        </w:rPr>
      </w:pPr>
      <w:r>
        <w:rPr>
          <w:rFonts w:ascii="Arial" w:cs="Arial" w:eastAsia="Arial" w:hAnsi="Arial"/>
          <w:sz w:val="14"/>
          <w:szCs w:val="14"/>
          <w:b w:val="1"/>
          <w:bCs w:val="1"/>
          <w:i w:val="1"/>
          <w:iCs w:val="1"/>
          <w:color w:val="auto"/>
        </w:rPr>
        <w:t>Our Option Agreement with Bayer HealthCare LLC may require us to sell certain of our product candidates, which may limit the value we could generate from our product candidates.</w:t>
      </w:r>
    </w:p>
    <w:p>
      <w:pPr>
        <w:spacing w:after="0" w:line="96"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 may exercise its ROFR for up to four of the first ten Research Products for which an IND is submitted, subject to certain limitations.</w:t>
      </w:r>
    </w:p>
    <w:p>
      <w:pPr>
        <w:spacing w:after="0" w:line="28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For a more complete description of the Option Agreement, please see the section titled “Business —Licensing Partnerships and Collaborations—Bayer HealthCare LLC” in this prospectus.</w:t>
      </w:r>
    </w:p>
    <w:p>
      <w:pPr>
        <w:spacing w:after="0" w:line="8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92" w:lineRule="exact"/>
        <w:rPr>
          <w:sz w:val="20"/>
          <w:szCs w:val="20"/>
          <w:color w:val="auto"/>
        </w:rPr>
      </w:pPr>
    </w:p>
    <w:p>
      <w:pPr>
        <w:ind w:left="1240" w:right="1279"/>
        <w:spacing w:after="0" w:line="310" w:lineRule="auto"/>
        <w:rPr>
          <w:sz w:val="20"/>
          <w:szCs w:val="20"/>
          <w:color w:val="auto"/>
        </w:rPr>
      </w:pPr>
      <w:r>
        <w:rPr>
          <w:rFonts w:ascii="Arial" w:cs="Arial" w:eastAsia="Arial" w:hAnsi="Arial"/>
          <w:sz w:val="14"/>
          <w:szCs w:val="14"/>
          <w:b w:val="1"/>
          <w:bCs w:val="1"/>
          <w:i w:val="1"/>
          <w:iCs w:val="1"/>
          <w:color w:val="auto"/>
        </w:rPr>
        <w:t>Unstable market and economic conditions may have serious adverse consequences on our business, financial condition, and stock price.</w:t>
      </w:r>
    </w:p>
    <w:p>
      <w:pPr>
        <w:spacing w:after="0" w:line="82"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Global financial markets have experienced, as a result of the COVID-19 pandemic, and have in the past experienced, extreme volatility and disruptions,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8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companies, including very recently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3" w:lineRule="exact"/>
        <w:rPr>
          <w:sz w:val="20"/>
          <w:szCs w:val="20"/>
          <w:color w:val="auto"/>
        </w:rPr>
      </w:pPr>
    </w:p>
    <w:p>
      <w:pPr>
        <w:ind w:left="1240" w:right="1299"/>
        <w:spacing w:after="0" w:line="290" w:lineRule="auto"/>
        <w:rPr>
          <w:sz w:val="20"/>
          <w:szCs w:val="20"/>
          <w:color w:val="auto"/>
        </w:rPr>
      </w:pPr>
      <w:r>
        <w:rPr>
          <w:rFonts w:ascii="Arial" w:cs="Arial" w:eastAsia="Arial" w:hAnsi="Arial"/>
          <w:sz w:val="14"/>
          <w:szCs w:val="14"/>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96"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We are very early in our development efforts and all of our product candidates are still in preclinical development. We expect to file an IND for our lead product candidate CNTY-101, in mid 2022 and we expect to file an IND for CNTY-103 in the first half of 2023.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291" w:lineRule="exact"/>
        <w:rPr>
          <w:sz w:val="20"/>
          <w:szCs w:val="20"/>
          <w:color w:val="auto"/>
        </w:rPr>
      </w:pPr>
    </w:p>
    <w:p>
      <w:pPr>
        <w:ind w:left="1240" w:right="1479"/>
        <w:spacing w:after="0" w:line="274" w:lineRule="auto"/>
        <w:rPr>
          <w:sz w:val="20"/>
          <w:szCs w:val="20"/>
          <w:color w:val="auto"/>
        </w:rPr>
      </w:pPr>
      <w:r>
        <w:rPr>
          <w:rFonts w:ascii="Arial" w:cs="Arial" w:eastAsia="Arial" w:hAnsi="Arial"/>
          <w:sz w:val="14"/>
          <w:szCs w:val="14"/>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FDA, or certain other foreign regulatory agencies before we may commercialize our product candidates.</w:t>
      </w:r>
    </w:p>
    <w:p>
      <w:pPr>
        <w:spacing w:after="0" w:line="97"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The clinical and commercial success of our product candidates will depend on several factors, including the following:</w:t>
      </w:r>
    </w:p>
    <w:p>
      <w:pPr>
        <w:spacing w:after="0" w:line="66" w:lineRule="exact"/>
        <w:rPr>
          <w:sz w:val="20"/>
          <w:szCs w:val="20"/>
          <w:color w:val="auto"/>
        </w:rPr>
      </w:pPr>
    </w:p>
    <w:p>
      <w:pPr>
        <w:ind w:left="1360" w:right="157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timely and successful completion of preclinical studies, including toxicology studies, biodistribution studies, and minimally efficacious dose studies in animals, where applicable;</w:t>
      </w:r>
    </w:p>
    <w:p>
      <w:pPr>
        <w:spacing w:after="0" w:line="7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INDs or comparable foreign applications that allow commencement of our planned clinical trials or future clinical trials for our product candidates;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successful enrollment and completion of clinical trials, including under the FDA’s current Good Clinical Practices, or cGCPs, and current Good Laboratory Practices, or GLPs;</w:t>
      </w:r>
    </w:p>
    <w:p>
      <w:pPr>
        <w:spacing w:after="0" w:line="66" w:lineRule="exact"/>
        <w:rPr>
          <w:rFonts w:ascii="Arial" w:cs="Arial" w:eastAsia="Arial" w:hAnsi="Arial"/>
          <w:sz w:val="14"/>
          <w:szCs w:val="14"/>
          <w:color w:val="auto"/>
        </w:rPr>
      </w:pPr>
    </w:p>
    <w:p>
      <w:pPr>
        <w:ind w:left="1360" w:right="1499" w:hanging="111"/>
        <w:spacing w:after="0" w:line="291"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positive results from our future clinical programs that support a finding of safety and effectiveness and an acceptable risk-benefit profile of our product candidates in the intended populations;</w:t>
      </w:r>
    </w:p>
    <w:p>
      <w:pPr>
        <w:spacing w:after="0" w:line="241"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receipt of marketing approvals from applicable regulatory authorities;</w:t>
      </w:r>
    </w:p>
    <w:p>
      <w:pPr>
        <w:spacing w:after="0" w:line="106" w:lineRule="exact"/>
        <w:rPr>
          <w:rFonts w:ascii="Arial" w:cs="Arial" w:eastAsia="Arial" w:hAnsi="Arial"/>
          <w:sz w:val="14"/>
          <w:szCs w:val="14"/>
          <w:color w:val="auto"/>
        </w:rPr>
      </w:pPr>
    </w:p>
    <w:p>
      <w:pPr>
        <w:ind w:left="1360" w:right="125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establishment of arrangements with CMOs for clinical supply and, where applicable, commercial manufacturing capabilities;</w:t>
      </w:r>
    </w:p>
    <w:p>
      <w:pPr>
        <w:spacing w:after="0" w:line="66"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establishment and maintenance of patent and trade secret protection, and/or regulatory exclusivity for our product candidates;</w:t>
      </w:r>
    </w:p>
    <w:p>
      <w:pPr>
        <w:spacing w:after="0" w:line="66"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commercial launch of our product candidates, if approved, whether alone or in collaboration with others;</w:t>
      </w:r>
    </w:p>
    <w:p>
      <w:pPr>
        <w:spacing w:after="0" w:line="66" w:lineRule="exact"/>
        <w:rPr>
          <w:rFonts w:ascii="Arial" w:cs="Arial" w:eastAsia="Arial" w:hAnsi="Arial"/>
          <w:sz w:val="14"/>
          <w:szCs w:val="14"/>
          <w:color w:val="auto"/>
        </w:rPr>
      </w:pPr>
    </w:p>
    <w:p>
      <w:pPr>
        <w:ind w:left="1360" w:right="1719" w:hanging="111"/>
        <w:spacing w:after="0" w:line="278"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acceptance of the benefits and use of our product candidates, including method of administration, if and when approved, by patients, the medical community, and third-party payors;</w:t>
      </w:r>
    </w:p>
    <w:p>
      <w:pPr>
        <w:spacing w:after="0" w:line="83"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effective competition with other therapies;</w:t>
      </w:r>
    </w:p>
    <w:p>
      <w:pPr>
        <w:spacing w:after="0" w:line="106" w:lineRule="exact"/>
        <w:rPr>
          <w:rFonts w:ascii="Arial" w:cs="Arial" w:eastAsia="Arial" w:hAnsi="Arial"/>
          <w:sz w:val="14"/>
          <w:szCs w:val="14"/>
          <w:color w:val="auto"/>
        </w:rPr>
      </w:pPr>
    </w:p>
    <w:p>
      <w:pPr>
        <w:ind w:left="1360" w:right="1679" w:hanging="111"/>
        <w:spacing w:after="0" w:line="278"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establishment and maintenance of healthcare coverage and adequate reimbursement and patients’ willingness to pay out-of-pocket in the absence of such coverage and adequate reimbursement;</w:t>
      </w:r>
    </w:p>
    <w:p>
      <w:pPr>
        <w:spacing w:after="0" w:line="72"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establishment of a physician training system and network for administration of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enforcement and defense of intellectual property rights and claims; and</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maintenance of a continued acceptable safety, tolerability, and efficacy profile of our product candidates following approval.</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79" w:lineRule="exact"/>
        <w:rPr>
          <w:sz w:val="20"/>
          <w:szCs w:val="20"/>
          <w:color w:val="auto"/>
        </w:rPr>
      </w:pPr>
    </w:p>
    <w:p>
      <w:pPr>
        <w:ind w:left="1240" w:right="1319"/>
        <w:spacing w:after="0" w:line="294" w:lineRule="auto"/>
        <w:rPr>
          <w:sz w:val="20"/>
          <w:szCs w:val="20"/>
          <w:color w:val="auto"/>
        </w:rPr>
      </w:pPr>
      <w:r>
        <w:rPr>
          <w:rFonts w:ascii="Arial" w:cs="Arial" w:eastAsia="Arial" w:hAnsi="Arial"/>
          <w:sz w:val="14"/>
          <w:szCs w:val="14"/>
          <w:b w:val="1"/>
          <w:bCs w:val="1"/>
          <w:i w:val="1"/>
          <w:iCs w:val="1"/>
          <w:color w:val="auto"/>
        </w:rPr>
        <w:t>Our business is highly dependent on the success of our lead product candidate, CNTY-101 and our other product candidates.</w:t>
      </w:r>
    </w:p>
    <w:p>
      <w:pPr>
        <w:spacing w:after="0" w:line="9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We cannot guarantee that an IND application will be cleared by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113" w:lineRule="exact"/>
        <w:rPr>
          <w:sz w:val="20"/>
          <w:szCs w:val="20"/>
          <w:color w:val="auto"/>
        </w:rPr>
      </w:pPr>
    </w:p>
    <w:p>
      <w:pPr>
        <w:ind w:left="1240" w:right="1279"/>
        <w:spacing w:after="0" w:line="277" w:lineRule="auto"/>
        <w:rPr>
          <w:sz w:val="20"/>
          <w:szCs w:val="20"/>
          <w:color w:val="auto"/>
        </w:rPr>
      </w:pPr>
      <w:r>
        <w:rPr>
          <w:rFonts w:ascii="Arial" w:cs="Arial" w:eastAsia="Arial" w:hAnsi="Arial"/>
          <w:sz w:val="14"/>
          <w:szCs w:val="14"/>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274"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94" w:lineRule="exact"/>
        <w:rPr>
          <w:sz w:val="20"/>
          <w:szCs w:val="20"/>
          <w:color w:val="auto"/>
        </w:rPr>
      </w:pPr>
    </w:p>
    <w:p>
      <w:pPr>
        <w:ind w:left="1240" w:right="1759"/>
        <w:spacing w:after="0" w:line="310" w:lineRule="auto"/>
        <w:rPr>
          <w:sz w:val="20"/>
          <w:szCs w:val="20"/>
          <w:color w:val="auto"/>
        </w:rPr>
      </w:pPr>
      <w:r>
        <w:rPr>
          <w:rFonts w:ascii="Arial" w:cs="Arial" w:eastAsia="Arial" w:hAnsi="Arial"/>
          <w:sz w:val="14"/>
          <w:szCs w:val="14"/>
          <w:b w:val="1"/>
          <w:bCs w:val="1"/>
          <w:i w:val="1"/>
          <w:iCs w:val="1"/>
          <w:color w:val="auto"/>
        </w:rPr>
        <w:t>Our business depends upon the success of our iPSC-derived allogeneic cell therapy platforms.</w:t>
      </w:r>
    </w:p>
    <w:p>
      <w:pPr>
        <w:spacing w:after="0" w:line="82"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283"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84" w:lineRule="exact"/>
        <w:rPr>
          <w:sz w:val="20"/>
          <w:szCs w:val="20"/>
          <w:color w:val="auto"/>
        </w:rPr>
      </w:pPr>
    </w:p>
    <w:p>
      <w:pPr>
        <w:jc w:val="both"/>
        <w:ind w:left="1240" w:right="1599"/>
        <w:spacing w:after="0" w:line="274" w:lineRule="auto"/>
        <w:rPr>
          <w:sz w:val="20"/>
          <w:szCs w:val="20"/>
          <w:color w:val="auto"/>
        </w:rPr>
      </w:pPr>
      <w:r>
        <w:rPr>
          <w:rFonts w:ascii="Arial" w:cs="Arial" w:eastAsia="Arial" w:hAnsi="Arial"/>
          <w:sz w:val="14"/>
          <w:szCs w:val="14"/>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96"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have concentrated our research and development efforts on developing CAR-iNK and CAR-iT cell therapies. To date, the FDA has only approved 19 cell-based therapies for commercialization.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257" w:lineRule="exact"/>
        <w:rPr>
          <w:sz w:val="20"/>
          <w:szCs w:val="20"/>
          <w:color w:val="auto"/>
        </w:rPr>
      </w:pPr>
    </w:p>
    <w:p>
      <w:pPr>
        <w:ind w:left="1360" w:right="125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developing a manufacturing process to produce our cells on a large scale and in a cost-effective manner;</w:t>
      </w:r>
    </w:p>
    <w:p>
      <w:pPr>
        <w:spacing w:after="0" w:line="55"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educating medical personnel regarding the potential side-effect profile of our cells and, as the clinical program progresses, on any observed side effects with the therapy;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unanticipated technical limitations of our CRISPR-MAD7 gene editing technology; and</w:t>
      </w:r>
    </w:p>
    <w:p>
      <w:pPr>
        <w:spacing w:after="0" w:line="9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establishing sales and marketing capabilities, as well as developing a distribution network to support the commercialization of any approved products.</w:t>
      </w:r>
    </w:p>
    <w:p>
      <w:pPr>
        <w:spacing w:after="0" w:line="87" w:lineRule="exact"/>
        <w:rPr>
          <w:sz w:val="20"/>
          <w:szCs w:val="20"/>
          <w:color w:val="auto"/>
        </w:rPr>
      </w:pPr>
    </w:p>
    <w:p>
      <w:pPr>
        <w:ind w:left="1240" w:right="1519"/>
        <w:spacing w:after="0" w:line="270" w:lineRule="auto"/>
        <w:rPr>
          <w:sz w:val="20"/>
          <w:szCs w:val="20"/>
          <w:color w:val="auto"/>
        </w:rPr>
      </w:pPr>
      <w:r>
        <w:rPr>
          <w:rFonts w:ascii="Arial" w:cs="Arial" w:eastAsia="Arial" w:hAnsi="Arial"/>
          <w:sz w:val="14"/>
          <w:szCs w:val="14"/>
          <w:color w:val="auto"/>
        </w:rPr>
        <w:t>We must be able to overcome these challenges in order for us to develop, commercialize, and manufacture our product candidates utilizing CAR-iNK and CAR-iT cells.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have not yet demonstrated long-term stability of cryopreserved CAR-iNK cells.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134" w:lineRule="exact"/>
        <w:rPr>
          <w:sz w:val="20"/>
          <w:szCs w:val="20"/>
          <w:color w:val="auto"/>
        </w:rPr>
      </w:pPr>
    </w:p>
    <w:p>
      <w:pPr>
        <w:ind w:left="1240" w:right="1299"/>
        <w:spacing w:after="0" w:line="243" w:lineRule="auto"/>
        <w:rPr>
          <w:sz w:val="20"/>
          <w:szCs w:val="20"/>
          <w:color w:val="auto"/>
        </w:rPr>
      </w:pPr>
      <w:r>
        <w:rPr>
          <w:rFonts w:ascii="Arial" w:cs="Arial" w:eastAsia="Arial" w:hAnsi="Arial"/>
          <w:sz w:val="14"/>
          <w:szCs w:val="14"/>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9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92"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06"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0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308" w:lineRule="exact"/>
        <w:rPr>
          <w:sz w:val="20"/>
          <w:szCs w:val="20"/>
          <w:color w:val="auto"/>
        </w:rPr>
      </w:pPr>
    </w:p>
    <w:p>
      <w:pPr>
        <w:ind w:left="1240" w:right="1559"/>
        <w:spacing w:after="0" w:line="262" w:lineRule="auto"/>
        <w:rPr>
          <w:sz w:val="20"/>
          <w:szCs w:val="20"/>
          <w:color w:val="auto"/>
        </w:rPr>
      </w:pPr>
      <w:r>
        <w:rPr>
          <w:rFonts w:ascii="Arial" w:cs="Arial" w:eastAsia="Arial" w:hAnsi="Arial"/>
          <w:sz w:val="14"/>
          <w:szCs w:val="14"/>
          <w:b w:val="1"/>
          <w:bCs w:val="1"/>
          <w:i w:val="1"/>
          <w:iCs w:val="1"/>
          <w:color w:val="auto"/>
        </w:rPr>
        <w:t>Our product candidates for which we intend to seek approval as biologic products may face competition sooner than anticipated.</w:t>
      </w:r>
    </w:p>
    <w:p>
      <w:pPr>
        <w:spacing w:after="0" w:line="82"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55"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0" w:lineRule="exact"/>
        <w:rPr>
          <w:sz w:val="20"/>
          <w:szCs w:val="20"/>
          <w:color w:val="auto"/>
        </w:rPr>
      </w:pPr>
    </w:p>
    <w:p>
      <w:pPr>
        <w:ind w:left="1240" w:right="1679"/>
        <w:spacing w:after="0" w:line="259" w:lineRule="auto"/>
        <w:rPr>
          <w:sz w:val="20"/>
          <w:szCs w:val="20"/>
          <w:color w:val="auto"/>
        </w:rPr>
      </w:pPr>
      <w:r>
        <w:rPr>
          <w:rFonts w:ascii="Arial" w:cs="Arial" w:eastAsia="Arial" w:hAnsi="Arial"/>
          <w:sz w:val="14"/>
          <w:szCs w:val="14"/>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95" w:lineRule="exact"/>
        <w:rPr>
          <w:sz w:val="20"/>
          <w:szCs w:val="20"/>
          <w:color w:val="auto"/>
        </w:rPr>
      </w:pPr>
    </w:p>
    <w:p>
      <w:pPr>
        <w:jc w:val="both"/>
        <w:ind w:left="1240" w:right="1499"/>
        <w:spacing w:after="0" w:line="263" w:lineRule="auto"/>
        <w:rPr>
          <w:sz w:val="20"/>
          <w:szCs w:val="20"/>
          <w:color w:val="auto"/>
        </w:rPr>
      </w:pPr>
      <w:r>
        <w:rPr>
          <w:rFonts w:ascii="Arial" w:cs="Arial" w:eastAsia="Arial" w:hAnsi="Arial"/>
          <w:sz w:val="14"/>
          <w:szCs w:val="14"/>
          <w:color w:val="auto"/>
        </w:rPr>
        <w:t>The increased likelihood of biosimilar competition has increased the risk of loss of innovators’ market exclusivity. Due to this risk, and uncertainties regarding patent protection, if our clinical candidates are approved for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34" w:lineRule="exact"/>
        <w:rPr>
          <w:sz w:val="20"/>
          <w:szCs w:val="20"/>
          <w:color w:val="auto"/>
        </w:rPr>
      </w:pPr>
    </w:p>
    <w:p>
      <w:pPr>
        <w:ind w:left="1240" w:right="1419"/>
        <w:spacing w:after="0" w:line="237" w:lineRule="auto"/>
        <w:rPr>
          <w:sz w:val="20"/>
          <w:szCs w:val="20"/>
          <w:color w:val="auto"/>
        </w:rPr>
      </w:pPr>
      <w:r>
        <w:rPr>
          <w:rFonts w:ascii="Arial" w:cs="Arial" w:eastAsia="Arial" w:hAnsi="Arial"/>
          <w:sz w:val="14"/>
          <w:szCs w:val="14"/>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9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1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27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will ultimately be successful or support clinical development of our current or any of our future product candidates.</w:t>
      </w:r>
    </w:p>
    <w:p>
      <w:pPr>
        <w:spacing w:after="0" w:line="98"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84" w:lineRule="exact"/>
        <w:rPr>
          <w:sz w:val="20"/>
          <w:szCs w:val="20"/>
          <w:color w:val="auto"/>
        </w:rPr>
      </w:pPr>
    </w:p>
    <w:p>
      <w:pPr>
        <w:ind w:left="1360" w:right="1699" w:hanging="111"/>
        <w:spacing w:after="0" w:line="278"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the FDA, or ethics committees may not authorize us or our investigators to commence a clinical trial or conduct a clinical trial at a prospective trial site;</w:t>
      </w:r>
    </w:p>
    <w:p>
      <w:pPr>
        <w:spacing w:after="0" w:line="61"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clinical trial sites deviating from trial protocol or dropping out of a trial;</w:t>
      </w:r>
    </w:p>
    <w:p>
      <w:pPr>
        <w:spacing w:after="0" w:line="106" w:lineRule="exact"/>
        <w:rPr>
          <w:rFonts w:ascii="Arial" w:cs="Arial" w:eastAsia="Arial" w:hAnsi="Arial"/>
          <w:sz w:val="14"/>
          <w:szCs w:val="14"/>
          <w:color w:val="auto"/>
        </w:rPr>
      </w:pPr>
    </w:p>
    <w:p>
      <w:pPr>
        <w:ind w:left="1360" w:right="1359" w:hanging="111"/>
        <w:spacing w:after="0" w:line="281"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248" w:lineRule="exact"/>
        <w:rPr>
          <w:rFonts w:ascii="Arial" w:cs="Arial" w:eastAsia="Arial" w:hAnsi="Arial"/>
          <w:sz w:val="14"/>
          <w:szCs w:val="14"/>
          <w:color w:val="auto"/>
        </w:rPr>
      </w:pPr>
    </w:p>
    <w:p>
      <w:pPr>
        <w:ind w:left="1360" w:right="1379" w:hanging="111"/>
        <w:spacing w:after="0" w:line="276"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79" w:hanging="111"/>
        <w:spacing w:after="0" w:line="281"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48"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cost of clinical trials of any of our product candidates may be greater than we anticipate;</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quality of our product candidates or other materials necessary to conduct clinical trials of our product candidates may be inadequate to initiate or complete a given clinical trial;</w:t>
      </w:r>
    </w:p>
    <w:p>
      <w:pPr>
        <w:spacing w:after="0" w:line="66" w:lineRule="exact"/>
        <w:rPr>
          <w:rFonts w:ascii="Arial" w:cs="Arial" w:eastAsia="Arial" w:hAnsi="Arial"/>
          <w:sz w:val="14"/>
          <w:szCs w:val="14"/>
          <w:color w:val="auto"/>
        </w:rPr>
      </w:pPr>
    </w:p>
    <w:p>
      <w:pPr>
        <w:ind w:left="1360" w:right="1599" w:hanging="111"/>
        <w:spacing w:after="0" w:line="263"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inability to manufacture sufficient quantities of our product candidates for use in clinical trials;</w:t>
      </w:r>
    </w:p>
    <w:p>
      <w:pPr>
        <w:spacing w:after="0" w:line="273"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reports from clinical testing of other therapies may raise safety or efficacy concerns about our product candidates;</w:t>
      </w:r>
    </w:p>
    <w:p>
      <w:pPr>
        <w:spacing w:after="0" w:line="66" w:lineRule="exact"/>
        <w:rPr>
          <w:rFonts w:ascii="Arial" w:cs="Arial" w:eastAsia="Arial" w:hAnsi="Arial"/>
          <w:sz w:val="14"/>
          <w:szCs w:val="14"/>
          <w:color w:val="auto"/>
        </w:rPr>
      </w:pPr>
    </w:p>
    <w:p>
      <w:pPr>
        <w:jc w:val="both"/>
        <w:ind w:left="1360" w:right="1339" w:hanging="111"/>
        <w:spacing w:after="0" w:line="278"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83" w:lineRule="exact"/>
        <w:rPr>
          <w:rFonts w:ascii="Arial" w:cs="Arial" w:eastAsia="Arial" w:hAnsi="Arial"/>
          <w:sz w:val="14"/>
          <w:szCs w:val="14"/>
          <w:color w:val="auto"/>
        </w:rPr>
      </w:pPr>
    </w:p>
    <w:p>
      <w:pPr>
        <w:ind w:left="1360" w:right="1279" w:hanging="111"/>
        <w:spacing w:after="0" w:line="278" w:lineRule="auto"/>
        <w:tabs>
          <w:tab w:leader="none" w:pos="1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FDA or applicable foreign regulatory agencies may require us to submit additional data such as long-term toxicology studies, or impose other requirements before permitting us to initiate a clinical trial.</w:t>
      </w:r>
    </w:p>
    <w:p>
      <w:pPr>
        <w:spacing w:after="0" w:line="94"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that may be approved for the indications being investigated by us.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113"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83"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33" w:lineRule="exact"/>
        <w:rPr>
          <w:sz w:val="20"/>
          <w:szCs w:val="20"/>
          <w:color w:val="auto"/>
        </w:rPr>
      </w:pPr>
    </w:p>
    <w:p>
      <w:pPr>
        <w:ind w:left="1240" w:right="1359"/>
        <w:spacing w:after="0"/>
        <w:rPr>
          <w:sz w:val="20"/>
          <w:szCs w:val="20"/>
          <w:color w:val="auto"/>
        </w:rPr>
      </w:pPr>
      <w:r>
        <w:rPr>
          <w:rFonts w:ascii="Arial" w:cs="Arial" w:eastAsia="Arial" w:hAnsi="Arial"/>
          <w:sz w:val="14"/>
          <w:szCs w:val="14"/>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22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312" w:lineRule="exact"/>
        <w:rPr>
          <w:sz w:val="20"/>
          <w:szCs w:val="20"/>
          <w:color w:val="auto"/>
        </w:rPr>
      </w:pPr>
    </w:p>
    <w:p>
      <w:pPr>
        <w:ind w:left="1240" w:right="1559"/>
        <w:spacing w:after="0" w:line="237"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8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284"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06"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309"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We may not be able to file our INDs to commence clinical trials on the timelines we expect, and even if we are able to, the FDA may not permit us to proceed.</w:t>
      </w:r>
    </w:p>
    <w:p>
      <w:pPr>
        <w:spacing w:after="0" w:line="71"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We expect our pipeline to yield multiple INDs, including INDs for our CNTY-101, CNTY-103, and CNTY-102 product candidates from our iPSC-derived allogeneic cell therapy platforms. We cannot be sure that submission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of an IND will result in the FDA allowing testing and clinical trials to begin, or that, once begun, issues will not arise that suspend or terminate such clinical trials. The manufacturing of our product candidates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309" w:lineRule="exact"/>
        <w:rPr>
          <w:sz w:val="20"/>
          <w:szCs w:val="20"/>
          <w:color w:val="auto"/>
        </w:rPr>
      </w:pPr>
    </w:p>
    <w:p>
      <w:pPr>
        <w:ind w:left="1240" w:right="1279"/>
        <w:spacing w:after="0" w:line="231" w:lineRule="auto"/>
        <w:rPr>
          <w:sz w:val="20"/>
          <w:szCs w:val="20"/>
          <w:color w:val="auto"/>
        </w:rPr>
      </w:pPr>
      <w:r>
        <w:rPr>
          <w:rFonts w:ascii="Arial" w:cs="Arial" w:eastAsia="Arial" w:hAnsi="Arial"/>
          <w:sz w:val="14"/>
          <w:szCs w:val="14"/>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99"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312" w:lineRule="exact"/>
        <w:rPr>
          <w:sz w:val="20"/>
          <w:szCs w:val="20"/>
          <w:color w:val="auto"/>
        </w:rPr>
      </w:pPr>
    </w:p>
    <w:p>
      <w:pPr>
        <w:ind w:left="1240" w:right="1559"/>
        <w:spacing w:after="0" w:line="243" w:lineRule="auto"/>
        <w:rPr>
          <w:sz w:val="20"/>
          <w:szCs w:val="20"/>
          <w:color w:val="auto"/>
        </w:rPr>
      </w:pPr>
      <w:r>
        <w:rPr>
          <w:rFonts w:ascii="Arial" w:cs="Arial" w:eastAsia="Arial" w:hAnsi="Arial"/>
          <w:sz w:val="14"/>
          <w:szCs w:val="14"/>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0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w:t>
      </w:r>
    </w:p>
    <w:p>
      <w:pPr>
        <w:spacing w:after="0" w:line="312" w:lineRule="exact"/>
        <w:rPr>
          <w:sz w:val="20"/>
          <w:szCs w:val="20"/>
          <w:color w:val="auto"/>
        </w:rPr>
      </w:pPr>
    </w:p>
    <w:p>
      <w:pPr>
        <w:jc w:val="both"/>
        <w:ind w:left="1240" w:right="1659"/>
        <w:spacing w:after="0" w:line="243" w:lineRule="auto"/>
        <w:rPr>
          <w:sz w:val="20"/>
          <w:szCs w:val="20"/>
          <w:color w:val="auto"/>
        </w:rPr>
      </w:pPr>
      <w:r>
        <w:rPr>
          <w:rFonts w:ascii="Arial" w:cs="Arial" w:eastAsia="Arial" w:hAnsi="Arial"/>
          <w:sz w:val="14"/>
          <w:szCs w:val="14"/>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0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87" w:lineRule="exact"/>
        <w:rPr>
          <w:sz w:val="20"/>
          <w:szCs w:val="20"/>
          <w:color w:val="auto"/>
        </w:rPr>
      </w:pPr>
    </w:p>
    <w:p>
      <w:pPr>
        <w:ind w:left="1240" w:right="1299"/>
        <w:spacing w:after="0" w:line="268" w:lineRule="auto"/>
        <w:rPr>
          <w:sz w:val="20"/>
          <w:szCs w:val="20"/>
          <w:color w:val="auto"/>
        </w:rPr>
      </w:pPr>
      <w:r>
        <w:rPr>
          <w:rFonts w:ascii="Arial" w:cs="Arial" w:eastAsia="Arial" w:hAnsi="Arial"/>
          <w:sz w:val="14"/>
          <w:szCs w:val="14"/>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00"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06"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270"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283" w:lineRule="exact"/>
        <w:rPr>
          <w:sz w:val="20"/>
          <w:szCs w:val="20"/>
          <w:color w:val="auto"/>
        </w:rPr>
      </w:pPr>
    </w:p>
    <w:p>
      <w:pPr>
        <w:ind w:left="1240" w:right="1419"/>
        <w:spacing w:after="0" w:line="263" w:lineRule="auto"/>
        <w:rPr>
          <w:sz w:val="20"/>
          <w:szCs w:val="20"/>
          <w:color w:val="auto"/>
        </w:rPr>
      </w:pPr>
      <w:r>
        <w:rPr>
          <w:rFonts w:ascii="Arial" w:cs="Arial" w:eastAsia="Arial" w:hAnsi="Arial"/>
          <w:sz w:val="14"/>
          <w:szCs w:val="14"/>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252" w:lineRule="exact"/>
        <w:rPr>
          <w:sz w:val="20"/>
          <w:szCs w:val="20"/>
          <w:color w:val="auto"/>
        </w:rPr>
      </w:pPr>
    </w:p>
    <w:p>
      <w:pPr>
        <w:ind w:left="1360" w:right="1559" w:hanging="111"/>
        <w:spacing w:after="0" w:line="28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regulatory authorities may request that we recall or withdraw the product from the market or may limit the approval of the product through labeling or other means;</w:t>
      </w:r>
    </w:p>
    <w:p>
      <w:pPr>
        <w:spacing w:after="0" w:line="55"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a “black box” warning or a contraindication or a precaution;</w:t>
      </w:r>
    </w:p>
    <w:p>
      <w:pPr>
        <w:spacing w:after="0" w:line="66"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distributed or administered, conduct additional clinical trials, or change the labeling of the product;</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decide to recall or remove the product from the marketplace;</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559" w:hanging="111"/>
        <w:spacing w:after="0" w:line="286" w:lineRule="auto"/>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could be sued and/or held liable for injury caused to individuals exposed to or taking our product candidates;</w:t>
      </w:r>
    </w:p>
    <w:p>
      <w:pPr>
        <w:spacing w:after="0" w:line="33" w:lineRule="exact"/>
        <w:rPr>
          <w:rFonts w:ascii="Arial" w:cs="Arial" w:eastAsia="Arial" w:hAnsi="Arial"/>
          <w:sz w:val="14"/>
          <w:szCs w:val="14"/>
          <w:color w:val="auto"/>
        </w:rPr>
      </w:pPr>
    </w:p>
    <w:p>
      <w:pPr>
        <w:ind w:left="1360" w:hanging="111"/>
        <w:spacing w:after="0"/>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damage to the public perception of the safety of CNTY-101 or our other product candidates; and</w:t>
      </w:r>
    </w:p>
    <w:p>
      <w:pPr>
        <w:spacing w:after="0" w:line="74" w:lineRule="exact"/>
        <w:rPr>
          <w:rFonts w:ascii="Arial" w:cs="Arial" w:eastAsia="Arial" w:hAnsi="Arial"/>
          <w:sz w:val="14"/>
          <w:szCs w:val="14"/>
          <w:color w:val="auto"/>
        </w:rPr>
      </w:pPr>
    </w:p>
    <w:p>
      <w:pPr>
        <w:ind w:left="1360" w:hanging="111"/>
        <w:spacing w:after="0"/>
        <w:tabs>
          <w:tab w:leader="none" w:pos="1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17"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33"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9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311" w:lineRule="exact"/>
        <w:rPr>
          <w:sz w:val="20"/>
          <w:szCs w:val="20"/>
          <w:color w:val="auto"/>
        </w:rPr>
      </w:pPr>
    </w:p>
    <w:p>
      <w:pPr>
        <w:ind w:left="1240" w:right="1839"/>
        <w:spacing w:after="0" w:line="262" w:lineRule="auto"/>
        <w:rPr>
          <w:sz w:val="20"/>
          <w:szCs w:val="20"/>
          <w:color w:val="auto"/>
        </w:rPr>
      </w:pPr>
      <w:r>
        <w:rPr>
          <w:rFonts w:ascii="Arial" w:cs="Arial" w:eastAsia="Arial" w:hAnsi="Arial"/>
          <w:sz w:val="14"/>
          <w:szCs w:val="14"/>
          <w:b w:val="1"/>
          <w:bCs w:val="1"/>
          <w:i w:val="1"/>
          <w:iCs w:val="1"/>
          <w:color w:val="auto"/>
        </w:rPr>
        <w:t>Our research and development activities could be affected or delayed as a result of possible restrictions on animal testing.</w:t>
      </w:r>
    </w:p>
    <w:p>
      <w:pPr>
        <w:spacing w:after="0" w:line="7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306"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If we do not achieve our projected development goals in the time frames we announce and expect, the commercialization of our products may be delayed.</w:t>
      </w:r>
    </w:p>
    <w:p>
      <w:pPr>
        <w:spacing w:after="0" w:line="7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134" w:lineRule="exact"/>
        <w:rPr>
          <w:sz w:val="20"/>
          <w:szCs w:val="20"/>
          <w:color w:val="auto"/>
        </w:rPr>
      </w:pPr>
    </w:p>
    <w:p>
      <w:pPr>
        <w:ind w:left="1240" w:right="1279"/>
        <w:spacing w:after="0" w:line="234" w:lineRule="auto"/>
        <w:rPr>
          <w:sz w:val="20"/>
          <w:szCs w:val="20"/>
          <w:color w:val="auto"/>
        </w:rPr>
      </w:pPr>
      <w:r>
        <w:rPr>
          <w:rFonts w:ascii="Arial" w:cs="Arial" w:eastAsia="Arial" w:hAnsi="Arial"/>
          <w:sz w:val="14"/>
          <w:szCs w:val="14"/>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88"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99"/>
        <w:spacing w:after="0" w:line="270" w:lineRule="auto"/>
        <w:rPr>
          <w:sz w:val="20"/>
          <w:szCs w:val="20"/>
          <w:color w:val="auto"/>
        </w:rPr>
      </w:pPr>
      <w:r>
        <w:rPr>
          <w:rFonts w:ascii="Arial" w:cs="Arial" w:eastAsia="Arial" w:hAnsi="Arial"/>
          <w:sz w:val="14"/>
          <w:szCs w:val="14"/>
          <w:color w:val="auto"/>
        </w:rPr>
        <w:t>regulatory agencies, or unanticipated events during our preclinical studies or clinical trials may force us to terminate or adjust our development program.</w:t>
      </w:r>
    </w:p>
    <w:p>
      <w:pPr>
        <w:spacing w:after="0" w:line="8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284"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309"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09" w:lineRule="exact"/>
        <w:rPr>
          <w:sz w:val="20"/>
          <w:szCs w:val="20"/>
          <w:color w:val="auto"/>
        </w:rPr>
      </w:pPr>
    </w:p>
    <w:p>
      <w:pPr>
        <w:ind w:left="1240" w:right="1399"/>
        <w:spacing w:after="0" w:line="256" w:lineRule="auto"/>
        <w:rPr>
          <w:sz w:val="20"/>
          <w:szCs w:val="20"/>
          <w:color w:val="auto"/>
        </w:rPr>
      </w:pPr>
      <w:r>
        <w:rPr>
          <w:rFonts w:ascii="Arial" w:cs="Arial" w:eastAsia="Arial" w:hAnsi="Arial"/>
          <w:sz w:val="14"/>
          <w:szCs w:val="14"/>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27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240" w:right="1299"/>
        <w:spacing w:after="0" w:line="243"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95"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COVID-19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28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and future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283"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95"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282"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future clinical trials in accordance with regulatory requirements or our stated protocols, if these parties are adversely impacted by the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273"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304" w:lineRule="exact"/>
        <w:rPr>
          <w:sz w:val="20"/>
          <w:szCs w:val="20"/>
          <w:color w:val="auto"/>
        </w:rPr>
      </w:pPr>
    </w:p>
    <w:p>
      <w:pPr>
        <w:ind w:left="1240" w:right="1619"/>
        <w:spacing w:after="0" w:line="243" w:lineRule="auto"/>
        <w:rPr>
          <w:sz w:val="20"/>
          <w:szCs w:val="20"/>
          <w:color w:val="auto"/>
        </w:rPr>
      </w:pPr>
      <w:r>
        <w:rPr>
          <w:rFonts w:ascii="Arial" w:cs="Arial" w:eastAsia="Arial" w:hAnsi="Arial"/>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304"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16"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Our business strategy includes leveraging our strategic partnership with FCDI, and may include additional future partnerships for manufacturing, product development, product commercialization,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27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66"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84" w:lineRule="exact"/>
        <w:rPr>
          <w:sz w:val="20"/>
          <w:szCs w:val="20"/>
          <w:color w:val="auto"/>
        </w:rPr>
      </w:pPr>
    </w:p>
    <w:p>
      <w:pPr>
        <w:ind w:left="1360" w:hanging="111"/>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expenditure of substantial operational, financial and management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dilutive issuances of our securities;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substantial actual or contingent liabilities; and</w:t>
      </w:r>
    </w:p>
    <w:p>
      <w:pPr>
        <w:spacing w:after="0" w:line="106" w:lineRule="exact"/>
        <w:rPr>
          <w:rFonts w:ascii="Arial" w:cs="Arial" w:eastAsia="Arial" w:hAnsi="Arial"/>
          <w:sz w:val="14"/>
          <w:szCs w:val="14"/>
          <w:color w:val="auto"/>
        </w:rPr>
      </w:pPr>
    </w:p>
    <w:p>
      <w:pPr>
        <w:ind w:left="1360" w:right="1659" w:hanging="111"/>
        <w:spacing w:after="0" w:line="286" w:lineRule="auto"/>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termination or expiration of the arrangement, which would delay the development and may increase the cost of developing our product candidates.</w:t>
      </w:r>
    </w:p>
    <w:p>
      <w:pPr>
        <w:spacing w:after="0" w:line="98"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27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prospectus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manufacturing</w:t>
      </w:r>
    </w:p>
    <w:p>
      <w:pPr>
        <w:spacing w:after="0" w:line="156"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16"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89"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9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305" w:lineRule="exact"/>
        <w:rPr>
          <w:sz w:val="20"/>
          <w:szCs w:val="20"/>
          <w:color w:val="auto"/>
        </w:rPr>
      </w:pPr>
    </w:p>
    <w:p>
      <w:pPr>
        <w:ind w:left="1240" w:right="1359"/>
        <w:spacing w:after="0" w:line="232" w:lineRule="auto"/>
        <w:rPr>
          <w:sz w:val="20"/>
          <w:szCs w:val="20"/>
          <w:color w:val="auto"/>
        </w:rPr>
      </w:pPr>
      <w:r>
        <w:rPr>
          <w:rFonts w:ascii="Arial" w:cs="Arial" w:eastAsia="Arial" w:hAnsi="Arial"/>
          <w:sz w:val="14"/>
          <w:szCs w:val="14"/>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7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COVID-19 pandemic, the business and operations of our suppliers may be disrupted or delayed, and we in turn may experience disruptions or delays in our supply chain. An inability to continue to source product from any of these suppliers, which could be due to the impacts of the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5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08" w:lineRule="exact"/>
        <w:rPr>
          <w:sz w:val="20"/>
          <w:szCs w:val="20"/>
          <w:color w:val="auto"/>
        </w:rPr>
      </w:pPr>
    </w:p>
    <w:p>
      <w:pPr>
        <w:ind w:left="1240" w:right="1479"/>
        <w:spacing w:after="0" w:line="243" w:lineRule="auto"/>
        <w:rPr>
          <w:sz w:val="20"/>
          <w:szCs w:val="20"/>
          <w:color w:val="auto"/>
        </w:rPr>
      </w:pPr>
      <w:r>
        <w:rPr>
          <w:rFonts w:ascii="Arial" w:cs="Arial" w:eastAsia="Arial" w:hAnsi="Arial"/>
          <w:sz w:val="14"/>
          <w:szCs w:val="14"/>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73" w:lineRule="exact"/>
        <w:rPr>
          <w:sz w:val="20"/>
          <w:szCs w:val="20"/>
          <w:color w:val="auto"/>
        </w:rPr>
      </w:pPr>
    </w:p>
    <w:p>
      <w:pPr>
        <w:ind w:left="1240" w:right="1379"/>
        <w:spacing w:after="0" w:line="263" w:lineRule="auto"/>
        <w:rPr>
          <w:sz w:val="20"/>
          <w:szCs w:val="20"/>
          <w:color w:val="auto"/>
        </w:rPr>
      </w:pPr>
      <w:r>
        <w:rPr>
          <w:rFonts w:ascii="Arial" w:cs="Arial" w:eastAsia="Arial" w:hAnsi="Arial"/>
          <w:sz w:val="14"/>
          <w:szCs w:val="14"/>
          <w:color w:val="auto"/>
        </w:rPr>
        <w:t>We currently do not operate manufacturing facilities and rely on FCDI for the manufacture of our product candidates and CMOs for the manufacture of related raw materials for clinical and preclinical development. If we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would be delayed and our business, financial condition, results of operations, and prospects may be materially harmed. See “Business--Licensing, partnerships and collaboration— Fujifilm Cellular Dynamics, Inc.—Manufacturing and Supply Agreement” and “Business— Licensing, partnerships and collaboration—Fujifilm Cellular Dynamics, Inc.—Master Collaboration Agreement” for a description of our Manufacturing Agreement and Master Collaboration Agreement with FCDI. We are investing in the construction of our own 53,000 square foot cell therapy manufacturing facility in Branchburg, New Jersey, but there can be no assurance our manufacturing facility will become operational on schedule or at all.</w:t>
      </w:r>
    </w:p>
    <w:p>
      <w:pPr>
        <w:spacing w:after="0" w:line="27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200" w:lineRule="exact"/>
        <w:rPr>
          <w:sz w:val="20"/>
          <w:szCs w:val="20"/>
          <w:color w:val="auto"/>
        </w:rPr>
      </w:pPr>
    </w:p>
    <w:p>
      <w:pPr>
        <w:spacing w:after="0" w:line="254"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Our or a CMO’s failure to execute on our manufacturing requirements, to do so on commercially reasonable terms and comply with cGMP could adversely affect our business in a number of ways, including:</w:t>
      </w:r>
    </w:p>
    <w:p>
      <w:pPr>
        <w:spacing w:after="0" w:line="70" w:lineRule="exact"/>
        <w:rPr>
          <w:sz w:val="20"/>
          <w:szCs w:val="20"/>
          <w:color w:val="auto"/>
        </w:rPr>
      </w:pPr>
    </w:p>
    <w:p>
      <w:pPr>
        <w:ind w:left="1360" w:right="1599" w:hanging="111"/>
        <w:spacing w:after="0" w:line="286" w:lineRule="auto"/>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 inability to initiate or continue clinical trials of CNTY-101 or our other product candidates under development;</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delay in submitting regulatory applications, or receiving marketing approvals, for our product candidates;</w:t>
      </w:r>
    </w:p>
    <w:p>
      <w:pPr>
        <w:spacing w:after="0" w:line="55"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subjecting third-party manufacturing facilities or our manufacturing facilities to additional inspections by regulatory authorities;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requirements to cease development or to recall batches of our product candidates; and</w:t>
      </w:r>
    </w:p>
    <w:p>
      <w:pPr>
        <w:spacing w:after="0" w:line="106" w:lineRule="exact"/>
        <w:rPr>
          <w:rFonts w:ascii="Arial" w:cs="Arial" w:eastAsia="Arial" w:hAnsi="Arial"/>
          <w:sz w:val="14"/>
          <w:szCs w:val="14"/>
          <w:color w:val="auto"/>
        </w:rPr>
      </w:pPr>
    </w:p>
    <w:p>
      <w:pPr>
        <w:ind w:left="1360" w:right="1799" w:hanging="111"/>
        <w:spacing w:after="0" w:line="278" w:lineRule="auto"/>
        <w:tabs>
          <w:tab w:leader="none" w:pos="1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the event of approval to market and commercialize CNTY-101 or our other product candidates, an inability to meet commercial demands for CNTY-101 or our other product candidates.</w:t>
      </w:r>
    </w:p>
    <w:p>
      <w:pPr>
        <w:spacing w:after="0" w:line="83"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106"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29" w:lineRule="exact"/>
        <w:rPr>
          <w:sz w:val="20"/>
          <w:szCs w:val="20"/>
          <w:color w:val="auto"/>
        </w:rPr>
      </w:pPr>
    </w:p>
    <w:p>
      <w:pPr>
        <w:jc w:val="both"/>
        <w:ind w:left="1240" w:right="1759"/>
        <w:spacing w:after="0" w:line="243" w:lineRule="auto"/>
        <w:rPr>
          <w:sz w:val="20"/>
          <w:szCs w:val="20"/>
          <w:color w:val="auto"/>
        </w:rPr>
      </w:pPr>
      <w:r>
        <w:rPr>
          <w:rFonts w:ascii="Arial" w:cs="Arial" w:eastAsia="Arial" w:hAnsi="Arial"/>
          <w:sz w:val="14"/>
          <w:szCs w:val="14"/>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05" w:lineRule="exact"/>
        <w:rPr>
          <w:sz w:val="20"/>
          <w:szCs w:val="20"/>
          <w:color w:val="auto"/>
        </w:rPr>
      </w:pPr>
    </w:p>
    <w:p>
      <w:pPr>
        <w:ind w:left="1240" w:right="1499"/>
        <w:spacing w:after="0" w:line="263" w:lineRule="auto"/>
        <w:rPr>
          <w:sz w:val="20"/>
          <w:szCs w:val="20"/>
          <w:color w:val="auto"/>
        </w:rPr>
      </w:pPr>
      <w:r>
        <w:rPr>
          <w:rFonts w:ascii="Arial" w:cs="Arial" w:eastAsia="Arial" w:hAnsi="Arial"/>
          <w:sz w:val="14"/>
          <w:szCs w:val="14"/>
          <w:color w:val="auto"/>
        </w:rPr>
        <w:t>We believe that internal cGMP manufacturing is important to facilitate clinical product supply, lower the risk of manufacturing disruptions, and enable more cost-effective manufacturing. We believe our Branchburg, New Jersey</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pacing w:after="0" w:line="266"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also may encounter problems with the following:</w:t>
      </w:r>
    </w:p>
    <w:p>
      <w:pPr>
        <w:spacing w:after="0" w:line="96" w:lineRule="exact"/>
        <w:rPr>
          <w:sz w:val="20"/>
          <w:szCs w:val="20"/>
          <w:color w:val="auto"/>
        </w:rPr>
      </w:pPr>
    </w:p>
    <w:p>
      <w:pPr>
        <w:ind w:left="1360" w:right="169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complying with regulations regarding donor traceability, manufacturing, release of product candidates and other requirements from regulatory authorities outside the United States;</w:t>
      </w:r>
    </w:p>
    <w:p>
      <w:pPr>
        <w:spacing w:after="0" w:line="66"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achieving adequate or clinical-grade materials that meet regulatory agency standards or specifications with consistent and acceptable production yield and costs;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bacterial, fungal, or viral contamination in our manufacturing facility; and</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shortages of qualified personnel, raw materials, or key contractors.</w:t>
      </w:r>
    </w:p>
    <w:p>
      <w:pPr>
        <w:spacing w:after="0" w:line="12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34" w:lineRule="exact"/>
        <w:rPr>
          <w:sz w:val="20"/>
          <w:szCs w:val="20"/>
          <w:color w:val="auto"/>
        </w:rPr>
      </w:pPr>
    </w:p>
    <w:p>
      <w:pPr>
        <w:ind w:left="1240" w:right="1419"/>
        <w:spacing w:after="0" w:line="262" w:lineRule="auto"/>
        <w:rPr>
          <w:sz w:val="20"/>
          <w:szCs w:val="20"/>
          <w:color w:val="auto"/>
        </w:rPr>
      </w:pPr>
      <w:r>
        <w:rPr>
          <w:rFonts w:ascii="Arial" w:cs="Arial" w:eastAsia="Arial" w:hAnsi="Arial"/>
          <w:sz w:val="14"/>
          <w:szCs w:val="14"/>
          <w:b w:val="1"/>
          <w:bCs w:val="1"/>
          <w:i w:val="1"/>
          <w:iCs w:val="1"/>
          <w:color w:val="auto"/>
        </w:rPr>
        <w:t>We are dependent on third parties to store our CAR-iNK and CAR-iT cells and master and working cell banks of the engineered iPSC cells.</w:t>
      </w:r>
    </w:p>
    <w:p>
      <w:pPr>
        <w:spacing w:after="0" w:line="8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 CAR-iNK and CAR-iT cells and the master and working cell banks of the engineered iPSC cells are stored in freezers at third-party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56" w:lineRule="exact"/>
        <w:rPr>
          <w:sz w:val="20"/>
          <w:szCs w:val="20"/>
          <w:color w:val="auto"/>
        </w:rPr>
      </w:pPr>
    </w:p>
    <w:p>
      <w:pPr>
        <w:ind w:left="1240" w:right="1499"/>
        <w:spacing w:after="0" w:line="243" w:lineRule="auto"/>
        <w:rPr>
          <w:sz w:val="20"/>
          <w:szCs w:val="20"/>
          <w:color w:val="auto"/>
        </w:rPr>
      </w:pPr>
      <w:r>
        <w:rPr>
          <w:rFonts w:ascii="Arial" w:cs="Arial" w:eastAsia="Arial" w:hAnsi="Arial"/>
          <w:sz w:val="14"/>
          <w:szCs w:val="14"/>
          <w:b w:val="1"/>
          <w:bCs w:val="1"/>
          <w:i w:val="1"/>
          <w:iCs w:val="1"/>
          <w:color w:val="auto"/>
        </w:rPr>
        <w:t>If we are unable to successfully commercialize CNTY- 101 or any of our other product candidates for which we receive regulatory approval, or experience significant delays in doing so, our business will be materially harmed.</w:t>
      </w:r>
    </w:p>
    <w:p>
      <w:pPr>
        <w:spacing w:after="0" w:line="105" w:lineRule="exact"/>
        <w:rPr>
          <w:sz w:val="20"/>
          <w:szCs w:val="20"/>
          <w:color w:val="auto"/>
        </w:rPr>
      </w:pPr>
    </w:p>
    <w:p>
      <w:pPr>
        <w:jc w:val="both"/>
        <w:ind w:left="1240" w:right="1579"/>
        <w:spacing w:after="0" w:line="263" w:lineRule="auto"/>
        <w:rPr>
          <w:sz w:val="20"/>
          <w:szCs w:val="20"/>
          <w:color w:val="auto"/>
        </w:rPr>
      </w:pPr>
      <w:r>
        <w:rPr>
          <w:rFonts w:ascii="Arial" w:cs="Arial" w:eastAsia="Arial" w:hAnsi="Arial"/>
          <w:sz w:val="14"/>
          <w:szCs w:val="14"/>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9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whether alone or in collaboration with others;</w:t>
      </w:r>
    </w:p>
    <w:p>
      <w:pPr>
        <w:spacing w:after="0" w:line="66" w:lineRule="exact"/>
        <w:rPr>
          <w:rFonts w:ascii="Arial" w:cs="Arial" w:eastAsia="Arial" w:hAnsi="Arial"/>
          <w:sz w:val="14"/>
          <w:szCs w:val="14"/>
          <w:color w:val="auto"/>
        </w:rPr>
      </w:pPr>
    </w:p>
    <w:p>
      <w:pPr>
        <w:ind w:left="1360" w:right="1379" w:hanging="111"/>
        <w:spacing w:after="0" w:line="278"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receiving an approved label with claims that are necessary or desirable for successful marketing, and that does not contain safety or other limitations that would impede our ability to market our product candidates;</w:t>
      </w:r>
    </w:p>
    <w:p>
      <w:pPr>
        <w:spacing w:after="0" w:line="61"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creating market demand for our product candidates through marketing, sales, and promotion activities;</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hiring, training, and deploying a sales force or contracting with third parties to commercialize our product candidates;</w:t>
      </w:r>
    </w:p>
    <w:p>
      <w:pPr>
        <w:spacing w:after="0" w:line="66" w:lineRule="exact"/>
        <w:rPr>
          <w:rFonts w:ascii="Arial" w:cs="Arial" w:eastAsia="Arial" w:hAnsi="Arial"/>
          <w:sz w:val="14"/>
          <w:szCs w:val="14"/>
          <w:color w:val="auto"/>
        </w:rPr>
      </w:pPr>
    </w:p>
    <w:p>
      <w:pPr>
        <w:ind w:left="1360" w:right="1739" w:hanging="111"/>
        <w:spacing w:after="0" w:line="278"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manufacturing, either on our own or through third parties, product candidates in sufficient quantities and at acceptable quality and cost to meet commercial demand at launch and thereafter;</w:t>
      </w:r>
    </w:p>
    <w:p>
      <w:pPr>
        <w:spacing w:after="0" w:line="72" w:lineRule="exact"/>
        <w:rPr>
          <w:rFonts w:ascii="Arial" w:cs="Arial" w:eastAsia="Arial" w:hAnsi="Arial"/>
          <w:sz w:val="14"/>
          <w:szCs w:val="14"/>
          <w:color w:val="auto"/>
        </w:rPr>
      </w:pPr>
    </w:p>
    <w:p>
      <w:pPr>
        <w:ind w:left="1360" w:right="141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establishing and maintaining agreements with wholesalers, distributors, and group purchasing organizations on commercially reasonable terms;</w:t>
      </w:r>
    </w:p>
    <w:p>
      <w:pPr>
        <w:spacing w:after="0" w:line="6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creating partnerships with, or offering licenses to, third parties to promote and sell product candidates in foreign markets where we receive marketing approval;</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obtaining, maintaining, protecting, and enforcing patent and trade secret protection and regulatory exclusivity for our product candidates;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achieving market acceptance of our product candidates by patients, the medical community, and third-party payors;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achieving appropriate reimbursement for our product candidates;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maintaining an acceptable tolerability profile of our product candidates following launch.</w:t>
      </w:r>
    </w:p>
    <w:p>
      <w:pPr>
        <w:spacing w:after="0" w:line="128"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To the extent we are not able to do any of the foregoing, our business, financial condition, results of operations, and prospects will be materially harmed.</w:t>
      </w:r>
    </w:p>
    <w:p>
      <w:pPr>
        <w:spacing w:after="0" w:line="125" w:lineRule="exact"/>
        <w:rPr>
          <w:sz w:val="20"/>
          <w:szCs w:val="20"/>
          <w:color w:val="auto"/>
        </w:rPr>
      </w:pPr>
    </w:p>
    <w:p>
      <w:pPr>
        <w:ind w:left="1240" w:right="1419"/>
        <w:spacing w:after="0" w:line="243" w:lineRule="auto"/>
        <w:rPr>
          <w:sz w:val="20"/>
          <w:szCs w:val="20"/>
          <w:color w:val="auto"/>
        </w:rPr>
      </w:pPr>
      <w:r>
        <w:rPr>
          <w:rFonts w:ascii="Arial" w:cs="Arial" w:eastAsia="Arial" w:hAnsi="Arial"/>
          <w:sz w:val="14"/>
          <w:szCs w:val="14"/>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05"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29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95"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310" w:lineRule="exact"/>
        <w:rPr>
          <w:sz w:val="20"/>
          <w:szCs w:val="20"/>
          <w:color w:val="auto"/>
        </w:rPr>
      </w:pPr>
    </w:p>
    <w:p>
      <w:pPr>
        <w:ind w:left="1240" w:right="1299"/>
        <w:spacing w:after="0" w:line="262" w:lineRule="auto"/>
        <w:rPr>
          <w:sz w:val="20"/>
          <w:szCs w:val="20"/>
          <w:color w:val="auto"/>
        </w:rPr>
      </w:pPr>
      <w:r>
        <w:rPr>
          <w:rFonts w:ascii="Arial" w:cs="Arial" w:eastAsia="Arial" w:hAnsi="Arial"/>
          <w:sz w:val="14"/>
          <w:szCs w:val="14"/>
          <w:b w:val="1"/>
          <w:bCs w:val="1"/>
          <w:i w:val="1"/>
          <w:iCs w:val="1"/>
          <w:color w:val="auto"/>
        </w:rPr>
        <w:t>We expect to face uncertainty regarding the pricing of our existing product candidates and any other product candidates that we may develop.</w:t>
      </w:r>
    </w:p>
    <w:p>
      <w:pPr>
        <w:spacing w:after="0" w:line="9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8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08" w:lineRule="exact"/>
        <w:rPr>
          <w:sz w:val="20"/>
          <w:szCs w:val="20"/>
          <w:color w:val="auto"/>
        </w:rPr>
      </w:pPr>
    </w:p>
    <w:p>
      <w:pPr>
        <w:ind w:left="1240" w:right="1579"/>
        <w:spacing w:after="0" w:line="243"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95"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Even if coverage is provided, the approved reimbursement amount may not be sufficient to allow us to establish or maintain pricing to generate income.</w:t>
      </w:r>
    </w:p>
    <w:p>
      <w:pPr>
        <w:spacing w:after="0" w:line="100"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305" w:lineRule="exact"/>
        <w:rPr>
          <w:sz w:val="20"/>
          <w:szCs w:val="20"/>
          <w:color w:val="auto"/>
        </w:rPr>
      </w:pPr>
    </w:p>
    <w:p>
      <w:pPr>
        <w:ind w:left="1240" w:right="1399"/>
        <w:spacing w:after="0" w:line="262" w:lineRule="auto"/>
        <w:rPr>
          <w:sz w:val="20"/>
          <w:szCs w:val="20"/>
          <w:color w:val="auto"/>
        </w:rPr>
      </w:pPr>
      <w:r>
        <w:rPr>
          <w:rFonts w:ascii="Arial" w:cs="Arial" w:eastAsia="Arial" w:hAnsi="Arial"/>
          <w:sz w:val="14"/>
          <w:szCs w:val="14"/>
          <w:b w:val="1"/>
          <w:bCs w:val="1"/>
          <w:i w:val="1"/>
          <w:iCs w:val="1"/>
          <w:color w:val="auto"/>
        </w:rPr>
        <w:t>Even if we obtain regulatory and marketing approval for a product candidate, our product candidates will remain subject to regulatory oversight.</w:t>
      </w:r>
    </w:p>
    <w:p>
      <w:pPr>
        <w:spacing w:after="0" w:line="9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282"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81" w:lineRule="exact"/>
        <w:rPr>
          <w:sz w:val="20"/>
          <w:szCs w:val="20"/>
          <w:color w:val="auto"/>
        </w:rPr>
      </w:pPr>
    </w:p>
    <w:p>
      <w:pPr>
        <w:ind w:left="1240" w:right="1379"/>
        <w:spacing w:after="0" w:line="286" w:lineRule="auto"/>
        <w:rPr>
          <w:sz w:val="20"/>
          <w:szCs w:val="20"/>
          <w:color w:val="auto"/>
        </w:rPr>
      </w:pPr>
      <w:r>
        <w:rPr>
          <w:rFonts w:ascii="Arial" w:cs="Arial" w:eastAsia="Arial" w:hAnsi="Arial"/>
          <w:sz w:val="14"/>
          <w:szCs w:val="14"/>
          <w:color w:val="auto"/>
        </w:rPr>
        <w:t>If we or our contractors fail to comply with applicable regulatory requirements following approval of CNTY-101 or our other product candidates, a regulatory authority may:</w:t>
      </w:r>
    </w:p>
    <w:p>
      <w:pPr>
        <w:spacing w:after="0" w:line="66" w:lineRule="exact"/>
        <w:rPr>
          <w:sz w:val="20"/>
          <w:szCs w:val="20"/>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issue a warning letter asserting that we are in violation of the law;</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request voluntary product recalls;</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seek an injunction or impose administrative, civil, or criminal penalties or monetary fines;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suspend or withdraw regulatory approval;</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suspend any ongoing clinical trials;</w:t>
      </w:r>
    </w:p>
    <w:p>
      <w:pPr>
        <w:spacing w:after="0" w:line="21" w:lineRule="exact"/>
        <w:rPr>
          <w:rFonts w:ascii="Arial" w:cs="Arial" w:eastAsia="Arial" w:hAnsi="Arial"/>
          <w:sz w:val="14"/>
          <w:szCs w:val="14"/>
          <w:color w:val="auto"/>
        </w:rPr>
      </w:pPr>
    </w:p>
    <w:p>
      <w:pPr>
        <w:ind w:left="1360" w:right="1979" w:hanging="111"/>
        <w:spacing w:after="0" w:line="271" w:lineRule="auto"/>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refuse to approve a pending BLA or comparable foreign marketing application (or any supplements thereto);</w:t>
      </w: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restrict the marketing or manufacturing of the product;</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seize or detain the product or otherwise require the withdrawal of the product from the market;</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refuse to permit the import or export of product candidates; or</w:t>
      </w:r>
    </w:p>
    <w:p>
      <w:pPr>
        <w:spacing w:after="0" w:line="21" w:lineRule="exact"/>
        <w:rPr>
          <w:rFonts w:ascii="Arial" w:cs="Arial" w:eastAsia="Arial" w:hAnsi="Arial"/>
          <w:sz w:val="14"/>
          <w:szCs w:val="14"/>
          <w:color w:val="auto"/>
        </w:rPr>
      </w:pPr>
    </w:p>
    <w:p>
      <w:pPr>
        <w:ind w:left="1360" w:hanging="111"/>
        <w:spacing w:after="0"/>
        <w:tabs>
          <w:tab w:leader="none" w:pos="1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refuse to allow us to enter into supply contracts, including government contracts.</w:t>
      </w:r>
    </w:p>
    <w:p>
      <w:pPr>
        <w:spacing w:after="0" w:line="139"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301" w:lineRule="exact"/>
        <w:rPr>
          <w:sz w:val="20"/>
          <w:szCs w:val="20"/>
          <w:color w:val="auto"/>
        </w:rPr>
      </w:pPr>
    </w:p>
    <w:p>
      <w:pPr>
        <w:ind w:left="1240" w:right="1479"/>
        <w:spacing w:after="0" w:line="262"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we may not achieve broad market acceptance.</w:t>
      </w:r>
    </w:p>
    <w:p>
      <w:pPr>
        <w:spacing w:after="0" w:line="104"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256" w:lineRule="exact"/>
        <w:rPr>
          <w:sz w:val="20"/>
          <w:szCs w:val="20"/>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 associated with our product candidates;</w:t>
      </w:r>
    </w:p>
    <w:p>
      <w:pPr>
        <w:spacing w:after="0" w:line="10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limitations or warnings contained in the labeling approved for our product candidates by the FDA or comparable foreign regulatory authority, such as a “black box” warning;</w:t>
      </w:r>
    </w:p>
    <w:p>
      <w:pPr>
        <w:spacing w:after="0" w:line="6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availability of alternative treatments, including any competitive therapies in development that could be approved or commercially launched prior to approval of our product candidates;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66" w:lineRule="exact"/>
        <w:rPr>
          <w:rFonts w:ascii="Arial" w:cs="Arial" w:eastAsia="Arial" w:hAnsi="Arial"/>
          <w:sz w:val="14"/>
          <w:szCs w:val="14"/>
          <w:color w:val="auto"/>
        </w:rPr>
      </w:pPr>
    </w:p>
    <w:p>
      <w:pPr>
        <w:ind w:left="1360" w:right="1979" w:hanging="111"/>
        <w:spacing w:after="0" w:line="286" w:lineRule="auto"/>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 and timing of market introduction of competitive products;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pricing;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payor acceptance;</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impact of any future changes to the United States healthcare system;</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effectiveness of our sales and marketing strategies; and</w:t>
      </w:r>
    </w:p>
    <w:p>
      <w:pPr>
        <w:spacing w:after="0" w:line="106" w:lineRule="exact"/>
        <w:rPr>
          <w:rFonts w:ascii="Arial" w:cs="Arial" w:eastAsia="Arial" w:hAnsi="Arial"/>
          <w:sz w:val="14"/>
          <w:szCs w:val="14"/>
          <w:color w:val="auto"/>
        </w:rPr>
      </w:pPr>
    </w:p>
    <w:p>
      <w:pPr>
        <w:ind w:left="1360" w:right="1399" w:hanging="111"/>
        <w:spacing w:after="0" w:line="281" w:lineRule="auto"/>
        <w:tabs>
          <w:tab w:leader="none" w:pos="1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270"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23" w:lineRule="exact"/>
        <w:rPr>
          <w:sz w:val="20"/>
          <w:szCs w:val="20"/>
          <w:color w:val="auto"/>
        </w:rPr>
      </w:pPr>
    </w:p>
    <w:p>
      <w:pPr>
        <w:ind w:left="1240" w:right="1319"/>
        <w:spacing w:after="0" w:line="243"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16"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In order to market any product outside of the United States, we must establish and comply with the numerous and varying safety, efficacy, and other regulatory requirements of other jurisdictions, including potential additional</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310" w:lineRule="exact"/>
        <w:rPr>
          <w:sz w:val="20"/>
          <w:szCs w:val="20"/>
          <w:color w:val="auto"/>
        </w:rPr>
      </w:pPr>
    </w:p>
    <w:p>
      <w:pPr>
        <w:ind w:left="1240" w:right="1399"/>
        <w:spacing w:after="0" w:line="243" w:lineRule="auto"/>
        <w:rPr>
          <w:sz w:val="20"/>
          <w:szCs w:val="20"/>
          <w:color w:val="auto"/>
        </w:rPr>
      </w:pPr>
      <w:r>
        <w:rPr>
          <w:rFonts w:ascii="Arial" w:cs="Arial" w:eastAsia="Arial" w:hAnsi="Arial"/>
          <w:sz w:val="14"/>
          <w:szCs w:val="14"/>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05"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294"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0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97"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In the event we are unable to develop a marketing and sales infrastructure, we may not be able to commercialize CNTY-101 or our other product candidates in the United States or elsewhere, which could limit our ability to generate product revenues and materially harm our business, financial condition, results of operations, and prospects.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739"/>
        <w:spacing w:after="0" w:line="262" w:lineRule="auto"/>
        <w:rPr>
          <w:sz w:val="20"/>
          <w:szCs w:val="20"/>
          <w:color w:val="auto"/>
        </w:rPr>
      </w:pPr>
      <w:r>
        <w:rPr>
          <w:rFonts w:ascii="Arial" w:cs="Arial" w:eastAsia="Arial" w:hAnsi="Arial"/>
          <w:sz w:val="14"/>
          <w:szCs w:val="14"/>
          <w:b w:val="1"/>
          <w:bCs w:val="1"/>
          <w:i w:val="1"/>
          <w:iCs w:val="1"/>
          <w:color w:val="auto"/>
        </w:rPr>
        <w:t>If the market opportunities for our products are smaller than we believe they are, our revenue may be adversely affected, and our business may suffer.</w:t>
      </w:r>
    </w:p>
    <w:p>
      <w:pPr>
        <w:spacing w:after="0" w:line="9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 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29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310" w:lineRule="exact"/>
        <w:rPr>
          <w:sz w:val="20"/>
          <w:szCs w:val="20"/>
          <w:color w:val="auto"/>
        </w:rPr>
      </w:pPr>
    </w:p>
    <w:p>
      <w:pPr>
        <w:ind w:left="1240" w:right="1299"/>
        <w:spacing w:after="0" w:line="243"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72" w:lineRule="exact"/>
        <w:rPr>
          <w:sz w:val="20"/>
          <w:szCs w:val="20"/>
          <w:color w:val="auto"/>
        </w:rPr>
      </w:pPr>
    </w:p>
    <w:p>
      <w:pPr>
        <w:jc w:val="both"/>
        <w:ind w:left="1360" w:right="1379" w:hanging="111"/>
        <w:spacing w:after="0" w:line="278"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development, regulatory approval, and commercialization activities relating to CNTY-101 and our other product candidates, which may change from time to time;</w:t>
      </w:r>
    </w:p>
    <w:p>
      <w:pPr>
        <w:spacing w:after="0" w:line="72"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coverage and reimbursement policies with respect to CNTY-101 and our other product candidates, if approved, and potential future drugs or biologics that compete with our products;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of manufacturing CNTY-101 and our other product candidates, which may vary depending on the quantity of production and the terms of our agreements with CMOs;</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timing and amount of the milestone or other payments we must make to the licensors and other third parties from whom we have in-licensed or acquired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level of demand for any approved products, which may vary significantly;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and</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459" w:hanging="111"/>
        <w:spacing w:after="0" w:line="286" w:lineRule="auto"/>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other change in the competitive landscape of our industry, including consolidation among our competitors or partners.</w:t>
      </w:r>
    </w:p>
    <w:p>
      <w:pPr>
        <w:spacing w:after="0" w:line="87" w:lineRule="exact"/>
        <w:rPr>
          <w:sz w:val="20"/>
          <w:szCs w:val="20"/>
          <w:color w:val="auto"/>
        </w:rPr>
      </w:pPr>
    </w:p>
    <w:p>
      <w:pPr>
        <w:ind w:left="1240" w:right="1259"/>
        <w:spacing w:after="0" w:line="292"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5" w:lineRule="exact"/>
        <w:rPr>
          <w:sz w:val="20"/>
          <w:szCs w:val="20"/>
          <w:color w:val="auto"/>
        </w:rPr>
      </w:pPr>
    </w:p>
    <w:p>
      <w:pPr>
        <w:ind w:left="1240" w:right="1299"/>
        <w:spacing w:after="0" w:line="291" w:lineRule="auto"/>
        <w:rPr>
          <w:sz w:val="20"/>
          <w:szCs w:val="20"/>
          <w:color w:val="auto"/>
        </w:rPr>
      </w:pPr>
      <w:r>
        <w:rPr>
          <w:rFonts w:ascii="Arial" w:cs="Arial" w:eastAsia="Arial" w:hAnsi="Arial"/>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14" w:lineRule="exact"/>
        <w:rPr>
          <w:sz w:val="20"/>
          <w:szCs w:val="20"/>
          <w:color w:val="auto"/>
        </w:rPr>
      </w:pPr>
    </w:p>
    <w:p>
      <w:pPr>
        <w:ind w:left="1240" w:right="1259"/>
        <w:spacing w:after="0" w:line="273" w:lineRule="auto"/>
        <w:rPr>
          <w:sz w:val="20"/>
          <w:szCs w:val="20"/>
          <w:color w:val="auto"/>
        </w:rPr>
      </w:pPr>
      <w:r>
        <w:rPr>
          <w:rFonts w:ascii="Arial" w:cs="Arial" w:eastAsia="Arial" w:hAnsi="Arial"/>
          <w:sz w:val="17"/>
          <w:szCs w:val="17"/>
          <w:b w:val="1"/>
          <w:bCs w:val="1"/>
          <w:color w:val="auto"/>
        </w:rPr>
        <w:t>Risks related to employee matters, managing growth and other risks related to our business</w:t>
      </w:r>
    </w:p>
    <w:p>
      <w:pPr>
        <w:spacing w:after="0" w:line="121" w:lineRule="exact"/>
        <w:rPr>
          <w:sz w:val="20"/>
          <w:szCs w:val="20"/>
          <w:color w:val="auto"/>
        </w:rPr>
      </w:pPr>
    </w:p>
    <w:p>
      <w:pPr>
        <w:ind w:left="1240" w:right="1639"/>
        <w:spacing w:after="0" w:line="258" w:lineRule="auto"/>
        <w:rPr>
          <w:sz w:val="20"/>
          <w:szCs w:val="20"/>
          <w:color w:val="auto"/>
        </w:rPr>
      </w:pPr>
      <w:r>
        <w:rPr>
          <w:rFonts w:ascii="Arial" w:cs="Arial" w:eastAsia="Arial" w:hAnsi="Arial"/>
          <w:sz w:val="14"/>
          <w:szCs w:val="14"/>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07" w:lineRule="exact"/>
        <w:rPr>
          <w:sz w:val="20"/>
          <w:szCs w:val="20"/>
          <w:color w:val="auto"/>
        </w:rPr>
      </w:pPr>
    </w:p>
    <w:p>
      <w:pPr>
        <w:ind w:left="1240" w:right="1419"/>
        <w:spacing w:after="0" w:line="289"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98" w:lineRule="exact"/>
        <w:rPr>
          <w:sz w:val="20"/>
          <w:szCs w:val="20"/>
          <w:color w:val="auto"/>
        </w:rPr>
      </w:pPr>
    </w:p>
    <w:p>
      <w:pPr>
        <w:ind w:left="1240" w:right="1319"/>
        <w:spacing w:after="0" w:line="289" w:lineRule="auto"/>
        <w:rPr>
          <w:sz w:val="20"/>
          <w:szCs w:val="20"/>
          <w:color w:val="auto"/>
        </w:rPr>
      </w:pPr>
      <w:r>
        <w:rPr>
          <w:rFonts w:ascii="Arial" w:cs="Arial" w:eastAsia="Arial" w:hAnsi="Arial"/>
          <w:sz w:val="14"/>
          <w:szCs w:val="14"/>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301" w:lineRule="exact"/>
        <w:rPr>
          <w:sz w:val="20"/>
          <w:szCs w:val="20"/>
          <w:color w:val="auto"/>
        </w:rPr>
      </w:pPr>
    </w:p>
    <w:p>
      <w:pPr>
        <w:ind w:left="1240" w:right="1259"/>
        <w:spacing w:after="0" w:line="288" w:lineRule="auto"/>
        <w:rPr>
          <w:sz w:val="20"/>
          <w:szCs w:val="20"/>
          <w:color w:val="auto"/>
        </w:rPr>
      </w:pPr>
      <w:r>
        <w:rPr>
          <w:rFonts w:ascii="Arial" w:cs="Arial" w:eastAsia="Arial" w:hAnsi="Arial"/>
          <w:sz w:val="14"/>
          <w:szCs w:val="14"/>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939"/>
        <w:spacing w:after="0" w:line="262" w:lineRule="auto"/>
        <w:rPr>
          <w:sz w:val="20"/>
          <w:szCs w:val="20"/>
          <w:color w:val="auto"/>
        </w:rPr>
      </w:pPr>
      <w:r>
        <w:rPr>
          <w:rFonts w:ascii="Arial" w:cs="Arial" w:eastAsia="Arial" w:hAnsi="Arial"/>
          <w:sz w:val="14"/>
          <w:szCs w:val="14"/>
          <w:b w:val="1"/>
          <w:bCs w:val="1"/>
          <w:i w:val="1"/>
          <w:iCs w:val="1"/>
          <w:color w:val="auto"/>
        </w:rPr>
        <w:t>We will need to increase the size and capabilities of our organization, and we may experience difficulties in managing our growth.</w:t>
      </w:r>
    </w:p>
    <w:p>
      <w:pPr>
        <w:spacing w:after="0" w:line="82"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As of April 30, 2021, we had 107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84" w:lineRule="exact"/>
        <w:rPr>
          <w:sz w:val="20"/>
          <w:szCs w:val="20"/>
          <w:color w:val="auto"/>
        </w:rPr>
      </w:pPr>
    </w:p>
    <w:p>
      <w:pPr>
        <w:ind w:left="1360" w:hanging="111"/>
        <w:spacing w:after="0"/>
        <w:tabs>
          <w:tab w:leader="none" w:pos="1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identifying, recruiting, integrating, maintaining, and motivating additional employees;</w:t>
      </w:r>
    </w:p>
    <w:p>
      <w:pPr>
        <w:spacing w:after="0" w:line="106"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72" w:lineRule="exact"/>
        <w:rPr>
          <w:rFonts w:ascii="Arial" w:cs="Arial" w:eastAsia="Arial" w:hAnsi="Arial"/>
          <w:sz w:val="14"/>
          <w:szCs w:val="14"/>
          <w:color w:val="auto"/>
        </w:rPr>
      </w:pPr>
    </w:p>
    <w:p>
      <w:pPr>
        <w:ind w:left="1360" w:right="1899" w:hanging="111"/>
        <w:spacing w:after="0" w:line="286" w:lineRule="auto"/>
        <w:tabs>
          <w:tab w:leader="none" w:pos="1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improving our operational, financial, and management controls, reporting systems, and procedures.</w:t>
      </w:r>
    </w:p>
    <w:p>
      <w:pPr>
        <w:spacing w:after="0" w:line="87" w:lineRule="exact"/>
        <w:rPr>
          <w:sz w:val="20"/>
          <w:szCs w:val="20"/>
          <w:color w:val="auto"/>
        </w:rPr>
      </w:pPr>
    </w:p>
    <w:p>
      <w:pPr>
        <w:ind w:left="1240" w:right="1639"/>
        <w:spacing w:after="0" w:line="258" w:lineRule="auto"/>
        <w:rPr>
          <w:sz w:val="20"/>
          <w:szCs w:val="20"/>
          <w:color w:val="auto"/>
        </w:rPr>
      </w:pPr>
      <w:r>
        <w:rPr>
          <w:rFonts w:ascii="Arial" w:cs="Arial" w:eastAsia="Arial" w:hAnsi="Arial"/>
          <w:sz w:val="14"/>
          <w:szCs w:val="14"/>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97"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304" w:lineRule="exact"/>
        <w:rPr>
          <w:sz w:val="20"/>
          <w:szCs w:val="20"/>
          <w:color w:val="auto"/>
        </w:rPr>
      </w:pPr>
    </w:p>
    <w:p>
      <w:pPr>
        <w:jc w:val="both"/>
        <w:ind w:left="1240" w:right="1539"/>
        <w:spacing w:after="0" w:line="243" w:lineRule="auto"/>
        <w:rPr>
          <w:sz w:val="20"/>
          <w:szCs w:val="20"/>
          <w:color w:val="auto"/>
        </w:rPr>
      </w:pPr>
      <w:r>
        <w:rPr>
          <w:rFonts w:ascii="Arial" w:cs="Arial" w:eastAsia="Arial" w:hAnsi="Arial"/>
          <w:sz w:val="14"/>
          <w:szCs w:val="14"/>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05"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Public health crises, such as pandemics or similar outbreaks, could adversely impact our business. A novel virus, severe acute respiratory syndrome coronavirus 2, or SARS-CpV-2 or coronavirus, which causes COVID-19 has spread to most countries across the world, including all 50 states within the United States and Canadian Provinces, including Philadelphia, Pennsylvania, Washington, and Hamilton, Ontario where our operations are located, and Madison, Wisconsin, where the manufacturing site for our product candidates is located. The coronavirus pandemic is evolving and has led to the implementation of various responses, including government-imposed quarantines, travel restrictions, and other public health safety measures. The extent to which the coronavirus impacts our operations or those of our consultants and collaborators, including FCDI, will depend on future developments, which are highly uncertain and cannot be predicted with confidence, including the duration of the outbreak, new information that will emerge concerning the severity of the coronavirus, new strains or mutations of the coronavirus, and the actions to contain the coronavirus or treat its impact, among others. In response to the spread of COVID-19, we have closed our executive offices with our administrative employees continuing their work outside of our offices and limited the number of staff in any given research and development laboratory and have taken other precautionary measures as well, including the periodic testing of our employees. We have experienced modest delays in our discovery and development activities as a result of the COVID-19 pandemic, primarily due to temporary and partial shutdowns at certain of our CROs and academic institutions that have since resumed operations, and due to the Pennsylvania, Washington, and Ontario stay-at-home orders.</w:t>
      </w:r>
    </w:p>
    <w:p>
      <w:pPr>
        <w:spacing w:after="0" w:line="29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Potential disruptions to our preclinical development efforts include, but are not limited to:</w:t>
      </w:r>
    </w:p>
    <w:p>
      <w:pPr>
        <w:spacing w:after="0" w:line="107" w:lineRule="exact"/>
        <w:rPr>
          <w:sz w:val="20"/>
          <w:szCs w:val="20"/>
          <w:color w:val="auto"/>
        </w:rPr>
      </w:pPr>
    </w:p>
    <w:p>
      <w:pPr>
        <w:ind w:left="1360" w:right="1339" w:hanging="111"/>
        <w:spacing w:after="0" w:line="278" w:lineRule="auto"/>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72"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limitations on employee or other resources that would otherwise be focused on the conduct of our preclinical work, including because of sickness of employees or their families, the desire of employees to avoid travel or</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759"/>
        <w:spacing w:after="0" w:line="286" w:lineRule="auto"/>
        <w:rPr>
          <w:sz w:val="20"/>
          <w:szCs w:val="20"/>
          <w:color w:val="auto"/>
        </w:rPr>
      </w:pPr>
      <w:r>
        <w:rPr>
          <w:rFonts w:ascii="Arial" w:cs="Arial" w:eastAsia="Arial" w:hAnsi="Arial"/>
          <w:sz w:val="14"/>
          <w:szCs w:val="14"/>
          <w:color w:val="auto"/>
        </w:rPr>
        <w:t>contact with large groups of people, an increased reliance on working from home, school closures, or mass transit disruptions; and</w:t>
      </w:r>
    </w:p>
    <w:p>
      <w:pPr>
        <w:spacing w:after="0" w:line="77" w:lineRule="exact"/>
        <w:rPr>
          <w:sz w:val="20"/>
          <w:szCs w:val="20"/>
          <w:color w:val="auto"/>
        </w:rPr>
      </w:pPr>
    </w:p>
    <w:p>
      <w:pPr>
        <w:ind w:left="1360" w:right="1819" w:hanging="111"/>
        <w:spacing w:after="0" w:line="286" w:lineRule="auto"/>
        <w:tabs>
          <w:tab w:leader="none" w:pos="1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delays in necessary interactions with regulators, ethics committees, and other important agencies and contractors.</w:t>
      </w:r>
    </w:p>
    <w:p>
      <w:pPr>
        <w:spacing w:after="0" w:line="98"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 enrolling patients in clinical trials, interruption of, or delays in receiving, supplies of our product candidates, regulatory delays, changes in regulations as part of a response to the COVID-19 pandemic, and additional delays, difficulties, or interruptions as a result of current or future shutdowns.</w:t>
      </w:r>
    </w:p>
    <w:p>
      <w:pPr>
        <w:spacing w:after="0" w:line="279"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The COVID-19 global pandemic continues to rapidly evolve. Although many countries, including certain countries in Europe and the United States, have re-opened, rises in new cases have caused certain countries to re-initiate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the availability of vaccines, and actions to contain the outbreak or treat its impact.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305" w:lineRule="exact"/>
        <w:rPr>
          <w:sz w:val="20"/>
          <w:szCs w:val="20"/>
          <w:color w:val="auto"/>
        </w:rPr>
      </w:pPr>
    </w:p>
    <w:p>
      <w:pPr>
        <w:ind w:left="1240" w:right="1479"/>
        <w:spacing w:after="0" w:line="262" w:lineRule="auto"/>
        <w:rPr>
          <w:sz w:val="20"/>
          <w:szCs w:val="20"/>
          <w:color w:val="auto"/>
        </w:rPr>
      </w:pPr>
      <w:r>
        <w:rPr>
          <w:rFonts w:ascii="Arial" w:cs="Arial" w:eastAsia="Arial" w:hAnsi="Arial"/>
          <w:sz w:val="14"/>
          <w:szCs w:val="14"/>
          <w:b w:val="1"/>
          <w:bCs w:val="1"/>
          <w:i w:val="1"/>
          <w:iCs w:val="1"/>
          <w:color w:val="auto"/>
        </w:rPr>
        <w:t>We have incurred indebtedness, and we may incur additional indebtedness, which could adversely affect our business.</w:t>
      </w:r>
    </w:p>
    <w:p>
      <w:pPr>
        <w:spacing w:after="0" w:line="104"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As of May 31, 2021, we had an outstanding balance of $10.0 million under our Loan and Security Agreement with Hercules Capital, Inc., or the Loan Agreement. Our indebtedness could have important consequences to our stockholders. For example, it:</w:t>
      </w:r>
    </w:p>
    <w:p>
      <w:pPr>
        <w:spacing w:after="0" w:line="72" w:lineRule="exact"/>
        <w:rPr>
          <w:sz w:val="20"/>
          <w:szCs w:val="20"/>
          <w:color w:val="auto"/>
        </w:rPr>
      </w:pPr>
    </w:p>
    <w:p>
      <w:pPr>
        <w:ind w:left="1360" w:hanging="111"/>
        <w:spacing w:after="0"/>
        <w:tabs>
          <w:tab w:leader="none" w:pos="1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increases our vulnerability to adverse general economic and industry conditions;</w:t>
      </w:r>
    </w:p>
    <w:p>
      <w:pPr>
        <w:spacing w:after="0" w:line="128" w:lineRule="exact"/>
        <w:rPr>
          <w:rFonts w:ascii="Arial" w:cs="Arial" w:eastAsia="Arial" w:hAnsi="Arial"/>
          <w:sz w:val="14"/>
          <w:szCs w:val="14"/>
          <w:color w:val="auto"/>
        </w:rPr>
      </w:pPr>
    </w:p>
    <w:p>
      <w:pPr>
        <w:ind w:left="1360" w:right="1359" w:hanging="111"/>
        <w:spacing w:after="0" w:line="278" w:lineRule="auto"/>
        <w:tabs>
          <w:tab w:leader="none" w:pos="1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83"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limits our ability to obtain additional financing or refinancing in the future for working capital, clinical trials, research and development, or other purposes.</w:t>
      </w:r>
    </w:p>
    <w:p>
      <w:pPr>
        <w:spacing w:after="0" w:line="98"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304" w:lineRule="exact"/>
        <w:rPr>
          <w:sz w:val="20"/>
          <w:szCs w:val="20"/>
          <w:color w:val="auto"/>
        </w:rPr>
      </w:pPr>
    </w:p>
    <w:p>
      <w:pPr>
        <w:ind w:left="1240" w:right="1659"/>
        <w:spacing w:after="0" w:line="243" w:lineRule="auto"/>
        <w:rPr>
          <w:sz w:val="20"/>
          <w:szCs w:val="20"/>
          <w:color w:val="auto"/>
        </w:rPr>
      </w:pPr>
      <w:r>
        <w:rPr>
          <w:rFonts w:ascii="Arial" w:cs="Arial" w:eastAsia="Arial" w:hAnsi="Arial"/>
          <w:sz w:val="14"/>
          <w:szCs w:val="14"/>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05"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299" w:hanging="111"/>
        <w:spacing w:after="0" w:line="273"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46" w:lineRule="exact"/>
        <w:rPr>
          <w:rFonts w:ascii="Arial" w:cs="Arial" w:eastAsia="Arial" w:hAnsi="Arial"/>
          <w:sz w:val="14"/>
          <w:szCs w:val="14"/>
          <w:color w:val="auto"/>
        </w:rPr>
      </w:pPr>
    </w:p>
    <w:p>
      <w:pPr>
        <w:ind w:left="1360" w:right="1279" w:hanging="111"/>
        <w:spacing w:after="0" w:line="274"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257" w:lineRule="exact"/>
        <w:rPr>
          <w:rFonts w:ascii="Arial" w:cs="Arial" w:eastAsia="Arial" w:hAnsi="Arial"/>
          <w:sz w:val="14"/>
          <w:szCs w:val="14"/>
          <w:color w:val="auto"/>
        </w:rPr>
      </w:pPr>
    </w:p>
    <w:p>
      <w:pPr>
        <w:ind w:left="1360" w:right="1379" w:hanging="111"/>
        <w:spacing w:after="0" w:line="274"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55" w:lineRule="exact"/>
        <w:rPr>
          <w:rFonts w:ascii="Arial" w:cs="Arial" w:eastAsia="Arial" w:hAnsi="Arial"/>
          <w:sz w:val="14"/>
          <w:szCs w:val="14"/>
          <w:color w:val="auto"/>
        </w:rPr>
      </w:pPr>
    </w:p>
    <w:p>
      <w:pPr>
        <w:ind w:left="1360" w:right="1299" w:hanging="111"/>
        <w:spacing w:after="0" w:line="274"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255" w:lineRule="exact"/>
        <w:rPr>
          <w:rFonts w:ascii="Arial" w:cs="Arial" w:eastAsia="Arial" w:hAnsi="Arial"/>
          <w:sz w:val="14"/>
          <w:szCs w:val="14"/>
          <w:color w:val="auto"/>
        </w:rPr>
      </w:pPr>
    </w:p>
    <w:p>
      <w:pPr>
        <w:ind w:left="1360" w:right="1439" w:hanging="111"/>
        <w:spacing w:after="0" w:line="273"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78" w:lineRule="exact"/>
        <w:rPr>
          <w:rFonts w:ascii="Arial" w:cs="Arial" w:eastAsia="Arial" w:hAnsi="Arial"/>
          <w:sz w:val="14"/>
          <w:szCs w:val="14"/>
          <w:color w:val="auto"/>
        </w:rPr>
      </w:pPr>
    </w:p>
    <w:p>
      <w:pPr>
        <w:jc w:val="both"/>
        <w:ind w:left="1360" w:right="1279" w:hanging="111"/>
        <w:spacing w:after="0" w:line="278"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61" w:lineRule="exact"/>
        <w:rPr>
          <w:rFonts w:ascii="Arial" w:cs="Arial" w:eastAsia="Arial" w:hAnsi="Arial"/>
          <w:sz w:val="14"/>
          <w:szCs w:val="14"/>
          <w:color w:val="auto"/>
        </w:rPr>
      </w:pPr>
    </w:p>
    <w:p>
      <w:pPr>
        <w:ind w:left="1360" w:right="1379" w:hanging="111"/>
        <w:spacing w:after="0" w:line="272" w:lineRule="auto"/>
        <w:tabs>
          <w:tab w:leader="none" w:pos="1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right="1419"/>
        <w:spacing w:after="0" w:line="258" w:lineRule="auto"/>
        <w:rPr>
          <w:sz w:val="20"/>
          <w:szCs w:val="20"/>
          <w:color w:val="auto"/>
        </w:rPr>
      </w:pPr>
      <w:r>
        <w:rPr>
          <w:rFonts w:ascii="Arial" w:cs="Arial" w:eastAsia="Arial" w:hAnsi="Arial"/>
          <w:sz w:val="14"/>
          <w:szCs w:val="14"/>
          <w:color w:val="auto"/>
        </w:rPr>
        <w:t>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0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308" w:lineRule="exact"/>
        <w:rPr>
          <w:sz w:val="20"/>
          <w:szCs w:val="20"/>
          <w:color w:val="auto"/>
        </w:rPr>
      </w:pPr>
    </w:p>
    <w:p>
      <w:pPr>
        <w:ind w:left="1240" w:right="1779"/>
        <w:spacing w:after="0" w:line="243" w:lineRule="auto"/>
        <w:rPr>
          <w:sz w:val="20"/>
          <w:szCs w:val="20"/>
          <w:color w:val="auto"/>
        </w:rPr>
      </w:pPr>
      <w:r>
        <w:rPr>
          <w:rFonts w:ascii="Arial" w:cs="Arial" w:eastAsia="Arial" w:hAnsi="Arial"/>
          <w:sz w:val="14"/>
          <w:szCs w:val="14"/>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1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28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The Trump administration issued executive orders which sought to reduce burdens associated with the ACA and modified how it was implemented.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63" w:lineRule="auto"/>
        <w:rPr>
          <w:sz w:val="20"/>
          <w:szCs w:val="20"/>
          <w:color w:val="auto"/>
        </w:rPr>
      </w:pPr>
      <w:r>
        <w:rPr>
          <w:rFonts w:ascii="Arial" w:cs="Arial" w:eastAsia="Arial" w:hAnsi="Arial"/>
          <w:sz w:val="14"/>
          <w:szCs w:val="14"/>
          <w:color w:val="auto"/>
        </w:rPr>
        <w:t>and remanded the case to the Texas District Court to reconsider its earlier invalidation of the entire ACA. An appeal was taken to the U.S. Supreme Court which heard oral arguments in the case on November 10, 2020. A ruling is expected in 2021.</w:t>
      </w:r>
    </w:p>
    <w:p>
      <w:pPr>
        <w:spacing w:after="0" w:line="9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Further changes to and under the ACA remain possible, although the new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build on the ACA. It is unknown what form any such changes or any law proposed to replace the ACA would take, and how or whether it may affect our business in the 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107"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The Budget Control Act of 2011 has resulted in reductions in spending on certain government programs, including aggregate reductions to Medicare payments to healthcare providers of up to 2.0% per fiscal year. These reductions have been extended until 2030 unless additional Congressional action is taken.</w:t>
      </w:r>
    </w:p>
    <w:p>
      <w:pPr>
        <w:spacing w:after="0" w:line="106" w:lineRule="exact"/>
        <w:rPr>
          <w:sz w:val="20"/>
          <w:szCs w:val="20"/>
          <w:color w:val="auto"/>
        </w:rPr>
      </w:pPr>
    </w:p>
    <w:p>
      <w:pPr>
        <w:ind w:left="1240" w:right="1439"/>
        <w:spacing w:after="0" w:line="260" w:lineRule="auto"/>
        <w:rPr>
          <w:sz w:val="20"/>
          <w:szCs w:val="20"/>
          <w:color w:val="auto"/>
        </w:rPr>
      </w:pPr>
      <w:r>
        <w:rPr>
          <w:rFonts w:ascii="Arial" w:cs="Arial" w:eastAsia="Arial" w:hAnsi="Arial"/>
          <w:sz w:val="14"/>
          <w:szCs w:val="14"/>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95"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37"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If we fail to maintain proper and effective internal controls over financial reporting our ability to produce accurate and timely financial statements could be impaired.</w:t>
      </w:r>
    </w:p>
    <w:p>
      <w:pPr>
        <w:spacing w:after="0" w:line="9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28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00"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We believe that any internal controls and procedures, no matter how well-conceived and operated, can provide only reasonable, not absolute, assurance that the objectives of the control system are met. We may discover</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66"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37" w:lineRule="exact"/>
        <w:rPr>
          <w:sz w:val="20"/>
          <w:szCs w:val="20"/>
          <w:color w:val="auto"/>
        </w:rPr>
      </w:pPr>
    </w:p>
    <w:p>
      <w:pPr>
        <w:ind w:left="1240" w:right="1339"/>
        <w:spacing w:after="0" w:line="243" w:lineRule="auto"/>
        <w:rPr>
          <w:sz w:val="20"/>
          <w:szCs w:val="20"/>
          <w:color w:val="auto"/>
        </w:rPr>
      </w:pPr>
      <w:r>
        <w:rPr>
          <w:rFonts w:ascii="Arial" w:cs="Arial" w:eastAsia="Arial" w:hAnsi="Arial"/>
          <w:sz w:val="14"/>
          <w:szCs w:val="14"/>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05"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282" w:lineRule="exact"/>
        <w:rPr>
          <w:sz w:val="20"/>
          <w:szCs w:val="20"/>
          <w:color w:val="auto"/>
        </w:rPr>
      </w:pPr>
    </w:p>
    <w:p>
      <w:pPr>
        <w:ind w:left="1240" w:right="1519"/>
        <w:spacing w:after="0" w:line="25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34" w:lineRule="exact"/>
        <w:rPr>
          <w:sz w:val="20"/>
          <w:szCs w:val="20"/>
          <w:color w:val="auto"/>
        </w:rPr>
      </w:pPr>
    </w:p>
    <w:p>
      <w:pPr>
        <w:ind w:left="1240" w:right="1339"/>
        <w:spacing w:after="0" w:line="262" w:lineRule="auto"/>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products.</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285"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360" w:hanging="111"/>
        <w:spacing w:after="0"/>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decreased demand for our products;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withdrawal of clinical trial participants and inability to continue clinical trials;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diversion of management’s time and our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significant negative financial impact;</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exhaustion of any available insurance and our capital resources;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inability to commercialize CNTY-101 or our other product candidates; and</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decline in our stock price.</w:t>
      </w:r>
    </w:p>
    <w:p>
      <w:pPr>
        <w:spacing w:after="0" w:line="12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311"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19"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8" w:name="page49"/>
    <w:bookmarkEnd w:id="4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7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36" w:lineRule="exact"/>
        <w:rPr>
          <w:sz w:val="20"/>
          <w:szCs w:val="20"/>
          <w:color w:val="auto"/>
        </w:rPr>
      </w:pPr>
    </w:p>
    <w:p>
      <w:pPr>
        <w:ind w:left="1240" w:right="1419"/>
        <w:spacing w:after="0"/>
        <w:rPr>
          <w:sz w:val="20"/>
          <w:szCs w:val="20"/>
          <w:color w:val="auto"/>
        </w:rPr>
      </w:pPr>
      <w:r>
        <w:rPr>
          <w:rFonts w:ascii="Arial" w:cs="Arial" w:eastAsia="Arial" w:hAnsi="Arial"/>
          <w:sz w:val="14"/>
          <w:szCs w:val="14"/>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25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govern the collection, use, disclosure, storage, transfer,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data breach is costly.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Foreign data protection laws, including the GDPR, may also apply to health-related and other personal information obtained outside of the United States. The GDPR went into effect in the EU in May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9" w:name="page50"/>
    <w:bookmarkEnd w:id="4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72" w:lineRule="auto"/>
        <w:rPr>
          <w:sz w:val="20"/>
          <w:szCs w:val="20"/>
          <w:color w:val="auto"/>
        </w:rPr>
      </w:pPr>
      <w:r>
        <w:rPr>
          <w:rFonts w:ascii="Arial" w:cs="Arial" w:eastAsia="Arial" w:hAnsi="Arial"/>
          <w:sz w:val="14"/>
          <w:szCs w:val="14"/>
          <w:color w:val="auto"/>
        </w:rPr>
        <w:t>European Union and United States agreed to a transfer framework for data transferred from the European Union to the United States called the Privacy Shield, but the Privacy Shield was invalidated in July 2020 by the Court of Justice of the European Union. Further, the vote in the United Kingdom in favor of exiting the European Union, referred to as Brexit, has created uncertainty with regard to data protection regulation in the United Kingdom. The United Kingdom has transposed the GDPR into domestic law with a United Kingdom version of the GDPR that took effect in January 2021, which could expose us to two parallel regimes, each of which potentially authorizes similar fines and other potentially divergent enforcement actions for violations. In addition, it is still unclear whether transfer of data from the European Economic Area to the United Kingdom will remain lawful under the GDPR. On December 24, 2020, the United Kingdom and European Union entered into a Trade and Cooperation Agreement. The Trade and Cooperation Agreement provides for a transitional period during which the United Kingdom will be treated like an European Union member state in relation to processing and transfers of personal data until June 30, 2021. This may be extended. After such period, the United Kingdom will be a “third country” under the GDPR unless the European Commission adopts an adequacy decision in respect of transfers of personal data to the United Kingdom.</w:t>
      </w:r>
    </w:p>
    <w:p>
      <w:pPr>
        <w:spacing w:after="0" w:line="28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311" w:lineRule="exact"/>
        <w:rPr>
          <w:sz w:val="20"/>
          <w:szCs w:val="20"/>
          <w:color w:val="auto"/>
        </w:rPr>
      </w:pPr>
    </w:p>
    <w:p>
      <w:pPr>
        <w:ind w:left="1240" w:right="1639"/>
        <w:spacing w:after="0" w:line="243" w:lineRule="auto"/>
        <w:rPr>
          <w:sz w:val="20"/>
          <w:szCs w:val="20"/>
          <w:color w:val="auto"/>
        </w:rPr>
      </w:pPr>
      <w:r>
        <w:rPr>
          <w:rFonts w:ascii="Arial" w:cs="Arial" w:eastAsia="Arial" w:hAnsi="Arial"/>
          <w:sz w:val="14"/>
          <w:szCs w:val="14"/>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16"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0" w:name="page51"/>
    <w:bookmarkEnd w:id="5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63" w:lineRule="auto"/>
        <w:rPr>
          <w:sz w:val="20"/>
          <w:szCs w:val="20"/>
          <w:color w:val="auto"/>
        </w:rPr>
      </w:pPr>
      <w:r>
        <w:rPr>
          <w:rFonts w:ascii="Arial" w:cs="Arial" w:eastAsia="Arial" w:hAnsi="Arial"/>
          <w:sz w:val="14"/>
          <w:szCs w:val="14"/>
          <w:color w:val="auto"/>
        </w:rPr>
        <w:t>agreement, or similar agreement to resolve allegations of noncompliance with these laws, and curtailment of our operations, any of which could adversely affect our ability to operate our business and our results of operations.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2" w:lineRule="exact"/>
        <w:rPr>
          <w:sz w:val="20"/>
          <w:szCs w:val="20"/>
          <w:color w:val="auto"/>
        </w:rPr>
      </w:pPr>
    </w:p>
    <w:p>
      <w:pPr>
        <w:ind w:left="1240" w:right="1279"/>
        <w:spacing w:after="0" w:line="294" w:lineRule="auto"/>
        <w:rPr>
          <w:sz w:val="20"/>
          <w:szCs w:val="20"/>
          <w:color w:val="auto"/>
        </w:rPr>
      </w:pPr>
      <w:r>
        <w:rPr>
          <w:rFonts w:ascii="Arial" w:cs="Arial" w:eastAsia="Arial" w:hAnsi="Arial"/>
          <w:sz w:val="14"/>
          <w:szCs w:val="14"/>
          <w:b w:val="1"/>
          <w:bCs w:val="1"/>
          <w:i w:val="1"/>
          <w:iCs w:val="1"/>
          <w:color w:val="auto"/>
        </w:rPr>
        <w:t>We do not currently own any issued patents or non-provisional patent applications relating to our product candidates</w:t>
      </w:r>
      <w:r>
        <w:rPr>
          <w:rFonts w:ascii="Arial" w:cs="Arial" w:eastAsia="Arial" w:hAnsi="Arial"/>
          <w:sz w:val="14"/>
          <w:szCs w:val="14"/>
          <w:color w:val="auto"/>
        </w:rPr>
        <w:t>.</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Given the early stage of development of our product candidates, our patent portfolio is similarly at a very early stage. In particular, we do not own any issued patents or non-provisional patent applications, and we have not filed any patent applications related to our product candidates other than CNTY-101.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in the United States related to CNTY-101 and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309" w:lineRule="exact"/>
        <w:rPr>
          <w:sz w:val="20"/>
          <w:szCs w:val="20"/>
          <w:color w:val="auto"/>
        </w:rPr>
      </w:pPr>
    </w:p>
    <w:p>
      <w:pPr>
        <w:ind w:left="1240" w:right="1319"/>
        <w:spacing w:after="0" w:line="237" w:lineRule="auto"/>
        <w:rPr>
          <w:sz w:val="20"/>
          <w:szCs w:val="20"/>
          <w:color w:val="auto"/>
        </w:rPr>
      </w:pPr>
      <w:r>
        <w:rPr>
          <w:rFonts w:ascii="Arial" w:cs="Arial" w:eastAsia="Arial" w:hAnsi="Arial"/>
          <w:sz w:val="14"/>
          <w:szCs w:val="14"/>
          <w:b w:val="1"/>
          <w:bCs w:val="1"/>
          <w:i w:val="1"/>
          <w:iCs w:val="1"/>
          <w:color w:val="auto"/>
        </w:rPr>
        <w:t>If any of our license agreements with FCDI or our other licensors, including iCELL Inc. and the Governing Council of the University of Toronto and McMaster University, are terminated, we could lose our rights to key components enabling our iPSC-derived allogeneic cell therapy platforms.</w:t>
      </w:r>
    </w:p>
    <w:p>
      <w:pPr>
        <w:spacing w:after="0" w:line="11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28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also entered into an exclusive sublicense, or the iCELL Sublicense, with iCELL Inc., or iCELL, for certain patents related to an immune function reconstruction method using multipotent stem cells and the method for producing antigen specific T-cells, and acquired a license agreement from Empirica Therapeutics, or the Empirica License, pursuant to which we receive an exclusive license from the Governing Council of the University of Toronto and the McMaster University under certain patents and antibody sequences and related intellectual property rights and know-how to, among other things, reproduce, manufacture and commercialize certain CD-133 related antibody and antibody sequence-derived technology.</w:t>
      </w:r>
    </w:p>
    <w:p>
      <w:pPr>
        <w:spacing w:after="0" w:line="109"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The FCDI Licenses and certain of our other license agreements, including the iCELL Sublicense and Empirica License, impose, and future license agreements may impose, various diligence, milestone payment, royalty, and other obligations on us. If we fail to comply with our obligations under the FCDI Licenses, our other license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1" w:name="page52"/>
    <w:bookmarkEnd w:id="5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399"/>
        <w:spacing w:after="0" w:line="263" w:lineRule="auto"/>
        <w:rPr>
          <w:sz w:val="20"/>
          <w:szCs w:val="20"/>
          <w:color w:val="auto"/>
        </w:rPr>
      </w:pPr>
      <w:r>
        <w:rPr>
          <w:rFonts w:ascii="Arial" w:cs="Arial" w:eastAsia="Arial" w:hAnsi="Arial"/>
          <w:sz w:val="14"/>
          <w:szCs w:val="14"/>
          <w:color w:val="auto"/>
        </w:rPr>
        <w:t>agreements, or any future license agreements with any party, or we are subject to a bankruptcy, the licensor may have the right to terminate the license, in which event we would not be able to develop products covered by such license.</w:t>
      </w:r>
    </w:p>
    <w:p>
      <w:pPr>
        <w:spacing w:after="0" w:line="9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283"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For a more complete description of the FCDI Licenses and our other licenses, please see the section titled “Business—Licensing, Partnerships and Collaborations” in this prospectus.</w:t>
      </w:r>
    </w:p>
    <w:p>
      <w:pPr>
        <w:spacing w:after="0" w:line="125" w:lineRule="exact"/>
        <w:rPr>
          <w:sz w:val="20"/>
          <w:szCs w:val="20"/>
          <w:color w:val="auto"/>
        </w:rPr>
      </w:pPr>
    </w:p>
    <w:p>
      <w:pPr>
        <w:ind w:left="1240" w:right="1579"/>
        <w:spacing w:after="0" w:line="262" w:lineRule="auto"/>
        <w:rPr>
          <w:sz w:val="20"/>
          <w:szCs w:val="20"/>
          <w:color w:val="auto"/>
        </w:rPr>
      </w:pPr>
      <w:r>
        <w:rPr>
          <w:rFonts w:ascii="Arial" w:cs="Arial" w:eastAsia="Arial" w:hAnsi="Arial"/>
          <w:sz w:val="14"/>
          <w:szCs w:val="14"/>
          <w:b w:val="1"/>
          <w:bCs w:val="1"/>
          <w:i w:val="1"/>
          <w:iCs w:val="1"/>
          <w:color w:val="auto"/>
        </w:rPr>
        <w:t>We may not be successful in obtaining or maintaining necessary intellectual property rights in the future for the development of CNTY-101 and our other product candidates.</w:t>
      </w:r>
    </w:p>
    <w:p>
      <w:pPr>
        <w:spacing w:after="0" w:line="9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51" w:lineRule="exact"/>
        <w:rPr>
          <w:sz w:val="20"/>
          <w:szCs w:val="20"/>
          <w:color w:val="auto"/>
        </w:rPr>
      </w:pPr>
    </w:p>
    <w:p>
      <w:pPr>
        <w:ind w:left="1360" w:right="1299" w:hanging="111"/>
        <w:spacing w:after="0" w:line="276" w:lineRule="auto"/>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73" w:lineRule="exact"/>
        <w:rPr>
          <w:rFonts w:ascii="Arial" w:cs="Arial" w:eastAsia="Arial" w:hAnsi="Arial"/>
          <w:sz w:val="14"/>
          <w:szCs w:val="14"/>
          <w:color w:val="auto"/>
        </w:rPr>
      </w:pPr>
    </w:p>
    <w:p>
      <w:pPr>
        <w:ind w:left="1360" w:right="1639" w:hanging="111"/>
        <w:spacing w:after="0" w:line="278" w:lineRule="auto"/>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misappropriate, or otherwise violate intellectual property of the licensor that is not subject to the licensing agreement;</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right to sublicense patents and other intellectual property rights to third parties;</w:t>
      </w:r>
    </w:p>
    <w:p>
      <w:pPr>
        <w:spacing w:after="0" w:line="96" w:lineRule="exact"/>
        <w:rPr>
          <w:rFonts w:ascii="Arial" w:cs="Arial" w:eastAsia="Arial" w:hAnsi="Arial"/>
          <w:sz w:val="14"/>
          <w:szCs w:val="14"/>
          <w:color w:val="auto"/>
        </w:rPr>
      </w:pPr>
    </w:p>
    <w:p>
      <w:pPr>
        <w:ind w:left="1360" w:right="1419" w:hanging="111"/>
        <w:spacing w:after="0" w:line="278" w:lineRule="auto"/>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72" w:lineRule="exact"/>
        <w:rPr>
          <w:rFonts w:ascii="Arial" w:cs="Arial" w:eastAsia="Arial" w:hAnsi="Arial"/>
          <w:sz w:val="14"/>
          <w:szCs w:val="14"/>
          <w:color w:val="auto"/>
        </w:rPr>
      </w:pPr>
    </w:p>
    <w:p>
      <w:pPr>
        <w:ind w:left="1360" w:hanging="111"/>
        <w:spacing w:after="0"/>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right to transfer or assign the license; and</w:t>
      </w:r>
    </w:p>
    <w:p>
      <w:pPr>
        <w:spacing w:after="0" w:line="106" w:lineRule="exact"/>
        <w:rPr>
          <w:rFonts w:ascii="Arial" w:cs="Arial" w:eastAsia="Arial" w:hAnsi="Arial"/>
          <w:sz w:val="14"/>
          <w:szCs w:val="14"/>
          <w:color w:val="auto"/>
        </w:rPr>
      </w:pPr>
    </w:p>
    <w:p>
      <w:pPr>
        <w:ind w:left="1360" w:right="1479" w:hanging="111"/>
        <w:spacing w:after="0" w:line="286" w:lineRule="auto"/>
        <w:tabs>
          <w:tab w:leader="none" w:pos="1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ownership of inventions, know-how, and other intellectual property resulting from the joint creation or use of intellectual property by our licensors and us and our partners.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2" w:name="page53"/>
    <w:bookmarkEnd w:id="5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0"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95"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1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289" w:lineRule="exact"/>
        <w:rPr>
          <w:sz w:val="20"/>
          <w:szCs w:val="20"/>
          <w:color w:val="auto"/>
        </w:rPr>
      </w:pPr>
    </w:p>
    <w:p>
      <w:pPr>
        <w:ind w:left="1240" w:right="1379"/>
        <w:spacing w:after="0" w:line="286" w:lineRule="auto"/>
        <w:rPr>
          <w:sz w:val="20"/>
          <w:szCs w:val="20"/>
          <w:color w:val="auto"/>
        </w:rPr>
      </w:pPr>
      <w:r>
        <w:rPr>
          <w:rFonts w:ascii="Arial" w:cs="Arial" w:eastAsia="Arial" w:hAnsi="Arial"/>
          <w:sz w:val="14"/>
          <w:szCs w:val="14"/>
          <w:color w:val="auto"/>
        </w:rPr>
        <w:t>For a more complete description of the FCDI Licenses, please see the section titled “Business— License Agreements” in this prospectus.</w:t>
      </w:r>
    </w:p>
    <w:p>
      <w:pPr>
        <w:spacing w:after="0" w:line="114" w:lineRule="exact"/>
        <w:rPr>
          <w:sz w:val="20"/>
          <w:szCs w:val="20"/>
          <w:color w:val="auto"/>
        </w:rPr>
      </w:pPr>
    </w:p>
    <w:p>
      <w:pPr>
        <w:ind w:left="1240" w:right="2039"/>
        <w:spacing w:after="0" w:line="262" w:lineRule="auto"/>
        <w:rPr>
          <w:sz w:val="20"/>
          <w:szCs w:val="20"/>
          <w:color w:val="auto"/>
        </w:rPr>
      </w:pPr>
      <w:r>
        <w:rPr>
          <w:rFonts w:ascii="Arial" w:cs="Arial" w:eastAsia="Arial" w:hAnsi="Arial"/>
          <w:sz w:val="14"/>
          <w:szCs w:val="14"/>
          <w:b w:val="1"/>
          <w:bCs w:val="1"/>
          <w:i w:val="1"/>
          <w:iCs w:val="1"/>
          <w:color w:val="auto"/>
        </w:rPr>
        <w:t>Our success depends on our ability to obtain, maintain, protect, and enforce our intellectual property and our proprietary technologies.</w:t>
      </w:r>
    </w:p>
    <w:p>
      <w:pPr>
        <w:spacing w:after="0" w:line="9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provisional patent applications with respect to CNTY-101 and other aspects of our product technology, our patent portfolio is in an earlier stage of prosecution, and we have not filed any patent applications related to our product candidates other than CNTY-101.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05" w:lineRule="exact"/>
        <w:rPr>
          <w:sz w:val="20"/>
          <w:szCs w:val="20"/>
          <w:color w:val="auto"/>
        </w:rPr>
      </w:pPr>
    </w:p>
    <w:p>
      <w:pPr>
        <w:ind w:left="1240" w:right="1539"/>
        <w:spacing w:after="0" w:line="278" w:lineRule="auto"/>
        <w:rPr>
          <w:sz w:val="20"/>
          <w:szCs w:val="20"/>
          <w:color w:val="auto"/>
        </w:rPr>
      </w:pPr>
      <w:r>
        <w:rPr>
          <w:rFonts w:ascii="Arial" w:cs="Arial" w:eastAsia="Arial" w:hAnsi="Arial"/>
          <w:sz w:val="14"/>
          <w:szCs w:val="14"/>
          <w:color w:val="auto"/>
        </w:rPr>
        <w:t>We cannot be certain that the claims in our pending patent applications will be considered patentable by the United States Patent and Trademark Office, or USPTO, courts in the United States or by the patent offices and courts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3" w:name="page54"/>
    <w:bookmarkEnd w:id="5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95"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84" w:lineRule="exact"/>
        <w:rPr>
          <w:sz w:val="20"/>
          <w:szCs w:val="20"/>
          <w:color w:val="auto"/>
        </w:rPr>
      </w:pPr>
    </w:p>
    <w:p>
      <w:pPr>
        <w:jc w:val="both"/>
        <w:ind w:left="1360" w:right="1699" w:hanging="111"/>
        <w:spacing w:after="0" w:line="27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patent applications may not result in any patents being issued;</w:t>
      </w:r>
    </w:p>
    <w:p>
      <w:pPr>
        <w:spacing w:after="0" w:line="106" w:lineRule="exact"/>
        <w:rPr>
          <w:rFonts w:ascii="Arial" w:cs="Arial" w:eastAsia="Arial" w:hAnsi="Arial"/>
          <w:sz w:val="14"/>
          <w:szCs w:val="14"/>
          <w:color w:val="auto"/>
        </w:rPr>
      </w:pPr>
    </w:p>
    <w:p>
      <w:pPr>
        <w:ind w:left="1360" w:right="1959" w:hanging="111"/>
        <w:spacing w:after="0" w:line="28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patents may be challenged, invalidated, modified, revoked, circumvented, found to be unenforceable, or otherwise may not provide any competitive advantage;</w:t>
      </w:r>
    </w:p>
    <w:p>
      <w:pPr>
        <w:spacing w:after="0" w:line="66" w:lineRule="exact"/>
        <w:rPr>
          <w:rFonts w:ascii="Arial" w:cs="Arial" w:eastAsia="Arial" w:hAnsi="Arial"/>
          <w:sz w:val="14"/>
          <w:szCs w:val="14"/>
          <w:color w:val="auto"/>
        </w:rPr>
      </w:pPr>
    </w:p>
    <w:p>
      <w:pPr>
        <w:ind w:left="1360" w:right="1419" w:hanging="111"/>
        <w:spacing w:after="0" w:line="27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73" w:lineRule="exact"/>
        <w:rPr>
          <w:rFonts w:ascii="Arial" w:cs="Arial" w:eastAsia="Arial" w:hAnsi="Arial"/>
          <w:sz w:val="14"/>
          <w:szCs w:val="14"/>
          <w:color w:val="auto"/>
        </w:rPr>
      </w:pPr>
    </w:p>
    <w:p>
      <w:pPr>
        <w:ind w:left="1360" w:right="1419" w:hanging="111"/>
        <w:spacing w:after="0" w:line="276"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Arial" w:cs="Arial" w:eastAsia="Arial" w:hAnsi="Arial"/>
          <w:sz w:val="14"/>
          <w:szCs w:val="14"/>
          <w:color w:val="auto"/>
        </w:rPr>
      </w:pPr>
    </w:p>
    <w:p>
      <w:pPr>
        <w:ind w:left="1360" w:right="1459" w:hanging="111"/>
        <w:spacing w:after="0" w:line="278" w:lineRule="auto"/>
        <w:tabs>
          <w:tab w:leader="none" w:pos="1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94"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83"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w:t>
      </w:r>
    </w:p>
    <w:p>
      <w:pPr>
        <w:spacing w:after="0" w:line="2"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4" w:name="page55"/>
    <w:bookmarkEnd w:id="5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259"/>
        <w:spacing w:after="0" w:line="243" w:lineRule="auto"/>
        <w:rPr>
          <w:sz w:val="20"/>
          <w:szCs w:val="20"/>
          <w:color w:val="auto"/>
        </w:rPr>
      </w:pPr>
      <w:r>
        <w:rPr>
          <w:rFonts w:ascii="Arial" w:cs="Arial" w:eastAsia="Arial" w:hAnsi="Arial"/>
          <w:sz w:val="14"/>
          <w:szCs w:val="14"/>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95"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07"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28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77" w:lineRule="exact"/>
        <w:rPr>
          <w:sz w:val="20"/>
          <w:szCs w:val="20"/>
          <w:color w:val="auto"/>
        </w:rPr>
      </w:pPr>
    </w:p>
    <w:p>
      <w:pPr>
        <w:ind w:left="1240" w:right="1419"/>
        <w:spacing w:after="0" w:line="262" w:lineRule="auto"/>
        <w:rPr>
          <w:sz w:val="20"/>
          <w:szCs w:val="20"/>
          <w:color w:val="auto"/>
        </w:rPr>
      </w:pPr>
      <w:r>
        <w:rPr>
          <w:rFonts w:ascii="Arial" w:cs="Arial" w:eastAsia="Arial" w:hAnsi="Arial"/>
          <w:sz w:val="14"/>
          <w:szCs w:val="14"/>
          <w:b w:val="1"/>
          <w:bCs w:val="1"/>
          <w:i w:val="1"/>
          <w:iCs w:val="1"/>
          <w:color w:val="auto"/>
        </w:rPr>
        <w:t>The patent protection and patent prosecution for some of our product candidates may be dependent on third parties.</w:t>
      </w:r>
    </w:p>
    <w:p>
      <w:pPr>
        <w:spacing w:after="0" w:line="82"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5" w:name="page56"/>
    <w:bookmarkEnd w:id="5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9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293"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05"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7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859"/>
        <w:spacing w:after="0" w:line="270" w:lineRule="auto"/>
        <w:rPr>
          <w:sz w:val="20"/>
          <w:szCs w:val="20"/>
          <w:color w:val="auto"/>
        </w:rPr>
      </w:pPr>
      <w:r>
        <w:rPr>
          <w:rFonts w:ascii="Arial" w:cs="Arial" w:eastAsia="Arial" w:hAnsi="Arial"/>
          <w:sz w:val="14"/>
          <w:szCs w:val="14"/>
          <w:color w:val="auto"/>
        </w:rPr>
        <w:t>by the government of such rights could harm our competitive position, business, financial condition, results of operations, and prospects.</w:t>
      </w:r>
    </w:p>
    <w:p>
      <w:pPr>
        <w:spacing w:after="0" w:line="88"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306" w:lineRule="exact"/>
        <w:rPr>
          <w:sz w:val="20"/>
          <w:szCs w:val="20"/>
          <w:color w:val="auto"/>
        </w:rPr>
      </w:pPr>
    </w:p>
    <w:p>
      <w:pPr>
        <w:ind w:left="1240" w:right="1999"/>
        <w:spacing w:after="0" w:line="262" w:lineRule="auto"/>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93"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1" w:lineRule="exact"/>
        <w:rPr>
          <w:sz w:val="20"/>
          <w:szCs w:val="20"/>
          <w:color w:val="auto"/>
        </w:rPr>
      </w:pPr>
    </w:p>
    <w:p>
      <w:pPr>
        <w:ind w:left="1360" w:right="1599" w:hanging="111"/>
        <w:spacing w:after="0" w:line="28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others may be able to develop products that are similar to CNTY-101 and our other product candidates but that are not covered by the claims of the patents that we own or license;</w:t>
      </w:r>
    </w:p>
    <w:p>
      <w:pPr>
        <w:spacing w:after="0" w:line="55" w:lineRule="exact"/>
        <w:rPr>
          <w:rFonts w:ascii="Arial" w:cs="Arial" w:eastAsia="Arial" w:hAnsi="Arial"/>
          <w:sz w:val="14"/>
          <w:szCs w:val="14"/>
          <w:color w:val="auto"/>
        </w:rPr>
      </w:pPr>
    </w:p>
    <w:p>
      <w:pPr>
        <w:ind w:left="1360" w:right="1779" w:hanging="111"/>
        <w:spacing w:after="0" w:line="28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make the inventions covered by the issued patents or patent application that we own or license;</w:t>
      </w:r>
    </w:p>
    <w:p>
      <w:pPr>
        <w:spacing w:after="0" w:line="66" w:lineRule="exact"/>
        <w:rPr>
          <w:rFonts w:ascii="Arial" w:cs="Arial" w:eastAsia="Arial" w:hAnsi="Arial"/>
          <w:sz w:val="14"/>
          <w:szCs w:val="14"/>
          <w:color w:val="auto"/>
        </w:rPr>
      </w:pPr>
    </w:p>
    <w:p>
      <w:pPr>
        <w:ind w:left="1360" w:right="1619" w:hanging="111"/>
        <w:spacing w:after="0" w:line="28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file patent applications covering certain of our inventions;</w:t>
      </w:r>
    </w:p>
    <w:p>
      <w:pPr>
        <w:spacing w:after="0" w:line="66" w:lineRule="exact"/>
        <w:rPr>
          <w:rFonts w:ascii="Arial" w:cs="Arial" w:eastAsia="Arial" w:hAnsi="Arial"/>
          <w:sz w:val="14"/>
          <w:szCs w:val="14"/>
          <w:color w:val="auto"/>
        </w:rPr>
      </w:pPr>
    </w:p>
    <w:p>
      <w:pPr>
        <w:ind w:left="1360" w:right="1319" w:hanging="111"/>
        <w:spacing w:after="0" w:line="291"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241" w:lineRule="exact"/>
        <w:rPr>
          <w:rFonts w:ascii="Arial" w:cs="Arial" w:eastAsia="Arial" w:hAnsi="Arial"/>
          <w:sz w:val="14"/>
          <w:szCs w:val="14"/>
          <w:color w:val="auto"/>
        </w:rPr>
      </w:pPr>
    </w:p>
    <w:p>
      <w:pPr>
        <w:ind w:left="1360" w:hanging="111"/>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10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issued patents that we own or license may be held invalid or unenforceable, as a result of legal challenges by our competitors;</w:t>
      </w:r>
    </w:p>
    <w:p>
      <w:pPr>
        <w:spacing w:after="0" w:line="66"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Arial" w:cs="Arial" w:eastAsia="Arial" w:hAnsi="Arial"/>
          <w:sz w:val="14"/>
          <w:szCs w:val="14"/>
          <w:color w:val="auto"/>
        </w:rPr>
      </w:pPr>
    </w:p>
    <w:p>
      <w:pPr>
        <w:ind w:left="1360" w:hanging="111"/>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39"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Should any of these events occur, it could significantly harm our business, results of operations, and prospects.</w:t>
      </w:r>
    </w:p>
    <w:p>
      <w:pPr>
        <w:spacing w:after="0" w:line="114"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0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7" w:name="page58"/>
    <w:bookmarkEnd w:id="5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94"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262" w:lineRule="exact"/>
        <w:rPr>
          <w:sz w:val="20"/>
          <w:szCs w:val="20"/>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result in costly litigation that may cause negative publicity;</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divert the time and attention of our technical personnel and management;</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cause development delays;</w:t>
      </w:r>
    </w:p>
    <w:p>
      <w:pPr>
        <w:spacing w:after="0" w:line="106"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prevent us from commercializing CNTY-101 and our other product candidates until the asserted patent expires or is held finally invalid or not infringed in a court of law;</w:t>
      </w:r>
    </w:p>
    <w:p>
      <w:pPr>
        <w:spacing w:after="0" w:line="66" w:lineRule="exact"/>
        <w:rPr>
          <w:rFonts w:ascii="Arial" w:cs="Arial" w:eastAsia="Arial" w:hAnsi="Arial"/>
          <w:sz w:val="14"/>
          <w:szCs w:val="14"/>
          <w:color w:val="auto"/>
        </w:rPr>
      </w:pPr>
    </w:p>
    <w:p>
      <w:pPr>
        <w:ind w:left="1360" w:right="1419" w:hanging="111"/>
        <w:spacing w:after="0" w:line="263"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require us to develop non-infringing technology, which may not be possible on a cost-effective basis;</w:t>
      </w:r>
    </w:p>
    <w:p>
      <w:pPr>
        <w:spacing w:after="0" w:line="273" w:lineRule="exact"/>
        <w:rPr>
          <w:rFonts w:ascii="Arial" w:cs="Arial" w:eastAsia="Arial" w:hAnsi="Arial"/>
          <w:sz w:val="14"/>
          <w:szCs w:val="14"/>
          <w:color w:val="auto"/>
        </w:rPr>
      </w:pPr>
    </w:p>
    <w:p>
      <w:pPr>
        <w:ind w:left="1360" w:hanging="111"/>
        <w:spacing w:after="0"/>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subject us to significant liability to third parties; or</w:t>
      </w:r>
    </w:p>
    <w:p>
      <w:pPr>
        <w:spacing w:after="0" w:line="106" w:lineRule="exact"/>
        <w:rPr>
          <w:rFonts w:ascii="Arial" w:cs="Arial" w:eastAsia="Arial" w:hAnsi="Arial"/>
          <w:sz w:val="14"/>
          <w:szCs w:val="14"/>
          <w:color w:val="auto"/>
        </w:rPr>
      </w:pPr>
    </w:p>
    <w:p>
      <w:pPr>
        <w:ind w:left="1360" w:right="1319" w:hanging="111"/>
        <w:spacing w:after="0" w:line="278" w:lineRule="auto"/>
        <w:tabs>
          <w:tab w:leader="none" w:pos="13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9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293"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39"/>
        <w:spacing w:after="0" w:line="286" w:lineRule="auto"/>
        <w:rPr>
          <w:sz w:val="20"/>
          <w:szCs w:val="20"/>
          <w:color w:val="auto"/>
        </w:rPr>
      </w:pPr>
      <w:r>
        <w:rPr>
          <w:rFonts w:ascii="Arial" w:cs="Arial" w:eastAsia="Arial" w:hAnsi="Arial"/>
          <w:sz w:val="14"/>
          <w:szCs w:val="14"/>
          <w:color w:val="auto"/>
        </w:rPr>
        <w:t>to raise additional funds or otherwise have a material adverse effect on our business, results of operations, financial condition and prospects.</w:t>
      </w:r>
    </w:p>
    <w:p>
      <w:pPr>
        <w:spacing w:after="0" w:line="87"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26" w:lineRule="exact"/>
        <w:rPr>
          <w:sz w:val="20"/>
          <w:szCs w:val="20"/>
          <w:color w:val="auto"/>
        </w:rPr>
      </w:pPr>
    </w:p>
    <w:p>
      <w:pPr>
        <w:ind w:left="1240" w:right="1279"/>
        <w:spacing w:after="0" w:line="243" w:lineRule="auto"/>
        <w:rPr>
          <w:sz w:val="20"/>
          <w:szCs w:val="20"/>
          <w:color w:val="auto"/>
        </w:rPr>
      </w:pPr>
      <w:r>
        <w:rPr>
          <w:rFonts w:ascii="Arial" w:cs="Arial" w:eastAsia="Arial" w:hAnsi="Arial"/>
          <w:sz w:val="14"/>
          <w:szCs w:val="14"/>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1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200" w:lineRule="exact"/>
        <w:rPr>
          <w:sz w:val="20"/>
          <w:szCs w:val="20"/>
          <w:color w:val="auto"/>
        </w:rPr>
      </w:pPr>
    </w:p>
    <w:p>
      <w:pPr>
        <w:spacing w:after="0" w:line="287" w:lineRule="exact"/>
        <w:rPr>
          <w:sz w:val="20"/>
          <w:szCs w:val="20"/>
          <w:color w:val="auto"/>
        </w:rPr>
      </w:pPr>
    </w:p>
    <w:p>
      <w:pPr>
        <w:jc w:val="both"/>
        <w:ind w:left="1240" w:right="1659"/>
        <w:spacing w:after="0" w:line="243" w:lineRule="auto"/>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1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9" w:name="page60"/>
    <w:bookmarkEnd w:id="5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or non-enablement. Grounds for an unenforceability assertion could include an allegation that someone connected with prosecution of the patent withheld relevant information from the USPTO or made a misleading statement during prosecution.</w:t>
      </w:r>
    </w:p>
    <w:p>
      <w:pPr>
        <w:spacing w:after="0" w:line="92"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0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In addition, we may in the future choose to challenge the patentability of claims in a third-party’s patent by requesting that the USPTO review the patent claims in re-examination, post-grant review, inter partes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08"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9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10"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2" w:lineRule="exact"/>
        <w:rPr>
          <w:sz w:val="20"/>
          <w:szCs w:val="20"/>
          <w:color w:val="auto"/>
        </w:rPr>
      </w:pPr>
    </w:p>
    <w:p>
      <w:pPr>
        <w:ind w:left="1240" w:right="1439"/>
        <w:spacing w:after="0" w:line="243" w:lineRule="auto"/>
        <w:rPr>
          <w:sz w:val="20"/>
          <w:szCs w:val="20"/>
          <w:color w:val="auto"/>
        </w:rPr>
      </w:pPr>
      <w:r>
        <w:rPr>
          <w:rFonts w:ascii="Arial" w:cs="Arial" w:eastAsia="Arial" w:hAnsi="Arial"/>
          <w:sz w:val="14"/>
          <w:szCs w:val="14"/>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0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69"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For example, the U.S. Supreme Court has ruled on several patent cases in recent years, either narrowing the scope of patent protection available in certain circumstances or weakening the rights of patent owners in certain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0" w:name="page61"/>
    <w:bookmarkEnd w:id="6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79"/>
        <w:spacing w:after="0" w:line="258" w:lineRule="auto"/>
        <w:rPr>
          <w:sz w:val="20"/>
          <w:szCs w:val="20"/>
          <w:color w:val="auto"/>
        </w:rPr>
      </w:pPr>
      <w:r>
        <w:rPr>
          <w:rFonts w:ascii="Arial" w:cs="Arial" w:eastAsia="Arial" w:hAnsi="Arial"/>
          <w:sz w:val="14"/>
          <w:szCs w:val="14"/>
          <w:color w:val="auto"/>
        </w:rPr>
        <w:t>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3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82"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08" w:lineRule="exact"/>
        <w:rPr>
          <w:sz w:val="20"/>
          <w:szCs w:val="20"/>
          <w:color w:val="auto"/>
        </w:rPr>
      </w:pPr>
    </w:p>
    <w:p>
      <w:pPr>
        <w:ind w:left="1240" w:right="1399"/>
        <w:spacing w:after="0" w:line="262" w:lineRule="auto"/>
        <w:rPr>
          <w:sz w:val="20"/>
          <w:szCs w:val="20"/>
          <w:color w:val="auto"/>
        </w:rPr>
      </w:pPr>
      <w:r>
        <w:rPr>
          <w:rFonts w:ascii="Arial" w:cs="Arial" w:eastAsia="Arial" w:hAnsi="Arial"/>
          <w:sz w:val="14"/>
          <w:szCs w:val="14"/>
          <w:b w:val="1"/>
          <w:bCs w:val="1"/>
          <w:i w:val="1"/>
          <w:iCs w:val="1"/>
          <w:color w:val="auto"/>
        </w:rPr>
        <w:t>Patent terms may be inadequate to protect our competitive position on CNTY-101 and our other product candidates for an adequate amount of time.</w:t>
      </w:r>
    </w:p>
    <w:p>
      <w:pPr>
        <w:spacing w:after="0" w:line="9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307" w:lineRule="exact"/>
        <w:rPr>
          <w:sz w:val="20"/>
          <w:szCs w:val="20"/>
          <w:color w:val="auto"/>
        </w:rPr>
      </w:pPr>
    </w:p>
    <w:p>
      <w:pPr>
        <w:ind w:left="1240" w:right="1379"/>
        <w:spacing w:after="0" w:line="262" w:lineRule="auto"/>
        <w:rPr>
          <w:sz w:val="20"/>
          <w:szCs w:val="20"/>
          <w:color w:val="auto"/>
        </w:rPr>
      </w:pPr>
      <w:r>
        <w:rPr>
          <w:rFonts w:ascii="Arial" w:cs="Arial" w:eastAsia="Arial" w:hAnsi="Arial"/>
          <w:sz w:val="14"/>
          <w:szCs w:val="14"/>
          <w:b w:val="1"/>
          <w:bCs w:val="1"/>
          <w:i w:val="1"/>
          <w:iCs w:val="1"/>
          <w:color w:val="auto"/>
        </w:rPr>
        <w:t>If we do not obtain patent term extension for CNTY-101 and our other product candidates, our business may be materially harmed.</w:t>
      </w:r>
    </w:p>
    <w:p>
      <w:pPr>
        <w:spacing w:after="0" w:line="82"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1" w:name="page62"/>
    <w:bookmarkEnd w:id="6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rights throughout the world.</w:t>
      </w:r>
    </w:p>
    <w:p>
      <w:pPr>
        <w:spacing w:after="0" w:line="133"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305" w:lineRule="exact"/>
        <w:rPr>
          <w:sz w:val="20"/>
          <w:szCs w:val="20"/>
          <w:color w:val="auto"/>
        </w:rPr>
      </w:pPr>
    </w:p>
    <w:p>
      <w:pPr>
        <w:ind w:left="1240" w:right="1299"/>
        <w:spacing w:after="0" w:line="288"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3"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2" w:name="page63"/>
    <w:bookmarkEnd w:id="6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539"/>
        <w:spacing w:after="0" w:line="237"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311" w:lineRule="exact"/>
        <w:rPr>
          <w:sz w:val="20"/>
          <w:szCs w:val="20"/>
          <w:color w:val="auto"/>
        </w:rPr>
      </w:pPr>
    </w:p>
    <w:p>
      <w:pPr>
        <w:ind w:left="1240" w:right="1759"/>
        <w:spacing w:after="0" w:line="262" w:lineRule="auto"/>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85"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274"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09" w:lineRule="exact"/>
        <w:rPr>
          <w:sz w:val="20"/>
          <w:szCs w:val="20"/>
          <w:color w:val="auto"/>
        </w:rPr>
      </w:pPr>
    </w:p>
    <w:p>
      <w:pPr>
        <w:ind w:left="1240" w:right="1319"/>
        <w:spacing w:after="0" w:line="243" w:lineRule="auto"/>
        <w:rPr>
          <w:sz w:val="20"/>
          <w:szCs w:val="20"/>
          <w:color w:val="auto"/>
        </w:rPr>
      </w:pPr>
      <w:r>
        <w:rPr>
          <w:rFonts w:ascii="Arial" w:cs="Arial" w:eastAsia="Arial" w:hAnsi="Arial"/>
          <w:sz w:val="14"/>
          <w:szCs w:val="14"/>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73"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As is common in the biopharmaceutical industry, in addition to our employees, we engage the services of consultants to assist us in the development of CNTY-101 and our other product candidates. Many of these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3" w:name="page64"/>
    <w:bookmarkEnd w:id="6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156" w:lineRule="exact"/>
        <w:rPr>
          <w:sz w:val="20"/>
          <w:szCs w:val="20"/>
          <w:color w:val="auto"/>
        </w:rPr>
      </w:pPr>
    </w:p>
    <w:p>
      <w:pPr>
        <w:ind w:left="1240" w:right="1919"/>
        <w:spacing w:after="0" w:line="262" w:lineRule="auto"/>
        <w:rPr>
          <w:sz w:val="20"/>
          <w:szCs w:val="20"/>
          <w:color w:val="auto"/>
        </w:rPr>
      </w:pPr>
      <w:r>
        <w:rPr>
          <w:rFonts w:ascii="Arial" w:cs="Arial" w:eastAsia="Arial" w:hAnsi="Arial"/>
          <w:sz w:val="14"/>
          <w:szCs w:val="14"/>
          <w:b w:val="1"/>
          <w:bCs w:val="1"/>
          <w:i w:val="1"/>
          <w:iCs w:val="1"/>
          <w:color w:val="auto"/>
        </w:rPr>
        <w:t>An active, liquid, and orderly market for our common stock may not develop or be sustained.</w:t>
      </w:r>
    </w:p>
    <w:p>
      <w:pPr>
        <w:spacing w:after="0" w:line="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Prior to this offering, there has been no public market for our common stock. Although we have been approved to list our common stock listed on the Nasdaq Global Market, or Nasdaq, an active trading market for our common stock may never develop or be sustained following this offering.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28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If, after listing,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35" w:lineRule="exact"/>
        <w:rPr>
          <w:sz w:val="20"/>
          <w:szCs w:val="20"/>
          <w:color w:val="auto"/>
        </w:rPr>
      </w:pPr>
    </w:p>
    <w:p>
      <w:pPr>
        <w:ind w:left="1240" w:right="1959"/>
        <w:spacing w:after="0" w:line="262" w:lineRule="auto"/>
        <w:rPr>
          <w:sz w:val="20"/>
          <w:szCs w:val="20"/>
          <w:color w:val="auto"/>
        </w:rPr>
      </w:pPr>
      <w:r>
        <w:rPr>
          <w:rFonts w:ascii="Arial" w:cs="Arial" w:eastAsia="Arial" w:hAnsi="Arial"/>
          <w:sz w:val="14"/>
          <w:szCs w:val="14"/>
          <w:b w:val="1"/>
          <w:bCs w:val="1"/>
          <w:i w:val="1"/>
          <w:iCs w:val="1"/>
          <w:color w:val="auto"/>
        </w:rPr>
        <w:t>The trading price of the shares of our common stock could be highly volatile, and purchasers of our common stock could incur substantial losses.</w:t>
      </w:r>
    </w:p>
    <w:p>
      <w:pPr>
        <w:spacing w:after="0" w:line="93"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75" w:lineRule="exact"/>
        <w:rPr>
          <w:sz w:val="20"/>
          <w:szCs w:val="20"/>
          <w:color w:val="auto"/>
        </w:rPr>
      </w:pPr>
    </w:p>
    <w:p>
      <w:pPr>
        <w:jc w:val="both"/>
        <w:ind w:left="1360" w:right="1639" w:hanging="111"/>
        <w:spacing w:after="0" w:line="278"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commencement, enrollment, or results of our current and future preclinical studies and clinical trials, and the results of trials of our competitors or those of other companies in our market sector;</w:t>
      </w:r>
    </w:p>
    <w:p>
      <w:pPr>
        <w:spacing w:after="0" w:line="72"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regulatory approval of our product candidates, or limitations to specific label indications or patient populations for its use, or changes or delays in the regulatory review process;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regulatory developments in the United States and foreign countries;</w:t>
      </w:r>
    </w:p>
    <w:p>
      <w:pPr>
        <w:spacing w:after="0" w:line="10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especially in light of current reforms to the United States healthcare system;</w:t>
      </w:r>
    </w:p>
    <w:p>
      <w:pPr>
        <w:spacing w:after="0" w:line="55" w:lineRule="exact"/>
        <w:rPr>
          <w:rFonts w:ascii="Arial" w:cs="Arial" w:eastAsia="Arial" w:hAnsi="Arial"/>
          <w:sz w:val="14"/>
          <w:szCs w:val="14"/>
          <w:color w:val="auto"/>
        </w:rPr>
      </w:pPr>
    </w:p>
    <w:p>
      <w:pPr>
        <w:ind w:left="1360" w:right="2059" w:hanging="111"/>
        <w:spacing w:after="0" w:line="286"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success or failure of our efforts to acquire, license, or develop additional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innovations or new products developed by us or our competitors;</w:t>
      </w:r>
    </w:p>
    <w:p>
      <w:pPr>
        <w:spacing w:after="0" w:line="106"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or capital commitments;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manufacturing, supply or distribution delays or shortages;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4" w:name="page65"/>
    <w:bookmarkEnd w:id="6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69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changes to our relationship with FCDI, any manufacturers, suppliers, licensors, future collaborators, or other strategic partners;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achievement of expected product sales and profitability;</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06"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market conditions in the biopharmaceutical sector and issuance of securities analysts’ reports or recommendations;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trading volume of our common stock;</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 inability to obtain additional funding;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sales of our stock by insiders and stockholders;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general economic, industry, and market conditions, or other events or factors, many of which are beyond our control;</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additions or departures of key personnel;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intellectual property, product liability, or other litigation against us.</w:t>
      </w:r>
    </w:p>
    <w:p>
      <w:pPr>
        <w:spacing w:after="0" w:line="128" w:lineRule="exact"/>
        <w:rPr>
          <w:sz w:val="20"/>
          <w:szCs w:val="20"/>
          <w:color w:val="auto"/>
        </w:rPr>
      </w:pPr>
    </w:p>
    <w:p>
      <w:pPr>
        <w:ind w:left="1240" w:right="1559"/>
        <w:spacing w:after="0" w:line="259" w:lineRule="auto"/>
        <w:rPr>
          <w:sz w:val="20"/>
          <w:szCs w:val="20"/>
          <w:color w:val="auto"/>
        </w:rPr>
      </w:pPr>
      <w:r>
        <w:rPr>
          <w:rFonts w:ascii="Arial" w:cs="Arial" w:eastAsia="Arial" w:hAnsi="Arial"/>
          <w:sz w:val="14"/>
          <w:szCs w:val="14"/>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33" w:lineRule="exact"/>
        <w:rPr>
          <w:sz w:val="20"/>
          <w:szCs w:val="20"/>
          <w:color w:val="auto"/>
        </w:rPr>
      </w:pPr>
    </w:p>
    <w:p>
      <w:pPr>
        <w:ind w:left="1240" w:right="2139"/>
        <w:spacing w:after="0" w:line="262"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you and other stockholders may not agree.</w:t>
      </w:r>
    </w:p>
    <w:p>
      <w:pPr>
        <w:spacing w:after="0" w:line="82"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01"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You will suffer immediate and substantial dilution in the net tangible book value of the common stock you purchase.</w:t>
      </w:r>
    </w:p>
    <w:p>
      <w:pPr>
        <w:spacing w:after="0" w:line="93" w:lineRule="exact"/>
        <w:rPr>
          <w:sz w:val="20"/>
          <w:szCs w:val="20"/>
          <w:color w:val="auto"/>
        </w:rPr>
      </w:pPr>
    </w:p>
    <w:p>
      <w:pPr>
        <w:ind w:left="1240" w:right="1279"/>
        <w:spacing w:after="0" w:line="241" w:lineRule="auto"/>
        <w:rPr>
          <w:sz w:val="20"/>
          <w:szCs w:val="20"/>
          <w:color w:val="auto"/>
        </w:rPr>
      </w:pPr>
      <w:r>
        <w:rPr>
          <w:rFonts w:ascii="Arial" w:cs="Arial" w:eastAsia="Arial" w:hAnsi="Arial"/>
          <w:sz w:val="14"/>
          <w:szCs w:val="14"/>
          <w:color w:val="auto"/>
        </w:rPr>
        <w:t>Investors purchasing shares of our common stock in this offering will pay a price per share that substantially exceeds the pro forma as adjusted net tangible book value per share of our common stock. As a result, investors purchasing common stock in this offering will incur immediate dilution of $ 11.63 per share, representing the difference between the initial public offering price of $ 20.00 per share, and our pro forma as adjusted net tangible book value per share as of March 31, 2021. To the extent outstanding options to purchase shares of our common stock are exercised, new investors may incur further dilution. For more information on the dilution you may experience as a result of investing in this offering, see the section of this prospectus entitled “Dilution.”</w:t>
      </w:r>
    </w:p>
    <w:p>
      <w:pPr>
        <w:spacing w:after="0" w:line="136" w:lineRule="exact"/>
        <w:rPr>
          <w:sz w:val="20"/>
          <w:szCs w:val="20"/>
          <w:color w:val="auto"/>
        </w:rPr>
      </w:pPr>
    </w:p>
    <w:p>
      <w:pPr>
        <w:ind w:left="1240" w:right="1459"/>
        <w:spacing w:after="0" w:line="243" w:lineRule="auto"/>
        <w:rPr>
          <w:sz w:val="20"/>
          <w:szCs w:val="20"/>
          <w:color w:val="auto"/>
        </w:rPr>
      </w:pPr>
      <w:r>
        <w:rPr>
          <w:rFonts w:ascii="Arial" w:cs="Arial" w:eastAsia="Arial" w:hAnsi="Arial"/>
          <w:sz w:val="14"/>
          <w:szCs w:val="14"/>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05" w:lineRule="exact"/>
        <w:rPr>
          <w:sz w:val="20"/>
          <w:szCs w:val="20"/>
          <w:color w:val="auto"/>
        </w:rPr>
      </w:pPr>
    </w:p>
    <w:p>
      <w:pPr>
        <w:ind w:left="1240" w:right="1299"/>
        <w:spacing w:after="0" w:line="242" w:lineRule="auto"/>
        <w:rPr>
          <w:sz w:val="20"/>
          <w:szCs w:val="20"/>
          <w:color w:val="auto"/>
        </w:rPr>
      </w:pPr>
      <w:r>
        <w:rPr>
          <w:rFonts w:ascii="Arial" w:cs="Arial" w:eastAsia="Arial" w:hAnsi="Arial"/>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299"/>
        <w:spacing w:after="0" w:line="262" w:lineRule="auto"/>
        <w:rPr>
          <w:sz w:val="20"/>
          <w:szCs w:val="20"/>
          <w:color w:val="auto"/>
        </w:rPr>
      </w:pPr>
      <w:r>
        <w:rPr>
          <w:rFonts w:ascii="Arial" w:cs="Arial" w:eastAsia="Arial" w:hAnsi="Arial"/>
          <w:sz w:val="14"/>
          <w:szCs w:val="14"/>
          <w:b w:val="1"/>
          <w:bCs w:val="1"/>
          <w:i w:val="1"/>
          <w:iCs w:val="1"/>
          <w:color w:val="auto"/>
        </w:rPr>
        <w:t>Sales of a substantial number of shares of our common stock by our existing stockholders in the public market could cause our stock price to fall.</w:t>
      </w:r>
    </w:p>
    <w:p>
      <w:pPr>
        <w:spacing w:after="0" w:line="82" w:lineRule="exact"/>
        <w:rPr>
          <w:sz w:val="20"/>
          <w:szCs w:val="20"/>
          <w:color w:val="auto"/>
        </w:rPr>
      </w:pPr>
    </w:p>
    <w:p>
      <w:pPr>
        <w:ind w:left="1240" w:right="1699"/>
        <w:spacing w:after="0" w:line="260"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06"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Based on shares of common stock outstanding as of June 11, 2021, upon the closing of this offering, we will have outstanding a total of 54,824,608 shares of common stock after this offering, assuming no exercise of the underwriters’ option to purchase additional shares and no exercise of outstanding options. Of these shares, 10,550,000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10"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Our directors and executive officers and holders of substantially all of our outstanding securities have entered into lock-up agreements with the underwriters pursuant to which they may not, with limited exceptions, for a period of 180 days from the date of this prospectus, offer, sell or otherwise transfer or dispose of any of our securities, without the prior written consent of J.P. Morgan Securities LLC, BofA Securities, Inc., SVB Leerink LLC, and Piper Sandler &amp; Co. The underwriters may permit our officers, directors, and other stockholders and the holders of our outstanding options who are subject to the lock-up agreements to sell shares prior to the expiration of the lock-up agreements, subject to limitations. See “Underwriting.” Sales of these shares, or perceptions that they will be sold, could cause the trading price of our common stock to decline. After the lock-up agreements expire, up to an additional 43,632,383 shares of common stock will be eligible for sale in the public market of which 35,956,203 shares are held by directors, executive officers, and other affiliates and will be subject to volume limitations under Rule 144 under the Securities Act of 1933, as amended, or the Securities Act.</w:t>
      </w:r>
    </w:p>
    <w:p>
      <w:pPr>
        <w:spacing w:after="0" w:line="274"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In addition, as of June 11, 2021, up to 11,481,692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Rule 144 under the Securities Act, or Rule 144, and Rule 701 under the Securities Act, or Rule 701. If these additional shares of common stock are sold, or if it is perceived that they will be sold, in the public market, the trading price of our common stock could decline.</w:t>
      </w:r>
    </w:p>
    <w:p>
      <w:pPr>
        <w:spacing w:after="0" w:line="279" w:lineRule="exact"/>
        <w:rPr>
          <w:sz w:val="20"/>
          <w:szCs w:val="20"/>
          <w:color w:val="auto"/>
        </w:rPr>
      </w:pPr>
    </w:p>
    <w:p>
      <w:pPr>
        <w:ind w:left="1240" w:right="1339"/>
        <w:spacing w:after="0" w:line="241" w:lineRule="auto"/>
        <w:rPr>
          <w:sz w:val="20"/>
          <w:szCs w:val="20"/>
          <w:color w:val="auto"/>
        </w:rPr>
      </w:pPr>
      <w:r>
        <w:rPr>
          <w:rFonts w:ascii="Arial" w:cs="Arial" w:eastAsia="Arial" w:hAnsi="Arial"/>
          <w:sz w:val="14"/>
          <w:szCs w:val="14"/>
          <w:color w:val="auto"/>
        </w:rPr>
        <w:t>After this offering, the holders of 40,088,134 shares of our outstanding common stock, or approximately 73% of our total outstanding common stock as of June 11, 2021, will be entitled to rights with respect to the registration of their shares under the Securities Act, subject to vesting and the 180- day lock-up agreements described above. See “Description of capital stock— Registration rights.” Registration of these shares under the Securities Act would result in the shares becoming freely tradable without restriction under the Securities Act, except for shares held by affiliates, as defined in Rule 144. Any sales of securities by these stockholders could have a material adverse effect on the trading price of our common stock.</w:t>
      </w:r>
    </w:p>
    <w:p>
      <w:pPr>
        <w:spacing w:after="0" w:line="136" w:lineRule="exact"/>
        <w:rPr>
          <w:sz w:val="20"/>
          <w:szCs w:val="20"/>
          <w:color w:val="auto"/>
        </w:rPr>
      </w:pPr>
    </w:p>
    <w:p>
      <w:pPr>
        <w:ind w:left="1240" w:right="1259"/>
        <w:spacing w:after="0"/>
        <w:rPr>
          <w:sz w:val="20"/>
          <w:szCs w:val="20"/>
          <w:color w:val="auto"/>
        </w:rPr>
      </w:pPr>
      <w:r>
        <w:rPr>
          <w:rFonts w:ascii="Arial" w:cs="Arial" w:eastAsia="Arial" w:hAnsi="Arial"/>
          <w:sz w:val="14"/>
          <w:szCs w:val="14"/>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261" w:lineRule="exact"/>
        <w:rPr>
          <w:sz w:val="20"/>
          <w:szCs w:val="20"/>
          <w:color w:val="auto"/>
        </w:rPr>
      </w:pPr>
    </w:p>
    <w:p>
      <w:pPr>
        <w:ind w:left="1240" w:right="1319"/>
        <w:spacing w:after="0"/>
        <w:rPr>
          <w:sz w:val="20"/>
          <w:szCs w:val="20"/>
          <w:color w:val="auto"/>
        </w:rPr>
      </w:pPr>
      <w:r>
        <w:rPr>
          <w:rFonts w:ascii="Arial" w:cs="Arial" w:eastAsia="Arial" w:hAnsi="Arial"/>
          <w:sz w:val="14"/>
          <w:szCs w:val="14"/>
          <w:color w:val="auto"/>
        </w:rPr>
        <w:t>Immediately following the closing of this offering, and disregarding any shares of common stock that they purchase in this offering, the existing holdings of our executive officers, directors, principal stockholders, and their affiliates, including entities affiliated with Bayer, FCDI, and Versant Ventures, or Versant, will represent beneficial ownership, in the aggregate, of approximately 70% of our outstanding common stock, assuming no exercise of the underwriters’ option to purchase additional shares of common stock in this offering.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6" w:name="page67"/>
    <w:bookmarkEnd w:id="6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delaying, deferring or preventing a change of control of us;</w:t>
      </w:r>
    </w:p>
    <w:p>
      <w:pPr>
        <w:spacing w:after="0" w:line="10" w:lineRule="exact"/>
        <w:rPr>
          <w:rFonts w:ascii="Arial" w:cs="Arial" w:eastAsia="Arial" w:hAnsi="Arial"/>
          <w:sz w:val="14"/>
          <w:szCs w:val="14"/>
          <w:color w:val="auto"/>
        </w:rPr>
      </w:pPr>
    </w:p>
    <w:p>
      <w:pPr>
        <w:ind w:left="1360" w:hanging="111"/>
        <w:spacing w:after="0"/>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impeding a merger, consolidation, takeover or other business combination involving us; or</w:t>
      </w:r>
    </w:p>
    <w:p>
      <w:pPr>
        <w:spacing w:after="0" w:line="10" w:lineRule="exact"/>
        <w:rPr>
          <w:rFonts w:ascii="Arial" w:cs="Arial" w:eastAsia="Arial" w:hAnsi="Arial"/>
          <w:sz w:val="14"/>
          <w:szCs w:val="14"/>
          <w:color w:val="auto"/>
        </w:rPr>
      </w:pPr>
    </w:p>
    <w:p>
      <w:pPr>
        <w:ind w:left="1360" w:right="1439" w:hanging="111"/>
        <w:spacing w:after="0" w:line="286" w:lineRule="auto"/>
        <w:tabs>
          <w:tab w:leader="none" w:pos="1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discouraging a potential acquirer from making a tender offer or otherwise attempting to obtain control of us.</w:t>
      </w:r>
    </w:p>
    <w:p>
      <w:pPr>
        <w:spacing w:after="0" w:line="77" w:lineRule="exact"/>
        <w:rPr>
          <w:sz w:val="20"/>
          <w:szCs w:val="20"/>
          <w:color w:val="auto"/>
        </w:rPr>
      </w:pPr>
    </w:p>
    <w:p>
      <w:pPr>
        <w:jc w:val="both"/>
        <w:ind w:left="1240" w:right="1459"/>
        <w:spacing w:after="0" w:line="234" w:lineRule="auto"/>
        <w:rPr>
          <w:sz w:val="20"/>
          <w:szCs w:val="20"/>
          <w:color w:val="auto"/>
        </w:rPr>
      </w:pPr>
      <w:r>
        <w:rPr>
          <w:rFonts w:ascii="Arial" w:cs="Arial" w:eastAsia="Arial" w:hAnsi="Arial"/>
          <w:sz w:val="14"/>
          <w:szCs w:val="14"/>
          <w:color w:val="auto"/>
        </w:rPr>
        <w:t>See “Principal stockholders” in this prospectus for more information regarding the ownership of our outstanding common stock by our executive officers, directors, principal stockholders, and their affiliates.</w:t>
      </w:r>
    </w:p>
    <w:p>
      <w:pPr>
        <w:spacing w:after="0" w:line="134" w:lineRule="exact"/>
        <w:rPr>
          <w:sz w:val="20"/>
          <w:szCs w:val="20"/>
          <w:color w:val="auto"/>
        </w:rPr>
      </w:pPr>
    </w:p>
    <w:p>
      <w:pPr>
        <w:jc w:val="both"/>
        <w:ind w:left="1240" w:right="1339"/>
        <w:spacing w:after="0" w:line="243"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5" w:lineRule="exact"/>
        <w:rPr>
          <w:sz w:val="20"/>
          <w:szCs w:val="20"/>
          <w:color w:val="auto"/>
        </w:rPr>
      </w:pPr>
    </w:p>
    <w:p>
      <w:pPr>
        <w:ind w:left="1240" w:right="1319"/>
        <w:spacing w:after="0"/>
        <w:rPr>
          <w:sz w:val="20"/>
          <w:szCs w:val="20"/>
          <w:color w:val="auto"/>
        </w:rPr>
      </w:pPr>
      <w:r>
        <w:rPr>
          <w:rFonts w:ascii="Arial" w:cs="Arial" w:eastAsia="Arial" w:hAnsi="Arial"/>
          <w:sz w:val="14"/>
          <w:szCs w:val="14"/>
          <w:color w:val="auto"/>
        </w:rPr>
        <w:t>We are an emerging growth company, as defined in the Jumpstart Our Business Startups Act, or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$1.07 billion or we issue more than $1.0 billion of non -convertible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136" w:lineRule="exact"/>
        <w:rPr>
          <w:sz w:val="20"/>
          <w:szCs w:val="20"/>
          <w:color w:val="auto"/>
        </w:rPr>
      </w:pPr>
    </w:p>
    <w:p>
      <w:pPr>
        <w:ind w:left="1360" w:right="1339" w:hanging="111"/>
        <w:spacing w:after="0" w:line="278" w:lineRule="auto"/>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50" w:lineRule="exact"/>
        <w:rPr>
          <w:rFonts w:ascii="Arial" w:cs="Arial" w:eastAsia="Arial" w:hAnsi="Arial"/>
          <w:sz w:val="14"/>
          <w:szCs w:val="14"/>
          <w:color w:val="auto"/>
        </w:rPr>
      </w:pPr>
    </w:p>
    <w:p>
      <w:pPr>
        <w:ind w:left="1360" w:right="1979" w:hanging="111"/>
        <w:spacing w:after="0" w:line="286" w:lineRule="auto"/>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44" w:lineRule="exact"/>
        <w:rPr>
          <w:rFonts w:ascii="Arial" w:cs="Arial" w:eastAsia="Arial" w:hAnsi="Arial"/>
          <w:sz w:val="14"/>
          <w:szCs w:val="14"/>
          <w:color w:val="auto"/>
        </w:rPr>
      </w:pPr>
    </w:p>
    <w:p>
      <w:pPr>
        <w:ind w:left="1360" w:hanging="111"/>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85"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44" w:lineRule="exact"/>
        <w:rPr>
          <w:rFonts w:ascii="Arial" w:cs="Arial" w:eastAsia="Arial" w:hAnsi="Arial"/>
          <w:sz w:val="14"/>
          <w:szCs w:val="14"/>
          <w:color w:val="auto"/>
        </w:rPr>
      </w:pPr>
    </w:p>
    <w:p>
      <w:pPr>
        <w:ind w:left="1360" w:hanging="111"/>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07" w:lineRule="exact"/>
        <w:rPr>
          <w:sz w:val="20"/>
          <w:szCs w:val="20"/>
          <w:color w:val="auto"/>
        </w:rPr>
      </w:pPr>
    </w:p>
    <w:p>
      <w:pPr>
        <w:ind w:left="1240" w:right="1299"/>
        <w:spacing w:after="0" w:line="226"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01" w:lineRule="exact"/>
        <w:rPr>
          <w:sz w:val="20"/>
          <w:szCs w:val="20"/>
          <w:color w:val="auto"/>
        </w:rPr>
      </w:pPr>
    </w:p>
    <w:p>
      <w:pPr>
        <w:ind w:left="1240" w:right="1379"/>
        <w:spacing w:after="0" w:line="223"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ind w:left="1240"/>
        <w:spacing w:after="0" w:line="226" w:lineRule="auto"/>
        <w:rPr>
          <w:sz w:val="20"/>
          <w:szCs w:val="20"/>
          <w:color w:val="auto"/>
        </w:rPr>
      </w:pPr>
      <w:r>
        <w:rPr>
          <w:rFonts w:ascii="Arial" w:cs="Arial" w:eastAsia="Arial" w:hAnsi="Arial"/>
          <w:sz w:val="14"/>
          <w:szCs w:val="14"/>
          <w:color w:val="auto"/>
        </w:rPr>
        <w:t>$250.0 million or (ii) our annual revenue is less than $100.0 million during the most recently</w:t>
      </w:r>
    </w:p>
    <w:p>
      <w:pPr>
        <w:ind w:left="1240"/>
        <w:spacing w:after="0" w:line="223" w:lineRule="auto"/>
        <w:rPr>
          <w:sz w:val="20"/>
          <w:szCs w:val="20"/>
          <w:color w:val="auto"/>
        </w:rPr>
      </w:pPr>
      <w:r>
        <w:rPr>
          <w:rFonts w:ascii="Arial" w:cs="Arial" w:eastAsia="Arial" w:hAnsi="Arial"/>
          <w:sz w:val="14"/>
          <w:szCs w:val="14"/>
          <w:color w:val="auto"/>
        </w:rPr>
        <w:t>completed fiscal year and the market value of our stock held by non-affiliates is less than</w:t>
      </w:r>
    </w:p>
    <w:p>
      <w:pPr>
        <w:ind w:left="1240"/>
        <w:spacing w:after="0" w:line="224" w:lineRule="auto"/>
        <w:rPr>
          <w:sz w:val="20"/>
          <w:szCs w:val="20"/>
          <w:color w:val="auto"/>
        </w:rPr>
      </w:pPr>
      <w:r>
        <w:rPr>
          <w:rFonts w:ascii="Arial" w:cs="Arial" w:eastAsia="Arial" w:hAnsi="Arial"/>
          <w:sz w:val="14"/>
          <w:szCs w:val="14"/>
          <w:color w:val="auto"/>
        </w:rPr>
        <w:t>$700.0 million. If we are a smaller reporting company at the time we cease to be an emerging</w:t>
      </w:r>
    </w:p>
    <w:p>
      <w:pPr>
        <w:ind w:left="1240"/>
        <w:spacing w:after="0" w:line="223" w:lineRule="auto"/>
        <w:rPr>
          <w:sz w:val="20"/>
          <w:szCs w:val="20"/>
          <w:color w:val="auto"/>
        </w:rPr>
      </w:pPr>
      <w:r>
        <w:rPr>
          <w:rFonts w:ascii="Arial" w:cs="Arial" w:eastAsia="Arial" w:hAnsi="Arial"/>
          <w:sz w:val="14"/>
          <w:szCs w:val="14"/>
          <w:color w:val="auto"/>
        </w:rPr>
        <w:t>growth company, we may continue to rely on exemptions from certain disclosure requirements</w:t>
      </w:r>
    </w:p>
    <w:p>
      <w:pPr>
        <w:ind w:left="1240"/>
        <w:spacing w:after="0" w:line="224" w:lineRule="auto"/>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ind w:left="1240"/>
        <w:spacing w:after="0" w:line="223" w:lineRule="auto"/>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ind w:left="1240"/>
        <w:spacing w:after="0" w:line="224" w:lineRule="auto"/>
        <w:rPr>
          <w:sz w:val="20"/>
          <w:szCs w:val="20"/>
          <w:color w:val="auto"/>
        </w:rPr>
      </w:pPr>
      <w:r>
        <w:rPr>
          <w:rFonts w:ascii="Arial" w:cs="Arial" w:eastAsia="Arial" w:hAnsi="Arial"/>
          <w:sz w:val="14"/>
          <w:szCs w:val="14"/>
          <w:color w:val="auto"/>
        </w:rPr>
        <w:t>Annual Report on Form 10-K and, similar to emerging growth companies, smaller reporting</w:t>
      </w:r>
    </w:p>
    <w:p>
      <w:pPr>
        <w:ind w:left="124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144" w:lineRule="exact"/>
        <w:rPr>
          <w:sz w:val="20"/>
          <w:szCs w:val="20"/>
          <w:color w:val="auto"/>
        </w:rPr>
      </w:pPr>
    </w:p>
    <w:p>
      <w:pPr>
        <w:ind w:left="1240" w:right="1639"/>
        <w:spacing w:after="0" w:line="262"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new compliance initiatives.</w:t>
      </w:r>
    </w:p>
    <w:p>
      <w:pPr>
        <w:spacing w:after="0" w:line="82" w:lineRule="exact"/>
        <w:rPr>
          <w:sz w:val="20"/>
          <w:szCs w:val="20"/>
          <w:color w:val="auto"/>
        </w:rPr>
      </w:pPr>
    </w:p>
    <w:p>
      <w:pPr>
        <w:ind w:left="1240" w:right="1279"/>
        <w:spacing w:after="0" w:line="234" w:lineRule="auto"/>
        <w:rPr>
          <w:sz w:val="20"/>
          <w:szCs w:val="20"/>
          <w:color w:val="auto"/>
        </w:rPr>
      </w:pPr>
      <w:r>
        <w:rPr>
          <w:rFonts w:ascii="Arial" w:cs="Arial" w:eastAsia="Arial" w:hAnsi="Arial"/>
          <w:sz w:val="14"/>
          <w:szCs w:val="14"/>
          <w:color w:val="auto"/>
        </w:rPr>
        <w:t>As a public company, and particularly after we are no longer an emerging growth company or smaller reporting company, we will incur significant legal, accounting, and other expenses that we did not incur as a private company.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7" w:name="page68"/>
    <w:bookmarkEnd w:id="6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100"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309" w:lineRule="exact"/>
        <w:rPr>
          <w:sz w:val="20"/>
          <w:szCs w:val="20"/>
          <w:color w:val="auto"/>
        </w:rPr>
      </w:pPr>
    </w:p>
    <w:p>
      <w:pPr>
        <w:jc w:val="both"/>
        <w:ind w:left="1240" w:right="1299"/>
        <w:spacing w:after="0" w:line="262"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9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308" w:lineRule="exact"/>
        <w:rPr>
          <w:sz w:val="20"/>
          <w:szCs w:val="20"/>
          <w:color w:val="auto"/>
        </w:rPr>
      </w:pPr>
    </w:p>
    <w:p>
      <w:pPr>
        <w:ind w:left="1240" w:right="1399"/>
        <w:spacing w:after="0" w:line="243"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05"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Provisions in our second amended and restated certificate of incorporation and our amended and restated bylaws to be in effect immediately prior to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242" w:lineRule="exact"/>
        <w:rPr>
          <w:sz w:val="20"/>
          <w:szCs w:val="20"/>
          <w:color w:val="auto"/>
        </w:rPr>
      </w:pPr>
    </w:p>
    <w:p>
      <w:pPr>
        <w:ind w:left="1360" w:right="1319" w:hanging="111"/>
        <w:spacing w:after="0" w:line="276"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73" w:lineRule="exact"/>
        <w:rPr>
          <w:rFonts w:ascii="Arial" w:cs="Arial" w:eastAsia="Arial" w:hAnsi="Arial"/>
          <w:sz w:val="14"/>
          <w:szCs w:val="14"/>
          <w:color w:val="auto"/>
        </w:rPr>
      </w:pPr>
    </w:p>
    <w:p>
      <w:pPr>
        <w:ind w:left="1360" w:right="1299" w:hanging="111"/>
        <w:spacing w:after="0" w:line="278"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8" w:name="page69"/>
    <w:bookmarkEnd w:id="6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339" w:hanging="111"/>
        <w:spacing w:after="0" w:line="286"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stockholders may not act by written consent, which forces stockholder action to be taken at an annual or special meeting of our stockholders;</w:t>
      </w:r>
    </w:p>
    <w:p>
      <w:pPr>
        <w:spacing w:after="0" w:line="66" w:lineRule="exact"/>
        <w:rPr>
          <w:rFonts w:ascii="Arial" w:cs="Arial" w:eastAsia="Arial" w:hAnsi="Arial"/>
          <w:sz w:val="14"/>
          <w:szCs w:val="14"/>
          <w:color w:val="auto"/>
        </w:rPr>
      </w:pPr>
    </w:p>
    <w:p>
      <w:pPr>
        <w:ind w:left="1360" w:right="1339" w:hanging="111"/>
        <w:spacing w:after="0" w:line="281"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248"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second amended and restated certificate of incorporation prohibits cumulative voting in the election of directors, which limits the ability of minority stockholders to elect director candidates;</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board of directors may alter certain provisions of our amended and restated bylaws without obtaining stockholder approval;</w:t>
      </w:r>
    </w:p>
    <w:p>
      <w:pPr>
        <w:spacing w:after="0" w:line="66" w:lineRule="exact"/>
        <w:rPr>
          <w:rFonts w:ascii="Arial" w:cs="Arial" w:eastAsia="Arial" w:hAnsi="Arial"/>
          <w:sz w:val="14"/>
          <w:szCs w:val="14"/>
          <w:color w:val="auto"/>
        </w:rPr>
      </w:pPr>
    </w:p>
    <w:p>
      <w:pPr>
        <w:ind w:left="1360" w:right="1279" w:hanging="111"/>
        <w:spacing w:after="0" w:line="278"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the outstanding shares of our capital stock is required to adopt, amend, or repeal our amended and restated bylaws, unless such action is recommended by our board of directors at an annual or special meeting of shareholders;</w:t>
      </w:r>
    </w:p>
    <w:p>
      <w:pPr>
        <w:spacing w:after="0" w:line="72" w:lineRule="exact"/>
        <w:rPr>
          <w:rFonts w:ascii="Arial" w:cs="Arial" w:eastAsia="Arial" w:hAnsi="Arial"/>
          <w:sz w:val="14"/>
          <w:szCs w:val="14"/>
          <w:color w:val="auto"/>
        </w:rPr>
      </w:pPr>
    </w:p>
    <w:p>
      <w:pPr>
        <w:ind w:left="1360" w:right="1279" w:hanging="111"/>
        <w:spacing w:after="0" w:line="271"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amended and restated bylaws, (ii) stockholder action,</w:t>
      </w:r>
    </w:p>
    <w:p>
      <w:pPr>
        <w:spacing w:after="0" w:line="1" w:lineRule="exact"/>
        <w:rPr>
          <w:rFonts w:ascii="Arial" w:cs="Arial" w:eastAsia="Arial" w:hAnsi="Arial"/>
          <w:sz w:val="14"/>
          <w:szCs w:val="14"/>
          <w:color w:val="auto"/>
        </w:rPr>
      </w:pPr>
    </w:p>
    <w:p>
      <w:pPr>
        <w:ind w:left="1360" w:right="1679"/>
        <w:spacing w:after="0" w:line="286" w:lineRule="auto"/>
        <w:rPr>
          <w:rFonts w:ascii="Arial" w:cs="Arial" w:eastAsia="Arial" w:hAnsi="Arial"/>
          <w:sz w:val="14"/>
          <w:szCs w:val="14"/>
          <w:color w:val="auto"/>
        </w:rPr>
      </w:pPr>
      <w:r>
        <w:rPr>
          <w:rFonts w:ascii="Arial" w:cs="Arial" w:eastAsia="Arial" w:hAnsi="Arial"/>
          <w:sz w:val="14"/>
          <w:szCs w:val="14"/>
          <w:color w:val="auto"/>
        </w:rPr>
        <w:t>(iii) election and removal of directors, (iv) limitations on liability and (v) exclusive forum for proceedings;</w:t>
      </w:r>
    </w:p>
    <w:p>
      <w:pPr>
        <w:spacing w:after="0" w:line="66" w:lineRule="exact"/>
        <w:rPr>
          <w:rFonts w:ascii="Arial" w:cs="Arial" w:eastAsia="Arial" w:hAnsi="Arial"/>
          <w:sz w:val="14"/>
          <w:szCs w:val="14"/>
          <w:color w:val="auto"/>
        </w:rPr>
      </w:pPr>
    </w:p>
    <w:p>
      <w:pPr>
        <w:ind w:left="1360" w:right="1279" w:hanging="111"/>
        <w:spacing w:after="0" w:line="275"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73" w:lineRule="exact"/>
        <w:rPr>
          <w:rFonts w:ascii="Arial" w:cs="Arial" w:eastAsia="Arial" w:hAnsi="Arial"/>
          <w:sz w:val="14"/>
          <w:szCs w:val="14"/>
          <w:color w:val="auto"/>
        </w:rPr>
      </w:pPr>
    </w:p>
    <w:p>
      <w:pPr>
        <w:ind w:left="1360" w:right="1499" w:hanging="111"/>
        <w:spacing w:after="0" w:line="278" w:lineRule="auto"/>
        <w:tabs>
          <w:tab w:leader="none" w:pos="1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94" w:lineRule="exact"/>
        <w:rPr>
          <w:sz w:val="20"/>
          <w:szCs w:val="20"/>
          <w:color w:val="auto"/>
        </w:rPr>
      </w:pPr>
    </w:p>
    <w:p>
      <w:pPr>
        <w:ind w:left="1240" w:right="1279"/>
        <w:spacing w:after="0" w:line="242"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7" w:lineRule="exact"/>
        <w:rPr>
          <w:sz w:val="20"/>
          <w:szCs w:val="20"/>
          <w:color w:val="auto"/>
        </w:rPr>
      </w:pPr>
    </w:p>
    <w:p>
      <w:pPr>
        <w:ind w:left="1240" w:right="1419"/>
        <w:spacing w:after="0" w:line="234" w:lineRule="auto"/>
        <w:rPr>
          <w:sz w:val="20"/>
          <w:szCs w:val="20"/>
          <w:color w:val="auto"/>
        </w:rPr>
      </w:pPr>
      <w:r>
        <w:rPr>
          <w:rFonts w:ascii="Arial" w:cs="Arial" w:eastAsia="Arial" w:hAnsi="Arial"/>
          <w:sz w:val="14"/>
          <w:szCs w:val="14"/>
          <w:b w:val="1"/>
          <w:bCs w:val="1"/>
          <w:i w:val="1"/>
          <w:iCs w:val="1"/>
          <w:color w:val="auto"/>
        </w:rPr>
        <w:t>Our second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99" w:lineRule="exact"/>
        <w:rPr>
          <w:sz w:val="20"/>
          <w:szCs w:val="20"/>
          <w:color w:val="auto"/>
        </w:rPr>
      </w:pPr>
    </w:p>
    <w:p>
      <w:pPr>
        <w:ind w:left="1240" w:right="1279"/>
        <w:spacing w:after="0"/>
        <w:rPr>
          <w:sz w:val="20"/>
          <w:szCs w:val="20"/>
          <w:color w:val="auto"/>
        </w:rPr>
      </w:pPr>
      <w:r>
        <w:rPr>
          <w:rFonts w:ascii="Arial" w:cs="Arial" w:eastAsia="Arial" w:hAnsi="Arial"/>
          <w:sz w:val="14"/>
          <w:szCs w:val="14"/>
          <w:color w:val="auto"/>
        </w:rPr>
        <w:t>Our second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43" w:lineRule="auto"/>
        <w:rPr>
          <w:sz w:val="20"/>
          <w:szCs w:val="20"/>
          <w:color w:val="auto"/>
        </w:rPr>
      </w:pPr>
      <w:r>
        <w:rPr>
          <w:rFonts w:ascii="Arial" w:cs="Arial" w:eastAsia="Arial" w:hAnsi="Arial"/>
          <w:sz w:val="14"/>
          <w:szCs w:val="14"/>
          <w:color w:val="auto"/>
        </w:rPr>
        <w:t>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23" w:lineRule="exact"/>
        <w:rPr>
          <w:sz w:val="20"/>
          <w:szCs w:val="20"/>
          <w:color w:val="auto"/>
        </w:rPr>
      </w:pPr>
    </w:p>
    <w:p>
      <w:pPr>
        <w:ind w:left="1240" w:right="1379"/>
        <w:spacing w:after="0" w:line="243" w:lineRule="auto"/>
        <w:rPr>
          <w:sz w:val="20"/>
          <w:szCs w:val="20"/>
          <w:color w:val="auto"/>
        </w:rPr>
      </w:pPr>
      <w:r>
        <w:rPr>
          <w:rFonts w:ascii="Arial" w:cs="Arial" w:eastAsia="Arial" w:hAnsi="Arial"/>
          <w:sz w:val="14"/>
          <w:szCs w:val="14"/>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0" w:name="page71"/>
    <w:bookmarkEnd w:id="7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Special note regarding forward-looking statements</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This prospectus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258" w:lineRule="exact"/>
        <w:rPr>
          <w:sz w:val="20"/>
          <w:szCs w:val="20"/>
          <w:color w:val="auto"/>
        </w:rPr>
      </w:pPr>
    </w:p>
    <w:p>
      <w:pPr>
        <w:ind w:left="1360" w:right="129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raise additional capital to fund our operations and continue the development of our current and future product candidates;</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preclinical nature of our business and our ability to successfully advance our current and future product candidates through development activities, preclinical studies, and clinical trials;</w:t>
      </w:r>
    </w:p>
    <w:p>
      <w:pPr>
        <w:spacing w:after="0" w:line="6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generate revenue from future product sales and our ability to achieve and maintain profitability;</w:t>
      </w:r>
    </w:p>
    <w:p>
      <w:pPr>
        <w:spacing w:after="0" w:line="6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accuracy of our projections and estimates regarding our expenses, capital requirements, cash utilization, and need for additional financing;</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expected uses of the net proceeds from this offering;</w:t>
      </w:r>
    </w:p>
    <w:p>
      <w:pPr>
        <w:spacing w:after="0" w:line="106" w:lineRule="exact"/>
        <w:rPr>
          <w:rFonts w:ascii="Arial" w:cs="Arial" w:eastAsia="Arial" w:hAnsi="Arial"/>
          <w:sz w:val="14"/>
          <w:szCs w:val="14"/>
          <w:color w:val="auto"/>
        </w:rPr>
      </w:pPr>
    </w:p>
    <w:p>
      <w:pPr>
        <w:ind w:left="1360" w:right="1379" w:hanging="111"/>
        <w:spacing w:after="0" w:line="291"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extent to which the COVID-19 pandemic and measures taken to contain its spread ultimately impact our business, including development activities, preclinical studies, and future clinical trials;</w:t>
      </w:r>
    </w:p>
    <w:p>
      <w:pPr>
        <w:spacing w:after="0" w:line="241"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dependence on the success of our product candidates, in particular CNTY-101, CNTY-103, and CNTY-102;</w:t>
      </w:r>
    </w:p>
    <w:p>
      <w:pPr>
        <w:spacing w:after="0" w:line="66"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novelty of our approach to immuno-oncology treatment of cancer, utilizing CAR-iNK and CAR-iT cells, and the challenges we will face due to the novel nature of such technology;</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success of competing therapies that are or become available;</w:t>
      </w:r>
    </w:p>
    <w:p>
      <w:pPr>
        <w:spacing w:after="0" w:line="106" w:lineRule="exact"/>
        <w:rPr>
          <w:rFonts w:ascii="Arial" w:cs="Arial" w:eastAsia="Arial" w:hAnsi="Arial"/>
          <w:sz w:val="14"/>
          <w:szCs w:val="14"/>
          <w:color w:val="auto"/>
        </w:rPr>
      </w:pPr>
    </w:p>
    <w:p>
      <w:pPr>
        <w:jc w:val="both"/>
        <w:ind w:left="1360" w:right="149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reliance on the maintenance of our collaborative relationship with FCDI for access to key differentiation and reprogramming technology for the manufacturing and development of our product candidates;</w:t>
      </w:r>
    </w:p>
    <w:p>
      <w:pPr>
        <w:spacing w:after="0" w:line="72"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initiation, progress, success, cost, and timing of our development activities, preclinical studies and future clinical trials;</w:t>
      </w:r>
    </w:p>
    <w:p>
      <w:pPr>
        <w:spacing w:after="0" w:line="6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timing of our future IND applications and the likelihood of, and our ability to obtain and maintain, regulatory clearance of such IND applications for our product candidates;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timing, scope and likelihood of regulatory filings and approvals, including final regulatory approval of our product candidates;</w:t>
      </w:r>
    </w:p>
    <w:p>
      <w:pPr>
        <w:spacing w:after="0" w:line="66" w:lineRule="exact"/>
        <w:rPr>
          <w:rFonts w:ascii="Arial" w:cs="Arial" w:eastAsia="Arial" w:hAnsi="Arial"/>
          <w:sz w:val="14"/>
          <w:szCs w:val="14"/>
          <w:color w:val="auto"/>
        </w:rPr>
      </w:pPr>
    </w:p>
    <w:p>
      <w:pPr>
        <w:ind w:left="1360" w:right="147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reliance on FCDI to be the exclusive manufacturer of certain product candidates, and our ability to manufacture our own product candidates in the future, and the timing and costs of such manufacturing activities;</w:t>
      </w:r>
    </w:p>
    <w:p>
      <w:pPr>
        <w:spacing w:after="0" w:line="72" w:lineRule="exact"/>
        <w:rPr>
          <w:rFonts w:ascii="Arial" w:cs="Arial" w:eastAsia="Arial" w:hAnsi="Arial"/>
          <w:sz w:val="14"/>
          <w:szCs w:val="14"/>
          <w:color w:val="auto"/>
        </w:rPr>
      </w:pPr>
    </w:p>
    <w:p>
      <w:pPr>
        <w:ind w:left="1360" w:right="1379" w:hanging="111"/>
        <w:spacing w:after="0" w:line="278"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performance of third parties in connection with the development of our product candidates, including third parties conducting our future clinical trials as well as third-party suppliers and manufacturers;</w:t>
      </w:r>
    </w:p>
    <w:p>
      <w:pPr>
        <w:spacing w:after="0" w:line="72"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attract and retain strategic collaborators with development, regulatory, and commercialization expertise;</w:t>
      </w:r>
    </w:p>
    <w:p>
      <w:pPr>
        <w:spacing w:after="0" w:line="66" w:lineRule="exact"/>
        <w:rPr>
          <w:rFonts w:ascii="Arial" w:cs="Arial" w:eastAsia="Arial" w:hAnsi="Arial"/>
          <w:sz w:val="14"/>
          <w:szCs w:val="14"/>
          <w:color w:val="auto"/>
        </w:rPr>
      </w:pPr>
    </w:p>
    <w:p>
      <w:pPr>
        <w:ind w:left="1360" w:right="129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public opinion and scrutiny of cell-based immuno-oncology therapies for treating cancer and its potential impact on public perception of our company and product candidates;</w:t>
      </w:r>
    </w:p>
    <w:p>
      <w:pPr>
        <w:spacing w:after="0" w:line="6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develop sales and marketing capabilities, if our product candidates are approved;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37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size and growth of the potential markets for our product candidates and our ability to serve those markets;</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regulatory developments and approval pathways in the United States and foreign countries for our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potential scope and value of our intellectual property and proprietary rights;</w:t>
      </w:r>
    </w:p>
    <w:p>
      <w:pPr>
        <w:spacing w:after="0" w:line="106" w:lineRule="exact"/>
        <w:rPr>
          <w:rFonts w:ascii="Arial" w:cs="Arial" w:eastAsia="Arial" w:hAnsi="Arial"/>
          <w:sz w:val="14"/>
          <w:szCs w:val="14"/>
          <w:color w:val="auto"/>
        </w:rPr>
      </w:pPr>
    </w:p>
    <w:p>
      <w:pPr>
        <w:ind w:left="1360" w:right="1299" w:hanging="111"/>
        <w:spacing w:after="0" w:line="27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73"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recruit and retain key members of management and other clinical and scientific personnel;</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 and</w:t>
      </w:r>
    </w:p>
    <w:p>
      <w:pPr>
        <w:spacing w:after="0" w:line="106"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other risks and uncertainties, including those described or incorporated by reference under the caption “Risk factors” in this prospectus.</w:t>
      </w:r>
    </w:p>
    <w:p>
      <w:pPr>
        <w:spacing w:after="0" w:line="8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and elsewhere in this prospectus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95" w:lineRule="exact"/>
        <w:rPr>
          <w:sz w:val="20"/>
          <w:szCs w:val="20"/>
          <w:color w:val="auto"/>
        </w:rPr>
      </w:pPr>
    </w:p>
    <w:p>
      <w:pPr>
        <w:ind w:left="1240" w:right="1299"/>
        <w:spacing w:after="0" w:line="277"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2" w:name="page73"/>
    <w:bookmarkEnd w:id="7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Market and industry data</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This prospectus contains estimates and other statistical data made by independent parties relating to our industry and the markets in which we operate, including estimates and statistical data about our market position, market opportunity, the incidence of certain medical conditions and other industry data. These data, to the extent they contain estimates or projections, involve a number of assumptions and limitations and are inherently imprecise, and you are cautioned not to give undue weight to such estimates or projections. Based on our industry experience, we believe that such data is reliable, the conclusions contained in the publications and reports are reasonable and the third-party information included in this prospectus and in our estimates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3" w:name="page74"/>
    <w:bookmarkEnd w:id="7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Use of proceeds</w:t>
      </w:r>
    </w:p>
    <w:p>
      <w:pPr>
        <w:spacing w:after="0" w:line="130" w:lineRule="exact"/>
        <w:rPr>
          <w:sz w:val="20"/>
          <w:szCs w:val="20"/>
          <w:color w:val="auto"/>
        </w:rPr>
      </w:pPr>
    </w:p>
    <w:p>
      <w:pPr>
        <w:ind w:left="1240" w:right="1299"/>
        <w:spacing w:after="0" w:line="277" w:lineRule="auto"/>
        <w:rPr>
          <w:sz w:val="20"/>
          <w:szCs w:val="20"/>
          <w:color w:val="auto"/>
        </w:rPr>
      </w:pPr>
      <w:r>
        <w:rPr>
          <w:rFonts w:ascii="Arial" w:cs="Arial" w:eastAsia="Arial" w:hAnsi="Arial"/>
          <w:sz w:val="14"/>
          <w:szCs w:val="14"/>
          <w:color w:val="auto"/>
        </w:rPr>
        <w:t>We estimate that the net proceeds to us from this offering will be approximately $192.2 million (or approximately $221.7 million if the underwriters exercise in full their option to purchase up to 1,582,500 additional shares of common stock), based on an initial public offering price of $20.00 per share, after deducting underwriting discounts and commissions and estimated offering expenses payable by us.</w:t>
      </w:r>
    </w:p>
    <w:p>
      <w:pPr>
        <w:spacing w:after="0" w:line="285"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The principal purposes of this offering are to obtain additional capital to support our operations, to create a public market for our common stock and to facilitate our future access to the public equity markets. We currently expect to use the net proceeds from this offering, together with our existing cash, cash equivalents and short-term investments, as follows:</w:t>
      </w:r>
    </w:p>
    <w:p>
      <w:pPr>
        <w:spacing w:after="0" w:line="73" w:lineRule="exact"/>
        <w:rPr>
          <w:sz w:val="20"/>
          <w:szCs w:val="20"/>
          <w:color w:val="auto"/>
        </w:rPr>
      </w:pPr>
    </w:p>
    <w:p>
      <w:pPr>
        <w:ind w:left="1360" w:right="1379" w:hanging="111"/>
        <w:spacing w:after="0" w:line="278"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Approximately $50 million to fund pre-clinical activities and clinical preparation activities for CNTY-101 through completion of our IND submission, initiation of our planned Phase 1 clinical trial, and receipt of initial safety and pharmacokinetic, or PK, data;</w:t>
      </w:r>
    </w:p>
    <w:p>
      <w:pPr>
        <w:spacing w:after="0" w:line="72" w:lineRule="exact"/>
        <w:rPr>
          <w:rFonts w:ascii="Arial" w:cs="Arial" w:eastAsia="Arial" w:hAnsi="Arial"/>
          <w:sz w:val="14"/>
          <w:szCs w:val="14"/>
          <w:color w:val="auto"/>
        </w:rPr>
      </w:pPr>
    </w:p>
    <w:p>
      <w:pPr>
        <w:ind w:left="1360" w:right="1419" w:hanging="111"/>
        <w:spacing w:after="0" w:line="291"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Approximately $110 million to fund pre-clinical activities for CNTY-103, CNTY-102, and CNTY-104 through completion of our IND submission for each of CNTY-103, CNTY-102, and CNTY-104;</w:t>
      </w:r>
    </w:p>
    <w:p>
      <w:pPr>
        <w:spacing w:after="0" w:line="241"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Approximately $35 million to continue developing manufacturing capabilities for our product candidates, including the construction of our manufacturing facility in Branchburg, New Jersey;</w:t>
      </w:r>
    </w:p>
    <w:p>
      <w:pPr>
        <w:spacing w:after="0" w:line="66"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Approximately $40 million to fund our internal research and development capabilities and to advance new product candidates; and</w:t>
      </w:r>
    </w:p>
    <w:p>
      <w:pPr>
        <w:spacing w:after="0" w:line="66" w:lineRule="exact"/>
        <w:rPr>
          <w:rFonts w:ascii="Arial" w:cs="Arial" w:eastAsia="Arial" w:hAnsi="Arial"/>
          <w:sz w:val="14"/>
          <w:szCs w:val="14"/>
          <w:color w:val="auto"/>
        </w:rPr>
      </w:pPr>
    </w:p>
    <w:p>
      <w:pPr>
        <w:ind w:left="1360" w:right="1939" w:hanging="111"/>
        <w:spacing w:after="0" w:line="286" w:lineRule="auto"/>
        <w:tabs>
          <w:tab w:leader="none" w:pos="1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remainder for working capital and other general corporate purposes, including the additional costs associated with being a public company.</w:t>
      </w:r>
    </w:p>
    <w:p>
      <w:pPr>
        <w:spacing w:after="0" w:line="98"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We may use a portion of the net proceeds from this offering to in-license, acquire, or invest in complementary businesses, technologies, products or assets. However, we have no current commitments to do so.</w:t>
      </w:r>
    </w:p>
    <w:p>
      <w:pPr>
        <w:spacing w:after="0" w:line="94" w:lineRule="exact"/>
        <w:rPr>
          <w:sz w:val="20"/>
          <w:szCs w:val="20"/>
          <w:color w:val="auto"/>
        </w:rPr>
      </w:pPr>
    </w:p>
    <w:p>
      <w:pPr>
        <w:ind w:left="1240" w:right="1259"/>
        <w:spacing w:after="0" w:line="275" w:lineRule="auto"/>
        <w:rPr>
          <w:sz w:val="20"/>
          <w:szCs w:val="20"/>
          <w:color w:val="auto"/>
        </w:rPr>
      </w:pPr>
      <w:r>
        <w:rPr>
          <w:rFonts w:ascii="Arial" w:cs="Arial" w:eastAsia="Arial" w:hAnsi="Arial"/>
          <w:sz w:val="14"/>
          <w:szCs w:val="14"/>
          <w:color w:val="auto"/>
        </w:rPr>
        <w:t>Based on our planned use of the net proceeds, we estimate such funds, together with our existing cash and cash equivalents, will be sufficient for us to fund our operating expenses and capital expenditure requirements for the next 42 months from the date of this filing. We have based this estimate on assumptions that may prove to be wrong, and we could exhaust our available capital resources sooner than we expect.</w:t>
      </w:r>
    </w:p>
    <w:p>
      <w:pPr>
        <w:spacing w:after="0" w:line="10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closing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289"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94" w:lineRule="exact"/>
        <w:rPr>
          <w:sz w:val="20"/>
          <w:szCs w:val="20"/>
          <w:color w:val="auto"/>
        </w:rPr>
      </w:pPr>
    </w:p>
    <w:p>
      <w:pPr>
        <w:ind w:left="1240" w:right="1359"/>
        <w:spacing w:after="0" w:line="278" w:lineRule="auto"/>
        <w:rPr>
          <w:sz w:val="20"/>
          <w:szCs w:val="20"/>
          <w:color w:val="auto"/>
        </w:rPr>
      </w:pPr>
      <w:r>
        <w:rPr>
          <w:rFonts w:ascii="Arial" w:cs="Arial" w:eastAsia="Arial" w:hAnsi="Arial"/>
          <w:sz w:val="14"/>
          <w:szCs w:val="14"/>
          <w:color w:val="auto"/>
        </w:rPr>
        <w:t>Pending their use, we plan to invest the net proceeds from this offering in short- and medium-term, interest-bearing obligations, investment-grade instruments, certificates of deposit, or direct or guaranteed obligations of the United States government.</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4" w:name="page75"/>
    <w:bookmarkEnd w:id="7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Dividend policy</w:t>
      </w:r>
    </w:p>
    <w:p>
      <w:pPr>
        <w:spacing w:after="0" w:line="130"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We have never declared or paid cash dividends on our capital stock and our ability to pay cash dividends is currently restricted by the terms of our Loan and Security Agreement with Hercules Capital, Inc.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5" w:name="page76"/>
    <w:bookmarkEnd w:id="7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Capitalization</w:t>
      </w:r>
    </w:p>
    <w:p>
      <w:pPr>
        <w:spacing w:after="0" w:line="119" w:lineRule="exact"/>
        <w:rPr>
          <w:sz w:val="20"/>
          <w:szCs w:val="20"/>
          <w:color w:val="auto"/>
        </w:rPr>
      </w:pPr>
    </w:p>
    <w:p>
      <w:pPr>
        <w:ind w:left="1240" w:right="1859"/>
        <w:spacing w:after="0" w:line="270" w:lineRule="auto"/>
        <w:rPr>
          <w:sz w:val="20"/>
          <w:szCs w:val="20"/>
          <w:color w:val="auto"/>
        </w:rPr>
      </w:pPr>
      <w:r>
        <w:rPr>
          <w:rFonts w:ascii="Arial" w:cs="Arial" w:eastAsia="Arial" w:hAnsi="Arial"/>
          <w:sz w:val="14"/>
          <w:szCs w:val="14"/>
          <w:color w:val="auto"/>
        </w:rPr>
        <w:t>The following table sets forth our cash, cash equivalents, short term investments and our capitalization as of March 31, 2021:</w:t>
      </w:r>
    </w:p>
    <w:p>
      <w:pPr>
        <w:spacing w:after="0" w:line="77" w:lineRule="exact"/>
        <w:rPr>
          <w:sz w:val="20"/>
          <w:szCs w:val="20"/>
          <w:color w:val="auto"/>
        </w:rPr>
      </w:pPr>
    </w:p>
    <w:p>
      <w:pPr>
        <w:ind w:left="1360" w:hanging="111"/>
        <w:spacing w:after="0"/>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85" w:lineRule="exact"/>
        <w:rPr>
          <w:rFonts w:ascii="Arial" w:cs="Arial" w:eastAsia="Arial" w:hAnsi="Arial"/>
          <w:sz w:val="14"/>
          <w:szCs w:val="14"/>
          <w:color w:val="auto"/>
        </w:rPr>
      </w:pPr>
    </w:p>
    <w:p>
      <w:pPr>
        <w:ind w:left="1360" w:right="1279" w:hanging="111"/>
        <w:spacing w:after="0" w:line="27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a pro forma basis to give effect to the completion of (i) the filing and effectiveness of our second amended and restated certificate of incorporation immediately prior to the closing of this offering, and (ii) the conversion of all outstanding shares of our convertible preferred stock into an aggregate of 34,126,528 shares of common stock upon the closing of this offering; and</w:t>
      </w:r>
    </w:p>
    <w:p>
      <w:pPr>
        <w:spacing w:after="0" w:line="51" w:lineRule="exact"/>
        <w:rPr>
          <w:rFonts w:ascii="Arial" w:cs="Arial" w:eastAsia="Arial" w:hAnsi="Arial"/>
          <w:sz w:val="14"/>
          <w:szCs w:val="14"/>
          <w:color w:val="auto"/>
        </w:rPr>
      </w:pPr>
    </w:p>
    <w:p>
      <w:pPr>
        <w:ind w:left="1360" w:right="1319" w:hanging="111"/>
        <w:spacing w:after="0" w:line="276" w:lineRule="auto"/>
        <w:tabs>
          <w:tab w:leader="none" w:pos="1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a pro forma as adjusted basis to give effect to the pro forma adjustments described above and to give further effect to the issuance and sale of 10,550,000 shares of our common stock in this offering at the initial public offering price of $20.00 per share, after deducting estimated underwriting discounts and commissions and estimated offering expenses payable by us.</w:t>
      </w:r>
    </w:p>
    <w:p>
      <w:pPr>
        <w:spacing w:after="0" w:line="84"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You should read this table together with the sections of this prospectus captioned “Selected financial and other data,” “Use of proceeds,” “Management’s discussion and analysis of financial condition and results of operations,” “Description of capital stock” and our financial statements and related notes included elsewhere in this prospectus.</w:t>
      </w:r>
    </w:p>
    <w:p>
      <w:pPr>
        <w:spacing w:after="0" w:line="129"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160" w:type="dxa"/>
            <w:vAlign w:val="bottom"/>
            <w:gridSpan w:val="6"/>
          </w:tcPr>
          <w:p>
            <w:pPr>
              <w:ind w:left="240"/>
              <w:spacing w:after="0"/>
              <w:rPr>
                <w:sz w:val="20"/>
                <w:szCs w:val="20"/>
                <w:color w:val="auto"/>
              </w:rPr>
            </w:pPr>
            <w:r>
              <w:rPr>
                <w:rFonts w:ascii="Arial" w:cs="Arial" w:eastAsia="Arial" w:hAnsi="Arial"/>
                <w:sz w:val="13"/>
                <w:szCs w:val="13"/>
                <w:b w:val="1"/>
                <w:bCs w:val="1"/>
                <w:color w:val="auto"/>
              </w:rPr>
              <w:t>ActualPro Forma as Adjusted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80" w:type="dxa"/>
            <w:vAlign w:val="bottom"/>
            <w:tcBorders>
              <w:top w:val="single" w:sz="8" w:color="auto"/>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Cash, cash equivalents and short-term investments</w:t>
            </w: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u w:val="single" w:color="auto"/>
                <w:color w:val="auto"/>
              </w:rPr>
              <w:t>182,942</w:t>
            </w:r>
          </w:p>
        </w:tc>
        <w:tc>
          <w:tcPr>
            <w:tcW w:w="1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182,942</w:t>
            </w: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375,173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Long-term debt</w:t>
            </w: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00" w:type="dxa"/>
            <w:vAlign w:val="bottom"/>
            <w:gridSpan w:val="2"/>
            <w:vMerge w:val="continue"/>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12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14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4"/>
                <w:szCs w:val="14"/>
                <w:color w:val="auto"/>
              </w:rPr>
              <w:t>9,711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Series A preferred stock, $0.0001 par value: 35,000,000 shares</w:t>
            </w:r>
          </w:p>
        </w:tc>
        <w:tc>
          <w:tcPr>
            <w:tcW w:w="660" w:type="dxa"/>
            <w:vAlign w:val="bottom"/>
          </w:tcPr>
          <w:p>
            <w:pPr>
              <w:jc w:val="right"/>
              <w:spacing w:after="0"/>
              <w:rPr>
                <w:sz w:val="20"/>
                <w:szCs w:val="20"/>
                <w:color w:val="auto"/>
              </w:rPr>
            </w:pPr>
            <w:r>
              <w:rPr>
                <w:rFonts w:ascii="Arial" w:cs="Arial" w:eastAsia="Arial" w:hAnsi="Arial"/>
                <w:sz w:val="14"/>
                <w:szCs w:val="14"/>
                <w:color w:val="auto"/>
              </w:rPr>
              <w:t>34,922</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authorized, issued and outstanding, actual; no shares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 adjusted</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Series B preferred stock, $0.0001 par value: 26,143,790 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authorized, issued and outstanding, actual; no 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as adjusted</w:t>
            </w:r>
          </w:p>
        </w:tc>
        <w:tc>
          <w:tcPr>
            <w:tcW w:w="660" w:type="dxa"/>
            <w:vAlign w:val="bottom"/>
          </w:tcPr>
          <w:p>
            <w:pPr>
              <w:jc w:val="right"/>
              <w:spacing w:after="0"/>
              <w:rPr>
                <w:sz w:val="20"/>
                <w:szCs w:val="20"/>
                <w:color w:val="auto"/>
              </w:rPr>
            </w:pPr>
            <w:r>
              <w:rPr>
                <w:rFonts w:ascii="Arial" w:cs="Arial" w:eastAsia="Arial" w:hAnsi="Arial"/>
                <w:sz w:val="14"/>
                <w:szCs w:val="14"/>
                <w:color w:val="auto"/>
              </w:rPr>
              <w:t>144,839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C preferred stock, $0.0001 par value: 24,721,999</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authorized, issued and outstanding, actual; no shares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authorized, issued or outstanding, pro forma and pro forma</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 adjusted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159,628</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Common stock, $0.0001 par value, 125,236,190 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authorized; 7,872,533 shares issued and outstanding, actual;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300,000,000 shares authorized and 41,999,061 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issued and outstanding pro forma; 300,000,000 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authorized and 52,549,061 shares issued and outstanding</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tcPr>
          <w:p>
            <w:pPr>
              <w:ind w:left="280"/>
              <w:spacing w:after="0"/>
              <w:rPr>
                <w:sz w:val="20"/>
                <w:szCs w:val="20"/>
                <w:color w:val="auto"/>
              </w:rPr>
            </w:pPr>
            <w:r>
              <w:rPr>
                <w:rFonts w:ascii="Arial" w:cs="Arial" w:eastAsia="Arial" w:hAnsi="Arial"/>
                <w:sz w:val="14"/>
                <w:szCs w:val="14"/>
                <w:color w:val="auto"/>
              </w:rPr>
              <w:t>pro forma as adjusted</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219,158</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558,544</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750,774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1500" w:type="dxa"/>
            <w:vAlign w:val="bottom"/>
            <w:gridSpan w:val="4"/>
          </w:tcPr>
          <w:p>
            <w:pPr>
              <w:jc w:val="right"/>
              <w:ind w:right="51"/>
              <w:spacing w:after="0"/>
              <w:rPr>
                <w:sz w:val="20"/>
                <w:szCs w:val="20"/>
                <w:color w:val="auto"/>
              </w:rPr>
            </w:pPr>
            <w:r>
              <w:rPr>
                <w:rFonts w:ascii="Arial" w:cs="Arial" w:eastAsia="Arial" w:hAnsi="Arial"/>
                <w:sz w:val="14"/>
                <w:szCs w:val="14"/>
                <w:color w:val="auto"/>
              </w:rPr>
              <w:t>(310,690) (310,690)</w:t>
            </w:r>
          </w:p>
        </w:tc>
        <w:tc>
          <w:tcPr>
            <w:tcW w:w="620" w:type="dxa"/>
            <w:vAlign w:val="bottom"/>
          </w:tcPr>
          <w:p>
            <w:pPr>
              <w:jc w:val="right"/>
              <w:spacing w:after="0"/>
              <w:rPr>
                <w:sz w:val="20"/>
                <w:szCs w:val="20"/>
                <w:color w:val="auto"/>
              </w:rPr>
            </w:pPr>
            <w:r>
              <w:rPr>
                <w:rFonts w:ascii="Arial" w:cs="Arial" w:eastAsia="Arial" w:hAnsi="Arial"/>
                <w:sz w:val="14"/>
                <w:szCs w:val="14"/>
                <w:color w:val="auto"/>
              </w:rPr>
              <w:t>(310,690)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7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c>
          <w:tcPr>
            <w:tcW w:w="720" w:type="dxa"/>
            <w:vAlign w:val="bottom"/>
            <w:tcBorders>
              <w:bottom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(26)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Total capitalization</w:t>
            </w:r>
          </w:p>
        </w:tc>
        <w:tc>
          <w:tcPr>
            <w:tcW w:w="660" w:type="dxa"/>
            <w:vAlign w:val="bottom"/>
          </w:tcPr>
          <w:p>
            <w:pPr>
              <w:jc w:val="right"/>
              <w:spacing w:after="0"/>
              <w:rPr>
                <w:sz w:val="20"/>
                <w:szCs w:val="20"/>
                <w:color w:val="auto"/>
              </w:rPr>
            </w:pPr>
            <w:r>
              <w:rPr>
                <w:rFonts w:ascii="Arial" w:cs="Arial" w:eastAsia="Arial" w:hAnsi="Arial"/>
                <w:sz w:val="14"/>
                <w:szCs w:val="14"/>
                <w:color w:val="auto"/>
              </w:rPr>
              <w:t>$ 257,543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257,543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449,774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above table gives effect to the pro forma transactions described above and excludes:</w:t>
      </w:r>
    </w:p>
    <w:p>
      <w:pPr>
        <w:spacing w:after="0" w:line="107" w:lineRule="exact"/>
        <w:rPr>
          <w:sz w:val="20"/>
          <w:szCs w:val="20"/>
          <w:color w:val="auto"/>
        </w:rPr>
      </w:pPr>
    </w:p>
    <w:p>
      <w:pPr>
        <w:ind w:left="1360" w:right="1779" w:hanging="111"/>
        <w:spacing w:after="0" w:line="286"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3,419,208 shares of our common stock issuable upon the exercise of stock options as of March 31, 2021, at a weighted-average exercise price of $1.83 per share;</w:t>
      </w:r>
    </w:p>
    <w:p>
      <w:pPr>
        <w:spacing w:after="0" w:line="44" w:lineRule="exact"/>
        <w:rPr>
          <w:rFonts w:ascii="Arial" w:cs="Arial" w:eastAsia="Arial" w:hAnsi="Arial"/>
          <w:sz w:val="14"/>
          <w:szCs w:val="14"/>
          <w:color w:val="auto"/>
        </w:rPr>
      </w:pPr>
    </w:p>
    <w:p>
      <w:pPr>
        <w:ind w:left="1360" w:right="1319" w:hanging="111"/>
        <w:spacing w:after="0" w:line="263"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1,855,223 shares outstanding that are subject to forfeiture or our right to repurchase as of such date;</w:t>
      </w:r>
    </w:p>
    <w:p>
      <w:pPr>
        <w:spacing w:after="0" w:line="251"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16,112 shares of our common stock issuable upon the exercise of warrants to purchase common stock, at a weighted-average exercise price of $13.96 per share;</w:t>
      </w:r>
    </w:p>
    <w:p>
      <w:pPr>
        <w:spacing w:after="0" w:line="44"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2,452,071 shares of our common stock reserved for issuance pursuant to future awards as of March 31, 2021 under the 2018 Plan;</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6" w:name="page77"/>
    <w:bookmarkEnd w:id="7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319" w:hanging="111"/>
        <w:spacing w:after="0" w:line="276" w:lineRule="auto"/>
        <w:tabs>
          <w:tab w:leader="none" w:pos="1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became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60" w:right="1359" w:hanging="111"/>
        <w:spacing w:after="0" w:line="276" w:lineRule="auto"/>
        <w:tabs>
          <w:tab w:leader="none" w:pos="1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our Employee Stock Purchase Plan, or ESPP, which became effective upon the effectiveness of the Registration Statement of which this prospectus forms a part, as well as any future increases in the number of shares of common stock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7" w:name="page78"/>
    <w:bookmarkEnd w:id="7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Dilution</w:t>
      </w:r>
    </w:p>
    <w:p>
      <w:pPr>
        <w:spacing w:after="0" w:line="77" w:lineRule="exact"/>
        <w:rPr>
          <w:sz w:val="20"/>
          <w:szCs w:val="20"/>
          <w:color w:val="auto"/>
        </w:rPr>
      </w:pPr>
    </w:p>
    <w:p>
      <w:pPr>
        <w:ind w:left="1240" w:right="1439"/>
        <w:spacing w:after="0" w:line="260" w:lineRule="auto"/>
        <w:rPr>
          <w:sz w:val="20"/>
          <w:szCs w:val="20"/>
          <w:color w:val="auto"/>
        </w:rPr>
      </w:pPr>
      <w:r>
        <w:rPr>
          <w:rFonts w:ascii="Arial" w:cs="Arial" w:eastAsia="Arial" w:hAnsi="Arial"/>
          <w:sz w:val="14"/>
          <w:szCs w:val="14"/>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 The data in this section are derived from our balance sheet as of March 31, 2021.</w:t>
      </w:r>
    </w:p>
    <w:p>
      <w:pPr>
        <w:spacing w:after="0" w:line="63"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Our historical net tangible book value (deficit) as of March 31, 2021 was $(91.6) million, or $(11.63) per share of our common stock. Our historical net tangible book value (deficit) represents our total tangible assets less total liabilities and convertible preferred stock. Historical net tangible book value (deficit) per share is our historical net tangible book value (deficit) divided by the number of shares of our common stock outstanding as of March 31, 2021.</w:t>
      </w:r>
    </w:p>
    <w:p>
      <w:pPr>
        <w:spacing w:after="0" w:line="63"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color w:val="auto"/>
        </w:rPr>
        <w:t>Our pro forma net tangible book value as of March 31, 2021, before giving effect to this offering, was $247.8 million, or $5.90 per share. Pro forma net tangible book value, before the issuance and sale of shares in this offering, gives effect to the conversion of all outstanding shares of our convertible preferred stock into an aggregate of 34,126,528 shares of common stock upon the closing of this offering.</w:t>
      </w:r>
    </w:p>
    <w:p>
      <w:pPr>
        <w:spacing w:after="0" w:line="52"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Pro forma net tangible book value per share represents pro forma net tangible book value divided by the total number of shares outstanding as of March 31, 2021 after giving effect to the pro forma adjustments described above.</w:t>
      </w:r>
    </w:p>
    <w:p>
      <w:pPr>
        <w:spacing w:after="0" w:line="6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Net tangible book value dilution per share to new investors represents the difference between the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amount per share paid by purchasers of common stock in this offering and the pro forma as</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adjusted net tangible book value per share of our common stock immediately following the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closing of this offering. After giving effect to the pro forma transactions described above and the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sale of 10,550,000 shares of common stock in this offering at an initial public offering price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$20.00 per share, and after deducting the underwriting discounts and commissions and estimated</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offering expenses payable by us, our pro forma as adjusted net tangible book value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March 31, 2021 would have been $440.1 million, or $8.37 per share. This represents an</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immediate increase in pro forma as adjusted net tangible book value of $2.47 per share to our</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existing stockholders and an immediate dilution of $11.63 per share to new investors participating</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this offering. The following table illustrates this dilution on a per share basis:</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Initial public offering price per share</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$ 20.00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600" w:type="dxa"/>
            <w:vAlign w:val="bottom"/>
            <w:gridSpan w:val="2"/>
          </w:tcPr>
          <w:p>
            <w:pPr>
              <w:spacing w:after="0"/>
              <w:rPr>
                <w:sz w:val="20"/>
                <w:szCs w:val="20"/>
                <w:color w:val="auto"/>
              </w:rPr>
            </w:pPr>
            <w:r>
              <w:rPr>
                <w:rFonts w:ascii="Arial" w:cs="Arial" w:eastAsia="Arial" w:hAnsi="Arial"/>
                <w:sz w:val="14"/>
                <w:szCs w:val="14"/>
                <w:color w:val="auto"/>
              </w:rPr>
              <w:t>Historical net tangible book value (deficit) per share as of March 31, 2021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$(11.63)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Pro forma increase in net tangible book value per share as of March 31, 2021 attributable to</w:t>
            </w: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the pro forma transactions described above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Pro forma net tangible book value per share as of March 31, 2021 before giving effect to this</w:t>
            </w: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ind w:left="140"/>
              <w:spacing w:after="0"/>
              <w:rPr>
                <w:sz w:val="20"/>
                <w:szCs w:val="20"/>
                <w:color w:val="auto"/>
              </w:rPr>
            </w:pPr>
            <w:r>
              <w:rPr>
                <w:rFonts w:ascii="Arial" w:cs="Arial" w:eastAsia="Arial" w:hAnsi="Arial"/>
                <w:sz w:val="14"/>
                <w:szCs w:val="14"/>
                <w:color w:val="auto"/>
              </w:rPr>
              <w:t>offering</w:t>
            </w:r>
          </w:p>
        </w:tc>
        <w:tc>
          <w:tcPr>
            <w:tcW w:w="500" w:type="dxa"/>
            <w:vAlign w:val="bottom"/>
          </w:tcPr>
          <w:p>
            <w:pPr>
              <w:jc w:val="right"/>
              <w:spacing w:after="0"/>
              <w:rPr>
                <w:sz w:val="20"/>
                <w:szCs w:val="20"/>
                <w:color w:val="auto"/>
              </w:rPr>
            </w:pPr>
            <w:r>
              <w:rPr>
                <w:rFonts w:ascii="Arial" w:cs="Arial" w:eastAsia="Arial" w:hAnsi="Arial"/>
                <w:sz w:val="14"/>
                <w:szCs w:val="14"/>
                <w:color w:val="auto"/>
              </w:rPr>
              <w:t>5.90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new investors</w:t>
            </w: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participating in this offering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Dilution per share to new investors participating in this offering</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$ 11.63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41821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82110" cy="6985"/>
                    </a:xfrm>
                    <a:prstGeom prst="rect">
                      <a:avLst/>
                    </a:prstGeom>
                    <a:noFill/>
                  </pic:spPr>
                </pic:pic>
              </a:graphicData>
            </a:graphic>
          </wp:anchor>
        </w:drawing>
      </w:r>
    </w:p>
    <w:p>
      <w:pPr>
        <w:spacing w:after="0" w:line="33"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If the underwriters exercise in full their option to purchase additional shares of common stock from us, the pro forma as adjusted net tangible book value per share after giving effect to this offering at an initial public offering price of $20.00 per share, and after deducting the underwriting discounts and commissions and estimated offering expenses payable by us, would be $8.67 per share, representing an immediate increase to existing stockholders of $2.77 per share, and dilution to new investors participating in this offering of $11.33 per share.</w:t>
      </w:r>
    </w:p>
    <w:p>
      <w:pPr>
        <w:spacing w:after="0" w:line="65"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The following table summarizes the pro forma as adjusted basis described above, the differences between the number of shares purchased from us, the total consideration paid and the average price per share paid to us by existing stockholders and by investors purchasing shares in this offering at an initial public offering price of $20.0 per share, before deducting underwriting discounts and commissions and estimated offering expenses payable by us: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8" w:name="page79"/>
    <w:bookmarkEnd w:id="7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419735</wp:posOffset>
            </wp:positionV>
            <wp:extent cx="4134485"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rPr>
              <w:t>Shares purchased</w:t>
            </w:r>
          </w:p>
        </w:tc>
        <w:tc>
          <w:tcPr>
            <w:tcW w:w="1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Total consideration</w:t>
            </w: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3"/>
                <w:szCs w:val="13"/>
                <w:b w:val="1"/>
                <w:bCs w:val="1"/>
                <w:color w:val="auto"/>
              </w:rPr>
              <w:t>Average price</w:t>
            </w:r>
          </w:p>
        </w:tc>
      </w:tr>
      <w:tr>
        <w:trPr>
          <w:trHeight w:val="178"/>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Number</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Percent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Amount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per share</w:t>
            </w:r>
          </w:p>
        </w:tc>
      </w:tr>
      <w:tr>
        <w:trPr>
          <w:trHeight w:val="171"/>
        </w:trPr>
        <w:tc>
          <w:tcPr>
            <w:tcW w:w="20" w:type="dxa"/>
            <w:vAlign w:val="bottom"/>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41,999,061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$340,000,000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8.10</w:t>
            </w:r>
          </w:p>
        </w:tc>
      </w:tr>
      <w:tr>
        <w:trPr>
          <w:trHeight w:val="181"/>
        </w:trPr>
        <w:tc>
          <w:tcPr>
            <w:tcW w:w="2300" w:type="dxa"/>
            <w:vAlign w:val="bottom"/>
            <w:gridSpan w:val="2"/>
          </w:tcPr>
          <w:p>
            <w:pPr>
              <w:spacing w:after="0"/>
              <w:rPr>
                <w:sz w:val="20"/>
                <w:szCs w:val="20"/>
                <w:color w:val="auto"/>
              </w:rPr>
            </w:pPr>
            <w:r>
              <w:rPr>
                <w:rFonts w:ascii="Arial" w:cs="Arial" w:eastAsia="Arial" w:hAnsi="Arial"/>
                <w:sz w:val="14"/>
                <w:szCs w:val="14"/>
                <w:color w:val="auto"/>
              </w:rPr>
              <w:t>New investors</w:t>
            </w:r>
          </w:p>
        </w:tc>
        <w:tc>
          <w:tcPr>
            <w:tcW w:w="860" w:type="dxa"/>
            <w:vAlign w:val="bottom"/>
          </w:tcPr>
          <w:p>
            <w:pPr>
              <w:jc w:val="right"/>
              <w:spacing w:after="0"/>
              <w:rPr>
                <w:sz w:val="20"/>
                <w:szCs w:val="20"/>
                <w:color w:val="auto"/>
              </w:rPr>
            </w:pPr>
            <w:r>
              <w:rPr>
                <w:rFonts w:ascii="Arial" w:cs="Arial" w:eastAsia="Arial" w:hAnsi="Arial"/>
                <w:sz w:val="14"/>
                <w:szCs w:val="14"/>
                <w:color w:val="auto"/>
              </w:rPr>
              <w:t>10.550,000</w:t>
            </w: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$211,000,000</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c>
          <w:tcPr>
            <w:tcW w:w="420" w:type="dxa"/>
            <w:vAlign w:val="bottom"/>
          </w:tcPr>
          <w:p>
            <w:pPr>
              <w:ind w:left="3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w w:val="96"/>
              </w:rPr>
              <w:t>20.00</w:t>
            </w:r>
          </w:p>
        </w:tc>
      </w:tr>
      <w:tr>
        <w:trPr>
          <w:trHeight w:val="22"/>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52,549,061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$551,000,000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4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jc w:val="both"/>
        <w:ind w:left="1240" w:right="1499"/>
        <w:spacing w:after="0" w:line="278" w:lineRule="auto"/>
        <w:rPr>
          <w:sz w:val="20"/>
          <w:szCs w:val="20"/>
          <w:color w:val="auto"/>
        </w:rPr>
      </w:pPr>
      <w:r>
        <w:rPr>
          <w:rFonts w:ascii="Arial" w:cs="Arial" w:eastAsia="Arial" w:hAnsi="Arial"/>
          <w:sz w:val="14"/>
          <w:szCs w:val="14"/>
          <w:color w:val="auto"/>
        </w:rPr>
        <w:t>If the underwriters exercise in full their option to purchase additional shares in full, our existing stockholders would own 77.5% and our new investors would own 22.5% of the total number of shares of our common stock outstanding upon the closing of this offering.</w:t>
      </w:r>
    </w:p>
    <w:p>
      <w:pPr>
        <w:spacing w:after="0" w:line="5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above table gives effect to the pro forma transactions described above and excludes:</w:t>
      </w:r>
    </w:p>
    <w:p>
      <w:pPr>
        <w:spacing w:after="0" w:line="107" w:lineRule="exact"/>
        <w:rPr>
          <w:sz w:val="20"/>
          <w:szCs w:val="20"/>
          <w:color w:val="auto"/>
        </w:rPr>
      </w:pPr>
    </w:p>
    <w:p>
      <w:pPr>
        <w:ind w:left="1360" w:right="1779" w:hanging="111"/>
        <w:spacing w:after="0" w:line="286"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3,419,208 shares of our common stock issuable upon the exercise of stock options as of March 31, 2021, at a weighted-average exercise price of $1.83 per share;</w:t>
      </w:r>
    </w:p>
    <w:p>
      <w:pPr>
        <w:spacing w:after="0" w:line="66" w:lineRule="exact"/>
        <w:rPr>
          <w:rFonts w:ascii="Arial" w:cs="Arial" w:eastAsia="Arial" w:hAnsi="Arial"/>
          <w:sz w:val="14"/>
          <w:szCs w:val="14"/>
          <w:color w:val="auto"/>
        </w:rPr>
      </w:pPr>
    </w:p>
    <w:p>
      <w:pPr>
        <w:ind w:left="1360" w:right="1319" w:hanging="111"/>
        <w:spacing w:after="0" w:line="263"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1,855,223 shares outstanding that are subject to forfeiture or our right to repurchase as of such date;</w:t>
      </w:r>
    </w:p>
    <w:p>
      <w:pPr>
        <w:spacing w:after="0" w:line="273" w:lineRule="exact"/>
        <w:rPr>
          <w:rFonts w:ascii="Arial" w:cs="Arial" w:eastAsia="Arial" w:hAnsi="Arial"/>
          <w:sz w:val="14"/>
          <w:szCs w:val="14"/>
          <w:color w:val="auto"/>
        </w:rPr>
      </w:pPr>
    </w:p>
    <w:p>
      <w:pPr>
        <w:ind w:left="1360" w:right="1839" w:hanging="111"/>
        <w:spacing w:after="0" w:line="286"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16,112 shares of our common stock issuable upon the exercise of warrants to purchase common stock, at a weighted-average exercise price of $13.96 per share;</w:t>
      </w:r>
    </w:p>
    <w:p>
      <w:pPr>
        <w:spacing w:after="0" w:line="66" w:lineRule="exact"/>
        <w:rPr>
          <w:rFonts w:ascii="Arial" w:cs="Arial" w:eastAsia="Arial" w:hAnsi="Arial"/>
          <w:sz w:val="14"/>
          <w:szCs w:val="14"/>
          <w:color w:val="auto"/>
        </w:rPr>
      </w:pPr>
    </w:p>
    <w:p>
      <w:pPr>
        <w:ind w:left="1360" w:right="1459" w:hanging="111"/>
        <w:spacing w:after="0" w:line="286"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2,452,071 shares of our common stock reserved for issuance pursuant to future awards as of March 31, 2021 under the 2018 Plan;</w:t>
      </w:r>
    </w:p>
    <w:p>
      <w:pPr>
        <w:spacing w:after="0" w:line="66" w:lineRule="exact"/>
        <w:rPr>
          <w:rFonts w:ascii="Arial" w:cs="Arial" w:eastAsia="Arial" w:hAnsi="Arial"/>
          <w:sz w:val="14"/>
          <w:szCs w:val="14"/>
          <w:color w:val="auto"/>
        </w:rPr>
      </w:pPr>
    </w:p>
    <w:p>
      <w:pPr>
        <w:ind w:left="1360" w:right="1319" w:hanging="111"/>
        <w:spacing w:after="0" w:line="276"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5,640,711 shares of our common stock reserved for future issuance under the 2021 Plan which became effective upon the effectiveness of the Registration Statement of which this prospectus forms a part, as well as any future increases in the number of shares of our common stock reserved for future issuance pursuant to the 2021 Plan; and</w:t>
      </w:r>
    </w:p>
    <w:p>
      <w:pPr>
        <w:spacing w:after="0" w:line="73" w:lineRule="exact"/>
        <w:rPr>
          <w:rFonts w:ascii="Arial" w:cs="Arial" w:eastAsia="Arial" w:hAnsi="Arial"/>
          <w:sz w:val="14"/>
          <w:szCs w:val="14"/>
          <w:color w:val="auto"/>
        </w:rPr>
      </w:pPr>
    </w:p>
    <w:p>
      <w:pPr>
        <w:ind w:left="1360" w:right="1279" w:hanging="111"/>
        <w:spacing w:after="0" w:line="276"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564,071 shares of our common stock reserved for future issuance under the ESPP which became effective upon the effectiveness of the Registration Statement of which this prospectus forms a part, as well as any future increases in the number of shares of common stock reserved for issuance under the ESPP.</w:t>
      </w:r>
    </w:p>
    <w:p>
      <w:pPr>
        <w:spacing w:after="0" w:line="63" w:lineRule="exact"/>
        <w:rPr>
          <w:sz w:val="20"/>
          <w:szCs w:val="20"/>
          <w:color w:val="auto"/>
        </w:rPr>
      </w:pPr>
    </w:p>
    <w:p>
      <w:pPr>
        <w:jc w:val="both"/>
        <w:ind w:left="1240" w:right="1359"/>
        <w:spacing w:after="0" w:line="278" w:lineRule="auto"/>
        <w:rPr>
          <w:sz w:val="20"/>
          <w:szCs w:val="20"/>
          <w:color w:val="auto"/>
        </w:rPr>
      </w:pPr>
      <w:r>
        <w:rPr>
          <w:rFonts w:ascii="Arial" w:cs="Arial" w:eastAsia="Arial" w:hAnsi="Arial"/>
          <w:sz w:val="14"/>
          <w:szCs w:val="14"/>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9" w:name="page80"/>
    <w:bookmarkEnd w:id="7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Selected consolidated financial data</w:t>
      </w:r>
    </w:p>
    <w:p>
      <w:pPr>
        <w:spacing w:after="0" w:line="87" w:lineRule="exact"/>
        <w:rPr>
          <w:sz w:val="20"/>
          <w:szCs w:val="20"/>
          <w:color w:val="auto"/>
        </w:rPr>
      </w:pPr>
    </w:p>
    <w:p>
      <w:pPr>
        <w:ind w:left="1240" w:right="1299"/>
        <w:spacing w:after="0" w:line="271"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211455</wp:posOffset>
            </wp:positionV>
            <wp:extent cx="5147945"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7945" cy="13335"/>
                    </a:xfrm>
                    <a:prstGeom prst="rect">
                      <a:avLst/>
                    </a:prstGeom>
                    <a:noFill/>
                  </pic:spPr>
                </pic:pic>
              </a:graphicData>
            </a:graphic>
          </wp:anchor>
        </w:drawing>
      </w:r>
    </w:p>
    <w:p>
      <w:pPr>
        <w:spacing w:after="0" w:line="352"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Successor Predecessor</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Period from</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21, 2019</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(Inception) to</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c>
          <w:tcPr>
            <w:tcW w:w="0" w:type="dxa"/>
            <w:vAlign w:val="bottom"/>
          </w:tcPr>
          <w:p>
            <w:pPr>
              <w:spacing w:after="0"/>
              <w:rPr>
                <w:sz w:val="1"/>
                <w:szCs w:val="1"/>
                <w:color w:val="auto"/>
              </w:rPr>
            </w:pPr>
          </w:p>
        </w:tc>
      </w:tr>
      <w:tr>
        <w:trPr>
          <w:trHeight w:val="154"/>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gridSpan w:val="6"/>
          </w:tcPr>
          <w:p>
            <w:pPr>
              <w:jc w:val="right"/>
              <w:spacing w:after="0"/>
              <w:rPr>
                <w:sz w:val="20"/>
                <w:szCs w:val="20"/>
                <w:color w:val="auto"/>
              </w:rPr>
            </w:pPr>
            <w:r>
              <w:rPr>
                <w:rFonts w:ascii="Arial" w:cs="Arial" w:eastAsia="Arial" w:hAnsi="Arial"/>
                <w:sz w:val="13"/>
                <w:szCs w:val="13"/>
                <w:b w:val="1"/>
                <w:bCs w:val="1"/>
                <w:color w:val="auto"/>
              </w:rPr>
              <w:t>December 31, December 31,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20,</w:t>
            </w:r>
          </w:p>
        </w:tc>
        <w:tc>
          <w:tcPr>
            <w:tcW w:w="0" w:type="dxa"/>
            <w:vAlign w:val="bottom"/>
          </w:tcPr>
          <w:p>
            <w:pPr>
              <w:spacing w:after="0"/>
              <w:rPr>
                <w:sz w:val="1"/>
                <w:szCs w:val="1"/>
                <w:color w:val="auto"/>
              </w:rPr>
            </w:pPr>
          </w:p>
        </w:tc>
      </w:tr>
      <w:tr>
        <w:trPr>
          <w:trHeight w:val="151"/>
        </w:trPr>
        <w:tc>
          <w:tcPr>
            <w:tcW w:w="3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4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15,374 $</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2,688</w:t>
            </w:r>
          </w:p>
        </w:tc>
        <w:tc>
          <w:tcPr>
            <w:tcW w:w="3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2,050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3,622</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Borders>
              <w:bottom w:val="single" w:sz="8" w:color="CCEEFF"/>
            </w:tcBorders>
            <w:shd w:val="clear" w:color="auto" w:fill="CCEEFF"/>
          </w:tcPr>
          <w:p>
            <w:pPr>
              <w:ind w:left="140"/>
              <w:spacing w:after="0" w:line="150" w:lineRule="exact"/>
              <w:rPr>
                <w:sz w:val="20"/>
                <w:szCs w:val="20"/>
                <w:color w:val="auto"/>
              </w:rPr>
            </w:pPr>
            <w:r>
              <w:rPr>
                <w:rFonts w:ascii="Arial" w:cs="Arial" w:eastAsia="Arial" w:hAnsi="Arial"/>
                <w:sz w:val="14"/>
                <w:szCs w:val="14"/>
                <w:color w:val="auto"/>
              </w:rPr>
              <w:t>Write off of in-process research and development asset</w:t>
            </w: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320"/>
              <w:spacing w:after="0" w:line="150"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4,722</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225,946</w:t>
            </w: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40" w:type="dxa"/>
            <w:vAlign w:val="bottom"/>
          </w:tcPr>
          <w:p>
            <w:pPr>
              <w:ind w:left="280"/>
              <w:spacing w:after="0" w:line="130" w:lineRule="exact"/>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18,062</w:t>
            </w:r>
          </w:p>
        </w:tc>
        <w:tc>
          <w:tcPr>
            <w:tcW w:w="300" w:type="dxa"/>
            <w:vAlign w:val="bottom"/>
          </w:tcPr>
          <w:p>
            <w:pPr>
              <w:spacing w:after="0"/>
              <w:rPr>
                <w:sz w:val="11"/>
                <w:szCs w:val="11"/>
                <w:color w:val="auto"/>
              </w:rPr>
            </w:pPr>
          </w:p>
        </w:tc>
        <w:tc>
          <w:tcPr>
            <w:tcW w:w="420" w:type="dxa"/>
            <w:vAlign w:val="bottom"/>
          </w:tcPr>
          <w:p>
            <w:pPr>
              <w:jc w:val="right"/>
              <w:spacing w:after="0" w:line="130" w:lineRule="exact"/>
              <w:rPr>
                <w:sz w:val="20"/>
                <w:szCs w:val="20"/>
                <w:color w:val="auto"/>
              </w:rPr>
            </w:pPr>
            <w:r>
              <w:rPr>
                <w:rFonts w:ascii="Arial" w:cs="Arial" w:eastAsia="Arial" w:hAnsi="Arial"/>
                <w:sz w:val="14"/>
                <w:szCs w:val="14"/>
                <w:color w:val="auto"/>
              </w:rPr>
              <w:t>9,993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53,898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239,675</w:t>
            </w:r>
          </w:p>
        </w:tc>
        <w:tc>
          <w:tcPr>
            <w:tcW w:w="12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6,304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(18,062)</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(9,993)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(239,675)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(314)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Borders>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Other income, net</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320</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704</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908</w:t>
            </w: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line="141" w:lineRule="exact"/>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color w:val="auto"/>
              </w:rPr>
              <w:t>(18,348)$</w:t>
            </w:r>
          </w:p>
        </w:tc>
        <w:tc>
          <w:tcPr>
            <w:tcW w:w="580" w:type="dxa"/>
            <w:vAlign w:val="bottom"/>
            <w:tcBorders>
              <w:bottom w:val="single" w:sz="8" w:color="auto"/>
            </w:tcBorders>
            <w:gridSpan w:val="3"/>
          </w:tcPr>
          <w:p>
            <w:pPr>
              <w:jc w:val="right"/>
              <w:ind w:right="40"/>
              <w:spacing w:after="0" w:line="141" w:lineRule="exact"/>
              <w:rPr>
                <w:sz w:val="20"/>
                <w:szCs w:val="20"/>
                <w:color w:val="auto"/>
              </w:rPr>
            </w:pPr>
            <w:r>
              <w:rPr>
                <w:rFonts w:ascii="Arial" w:cs="Arial" w:eastAsia="Arial" w:hAnsi="Arial"/>
                <w:sz w:val="14"/>
                <w:szCs w:val="14"/>
                <w:color w:val="auto"/>
                <w:w w:val="99"/>
              </w:rPr>
              <w:t>(9,673)$</w:t>
            </w:r>
          </w:p>
        </w:tc>
        <w:tc>
          <w:tcPr>
            <w:tcW w:w="84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(53,575)</w:t>
            </w:r>
          </w:p>
        </w:tc>
        <w:tc>
          <w:tcPr>
            <w:tcW w:w="1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rPr>
              <w:t>(238,767)$</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(6,002)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Net loss per common share</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840" w:type="dxa"/>
            <w:vAlign w:val="bottom"/>
          </w:tcPr>
          <w:p>
            <w:pPr>
              <w:ind w:left="140"/>
              <w:spacing w:after="0" w:line="150" w:lineRule="exact"/>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tc>
        <w:tc>
          <w:tcPr>
            <w:tcW w:w="1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20"/>
              <w:spacing w:after="0" w:line="150" w:lineRule="exact"/>
              <w:rPr>
                <w:sz w:val="20"/>
                <w:szCs w:val="20"/>
                <w:color w:val="auto"/>
              </w:rPr>
            </w:pPr>
            <w:r>
              <w:rPr>
                <w:rFonts w:ascii="Arial" w:cs="Arial" w:eastAsia="Arial" w:hAnsi="Arial"/>
                <w:sz w:val="14"/>
                <w:szCs w:val="14"/>
                <w:color w:val="auto"/>
              </w:rPr>
              <w:t>(2.39)$</w:t>
            </w:r>
          </w:p>
        </w:tc>
        <w:tc>
          <w:tcPr>
            <w:tcW w:w="580" w:type="dxa"/>
            <w:vAlign w:val="bottom"/>
            <w:tcBorders>
              <w:bottom w:val="single" w:sz="8" w:color="auto"/>
            </w:tcBorders>
            <w:gridSpan w:val="3"/>
          </w:tcPr>
          <w:p>
            <w:pPr>
              <w:jc w:val="right"/>
              <w:ind w:right="40"/>
              <w:spacing w:after="0" w:line="150" w:lineRule="exact"/>
              <w:rPr>
                <w:sz w:val="20"/>
                <w:szCs w:val="20"/>
                <w:color w:val="auto"/>
              </w:rPr>
            </w:pPr>
            <w:r>
              <w:rPr>
                <w:rFonts w:ascii="Arial" w:cs="Arial" w:eastAsia="Arial" w:hAnsi="Arial"/>
                <w:sz w:val="14"/>
                <w:szCs w:val="14"/>
                <w:color w:val="auto"/>
              </w:rPr>
              <w:t>(1.29)$</w:t>
            </w:r>
          </w:p>
        </w:tc>
        <w:tc>
          <w:tcPr>
            <w:tcW w:w="84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(7.16)</w:t>
            </w:r>
          </w:p>
        </w:tc>
        <w:tc>
          <w:tcPr>
            <w:tcW w:w="1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(31.91)$</w:t>
            </w:r>
          </w:p>
        </w:tc>
        <w:tc>
          <w:tcPr>
            <w:tcW w:w="7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Weighted average common shares outstanding Basic</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40" w:type="dxa"/>
            <w:vAlign w:val="bottom"/>
            <w:tcBorders>
              <w:bottom w:val="single" w:sz="8" w:color="CCEEFF"/>
            </w:tcBorders>
            <w:shd w:val="clear" w:color="auto" w:fill="CCEEFF"/>
          </w:tcPr>
          <w:p>
            <w:pPr>
              <w:ind w:left="140"/>
              <w:spacing w:after="0" w:line="194" w:lineRule="exact"/>
              <w:rPr>
                <w:sz w:val="20"/>
                <w:szCs w:val="20"/>
                <w:color w:val="auto"/>
              </w:rPr>
            </w:pPr>
            <w:r>
              <w:rPr>
                <w:rFonts w:ascii="Arial" w:cs="Arial" w:eastAsia="Arial" w:hAnsi="Arial"/>
                <w:sz w:val="14"/>
                <w:szCs w:val="14"/>
                <w:color w:val="auto"/>
              </w:rPr>
              <w:t>and Diluted</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7,677,196  7,481,861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line="131" w:lineRule="exact"/>
              <w:rPr>
                <w:sz w:val="20"/>
                <w:szCs w:val="20"/>
                <w:color w:val="auto"/>
              </w:rPr>
            </w:pPr>
            <w:r>
              <w:rPr>
                <w:rFonts w:ascii="Arial" w:cs="Arial" w:eastAsia="Arial" w:hAnsi="Arial"/>
                <w:sz w:val="14"/>
                <w:szCs w:val="14"/>
                <w:color w:val="auto"/>
              </w:rPr>
              <w:t>Pro forma net loss per share attributable to common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840" w:type="dxa"/>
            <w:vAlign w:val="bottom"/>
          </w:tcPr>
          <w:p>
            <w:pPr>
              <w:ind w:left="140"/>
              <w:spacing w:after="0" w:line="194" w:lineRule="exact"/>
              <w:rPr>
                <w:sz w:val="20"/>
                <w:szCs w:val="20"/>
                <w:color w:val="auto"/>
              </w:rPr>
            </w:pPr>
            <w:r>
              <w:rPr>
                <w:rFonts w:ascii="Arial" w:cs="Arial" w:eastAsia="Arial" w:hAnsi="Arial"/>
                <w:sz w:val="14"/>
                <w:szCs w:val="14"/>
                <w:color w:val="auto"/>
              </w:rPr>
              <w:t>stockholders – basic and diluted (unaudited)</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(0.44)</w:t>
            </w:r>
          </w:p>
        </w:tc>
        <w:tc>
          <w:tcPr>
            <w:tcW w:w="42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Pro forma weighted-average number of common</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84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4"/>
                <w:szCs w:val="14"/>
                <w:color w:val="auto"/>
              </w:rPr>
              <w:t>shares – basic and diluted (unaudited)</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41,803,724</w:t>
            </w:r>
          </w:p>
        </w:tc>
        <w:tc>
          <w:tcPr>
            <w:tcW w:w="3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41,608,389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40" w:right="1279" w:firstLine="9"/>
        <w:spacing w:after="0" w:line="246" w:lineRule="auto"/>
        <w:tabs>
          <w:tab w:leader="none" w:pos="1411" w:val="left"/>
        </w:tabs>
        <w:numPr>
          <w:ilvl w:val="0"/>
          <w:numId w:val="54"/>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60" w:lineRule="exact"/>
        <w:rPr>
          <w:rFonts w:ascii="Arial" w:cs="Arial" w:eastAsia="Arial" w:hAnsi="Arial"/>
          <w:sz w:val="11"/>
          <w:szCs w:val="11"/>
          <w:color w:val="auto"/>
        </w:rPr>
      </w:pPr>
    </w:p>
    <w:p>
      <w:pPr>
        <w:ind w:left="1240" w:right="1279" w:firstLine="9"/>
        <w:spacing w:after="0" w:line="246" w:lineRule="auto"/>
        <w:tabs>
          <w:tab w:leader="none" w:pos="1411" w:val="left"/>
        </w:tabs>
        <w:numPr>
          <w:ilvl w:val="0"/>
          <w:numId w:val="54"/>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0" w:name="page81"/>
    <w:bookmarkEnd w:id="8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419735</wp:posOffset>
            </wp:positionV>
            <wp:extent cx="4134485"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2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2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2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2"/>
        </w:trPr>
        <w:tc>
          <w:tcPr>
            <w:tcW w:w="3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240" w:right="1379" w:firstLine="9"/>
        <w:spacing w:after="0" w:line="248" w:lineRule="auto"/>
        <w:tabs>
          <w:tab w:leader="none" w:pos="1411" w:val="left"/>
        </w:tabs>
        <w:numPr>
          <w:ilvl w:val="0"/>
          <w:numId w:val="55"/>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1" w:name="page82"/>
    <w:bookmarkEnd w:id="8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279"/>
        <w:spacing w:after="0" w:line="248" w:lineRule="auto"/>
        <w:rPr>
          <w:sz w:val="20"/>
          <w:szCs w:val="20"/>
          <w:color w:val="auto"/>
        </w:rPr>
      </w:pPr>
      <w:r>
        <w:rPr>
          <w:rFonts w:ascii="Arial" w:cs="Arial" w:eastAsia="Arial" w:hAnsi="Arial"/>
          <w:sz w:val="23"/>
          <w:szCs w:val="23"/>
          <w:b w:val="1"/>
          <w:bCs w:val="1"/>
          <w:color w:val="auto"/>
        </w:rPr>
        <w:t>Management’s discussion and analysis of financial condition and results of operations</w:t>
      </w:r>
    </w:p>
    <w:p>
      <w:pPr>
        <w:spacing w:after="0" w:line="59"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i w:val="1"/>
          <w:iCs w:val="1"/>
          <w:color w:val="auto"/>
        </w:rPr>
        <w:t>You should read the following discussion and analysis of our consolidated financial condition and results of operations together with the section titled “Selected consolidated financial data,” and our audited consolidated financial statements and unaudited condensed consolidated financial statements and the related notes thereto included elsewhere in this prospectus. The year ended December 31, 2020 and the period of June 21, 2019 through December 31, 2019 are referred to herein as Successor. The period of January 1, 2019 through June 20, 2019 is referred to herein as Predecessor.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29" w:lineRule="exact"/>
        <w:rPr>
          <w:sz w:val="20"/>
          <w:szCs w:val="20"/>
          <w:color w:val="auto"/>
        </w:rPr>
      </w:pPr>
    </w:p>
    <w:p>
      <w:pPr>
        <w:ind w:left="1240" w:right="1299"/>
        <w:spacing w:after="0" w:line="249"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iPSC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CARs,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0"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We were formed in 2018 as Prior Century. In 2019, in connection with our investment from Bayer, Prior Century contributed substantially all of its operating assets and cash to a newly formed entity,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of Prior Century. The IPR&amp;D asset acquired was Prior Century’s comprehensive allogeneic cell therapy platform.</w:t>
      </w:r>
    </w:p>
    <w:p>
      <w:pPr>
        <w:spacing w:after="0" w:line="27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Until February 2021, our business was operated through the LLC Entity. In February 2021, in connection with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107"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2" w:name="page83"/>
    <w:bookmarkEnd w:id="8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approved for sale. Since our inception, we have incurred net losses each year. We had an accumulated deficit of $310.7 million as of March 31,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268" w:lineRule="exact"/>
        <w:rPr>
          <w:sz w:val="20"/>
          <w:szCs w:val="20"/>
          <w:color w:val="auto"/>
        </w:rPr>
      </w:pPr>
    </w:p>
    <w:p>
      <w:pPr>
        <w:ind w:left="1240" w:right="1519"/>
        <w:spacing w:after="0" w:line="255"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spacing w:after="0" w:line="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$340 million in net proceeds from sales of our equity securities. As of March 31, 2021, we had cash, and cash equivalents of $79.5 million and marketable securities of $166.6 million. Based on our current business plans, we believe that the net proceeds from this offering, together with our existing cash, cash equivalents and marketable securities, will be sufficient for us to fund our operating expenses and capital expenditures requirements for the next 42 months from the date of this filing. We have based this estimate on assumptions that may prove to be wrong, and we could exhaust our available capital resources sooner than we expect.</w:t>
      </w:r>
    </w:p>
    <w:p>
      <w:pPr>
        <w:spacing w:after="0" w:line="110"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anticipate that our expenses and operating losses will increase substantially over the foreseeable future. The expected increase in expenses will be driven in large part by our ongoing activities, if and as we:</w:t>
      </w:r>
    </w:p>
    <w:p>
      <w:pPr>
        <w:spacing w:after="0" w:line="81" w:lineRule="exact"/>
        <w:rPr>
          <w:sz w:val="20"/>
          <w:szCs w:val="20"/>
          <w:color w:val="auto"/>
        </w:rPr>
      </w:pPr>
    </w:p>
    <w:p>
      <w:pPr>
        <w:ind w:left="1360" w:hanging="111"/>
        <w:spacing w:after="0"/>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continue to advance our iPSC cell therapy platforms;</w:t>
      </w:r>
    </w:p>
    <w:p>
      <w:pPr>
        <w:spacing w:after="0" w:line="106" w:lineRule="exact"/>
        <w:rPr>
          <w:rFonts w:ascii="Arial" w:cs="Arial" w:eastAsia="Arial" w:hAnsi="Arial"/>
          <w:sz w:val="14"/>
          <w:szCs w:val="14"/>
          <w:color w:val="auto"/>
        </w:rPr>
      </w:pPr>
    </w:p>
    <w:p>
      <w:pPr>
        <w:ind w:left="1360" w:right="1519" w:hanging="111"/>
        <w:spacing w:after="0" w:line="286" w:lineRule="auto"/>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continuing preclinical development of, and initiate clinical development of CNTY-101 and our other product candidates;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establish and validate our own clinical-scale cGMP facilities;</w:t>
      </w:r>
    </w:p>
    <w:p>
      <w:pPr>
        <w:spacing w:after="0" w:line="106"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106" w:lineRule="exact"/>
        <w:rPr>
          <w:rFonts w:ascii="Arial" w:cs="Arial" w:eastAsia="Arial" w:hAnsi="Arial"/>
          <w:sz w:val="14"/>
          <w:szCs w:val="14"/>
          <w:color w:val="auto"/>
        </w:rPr>
      </w:pPr>
    </w:p>
    <w:p>
      <w:pPr>
        <w:ind w:left="1360" w:right="1499" w:hanging="111"/>
        <w:spacing w:after="0" w:line="276" w:lineRule="auto"/>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3" w:lineRule="exact"/>
        <w:rPr>
          <w:rFonts w:ascii="Arial" w:cs="Arial" w:eastAsia="Arial" w:hAnsi="Arial"/>
          <w:sz w:val="14"/>
          <w:szCs w:val="14"/>
          <w:color w:val="auto"/>
        </w:rPr>
      </w:pPr>
    </w:p>
    <w:p>
      <w:pPr>
        <w:ind w:left="1360" w:hanging="111"/>
        <w:spacing w:after="0"/>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17" w:lineRule="exact"/>
        <w:rPr>
          <w:sz w:val="20"/>
          <w:szCs w:val="20"/>
          <w:color w:val="auto"/>
        </w:rPr>
      </w:pPr>
    </w:p>
    <w:p>
      <w:pPr>
        <w:ind w:left="1240" w:right="1499"/>
        <w:spacing w:after="0" w:line="259" w:lineRule="auto"/>
        <w:rPr>
          <w:sz w:val="20"/>
          <w:szCs w:val="20"/>
          <w:color w:val="auto"/>
        </w:rPr>
      </w:pPr>
      <w:r>
        <w:rPr>
          <w:rFonts w:ascii="Arial" w:cs="Arial" w:eastAsia="Arial" w:hAnsi="Arial"/>
          <w:sz w:val="14"/>
          <w:szCs w:val="14"/>
          <w:color w:val="auto"/>
        </w:rPr>
        <w:t>We are also investing early in building our capabilities in key areas of manufacturing sciences and operations, including development of our iPSC cell therapy platforms, product characterization, and process analytics from the time candidates are in early research phases. Our investments also include scaled research solutions, scaled infrastructure, and novel technologies intended to improve efficiency, characterization, and scalability of manufacturing.</w:t>
      </w:r>
    </w:p>
    <w:p>
      <w:pPr>
        <w:spacing w:after="0" w:line="106"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anticipate that we will need to raise additional financing in the future to fund our operations, including funding for preclinical studies, clinical trials and the commercialization of any approved product candidates. We intend to use the proceeds from this offering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the net proceeds from this offering,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3" w:name="page84"/>
    <w:bookmarkEnd w:id="8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stay-at-home orders where our operations are located. However, to the extent possible, we are conducting business as usual, with necessary or advisable modifications to employee travel and most of our non-laboratory employees working remotely.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License and collaboration agreements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Fujifilm Cellular Dynamics, Inc. (FCDI)</w:t>
      </w:r>
    </w:p>
    <w:p>
      <w:pPr>
        <w:spacing w:after="0" w:line="12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 Prior Century recorded acquired research and development expense of $75 thousand in 2018 based on the fair market value of Prior Century common stock of $0.03 per share.</w:t>
      </w:r>
    </w:p>
    <w:p>
      <w:pPr>
        <w:spacing w:after="0" w:line="10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Also on September 18, 2018, we entered into the non-exclusive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the Master Collaboration Agreement with FCDI pursuant to which we agreed to fund research and development work at FCDI pursuant to a research plan, or, as amended, the Collaboration Agreement.</w:t>
      </w:r>
    </w:p>
    <w:p>
      <w:pPr>
        <w:spacing w:after="0" w:line="279" w:lineRule="exact"/>
        <w:rPr>
          <w:sz w:val="20"/>
          <w:szCs w:val="20"/>
          <w:color w:val="auto"/>
        </w:rPr>
      </w:pPr>
    </w:p>
    <w:p>
      <w:pPr>
        <w:ind w:left="1240" w:right="1559"/>
        <w:spacing w:after="0" w:line="258" w:lineRule="auto"/>
        <w:rPr>
          <w:sz w:val="20"/>
          <w:szCs w:val="20"/>
          <w:color w:val="auto"/>
        </w:rPr>
      </w:pPr>
      <w:r>
        <w:rPr>
          <w:rFonts w:ascii="Arial" w:cs="Arial" w:eastAsia="Arial" w:hAnsi="Arial"/>
          <w:sz w:val="14"/>
          <w:szCs w:val="14"/>
          <w:color w:val="auto"/>
        </w:rPr>
        <w:t>On October 21, 2019, we entered into the Collaboration Agreement with FCDI, whereby FCDI provides certain services to us to develop and manufacture iPSCs and immune cells derived therefrom. Under the terms of the Collaboration Agreement, as amended, FCDI will provide services in accordance with the approved research plan and related research budget. The research plan covers the period from the date of execution of the Collaboration Agreement through March 31, 2022, with the related research budget of approximately $30.4 million.</w:t>
      </w:r>
    </w:p>
    <w:p>
      <w:pPr>
        <w:spacing w:after="0" w:line="97"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During the period ended March 31, 2021, under the terms of the Reprogramming License and the Collaboration Agreement, the Company made payments of $3.2 million and incurred research and development expenses of $2.8 million and legal fees of $21 thousand recorded within general and administrative expenses within its consolidated statements of operations. As of March 31, 2021, there were $1.4 million of payables recorded within accounts payable on the consolidated balance sheets related to the Collaboration Agreement.</w:t>
      </w:r>
    </w:p>
    <w:p>
      <w:pPr>
        <w:spacing w:after="0" w:line="107"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During the Successor period ended December 31, 2020, under the terms of the Reprogramming License and the Collaboration Agreement, the Company made payments of $5.3 million and incurred research and development expenses of $9.0 million and legal fees of $52 thousand recorded within general and administrative expenses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4" w:name="page85"/>
    <w:bookmarkEnd w:id="8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within its consolidated statements of operations. As of December 31, 2020, there were</w:t>
      </w:r>
    </w:p>
    <w:p>
      <w:pPr>
        <w:spacing w:after="0" w:line="21"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$1.8 million of payables recorded within accounts payable on the consolidated balance sheets related to the Collaboration Agreement.</w:t>
      </w:r>
    </w:p>
    <w:p>
      <w:pPr>
        <w:spacing w:after="0" w:line="8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During the Successor period June 21, 2019 through December 31, 2019, under the terms of the Reprogramming License and the Collaboration Agreement, we made payments of $4.8 million, of which $2.1 million is classified in prepaid expenses and other current assets as of December 31, 2019. During the Successor period June 21, 2019 through December 31, 2019, under the terms of the Reprogramming License and the Collaboration Agreement, we incurred research and development operating expenses of $3.1 million and legal fees of $0.1 million recorded within general and administrative expenses.</w:t>
      </w:r>
    </w:p>
    <w:p>
      <w:pPr>
        <w:spacing w:after="0" w:line="110" w:lineRule="exact"/>
        <w:rPr>
          <w:sz w:val="20"/>
          <w:szCs w:val="20"/>
          <w:color w:val="auto"/>
        </w:rPr>
      </w:pPr>
    </w:p>
    <w:p>
      <w:pPr>
        <w:ind w:left="1240" w:right="1499"/>
        <w:spacing w:after="0" w:line="276" w:lineRule="auto"/>
        <w:rPr>
          <w:sz w:val="20"/>
          <w:szCs w:val="20"/>
          <w:color w:val="auto"/>
        </w:rPr>
      </w:pPr>
      <w:r>
        <w:rPr>
          <w:rFonts w:ascii="Arial" w:cs="Arial" w:eastAsia="Arial" w:hAnsi="Arial"/>
          <w:sz w:val="14"/>
          <w:szCs w:val="14"/>
          <w:color w:val="auto"/>
        </w:rPr>
        <w:t>During the Predecessor period January 1, 2019 through June 20, 2019, under the terms of the Reprogramming License and the Collaboration Agreement, we incurred research and development operating expenses of $1.6 million. There were no payments made during the Predecessor period January 1, 2019 through June 20, 2019.</w:t>
      </w:r>
    </w:p>
    <w:p>
      <w:pPr>
        <w:spacing w:after="0" w:line="105" w:lineRule="exact"/>
        <w:rPr>
          <w:sz w:val="20"/>
          <w:szCs w:val="20"/>
          <w:color w:val="auto"/>
        </w:rPr>
      </w:pPr>
    </w:p>
    <w:p>
      <w:pPr>
        <w:ind w:left="1240" w:right="2099"/>
        <w:spacing w:after="0" w:line="286" w:lineRule="auto"/>
        <w:rPr>
          <w:sz w:val="20"/>
          <w:szCs w:val="20"/>
          <w:color w:val="auto"/>
        </w:rPr>
      </w:pPr>
      <w:r>
        <w:rPr>
          <w:rFonts w:ascii="Arial" w:cs="Arial" w:eastAsia="Arial" w:hAnsi="Arial"/>
          <w:sz w:val="14"/>
          <w:szCs w:val="14"/>
          <w:color w:val="auto"/>
        </w:rPr>
        <w:t>As of March 31, 2021, we incurred $17.1 million of the $30.4 million budget under the Collaboration Agreement.</w:t>
      </w:r>
    </w:p>
    <w:p>
      <w:pPr>
        <w:spacing w:after="0" w:line="87" w:lineRule="exact"/>
        <w:rPr>
          <w:sz w:val="20"/>
          <w:szCs w:val="20"/>
          <w:color w:val="auto"/>
        </w:rPr>
      </w:pPr>
    </w:p>
    <w:p>
      <w:pPr>
        <w:jc w:val="both"/>
        <w:ind w:left="1240" w:right="1819"/>
        <w:spacing w:after="0" w:line="278" w:lineRule="auto"/>
        <w:rPr>
          <w:sz w:val="20"/>
          <w:szCs w:val="20"/>
          <w:color w:val="auto"/>
        </w:rPr>
      </w:pPr>
      <w:r>
        <w:rPr>
          <w:rFonts w:ascii="Arial" w:cs="Arial" w:eastAsia="Arial" w:hAnsi="Arial"/>
          <w:sz w:val="14"/>
          <w:szCs w:val="14"/>
          <w:color w:val="auto"/>
        </w:rPr>
        <w:t>We also have entered into a sublicense agreement with iCELL Inc. and a master services agreement with Distributed Bio, Inc. See Note 11 to our consolidated financial statements included elsewhere in this prospectus.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Empirica acquisition</w:t>
      </w:r>
    </w:p>
    <w:p>
      <w:pPr>
        <w:spacing w:after="0" w:line="140"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0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transaction was accounted for as an asset acquisition of IPR&amp;D. Total consideration in the acquisition was $4.7 million, consisting of cash consideration of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The Escrow Deposit is recognized as an asset and the promissory note is post-acquisition compensation expense, which will be accrued over the term of the promissory note. We recorded $0.4 million and $0.3 million compensation in research and development expense for the three months ended March 31, 2021 and the year ended December 31, 2020, respectively. For further details regarding this acquisition, see Note 4 to our audited consolidated financial statements included elsewhere in this prospectus.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Components of operating results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Research and development</w:t>
      </w:r>
    </w:p>
    <w:p>
      <w:pPr>
        <w:spacing w:after="0" w:line="131"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06"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5" w:name="page86"/>
    <w:bookmarkEnd w:id="8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90" w:lineRule="auto"/>
        <w:rPr>
          <w:sz w:val="20"/>
          <w:szCs w:val="20"/>
          <w:color w:val="auto"/>
        </w:rPr>
      </w:pPr>
      <w:r>
        <w:rPr>
          <w:rFonts w:ascii="Arial" w:cs="Arial" w:eastAsia="Arial" w:hAnsi="Arial"/>
          <w:sz w:val="14"/>
          <w:szCs w:val="14"/>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96"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General and administrative</w:t>
      </w:r>
    </w:p>
    <w:p>
      <w:pPr>
        <w:spacing w:after="0" w:line="142"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06" w:lineRule="exact"/>
        <w:rPr>
          <w:sz w:val="20"/>
          <w:szCs w:val="20"/>
          <w:color w:val="auto"/>
        </w:rPr>
      </w:pPr>
    </w:p>
    <w:p>
      <w:pPr>
        <w:ind w:left="1240" w:right="1359"/>
        <w:spacing w:after="0" w:line="292" w:lineRule="auto"/>
        <w:rPr>
          <w:sz w:val="20"/>
          <w:szCs w:val="20"/>
          <w:color w:val="auto"/>
        </w:rPr>
      </w:pPr>
      <w:r>
        <w:rPr>
          <w:rFonts w:ascii="Arial" w:cs="Arial" w:eastAsia="Arial" w:hAnsi="Arial"/>
          <w:sz w:val="14"/>
          <w:szCs w:val="14"/>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Write-off of in-process research and development</w:t>
      </w:r>
    </w:p>
    <w:p>
      <w:pPr>
        <w:spacing w:after="0" w:line="131" w:lineRule="exact"/>
        <w:rPr>
          <w:sz w:val="20"/>
          <w:szCs w:val="20"/>
          <w:color w:val="auto"/>
        </w:rPr>
      </w:pPr>
    </w:p>
    <w:p>
      <w:pPr>
        <w:jc w:val="both"/>
        <w:ind w:left="1240" w:right="1319"/>
        <w:spacing w:after="0" w:line="294" w:lineRule="auto"/>
        <w:rPr>
          <w:sz w:val="20"/>
          <w:szCs w:val="20"/>
          <w:color w:val="auto"/>
        </w:rPr>
      </w:pPr>
      <w:r>
        <w:rPr>
          <w:rFonts w:ascii="Arial" w:cs="Arial" w:eastAsia="Arial" w:hAnsi="Arial"/>
          <w:sz w:val="14"/>
          <w:szCs w:val="14"/>
          <w:color w:val="auto"/>
        </w:rPr>
        <w:t>Acquired in-process research and development assets are charged to expense at the acquisition date. In-process research and development charges in 2020 and 2019 relate to the acquisition of Prior Century’s and Empirica’s assets, respectively.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4"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Interest expense relates to interest incurred on the Loan Agreement we entered into with Hercules in September 2020, as well as amortization of the related deferred financing cost (see Note 9 to our audited consolidated financial statements included elsewhere in this prospectus for additional information).</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ind w:left="1240" w:right="1539"/>
        <w:spacing w:after="0" w:line="286" w:lineRule="auto"/>
        <w:rPr>
          <w:sz w:val="20"/>
          <w:szCs w:val="20"/>
          <w:color w:val="auto"/>
        </w:rPr>
      </w:pPr>
      <w:r>
        <w:rPr>
          <w:rFonts w:ascii="Arial" w:cs="Arial" w:eastAsia="Arial" w:hAnsi="Arial"/>
          <w:sz w:val="14"/>
          <w:szCs w:val="14"/>
          <w:color w:val="auto"/>
        </w:rPr>
        <w:t>Interest income, net consists of interest earned on our cash, cash equivalents and investment balance.</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Income taxes</w:t>
      </w:r>
    </w:p>
    <w:p>
      <w:pPr>
        <w:spacing w:after="0" w:line="133" w:lineRule="exact"/>
        <w:rPr>
          <w:sz w:val="20"/>
          <w:szCs w:val="20"/>
          <w:color w:val="auto"/>
        </w:rPr>
      </w:pPr>
    </w:p>
    <w:p>
      <w:pPr>
        <w:ind w:left="1240" w:right="1259"/>
        <w:spacing w:after="0" w:line="289" w:lineRule="auto"/>
        <w:rPr>
          <w:sz w:val="20"/>
          <w:szCs w:val="20"/>
          <w:color w:val="auto"/>
        </w:rPr>
      </w:pPr>
      <w:r>
        <w:rPr>
          <w:rFonts w:ascii="Arial" w:cs="Arial" w:eastAsia="Arial" w:hAnsi="Arial"/>
          <w:sz w:val="14"/>
          <w:szCs w:val="14"/>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Therefore, no provisions or benefit for income taxes is necessary in the accompanying consolidated financial statements.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6" w:name="page87"/>
    <w:bookmarkEnd w:id="8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Results of operations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Comparison of the three months ended March 31, 2021 and 2020</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results of operations for the periods presented:</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March 31, 2021</w:t>
            </w:r>
          </w:p>
        </w:tc>
        <w:tc>
          <w:tcPr>
            <w:tcW w:w="150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March 31, 2020</w:t>
            </w: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15,374</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7,943</w:t>
            </w:r>
          </w:p>
        </w:tc>
        <w:tc>
          <w:tcPr>
            <w:tcW w:w="540" w:type="dxa"/>
            <w:vAlign w:val="bottom"/>
          </w:tcPr>
          <w:p>
            <w:pPr>
              <w:jc w:val="right"/>
              <w:spacing w:after="0"/>
              <w:rPr>
                <w:sz w:val="20"/>
                <w:szCs w:val="20"/>
                <w:color w:val="auto"/>
              </w:rPr>
            </w:pPr>
            <w:r>
              <w:rPr>
                <w:rFonts w:ascii="Arial" w:cs="Arial" w:eastAsia="Arial" w:hAnsi="Arial"/>
                <w:sz w:val="14"/>
                <w:szCs w:val="14"/>
                <w:color w:val="auto"/>
              </w:rPr>
              <w:t>$ 7,431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2,688</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2,050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operating expenses</w:t>
            </w: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18,062</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960" w:type="dxa"/>
            <w:vAlign w:val="bottom"/>
            <w:gridSpan w:val="2"/>
            <w:vMerge w:val="continue"/>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(314)</w:t>
            </w:r>
          </w:p>
        </w:tc>
        <w:tc>
          <w:tcPr>
            <w:tcW w:w="9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9"/>
              <w:spacing w:after="0" w:line="13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(314)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(18,348)</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540" w:type="dxa"/>
            <w:vAlign w:val="bottom"/>
          </w:tcPr>
          <w:p>
            <w:pPr>
              <w:jc w:val="right"/>
              <w:spacing w:after="0"/>
              <w:rPr>
                <w:sz w:val="20"/>
                <w:szCs w:val="20"/>
                <w:color w:val="auto"/>
              </w:rPr>
            </w:pPr>
            <w:r>
              <w:rPr>
                <w:rFonts w:ascii="Arial" w:cs="Arial" w:eastAsia="Arial" w:hAnsi="Arial"/>
                <w:sz w:val="14"/>
                <w:szCs w:val="14"/>
                <w:color w:val="auto"/>
                <w:w w:val="99"/>
              </w:rPr>
              <w:t>$(8,675)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-556895</wp:posOffset>
            </wp:positionV>
            <wp:extent cx="18700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70075"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3" w:lineRule="exact"/>
        <w:rPr>
          <w:sz w:val="20"/>
          <w:szCs w:val="20"/>
          <w:color w:val="auto"/>
        </w:rPr>
      </w:pPr>
    </w:p>
    <w:p>
      <w:pPr>
        <w:ind w:left="1240" w:right="1399"/>
        <w:spacing w:after="0" w:line="270"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r>
      <w:tr>
        <w:trPr>
          <w:trHeight w:val="178"/>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gridSpan w:val="2"/>
          </w:tcPr>
          <w:p>
            <w:pPr>
              <w:jc w:val="center"/>
              <w:ind w:left="332"/>
              <w:spacing w:after="0"/>
              <w:rPr>
                <w:sz w:val="20"/>
                <w:szCs w:val="20"/>
                <w:color w:val="auto"/>
              </w:rPr>
            </w:pPr>
            <w:r>
              <w:rPr>
                <w:rFonts w:ascii="Arial" w:cs="Arial" w:eastAsia="Arial" w:hAnsi="Arial"/>
                <w:sz w:val="13"/>
                <w:szCs w:val="13"/>
                <w:b w:val="1"/>
                <w:bCs w:val="1"/>
                <w:color w:val="auto"/>
              </w:rPr>
              <w:t>March 31, 2020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r>
      <w:tr>
        <w:trPr>
          <w:trHeight w:val="171"/>
        </w:trPr>
        <w:tc>
          <w:tcPr>
            <w:tcW w:w="20" w:type="dxa"/>
            <w:vAlign w:val="bottom"/>
          </w:tcPr>
          <w:p>
            <w:pPr>
              <w:spacing w:after="0"/>
              <w:rPr>
                <w:sz w:val="14"/>
                <w:szCs w:val="14"/>
                <w:color w:val="auto"/>
              </w:rPr>
            </w:pPr>
          </w:p>
        </w:tc>
        <w:tc>
          <w:tcPr>
            <w:tcW w:w="3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1000" w:type="dxa"/>
            <w:vAlign w:val="bottom"/>
            <w:tcBorders>
              <w:top w:val="single" w:sz="8" w:color="auto"/>
              <w:bottom w:val="single" w:sz="8" w:color="CCEEFF"/>
            </w:tcBorders>
            <w:shd w:val="clear" w:color="auto" w:fill="CCEEFF"/>
          </w:tcPr>
          <w:p>
            <w:pPr>
              <w:jc w:val="center"/>
              <w:ind w:left="73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$ 2,201</w:t>
            </w: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Facility and other allocated costs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2,075</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668</w:t>
            </w:r>
          </w:p>
        </w:tc>
        <w:tc>
          <w:tcPr>
            <w:tcW w:w="540" w:type="dxa"/>
            <w:vAlign w:val="bottom"/>
          </w:tcPr>
          <w:p>
            <w:pPr>
              <w:jc w:val="right"/>
              <w:spacing w:after="0"/>
              <w:rPr>
                <w:sz w:val="20"/>
                <w:szCs w:val="20"/>
                <w:color w:val="auto"/>
              </w:rPr>
            </w:pPr>
            <w:r>
              <w:rPr>
                <w:rFonts w:ascii="Arial" w:cs="Arial" w:eastAsia="Arial" w:hAnsi="Arial"/>
                <w:sz w:val="14"/>
                <w:szCs w:val="14"/>
                <w:color w:val="auto"/>
              </w:rPr>
              <w:t>1,407</w:t>
            </w:r>
          </w:p>
        </w:tc>
      </w:tr>
      <w:tr>
        <w:trPr>
          <w:trHeight w:val="22"/>
        </w:trPr>
        <w:tc>
          <w:tcPr>
            <w:tcW w:w="3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Collaborations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2,906</w:t>
            </w:r>
          </w:p>
        </w:tc>
        <w:tc>
          <w:tcPr>
            <w:tcW w:w="1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2,877</w:t>
            </w: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
        </w:trPr>
        <w:tc>
          <w:tcPr>
            <w:tcW w:w="3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Consulting</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7"/>
        </w:trPr>
        <w:tc>
          <w:tcPr>
            <w:tcW w:w="3100" w:type="dxa"/>
            <w:vAlign w:val="bottom"/>
            <w:gridSpan w:val="2"/>
          </w:tcPr>
          <w:p>
            <w:pPr>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653</w:t>
            </w:r>
          </w:p>
        </w:tc>
        <w:tc>
          <w:tcPr>
            <w:tcW w:w="10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132</w:t>
            </w:r>
          </w:p>
        </w:tc>
        <w:tc>
          <w:tcPr>
            <w:tcW w:w="540" w:type="dxa"/>
            <w:vAlign w:val="bottom"/>
          </w:tcPr>
          <w:p>
            <w:pPr>
              <w:jc w:val="right"/>
              <w:spacing w:after="0"/>
              <w:rPr>
                <w:sz w:val="20"/>
                <w:szCs w:val="20"/>
                <w:color w:val="auto"/>
              </w:rPr>
            </w:pPr>
            <w:r>
              <w:rPr>
                <w:rFonts w:ascii="Arial" w:cs="Arial" w:eastAsia="Arial" w:hAnsi="Arial"/>
                <w:sz w:val="14"/>
                <w:szCs w:val="14"/>
                <w:color w:val="auto"/>
              </w:rPr>
              <w:t>521</w:t>
            </w:r>
          </w:p>
        </w:tc>
      </w:tr>
      <w:tr>
        <w:trPr>
          <w:trHeight w:val="225"/>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research and development expense</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15,374</w:t>
            </w:r>
          </w:p>
        </w:tc>
        <w:tc>
          <w:tcPr>
            <w:tcW w:w="1000" w:type="dxa"/>
            <w:vAlign w:val="bottom"/>
            <w:tcBorders>
              <w:top w:val="single" w:sz="8" w:color="auto"/>
              <w:bottom w:val="single" w:sz="8" w:color="CCEEFF"/>
            </w:tcBorders>
            <w:shd w:val="clear" w:color="auto" w:fill="CCEEFF"/>
          </w:tcPr>
          <w:p>
            <w:pPr>
              <w:jc w:val="center"/>
              <w:ind w:left="73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$ 7,431</w:t>
            </w: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19653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65325" cy="6985"/>
                    </a:xfrm>
                    <a:prstGeom prst="rect">
                      <a:avLst/>
                    </a:prstGeom>
                    <a:noFill/>
                  </pic:spPr>
                </pic:pic>
              </a:graphicData>
            </a:graphic>
          </wp:anchor>
        </w:drawing>
      </w:r>
    </w:p>
    <w:p>
      <w:pPr>
        <w:spacing w:after="0" w:line="86" w:lineRule="exact"/>
        <w:rPr>
          <w:sz w:val="20"/>
          <w:szCs w:val="20"/>
          <w:color w:val="auto"/>
        </w:rPr>
      </w:pPr>
    </w:p>
    <w:p>
      <w:pPr>
        <w:jc w:val="both"/>
        <w:ind w:left="1240" w:right="1439"/>
        <w:spacing w:after="0" w:line="263" w:lineRule="auto"/>
        <w:rPr>
          <w:sz w:val="20"/>
          <w:szCs w:val="20"/>
          <w:color w:val="auto"/>
        </w:rPr>
      </w:pPr>
      <w:r>
        <w:rPr>
          <w:rFonts w:ascii="Arial" w:cs="Arial" w:eastAsia="Arial" w:hAnsi="Arial"/>
          <w:sz w:val="14"/>
          <w:szCs w:val="14"/>
          <w:color w:val="auto"/>
        </w:rPr>
        <w:t>Research and development expenses were $15.4 million for the three months ended March 31, 2021 and $7.9 million for the three months ended March 31, 2020. The increase of $7.4 million was primarily due to:</w:t>
      </w:r>
    </w:p>
    <w:p>
      <w:pPr>
        <w:spacing w:after="0" w:line="81" w:lineRule="exact"/>
        <w:rPr>
          <w:sz w:val="20"/>
          <w:szCs w:val="20"/>
          <w:color w:val="auto"/>
        </w:rPr>
      </w:pPr>
    </w:p>
    <w:p>
      <w:pPr>
        <w:ind w:left="1360" w:right="1279" w:hanging="111"/>
        <w:spacing w:after="0" w:line="286" w:lineRule="auto"/>
        <w:tabs>
          <w:tab w:leader="none" w:pos="1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in personnel-related expenses of $2.2 million, which was primarily attributable to an increase in headcount to expand our research and development capabilities;</w:t>
      </w:r>
    </w:p>
    <w:p>
      <w:pPr>
        <w:spacing w:after="0" w:line="44"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of $1.4 million of facility and other allocated costs, including rent and allocated overhead costs as a result of an expansion of our geographic footprint for office and lab space;</w:t>
      </w:r>
    </w:p>
    <w:p>
      <w:pPr>
        <w:spacing w:after="0" w:line="44"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of $2.6 million in research and laboratory costs, including laboratory supplies, preclinical studies, and other external research expenses;</w:t>
      </w:r>
    </w:p>
    <w:p>
      <w:pPr>
        <w:spacing w:after="0" w:line="55"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of $0.6 million of consulting costs primarily for temporary personnel to assist in the expansion of our research and development capabilities; and</w:t>
      </w:r>
    </w:p>
    <w:p>
      <w:pPr>
        <w:spacing w:after="0" w:line="44" w:lineRule="exact"/>
        <w:rPr>
          <w:rFonts w:ascii="Arial" w:cs="Arial" w:eastAsia="Arial" w:hAnsi="Arial"/>
          <w:sz w:val="14"/>
          <w:szCs w:val="14"/>
          <w:color w:val="auto"/>
        </w:rPr>
      </w:pPr>
    </w:p>
    <w:p>
      <w:pPr>
        <w:ind w:left="1360" w:hanging="111"/>
        <w:spacing w:after="0"/>
        <w:tabs>
          <w:tab w:leader="none" w:pos="1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increase of $0.5 million of other expenses.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3"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General and administrative expenses were $2.7 million for the three months ended March 31, 2021 and $2.1 million for three months ended March 31, 2020. The increase of $0.6 million was primarily due to increased personnel-related expenses of $0.4 million primarily attributable to an increase in headcount to build our infrastructure, and increased consulting and legal fees of $0.2 million.</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7" w:name="page88"/>
    <w:bookmarkEnd w:id="8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3" w:lineRule="exact"/>
        <w:rPr>
          <w:sz w:val="20"/>
          <w:szCs w:val="20"/>
          <w:color w:val="auto"/>
        </w:rPr>
      </w:pPr>
    </w:p>
    <w:p>
      <w:pPr>
        <w:ind w:left="1240" w:right="1459"/>
        <w:spacing w:after="0" w:line="286" w:lineRule="auto"/>
        <w:rPr>
          <w:sz w:val="20"/>
          <w:szCs w:val="20"/>
          <w:color w:val="auto"/>
        </w:rPr>
      </w:pPr>
      <w:r>
        <w:rPr>
          <w:rFonts w:ascii="Arial" w:cs="Arial" w:eastAsia="Arial" w:hAnsi="Arial"/>
          <w:sz w:val="14"/>
          <w:szCs w:val="14"/>
          <w:color w:val="auto"/>
        </w:rPr>
        <w:t>Interest expense was $0.3 million for the three months ended March 31, 2021, which related to our Loan Agreement with Hercules.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Interest income was $28 thousand for the three months ended March 31, 2021 and $0.3 million for the three months ended March 31, 2020, which included interest earned on our cash, cash equivalents, and short-term and long-term investment balances.</w:t>
      </w:r>
    </w:p>
    <w:p>
      <w:pPr>
        <w:spacing w:after="0" w:line="123" w:lineRule="exact"/>
        <w:rPr>
          <w:sz w:val="20"/>
          <w:szCs w:val="20"/>
          <w:color w:val="auto"/>
        </w:rPr>
      </w:pPr>
    </w:p>
    <w:p>
      <w:pPr>
        <w:jc w:val="both"/>
        <w:ind w:left="1240" w:right="1299"/>
        <w:spacing w:after="0" w:line="241" w:lineRule="auto"/>
        <w:rPr>
          <w:sz w:val="20"/>
          <w:szCs w:val="20"/>
          <w:color w:val="auto"/>
        </w:rPr>
      </w:pPr>
      <w:r>
        <w:rPr>
          <w:rFonts w:ascii="Arial" w:cs="Arial" w:eastAsia="Arial" w:hAnsi="Arial"/>
          <w:sz w:val="14"/>
          <w:szCs w:val="14"/>
          <w:i w:val="1"/>
          <w:iCs w:val="1"/>
          <w:color w:val="auto"/>
        </w:rPr>
        <w:t>Comparison of the Year Ended December 31, 2020 (Successor) to the period from June 21, 2019 through December 31, 2019 (Successor), and the Period from January 1, 2019 through June 20, 2019 (Predecessor)</w:t>
      </w:r>
    </w:p>
    <w:p>
      <w:pPr>
        <w:spacing w:after="0" w:line="11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The following table summarizes our results of operations for the periods presented. The change in the results of operations is reflective of the (Successor) for the year ended December 31, 2020 compared to combined periods of both (Successor) June 21, 2019 to December 31, 2019 and (Predecessor) January 1, 2019 to June 20, 2019:</w:t>
      </w:r>
    </w:p>
    <w:p>
      <w:pPr>
        <w:spacing w:after="0" w:line="108"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Successor</w:t>
            </w:r>
          </w:p>
        </w:tc>
        <w:tc>
          <w:tcPr>
            <w:tcW w:w="10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period from</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Successor</w:t>
            </w: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June 21, 2019</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January 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year ended</w:t>
            </w:r>
          </w:p>
        </w:tc>
        <w:tc>
          <w:tcPr>
            <w:tcW w:w="132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(Inception) to</w:t>
            </w:r>
          </w:p>
        </w:tc>
        <w:tc>
          <w:tcPr>
            <w:tcW w:w="10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2019 to</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8"/>
        </w:trPr>
        <w:tc>
          <w:tcPr>
            <w:tcW w:w="218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 2020</w:t>
            </w:r>
          </w:p>
        </w:tc>
        <w:tc>
          <w:tcPr>
            <w:tcW w:w="132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December 31, 2019</w:t>
            </w:r>
          </w:p>
        </w:tc>
        <w:tc>
          <w:tcPr>
            <w:tcW w:w="100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June 20, 2019</w:t>
            </w:r>
          </w:p>
        </w:tc>
        <w:tc>
          <w:tcPr>
            <w:tcW w:w="1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r>
      <w:tr>
        <w:trPr>
          <w:trHeight w:val="171"/>
        </w:trPr>
        <w:tc>
          <w:tcPr>
            <w:tcW w:w="20" w:type="dxa"/>
            <w:vAlign w:val="bottom"/>
          </w:tcPr>
          <w:p>
            <w:pPr>
              <w:spacing w:after="0"/>
              <w:rPr>
                <w:sz w:val="14"/>
                <w:szCs w:val="14"/>
                <w:color w:val="auto"/>
              </w:rPr>
            </w:pPr>
          </w:p>
        </w:tc>
        <w:tc>
          <w:tcPr>
            <w:tcW w:w="21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center"/>
              <w:ind w:left="533"/>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39,681</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10,107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4,159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25,415</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9,495</w:t>
            </w:r>
          </w:p>
        </w:tc>
        <w:tc>
          <w:tcPr>
            <w:tcW w:w="6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3,622</w:t>
            </w:r>
          </w:p>
        </w:tc>
        <w:tc>
          <w:tcPr>
            <w:tcW w:w="4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2,145</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Write off of in-process</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Arial" w:cs="Arial" w:eastAsia="Arial" w:hAnsi="Arial"/>
                <w:sz w:val="14"/>
                <w:szCs w:val="14"/>
                <w:color w:val="auto"/>
              </w:rPr>
              <w:t>asset</w:t>
            </w:r>
          </w:p>
        </w:tc>
        <w:tc>
          <w:tcPr>
            <w:tcW w:w="74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4,722</w:t>
            </w:r>
          </w:p>
        </w:tc>
        <w:tc>
          <w:tcPr>
            <w:tcW w:w="62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225,946</w:t>
            </w:r>
          </w:p>
        </w:tc>
        <w:tc>
          <w:tcPr>
            <w:tcW w:w="480" w:type="dxa"/>
            <w:vAlign w:val="bottom"/>
          </w:tcPr>
          <w:p>
            <w:pPr>
              <w:spacing w:after="0"/>
              <w:rPr>
                <w:sz w:val="14"/>
                <w:szCs w:val="14"/>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6"/>
              </w:rPr>
              <w:t>(221,224)</w:t>
            </w:r>
          </w:p>
        </w:tc>
      </w:tr>
      <w:tr>
        <w:trPr>
          <w:trHeight w:val="22"/>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53,898</w:t>
            </w: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239,675</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6,304</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(192,081)</w:t>
            </w:r>
          </w:p>
        </w:tc>
        <w:tc>
          <w:tcPr>
            <w:tcW w:w="40" w:type="dxa"/>
            <w:vAlign w:val="bottom"/>
          </w:tcPr>
          <w:p>
            <w:pPr>
              <w:spacing w:after="0"/>
              <w:rPr>
                <w:sz w:val="14"/>
                <w:szCs w:val="14"/>
                <w:color w:val="auto"/>
              </w:rPr>
            </w:pPr>
          </w:p>
        </w:tc>
      </w:tr>
      <w:tr>
        <w:trPr>
          <w:trHeight w:val="178"/>
        </w:trPr>
        <w:tc>
          <w:tcPr>
            <w:tcW w:w="2180" w:type="dxa"/>
            <w:vAlign w:val="bottom"/>
            <w:gridSpan w:val="3"/>
          </w:tcPr>
          <w:p>
            <w:pPr>
              <w:spacing w:after="0"/>
              <w:rPr>
                <w:sz w:val="20"/>
                <w:szCs w:val="20"/>
                <w:color w:val="auto"/>
              </w:rPr>
            </w:pPr>
            <w:r>
              <w:rPr>
                <w:rFonts w:ascii="Arial" w:cs="Arial" w:eastAsia="Arial" w:hAnsi="Arial"/>
                <w:sz w:val="14"/>
                <w:szCs w:val="14"/>
                <w:color w:val="auto"/>
              </w:rPr>
              <w:t>Loss from operations</w:t>
            </w:r>
          </w:p>
        </w:tc>
        <w:tc>
          <w:tcPr>
            <w:tcW w:w="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(53,898)</w:t>
            </w: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(6,304)</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192,081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bottom w:val="single" w:sz="8" w:color="CCEEFF"/>
            </w:tcBorders>
            <w:gridSpan w:val="2"/>
            <w:shd w:val="clear" w:color="auto" w:fill="CCEEFF"/>
          </w:tcPr>
          <w:p>
            <w:pPr>
              <w:spacing w:after="0" w:line="154" w:lineRule="exact"/>
              <w:rPr>
                <w:sz w:val="20"/>
                <w:szCs w:val="20"/>
                <w:color w:val="auto"/>
              </w:rPr>
            </w:pPr>
            <w:r>
              <w:rPr>
                <w:rFonts w:ascii="Arial" w:cs="Arial" w:eastAsia="Arial" w:hAnsi="Arial"/>
                <w:sz w:val="14"/>
                <w:szCs w:val="14"/>
                <w:color w:val="auto"/>
              </w:rPr>
              <w:t>Other income, net</w:t>
            </w:r>
          </w:p>
        </w:tc>
        <w:tc>
          <w:tcPr>
            <w:tcW w:w="7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704</w:t>
            </w:r>
          </w:p>
        </w:tc>
        <w:tc>
          <w:tcPr>
            <w:tcW w:w="6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908</w:t>
            </w:r>
          </w:p>
        </w:tc>
        <w:tc>
          <w:tcPr>
            <w:tcW w:w="4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(506)</w:t>
            </w:r>
          </w:p>
        </w:tc>
        <w:tc>
          <w:tcPr>
            <w:tcW w:w="40" w:type="dxa"/>
            <w:vAlign w:val="bottom"/>
          </w:tcPr>
          <w:p>
            <w:pPr>
              <w:spacing w:after="0"/>
              <w:rPr>
                <w:sz w:val="13"/>
                <w:szCs w:val="13"/>
                <w:color w:val="auto"/>
              </w:rPr>
            </w:pPr>
          </w:p>
        </w:tc>
      </w:tr>
      <w:tr>
        <w:trPr>
          <w:trHeight w:val="187"/>
        </w:trPr>
        <w:tc>
          <w:tcPr>
            <w:tcW w:w="218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7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w:t>
            </w:r>
          </w:p>
        </w:tc>
        <w:tc>
          <w:tcPr>
            <w:tcW w:w="6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(381)</w:t>
            </w:r>
          </w:p>
        </w:tc>
      </w:tr>
      <w:tr>
        <w:trPr>
          <w:trHeight w:val="180"/>
        </w:trPr>
        <w:tc>
          <w:tcPr>
            <w:tcW w:w="20" w:type="dxa"/>
            <w:vAlign w:val="bottom"/>
          </w:tcPr>
          <w:p>
            <w:pPr>
              <w:spacing w:after="0"/>
              <w:rPr>
                <w:sz w:val="15"/>
                <w:szCs w:val="15"/>
                <w:color w:val="auto"/>
              </w:rPr>
            </w:pPr>
          </w:p>
        </w:tc>
        <w:tc>
          <w:tcPr>
            <w:tcW w:w="2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740" w:type="dxa"/>
            <w:vAlign w:val="bottom"/>
            <w:tcBorders>
              <w:top w:val="single" w:sz="8" w:color="auto"/>
              <w:bottom w:val="single" w:sz="8" w:color="CCEEFF"/>
            </w:tcBorders>
            <w:shd w:val="clear" w:color="auto" w:fill="CCEEFF"/>
          </w:tcPr>
          <w:p>
            <w:pPr>
              <w:jc w:val="center"/>
              <w:ind w:left="533"/>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191,194</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138049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80490" cy="6985"/>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-536575</wp:posOffset>
            </wp:positionV>
            <wp:extent cx="2730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-659130</wp:posOffset>
            </wp:positionV>
            <wp:extent cx="138049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80490" cy="6985"/>
                    </a:xfrm>
                    <a:prstGeom prst="rect">
                      <a:avLst/>
                    </a:prstGeom>
                    <a:noFill/>
                  </pic:spPr>
                </pic:pic>
              </a:graphicData>
            </a:graphic>
          </wp:anchor>
        </w:drawing>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Predecessor</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jc w:val="right"/>
              <w:ind w:right="51"/>
              <w:spacing w:after="0"/>
              <w:rPr>
                <w:sz w:val="20"/>
                <w:szCs w:val="20"/>
                <w:color w:val="auto"/>
              </w:rPr>
            </w:pPr>
            <w:r>
              <w:rPr>
                <w:rFonts w:ascii="Arial" w:cs="Arial" w:eastAsia="Arial" w:hAnsi="Arial"/>
                <w:sz w:val="13"/>
                <w:szCs w:val="13"/>
                <w:b w:val="1"/>
                <w:bCs w:val="1"/>
                <w:color w:val="auto"/>
              </w:rPr>
              <w:t>Successor</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128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jc w:val="right"/>
              <w:ind w:right="51"/>
              <w:spacing w:after="0"/>
              <w:rPr>
                <w:sz w:val="20"/>
                <w:szCs w:val="20"/>
                <w:color w:val="auto"/>
              </w:rPr>
            </w:pPr>
            <w:r>
              <w:rPr>
                <w:rFonts w:ascii="Arial" w:cs="Arial" w:eastAsia="Arial" w:hAnsi="Arial"/>
                <w:sz w:val="13"/>
                <w:szCs w:val="13"/>
                <w:b w:val="1"/>
                <w:bCs w:val="1"/>
                <w:color w:val="auto"/>
              </w:rPr>
              <w:t>year ended</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21, 2019 to</w:t>
            </w:r>
          </w:p>
        </w:tc>
        <w:tc>
          <w:tcPr>
            <w:tcW w:w="128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January 1, 2019 to</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7"/>
        </w:trPr>
        <w:tc>
          <w:tcPr>
            <w:tcW w:w="3200" w:type="dxa"/>
            <w:vAlign w:val="bottom"/>
            <w:gridSpan w:val="2"/>
          </w:tcPr>
          <w:p>
            <w:pPr>
              <w:ind w:left="980"/>
              <w:spacing w:after="0"/>
              <w:rPr>
                <w:sz w:val="20"/>
                <w:szCs w:val="20"/>
                <w:color w:val="auto"/>
              </w:rPr>
            </w:pPr>
            <w:r>
              <w:rPr>
                <w:rFonts w:ascii="Arial" w:cs="Arial" w:eastAsia="Arial" w:hAnsi="Arial"/>
                <w:sz w:val="13"/>
                <w:szCs w:val="13"/>
                <w:b w:val="1"/>
                <w:bCs w:val="1"/>
                <w:color w:val="auto"/>
              </w:rPr>
              <w:t>(in thousands)</w:t>
            </w:r>
          </w:p>
        </w:tc>
        <w:tc>
          <w:tcPr>
            <w:tcW w:w="248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20, 2019</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$ 14,901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Facility and other allocated costs</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3,262</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3,012</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10,518</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Collaborations</w:t>
            </w: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9,002</w:t>
            </w:r>
          </w:p>
        </w:tc>
        <w:tc>
          <w:tcPr>
            <w:tcW w:w="7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3,139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4,220</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Consulting</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730</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1,268</w:t>
            </w: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4"/>
                <w:szCs w:val="14"/>
                <w:color w:val="auto"/>
              </w:rPr>
            </w:pPr>
          </w:p>
        </w:tc>
      </w:tr>
      <w:tr>
        <w:trPr>
          <w:trHeight w:val="161"/>
        </w:trPr>
        <w:tc>
          <w:tcPr>
            <w:tcW w:w="1000" w:type="dxa"/>
            <w:vAlign w:val="bottom"/>
          </w:tcPr>
          <w:p>
            <w:pPr>
              <w:spacing w:after="0"/>
              <w:rPr>
                <w:sz w:val="14"/>
                <w:szCs w:val="14"/>
                <w:color w:val="auto"/>
              </w:rPr>
            </w:pPr>
          </w:p>
        </w:tc>
        <w:tc>
          <w:tcPr>
            <w:tcW w:w="2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research and</w:t>
            </w: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r>
      <w:tr>
        <w:trPr>
          <w:trHeight w:val="231"/>
        </w:trPr>
        <w:tc>
          <w:tcPr>
            <w:tcW w:w="1000" w:type="dxa"/>
            <w:vAlign w:val="bottom"/>
          </w:tcPr>
          <w:p>
            <w:pPr>
              <w:spacing w:after="0"/>
              <w:rPr>
                <w:sz w:val="19"/>
                <w:szCs w:val="19"/>
                <w:color w:val="auto"/>
              </w:rPr>
            </w:pPr>
          </w:p>
        </w:tc>
        <w:tc>
          <w:tcPr>
            <w:tcW w:w="2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development expense</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$ 39,681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25,415</w:t>
            </w:r>
          </w:p>
        </w:tc>
        <w:tc>
          <w:tcPr>
            <w:tcW w:w="1000" w:type="dxa"/>
            <w:vAlign w:val="bottom"/>
          </w:tcPr>
          <w:p>
            <w:pPr>
              <w:spacing w:after="0"/>
              <w:rPr>
                <w:sz w:val="19"/>
                <w:szCs w:val="19"/>
                <w:color w:val="auto"/>
              </w:rPr>
            </w:pPr>
          </w:p>
        </w:tc>
      </w:tr>
      <w:tr>
        <w:trPr>
          <w:trHeight w:val="504"/>
        </w:trPr>
        <w:tc>
          <w:tcPr>
            <w:tcW w:w="10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75</w:t>
            </w:r>
          </w:p>
        </w:tc>
        <w:tc>
          <w:tcPr>
            <w:tcW w:w="7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-802005</wp:posOffset>
            </wp:positionV>
            <wp:extent cx="140081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0081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8" w:name="page89"/>
    <w:bookmarkEnd w:id="8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94" w:lineRule="auto"/>
        <w:rPr>
          <w:sz w:val="20"/>
          <w:szCs w:val="20"/>
          <w:color w:val="auto"/>
        </w:rPr>
      </w:pPr>
      <w:r>
        <w:rPr>
          <w:rFonts w:ascii="Arial" w:cs="Arial" w:eastAsia="Arial" w:hAnsi="Arial"/>
          <w:sz w:val="14"/>
          <w:szCs w:val="14"/>
          <w:color w:val="auto"/>
        </w:rPr>
        <w:t>Research and development expenses were $39.7 million for the year ended December 31, 2020 and $14.3 million for the year ended December 31, 2019. The increase of $25.4 million was primarily due to:</w:t>
      </w:r>
    </w:p>
    <w:p>
      <w:pPr>
        <w:spacing w:after="0" w:line="72" w:lineRule="exact"/>
        <w:rPr>
          <w:sz w:val="20"/>
          <w:szCs w:val="20"/>
          <w:color w:val="auto"/>
        </w:rPr>
      </w:pPr>
    </w:p>
    <w:p>
      <w:pPr>
        <w:ind w:left="1360" w:right="127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increase in personnel-related expenses of $9.9 million, which was primarily attributable to an increase in headcount to expand our research and development capabilities;</w:t>
      </w:r>
    </w:p>
    <w:p>
      <w:pPr>
        <w:spacing w:after="0" w:line="87"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increase of $3.0 million of facility and other allocated costs, including rent and allocated overhead costs as a result of an expansion of our geographic footprint for office and lab space;</w:t>
      </w:r>
    </w:p>
    <w:p>
      <w:pPr>
        <w:spacing w:after="0" w:line="76" w:lineRule="exact"/>
        <w:rPr>
          <w:rFonts w:ascii="Arial" w:cs="Arial" w:eastAsia="Arial" w:hAnsi="Arial"/>
          <w:sz w:val="14"/>
          <w:szCs w:val="14"/>
          <w:color w:val="auto"/>
        </w:rPr>
      </w:pPr>
    </w:p>
    <w:p>
      <w:pPr>
        <w:ind w:left="1360" w:right="167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increase of $7.6 million in research and laboratory costs, including laboratory supplies, preclinical studies, and other external research expenses;</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increase of $4.2 million for collaborative arrangements with FCDI;</w:t>
      </w:r>
    </w:p>
    <w:p>
      <w:pPr>
        <w:spacing w:after="0" w:line="128"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increase of $0.5 million of consulting costs primarily for temporary personnel to assist in the expansion of our research and development capabilities; and</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increase of $0.1 million of other expenses.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44" w:lineRule="exact"/>
        <w:rPr>
          <w:sz w:val="20"/>
          <w:szCs w:val="20"/>
          <w:color w:val="auto"/>
        </w:rPr>
      </w:pPr>
    </w:p>
    <w:p>
      <w:pPr>
        <w:ind w:left="1240" w:right="1399"/>
        <w:spacing w:after="0" w:line="291" w:lineRule="auto"/>
        <w:rPr>
          <w:sz w:val="20"/>
          <w:szCs w:val="20"/>
          <w:color w:val="auto"/>
        </w:rPr>
      </w:pPr>
      <w:r>
        <w:rPr>
          <w:rFonts w:ascii="Arial" w:cs="Arial" w:eastAsia="Arial" w:hAnsi="Arial"/>
          <w:sz w:val="14"/>
          <w:szCs w:val="14"/>
          <w:color w:val="auto"/>
        </w:rPr>
        <w:t>General and administrative expenses were $9.5 million for the year ended December 31, 2020 and $5.8 million for year ended December 31, 2019. The increase of $3.7 million was primarily due to increased personnel-related expenses of $1.5 million primarily attributable to an increase in headcount to build our infrastructure, increased consulting and legal fees of $1.1 million, and increased information technology and facility costs, including rent, of $1.1 million.</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Write-off of in-process research and development</w:t>
      </w:r>
    </w:p>
    <w:p>
      <w:pPr>
        <w:spacing w:after="0" w:line="133" w:lineRule="exact"/>
        <w:rPr>
          <w:sz w:val="20"/>
          <w:szCs w:val="20"/>
          <w:color w:val="auto"/>
        </w:rPr>
      </w:pPr>
    </w:p>
    <w:p>
      <w:pPr>
        <w:ind w:left="1240" w:right="1559"/>
        <w:spacing w:after="0" w:line="294" w:lineRule="auto"/>
        <w:rPr>
          <w:sz w:val="20"/>
          <w:szCs w:val="20"/>
          <w:color w:val="auto"/>
        </w:rPr>
      </w:pPr>
      <w:r>
        <w:rPr>
          <w:rFonts w:ascii="Arial" w:cs="Arial" w:eastAsia="Arial" w:hAnsi="Arial"/>
          <w:sz w:val="14"/>
          <w:szCs w:val="14"/>
          <w:color w:val="auto"/>
        </w:rPr>
        <w:t>The write off of in-process research and development of $4.7 million in 2020 relates to the acquisition of the assets of Empirica. The write off of in-process research and development in 2019 of $225.9 million relates to the acquisition of the assets of Prior Century.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4" w:lineRule="exact"/>
        <w:rPr>
          <w:sz w:val="20"/>
          <w:szCs w:val="20"/>
          <w:color w:val="auto"/>
        </w:rPr>
      </w:pPr>
    </w:p>
    <w:p>
      <w:pPr>
        <w:ind w:left="1240" w:right="1519"/>
        <w:spacing w:after="0" w:line="302" w:lineRule="auto"/>
        <w:rPr>
          <w:sz w:val="20"/>
          <w:szCs w:val="20"/>
          <w:color w:val="auto"/>
        </w:rPr>
      </w:pPr>
      <w:r>
        <w:rPr>
          <w:rFonts w:ascii="Arial" w:cs="Arial" w:eastAsia="Arial" w:hAnsi="Arial"/>
          <w:sz w:val="14"/>
          <w:szCs w:val="14"/>
          <w:color w:val="auto"/>
        </w:rPr>
        <w:t>Interest expense was $0.4 million for the year ended December 31, 2020, which related to our Loan Agreement with Hercules.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4" w:lineRule="exact"/>
        <w:rPr>
          <w:sz w:val="20"/>
          <w:szCs w:val="20"/>
          <w:color w:val="auto"/>
        </w:rPr>
      </w:pPr>
    </w:p>
    <w:p>
      <w:pPr>
        <w:jc w:val="both"/>
        <w:ind w:left="1240" w:right="1439"/>
        <w:spacing w:after="0" w:line="294" w:lineRule="auto"/>
        <w:rPr>
          <w:sz w:val="20"/>
          <w:szCs w:val="20"/>
          <w:color w:val="auto"/>
        </w:rPr>
      </w:pPr>
      <w:r>
        <w:rPr>
          <w:rFonts w:ascii="Arial" w:cs="Arial" w:eastAsia="Arial" w:hAnsi="Arial"/>
          <w:sz w:val="14"/>
          <w:szCs w:val="14"/>
          <w:color w:val="auto"/>
        </w:rPr>
        <w:t>Interest income was $0.7 million for the year ended December 31, 2020 and $1.2 million for the year ended December 31, 2019, which included interest earned on our cash, cash equivalents, and short-term and long-term investment balances.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Unaudited pro forma information</w:t>
      </w:r>
    </w:p>
    <w:p>
      <w:pPr>
        <w:spacing w:after="0" w:line="129"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Immediately prior to the completion of this offering, all outstanding shares of our convertible preferred stock will convert into an aggregate of 34,126,528 shares of common stock upon the closing of this offering. The unaudited pro forma basic and diluted net loss per share for the year ended December 31, 2020 and the three months ended March 31, 2021 were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Pro forma net loss per share does not include the shares expected to be sold in this offering.</w:t>
      </w:r>
    </w:p>
    <w:p>
      <w:pPr>
        <w:spacing w:after="0" w:line="109" w:lineRule="exact"/>
        <w:rPr>
          <w:sz w:val="20"/>
          <w:szCs w:val="20"/>
          <w:color w:val="auto"/>
        </w:rPr>
      </w:pPr>
    </w:p>
    <w:p>
      <w:pPr>
        <w:ind w:left="1240" w:right="1499"/>
        <w:spacing w:after="0" w:line="302" w:lineRule="auto"/>
        <w:rPr>
          <w:sz w:val="20"/>
          <w:szCs w:val="20"/>
          <w:color w:val="auto"/>
        </w:rPr>
      </w:pPr>
      <w:r>
        <w:rPr>
          <w:rFonts w:ascii="Arial" w:cs="Arial" w:eastAsia="Arial" w:hAnsi="Arial"/>
          <w:sz w:val="14"/>
          <w:szCs w:val="14"/>
          <w:color w:val="auto"/>
        </w:rPr>
        <w:t>The following table sets forth the computation of the unaudited pro forma basic and diluted net loss per share of common stock for the periods presented: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9" w:name="page90"/>
    <w:bookmarkEnd w:id="8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ind w:right="149"/>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4"/>
                <w:szCs w:val="14"/>
                <w:color w:val="auto"/>
              </w:rPr>
            </w:pPr>
          </w:p>
        </w:tc>
      </w:tr>
      <w:tr>
        <w:trPr>
          <w:trHeight w:val="178"/>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2660" w:type="dxa"/>
            <w:vAlign w:val="bottom"/>
            <w:gridSpan w:val="5"/>
          </w:tcPr>
          <w:p>
            <w:pPr>
              <w:ind w:left="440"/>
              <w:spacing w:after="0"/>
              <w:rPr>
                <w:sz w:val="20"/>
                <w:szCs w:val="20"/>
                <w:color w:val="auto"/>
              </w:rPr>
            </w:pPr>
            <w:r>
              <w:rPr>
                <w:rFonts w:ascii="Arial" w:cs="Arial" w:eastAsia="Arial" w:hAnsi="Arial"/>
                <w:sz w:val="13"/>
                <w:szCs w:val="13"/>
                <w:b w:val="1"/>
                <w:bCs w:val="1"/>
                <w:color w:val="auto"/>
              </w:rPr>
              <w:t>March 31, 2021December 31, 2020</w:t>
            </w:r>
          </w:p>
        </w:tc>
      </w:tr>
      <w:tr>
        <w:trPr>
          <w:trHeight w:val="171"/>
        </w:trPr>
        <w:tc>
          <w:tcPr>
            <w:tcW w:w="20" w:type="dxa"/>
            <w:vAlign w:val="bottom"/>
          </w:tcPr>
          <w:p>
            <w:pPr>
              <w:spacing w:after="0"/>
              <w:rPr>
                <w:sz w:val="14"/>
                <w:szCs w:val="14"/>
                <w:color w:val="auto"/>
              </w:rPr>
            </w:pPr>
          </w:p>
        </w:tc>
        <w:tc>
          <w:tcPr>
            <w:tcW w:w="46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40" w:type="dxa"/>
            <w:vAlign w:val="bottom"/>
          </w:tcPr>
          <w:p>
            <w:pPr>
              <w:ind w:left="140"/>
              <w:spacing w:after="0"/>
              <w:rPr>
                <w:sz w:val="20"/>
                <w:szCs w:val="20"/>
                <w:color w:val="auto"/>
              </w:rPr>
            </w:pPr>
            <w:r>
              <w:rPr>
                <w:rFonts w:ascii="Arial" w:cs="Arial" w:eastAsia="Arial" w:hAnsi="Arial"/>
                <w:sz w:val="14"/>
                <w:szCs w:val="14"/>
                <w:color w:val="auto"/>
              </w:rPr>
              <w:t>Net loss used in calculating pro forma net loss per share, basic and</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40" w:type="dxa"/>
            <w:vAlign w:val="bottom"/>
          </w:tcPr>
          <w:p>
            <w:pPr>
              <w:ind w:left="280"/>
              <w:spacing w:after="0"/>
              <w:rPr>
                <w:sz w:val="20"/>
                <w:szCs w:val="20"/>
                <w:color w:val="auto"/>
              </w:rPr>
            </w:pPr>
            <w:r>
              <w:rPr>
                <w:rFonts w:ascii="Arial" w:cs="Arial" w:eastAsia="Arial" w:hAnsi="Arial"/>
                <w:sz w:val="14"/>
                <w:szCs w:val="14"/>
                <w:color w:val="auto"/>
              </w:rPr>
              <w:t>diluted</w:t>
            </w:r>
          </w:p>
        </w:tc>
        <w:tc>
          <w:tcPr>
            <w:tcW w:w="600" w:type="dxa"/>
            <w:vAlign w:val="bottom"/>
          </w:tcPr>
          <w:p>
            <w:pPr>
              <w:ind w:lef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(18,348)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(53,575)</w:t>
            </w:r>
          </w:p>
        </w:tc>
      </w:tr>
      <w:tr>
        <w:trPr>
          <w:trHeight w:val="33"/>
        </w:trPr>
        <w:tc>
          <w:tcPr>
            <w:tcW w:w="46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64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6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7,677,196</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Weighted-average convertible preferred stock</w:t>
            </w:r>
          </w:p>
        </w:tc>
        <w:tc>
          <w:tcPr>
            <w:tcW w:w="6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34,126,528</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34,126,528</w:t>
            </w:r>
          </w:p>
        </w:tc>
        <w:tc>
          <w:tcPr>
            <w:tcW w:w="40" w:type="dxa"/>
            <w:vAlign w:val="bottom"/>
          </w:tcPr>
          <w:p>
            <w:pPr>
              <w:spacing w:after="0"/>
              <w:rPr>
                <w:sz w:val="15"/>
                <w:szCs w:val="15"/>
                <w:color w:val="auto"/>
              </w:rPr>
            </w:pPr>
          </w:p>
        </w:tc>
      </w:tr>
      <w:tr>
        <w:trPr>
          <w:trHeight w:val="181"/>
        </w:trPr>
        <w:tc>
          <w:tcPr>
            <w:tcW w:w="4660" w:type="dxa"/>
            <w:vAlign w:val="bottom"/>
            <w:gridSpan w:val="2"/>
          </w:tcPr>
          <w:p>
            <w:pPr>
              <w:spacing w:after="0"/>
              <w:rPr>
                <w:sz w:val="20"/>
                <w:szCs w:val="20"/>
                <w:color w:val="auto"/>
              </w:rPr>
            </w:pPr>
            <w:r>
              <w:rPr>
                <w:rFonts w:ascii="Arial" w:cs="Arial" w:eastAsia="Arial" w:hAnsi="Arial"/>
                <w:sz w:val="14"/>
                <w:szCs w:val="14"/>
                <w:color w:val="auto"/>
              </w:rPr>
              <w:t>Pro forma weighted-average shares outstanding, basic and diluted</w:t>
            </w:r>
          </w:p>
        </w:tc>
        <w:tc>
          <w:tcPr>
            <w:tcW w:w="60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41,803,724</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41,608,389</w:t>
            </w:r>
          </w:p>
        </w:tc>
        <w:tc>
          <w:tcPr>
            <w:tcW w:w="40" w:type="dxa"/>
            <w:vAlign w:val="bottom"/>
          </w:tcPr>
          <w:p>
            <w:pPr>
              <w:spacing w:after="0"/>
              <w:rPr>
                <w:sz w:val="15"/>
                <w:szCs w:val="15"/>
                <w:color w:val="auto"/>
              </w:rPr>
            </w:pPr>
          </w:p>
        </w:tc>
      </w:tr>
      <w:tr>
        <w:trPr>
          <w:trHeight w:val="22"/>
        </w:trPr>
        <w:tc>
          <w:tcPr>
            <w:tcW w:w="4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net loss per share, basic and diluted</w:t>
            </w:r>
          </w:p>
        </w:tc>
        <w:tc>
          <w:tcPr>
            <w:tcW w:w="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(0.44)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Liquidity, capital resources, and capital requirements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3" w:lineRule="exact"/>
        <w:rPr>
          <w:sz w:val="20"/>
          <w:szCs w:val="20"/>
          <w:color w:val="auto"/>
        </w:rPr>
      </w:pPr>
    </w:p>
    <w:p>
      <w:pPr>
        <w:ind w:left="1240" w:right="1519"/>
        <w:spacing w:after="0" w:line="255"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spacing w:after="0" w:line="1"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$340 million in net proceeds from the sales of our equity securities. As of March 31, 2021, we had cash, and cash equivalents of $79.5 million and marketable securities of $166.6 million. Based on our research and development plans, we believe that the net proceeds from this offering, together with our existing cash, cash equivalents and marketable securities, will be sufficient to fund our operating expenses and capital expenditures requirements for the next 42 months after this filing. Since our inception, we have not generated any revenue from product sales or any other sources, and we have incurred significant operating losses. We have not yet commercialized any products and we do not expect to generate revenue from sales of any product candidates for a number</w:t>
      </w:r>
    </w:p>
    <w:p>
      <w:pPr>
        <w:spacing w:after="0" w:line="2"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of years, if ever. We had an accumulated deficit of $310.7 million as of March 31, 2021. As further described in Note 3 of our audited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audited consolidated financial statements, we entered into a Loan Agreement with Hercules, pursuant to which net proceeds of $9.6 million were received by us in September 2020. We intend to use the proceeds of the Loan Agreement for working capital and general corporate purposes. As further described in Note 17 of our audited consolidated financial statements, in February 2021, we sold 24,721,999 shares of our Series C preferred stock to certain institutional investors for gross proceeds of approximately $160 million.</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Future funding requirements</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from this offering, together with our existing cash and cash equivalents, will be sufficient for us to fund our operating expenses and capital expenditure requirements for the next 42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9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96" w:lineRule="exact"/>
        <w:rPr>
          <w:sz w:val="20"/>
          <w:szCs w:val="20"/>
          <w:color w:val="auto"/>
        </w:rPr>
      </w:pPr>
    </w:p>
    <w:p>
      <w:pPr>
        <w:ind w:left="1360" w:right="1759" w:hanging="111"/>
        <w:spacing w:after="0" w:line="286" w:lineRule="auto"/>
        <w:tabs>
          <w:tab w:leader="none" w:pos="1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scope, timing, progress, costs, and results of discovery, preclinical development, and clinical trials for our current and future product candidates;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0" w:name="page91"/>
    <w:bookmarkEnd w:id="9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51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and future product candidates;</w:t>
      </w:r>
    </w:p>
    <w:p>
      <w:pPr>
        <w:spacing w:after="0" w:line="76"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any of our current and future product candidates;</w:t>
      </w:r>
    </w:p>
    <w:p>
      <w:pPr>
        <w:spacing w:after="0" w:line="87" w:lineRule="exact"/>
        <w:rPr>
          <w:rFonts w:ascii="Arial" w:cs="Arial" w:eastAsia="Arial" w:hAnsi="Arial"/>
          <w:sz w:val="14"/>
          <w:szCs w:val="14"/>
          <w:color w:val="auto"/>
        </w:rPr>
      </w:pPr>
    </w:p>
    <w:p>
      <w:pPr>
        <w:ind w:left="1360" w:right="155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cost of manufacturing clinical and commercial supplies of our current and future product candidates;</w:t>
      </w:r>
    </w:p>
    <w:p>
      <w:pPr>
        <w:spacing w:after="0" w:line="76" w:lineRule="exact"/>
        <w:rPr>
          <w:rFonts w:ascii="Arial" w:cs="Arial" w:eastAsia="Arial" w:hAnsi="Arial"/>
          <w:sz w:val="14"/>
          <w:szCs w:val="14"/>
          <w:color w:val="auto"/>
        </w:rPr>
      </w:pPr>
    </w:p>
    <w:p>
      <w:pPr>
        <w:ind w:left="1360" w:right="1379" w:hanging="111"/>
        <w:spacing w:after="0" w:line="291"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costs and timing of future commercialization activities, including manufacturing, marketing, sales, and distribution, for any of our product candidates for which we receive marketing approval;</w:t>
      </w:r>
    </w:p>
    <w:p>
      <w:pPr>
        <w:spacing w:after="0" w:line="262" w:lineRule="exact"/>
        <w:rPr>
          <w:rFonts w:ascii="Arial" w:cs="Arial" w:eastAsia="Arial" w:hAnsi="Arial"/>
          <w:sz w:val="14"/>
          <w:szCs w:val="14"/>
          <w:color w:val="auto"/>
        </w:rPr>
      </w:pPr>
    </w:p>
    <w:p>
      <w:pPr>
        <w:ind w:left="1360" w:right="1439" w:hanging="111"/>
        <w:spacing w:after="0" w:line="27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94" w:lineRule="exact"/>
        <w:rPr>
          <w:rFonts w:ascii="Arial" w:cs="Arial" w:eastAsia="Arial" w:hAnsi="Arial"/>
          <w:sz w:val="14"/>
          <w:szCs w:val="14"/>
          <w:color w:val="auto"/>
        </w:rPr>
      </w:pPr>
    </w:p>
    <w:p>
      <w:pPr>
        <w:ind w:left="1360" w:right="1319" w:hanging="111"/>
        <w:spacing w:after="0" w:line="278"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3"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revenue, if any, received from commercial sales of our product candidates for which we receive marketing approval;</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expenses to attract, hire and retain, skilled personnel;</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costs of operating as a public company;</w:t>
      </w:r>
    </w:p>
    <w:p>
      <w:pPr>
        <w:spacing w:after="0" w:line="128"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ability to establish a commercially viable pricing structure and obtain approval for coverage and adequate reimbursement from third-party and government payors;</w:t>
      </w:r>
    </w:p>
    <w:p>
      <w:pPr>
        <w:spacing w:after="0" w:line="76"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addressing any potential interruptions or delays resulting from factors related to the COVID-19 pandemic;</w:t>
      </w:r>
    </w:p>
    <w:p>
      <w:pPr>
        <w:spacing w:after="0" w:line="87"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w:t>
      </w:r>
    </w:p>
    <w:p>
      <w:pPr>
        <w:spacing w:after="0" w:line="128" w:lineRule="exact"/>
        <w:rPr>
          <w:sz w:val="20"/>
          <w:szCs w:val="20"/>
          <w:color w:val="auto"/>
        </w:rPr>
      </w:pPr>
    </w:p>
    <w:p>
      <w:pPr>
        <w:ind w:left="1240" w:right="1299"/>
        <w:spacing w:after="0" w:line="288"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1" w:name="page92"/>
    <w:bookmarkEnd w:id="9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flows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cash flows for the periods indicated:</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3"/>
                <w:szCs w:val="13"/>
                <w:b w:val="1"/>
                <w:bCs w:val="1"/>
                <w:color w:val="auto"/>
              </w:rPr>
              <w:t>Successor</w:t>
            </w: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9"/>
              </w:rPr>
              <w:t>Predecessor</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Successor</w:t>
            </w:r>
          </w:p>
        </w:tc>
        <w:tc>
          <w:tcPr>
            <w:tcW w:w="260" w:type="dxa"/>
            <w:vAlign w:val="bottom"/>
          </w:tcPr>
          <w:p>
            <w:pPr>
              <w:spacing w:after="0"/>
              <w:rPr>
                <w:sz w:val="13"/>
                <w:szCs w:val="13"/>
                <w:color w:val="auto"/>
              </w:rPr>
            </w:pPr>
          </w:p>
        </w:tc>
        <w:tc>
          <w:tcPr>
            <w:tcW w:w="640" w:type="dxa"/>
            <w:vAlign w:val="bottom"/>
          </w:tcPr>
          <w:p>
            <w:pPr>
              <w:jc w:val="right"/>
              <w:ind w:right="32"/>
              <w:spacing w:after="0"/>
              <w:rPr>
                <w:sz w:val="20"/>
                <w:szCs w:val="20"/>
                <w:color w:val="auto"/>
              </w:rPr>
            </w:pPr>
            <w:r>
              <w:rPr>
                <w:rFonts w:ascii="Arial" w:cs="Arial" w:eastAsia="Arial" w:hAnsi="Arial"/>
                <w:sz w:val="13"/>
                <w:szCs w:val="13"/>
                <w:b w:val="1"/>
                <w:bCs w:val="1"/>
                <w:color w:val="auto"/>
                <w:w w:val="99"/>
              </w:rPr>
              <w:t>June 21,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period from</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w w:val="99"/>
              </w:rPr>
              <w:t>Three months</w:t>
            </w:r>
          </w:p>
        </w:tc>
        <w:tc>
          <w:tcPr>
            <w:tcW w:w="90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3"/>
                <w:szCs w:val="13"/>
                <w:color w:val="auto"/>
              </w:rPr>
            </w:pPr>
          </w:p>
        </w:tc>
        <w:tc>
          <w:tcPr>
            <w:tcW w:w="640" w:type="dxa"/>
            <w:vAlign w:val="bottom"/>
          </w:tcPr>
          <w:p>
            <w:pPr>
              <w:jc w:val="right"/>
              <w:ind w:right="32"/>
              <w:spacing w:after="0"/>
              <w:rPr>
                <w:sz w:val="20"/>
                <w:szCs w:val="20"/>
                <w:color w:val="auto"/>
              </w:rPr>
            </w:pPr>
            <w:r>
              <w:rPr>
                <w:rFonts w:ascii="Arial" w:cs="Arial" w:eastAsia="Arial" w:hAnsi="Arial"/>
                <w:sz w:val="13"/>
                <w:szCs w:val="13"/>
                <w:b w:val="1"/>
                <w:bCs w:val="1"/>
                <w:color w:val="auto"/>
              </w:rPr>
              <w:t>2019 to</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r>
      <w:tr>
        <w:trPr>
          <w:trHeight w:val="150"/>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3"/>
                <w:szCs w:val="13"/>
                <w:color w:val="auto"/>
              </w:rPr>
            </w:pPr>
          </w:p>
        </w:tc>
        <w:tc>
          <w:tcPr>
            <w:tcW w:w="2440" w:type="dxa"/>
            <w:vAlign w:val="bottom"/>
            <w:gridSpan w:val="5"/>
          </w:tcPr>
          <w:p>
            <w:pPr>
              <w:jc w:val="right"/>
              <w:ind w:right="32"/>
              <w:spacing w:after="0"/>
              <w:rPr>
                <w:sz w:val="20"/>
                <w:szCs w:val="20"/>
                <w:color w:val="auto"/>
              </w:rPr>
            </w:pPr>
            <w:r>
              <w:rPr>
                <w:rFonts w:ascii="Arial" w:cs="Arial" w:eastAsia="Arial" w:hAnsi="Arial"/>
                <w:sz w:val="13"/>
                <w:szCs w:val="13"/>
                <w:b w:val="1"/>
                <w:bCs w:val="1"/>
                <w:color w:val="auto"/>
              </w:rPr>
              <w:t>ended December 31, December 31,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r>
      <w:tr>
        <w:trPr>
          <w:trHeight w:val="178"/>
        </w:trPr>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80" w:type="dxa"/>
            <w:vAlign w:val="bottom"/>
            <w:gridSpan w:val="4"/>
          </w:tcPr>
          <w:p>
            <w:pPr>
              <w:jc w:val="right"/>
              <w:ind w:right="50"/>
              <w:spacing w:after="0"/>
              <w:rPr>
                <w:sz w:val="20"/>
                <w:szCs w:val="20"/>
                <w:color w:val="auto"/>
              </w:rPr>
            </w:pPr>
            <w:r>
              <w:rPr>
                <w:rFonts w:ascii="Arial" w:cs="Arial" w:eastAsia="Arial" w:hAnsi="Arial"/>
                <w:sz w:val="13"/>
                <w:szCs w:val="13"/>
                <w:b w:val="1"/>
                <w:bCs w:val="1"/>
                <w:color w:val="auto"/>
              </w:rPr>
              <w:t>March 31, 2021 March 31, 2020</w:t>
            </w:r>
          </w:p>
        </w:tc>
        <w:tc>
          <w:tcPr>
            <w:tcW w:w="280" w:type="dxa"/>
            <w:vAlign w:val="bottom"/>
          </w:tcPr>
          <w:p>
            <w:pPr>
              <w:spacing w:after="0"/>
              <w:rPr>
                <w:sz w:val="15"/>
                <w:szCs w:val="15"/>
                <w:color w:val="auto"/>
              </w:rPr>
            </w:pPr>
          </w:p>
        </w:tc>
        <w:tc>
          <w:tcPr>
            <w:tcW w:w="620" w:type="dxa"/>
            <w:vAlign w:val="bottom"/>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2019 June 20, 2019</w:t>
            </w:r>
          </w:p>
        </w:tc>
      </w:tr>
      <w:tr>
        <w:trPr>
          <w:trHeight w:val="171"/>
        </w:trPr>
        <w:tc>
          <w:tcPr>
            <w:tcW w:w="20" w:type="dxa"/>
            <w:vAlign w:val="bottom"/>
          </w:tcPr>
          <w:p>
            <w:pPr>
              <w:spacing w:after="0"/>
              <w:rPr>
                <w:sz w:val="14"/>
                <w:szCs w:val="14"/>
                <w:color w:val="auto"/>
              </w:rPr>
            </w:pPr>
          </w:p>
        </w:tc>
        <w:tc>
          <w:tcPr>
            <w:tcW w:w="20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(used in):</w:t>
            </w: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100" w:type="dxa"/>
            <w:vAlign w:val="bottom"/>
            <w:gridSpan w:val="2"/>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(22,179)</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(6,884)</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(41,269)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(11,768)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(4,400)</w:t>
            </w:r>
          </w:p>
        </w:tc>
      </w:tr>
      <w:tr>
        <w:trPr>
          <w:trHeight w:val="22"/>
        </w:trPr>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(119,034)</w:t>
            </w: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(4,178)</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(22,757)</w:t>
            </w: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40" w:type="dxa"/>
            <w:vAlign w:val="bottom"/>
          </w:tcPr>
          <w:p>
            <w:pPr>
              <w:spacing w:after="0"/>
              <w:rPr>
                <w:sz w:val="15"/>
                <w:szCs w:val="15"/>
                <w:color w:val="auto"/>
              </w:rPr>
            </w:pPr>
          </w:p>
        </w:tc>
      </w:tr>
      <w:tr>
        <w:trPr>
          <w:trHeight w:val="187"/>
        </w:trPr>
        <w:tc>
          <w:tcPr>
            <w:tcW w:w="210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(193,485)</w:t>
            </w:r>
          </w:p>
        </w:tc>
        <w:tc>
          <w:tcPr>
            <w:tcW w:w="40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47,690</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74,839</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7"/>
        </w:trPr>
        <w:tc>
          <w:tcPr>
            <w:tcW w:w="20" w:type="dxa"/>
            <w:vAlign w:val="bottom"/>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(decrease) increase in</w:t>
            </w:r>
          </w:p>
        </w:tc>
        <w:tc>
          <w:tcPr>
            <w:tcW w:w="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cash equivalents, and</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52,272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(5,227)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-373380</wp:posOffset>
            </wp:positionV>
            <wp:extent cx="132588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25880"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Operating activities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Net cash used in operating activities was $22.2 million, and $6.9 million for the three months ended March 31, 2021 and 2020, respectively. Net cash used in operating activities during the three months ended March 31, 2021 consisted primarily of our net loss of $18.3 million and net cash outflows from decreases in our accounts payable and accrued expenses and other liabilities of $5.2 million partially offset by increase in operating lease liability of $0.1 million, and non-cash charges of $1.1 million. The non-cash charges of $1.1 million consisted primarily of $0.7 million for depreciation expense, and non-cash operating lease expense of $0.2 million.</w:t>
      </w:r>
    </w:p>
    <w:p>
      <w:pPr>
        <w:spacing w:after="0" w:line="110"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Net cash used in operating activities for the three months ended March 31, 2020 consisted primarily of our net loss of $9.7 million partially offset by net cash inflows from changes in operating assets and liabilities of $2.3 million and non-cash charges of $0.5 million. The non-cash charges of $0.5 million consisted primarily of $0.2 million for depreciation expense, non-cash stock-based compensation expense of $0.2 million, and non-cash operating lease expense of $0.1 million.</w:t>
      </w:r>
    </w:p>
    <w:p>
      <w:pPr>
        <w:spacing w:after="0" w:line="277"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Net cash used in operating activities was $41.3 million, $11.8 million and $4.4 million for the year ended December 31, 2020 (Successor), the period from June 21, 2019 through December 31, 2019 (Successor) and the period from January 1, 2019 through June 20, 2019 (Predecessor), respectively. Net cash used in operating activities during the year ended December 31, 2020 (Successor) consisted primarily of our net loss of $53.6 million partially offset by increase in operating lease liability of $2.2 million, net cash inflows from increases in our accounts payable and accrued expenses and other liabilities of $4.4 million and non-cash charges of $7.4 million. The non-cash charges of $7.4 million consisted primarily of $1.4 million for depreciation expense, non-cash stock-based compensation expense of $0.9 million, non-cash operating lease expense of $0.4 million and write off of in-process research and development asset of $4.7 million from an asset acquisition.</w:t>
      </w:r>
    </w:p>
    <w:p>
      <w:pPr>
        <w:spacing w:after="0" w:line="26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Net cash used in operating activities during the period from June 21, 2019 through December 31, 2019 (Successor), consisted primarily of our net loss of $238.8 million, partially offset by non-cash charges of $226.3 million. The non-cash charges of $226.3 million consisted primarily of $225.9 million for write off of in-process research and development assets, and other non-cash charges of $0.4 million.</w:t>
      </w:r>
    </w:p>
    <w:p>
      <w:pPr>
        <w:spacing w:after="0" w:line="277"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Net cash used in operating activities during the period from January 1, 2019 through June 20, 2019 (Predecessor) consisted primarily of our net loss of $6.0 million, partially offset by net cash inflows from changes in operating assets and liabilities of $1.5 million.</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Investing activities</w:t>
      </w:r>
    </w:p>
    <w:p>
      <w:pPr>
        <w:spacing w:after="0" w:line="131"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Cash used in investing activities was $119.0 million, and $4.2 million for the three months ended March 31, 2021 and 2020, respectively. Cash used in investing activities for the three months ended March 31, 2021</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2" w:name="page93"/>
    <w:bookmarkEnd w:id="9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consisted primarily of net purchases of fixed maturity securities of $117.2 million, and purchases of property and equipment of $1.9 million.</w:t>
      </w:r>
    </w:p>
    <w:p>
      <w:pPr>
        <w:spacing w:after="0" w:line="88"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Cash used in investing activities for the three months ended March 31, 2020 consisted primarily of net purchases of fixed maturity securities of $1.5 million, and purchases of property and equipment of $2.7 million.</w:t>
      </w:r>
    </w:p>
    <w:p>
      <w:pPr>
        <w:spacing w:after="0" w:line="103"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Cash used in investing activities was $22.8 million, $19.0 million and $0.8 million for the year ended December 31, 2020 (Successor), the period from June 21, 2019 through December 31, 2019 (Successor) and the period from January 1, 2019 through June 20, 2019 (Predecessor), respectively. Cash used in investing activities for the year ended December 31, 2020 (Successor) consisted primarily of net purchases of fixed maturity securities of $8.2 million, purchases of property and equipment of $9.8 million, and net cash used for an asset acquisition of $4.7 million.</w:t>
      </w:r>
    </w:p>
    <w:p>
      <w:pPr>
        <w:spacing w:after="0" w:line="107"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Cash used in investing activities for the period from June 21, 2019 through December 31, 2019 (Successor) consisted primarily of purchases of fixed maturity securities of $41.5 million, and purchases of property and equipment of $1.6 million, partially offset by net cash resulting from an asset acquisition of $24.2 million. Cash used in investing activities for the period from January 1, 2019 through June 20, 2019 (Predecessor) consisted primarily of purchases of property and equipment of $0.8 million.</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Financing activities</w:t>
      </w:r>
    </w:p>
    <w:p>
      <w:pPr>
        <w:spacing w:after="0" w:line="12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Cash provided by financing activities was $193.5 million for the three months ended March 31, 2021 . There was no financing activities for the three months ended March 31, 2020. Cash provided by financing activities for the three months ended March 31, 2021 consisted primarily of net proceeds from collection of subscription receivable of $31.9 million and from sale of our Series C preferred shares of $159.6 million, payments of deferred offering costs associated with incremental legal, professional and other third-party fees directly associated with the planned IPO of $0.6 million, and cash resulting from the merger of $2.4 million.</w:t>
      </w:r>
    </w:p>
    <w:p>
      <w:pPr>
        <w:spacing w:after="0" w:line="110"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Cash provided by financing activities was $47.7 million and $74.8 million for the year ended December 31, 2020 (Successor) and the period from June 21, 2019 through December 31, 2019 (Successor), respectively. There was no cash used in or provided by financing activities for the period from January 1, 2019 through June 20, 2019 (predecessor). Cash provided by financing activities for the year ended December 31, 2020 (Successor) consisted primarily of net proceeds from collection of subscription receivable of $38.1 million. Additionally, on September 14, 2020, the Company entered into a $10 million Loan Agreement with Hercules, pursuant to which net proceeds of $9.6 million were received by us.</w:t>
      </w:r>
    </w:p>
    <w:p>
      <w:pPr>
        <w:spacing w:after="0" w:line="109" w:lineRule="exact"/>
        <w:rPr>
          <w:sz w:val="20"/>
          <w:szCs w:val="20"/>
          <w:color w:val="auto"/>
        </w:rPr>
      </w:pPr>
    </w:p>
    <w:p>
      <w:pPr>
        <w:jc w:val="both"/>
        <w:ind w:left="1240" w:right="1279"/>
        <w:spacing w:after="0" w:line="270" w:lineRule="auto"/>
        <w:rPr>
          <w:sz w:val="20"/>
          <w:szCs w:val="20"/>
          <w:color w:val="auto"/>
        </w:rPr>
      </w:pPr>
      <w:r>
        <w:rPr>
          <w:rFonts w:ascii="Arial" w:cs="Arial" w:eastAsia="Arial" w:hAnsi="Arial"/>
          <w:sz w:val="14"/>
          <w:szCs w:val="14"/>
          <w:color w:val="auto"/>
        </w:rPr>
        <w:t>Cash provided by financing activities during the period from June 21, 2019 through December 31, 2019 (Successor) consisted of net proceeds of $74.8 million from the sale of our common shares.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1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our significant contractual obligations and commitments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 due by period</w:t>
            </w:r>
          </w:p>
        </w:tc>
        <w:tc>
          <w:tcPr>
            <w:tcW w:w="0" w:type="dxa"/>
            <w:vAlign w:val="bottom"/>
          </w:tcPr>
          <w:p>
            <w:pPr>
              <w:spacing w:after="0"/>
              <w:rPr>
                <w:sz w:val="1"/>
                <w:szCs w:val="1"/>
                <w:color w:val="auto"/>
              </w:rPr>
            </w:pPr>
          </w:p>
        </w:tc>
      </w:tr>
      <w:tr>
        <w:trPr>
          <w:trHeight w:val="185"/>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Pr>
          <w:p>
            <w:pPr>
              <w:jc w:val="right"/>
              <w:ind w:right="10"/>
              <w:spacing w:after="0"/>
              <w:rPr>
                <w:sz w:val="20"/>
                <w:szCs w:val="20"/>
                <w:color w:val="auto"/>
              </w:rPr>
            </w:pPr>
            <w:r>
              <w:rPr>
                <w:rFonts w:ascii="Arial" w:cs="Arial" w:eastAsia="Arial" w:hAnsi="Arial"/>
                <w:sz w:val="13"/>
                <w:szCs w:val="13"/>
                <w:b w:val="1"/>
                <w:bCs w:val="1"/>
                <w:color w:val="auto"/>
              </w:rPr>
              <w:t>1 year</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 to 3 years</w:t>
            </w:r>
          </w:p>
        </w:tc>
        <w:tc>
          <w:tcPr>
            <w:tcW w:w="900" w:type="dxa"/>
            <w:vAlign w:val="bottom"/>
          </w:tcPr>
          <w:p>
            <w:pPr>
              <w:jc w:val="right"/>
              <w:ind w:right="10"/>
              <w:spacing w:after="0"/>
              <w:rPr>
                <w:sz w:val="20"/>
                <w:szCs w:val="20"/>
                <w:color w:val="auto"/>
              </w:rPr>
            </w:pPr>
            <w:r>
              <w:rPr>
                <w:rFonts w:ascii="Arial" w:cs="Arial" w:eastAsia="Arial" w:hAnsi="Arial"/>
                <w:sz w:val="13"/>
                <w:szCs w:val="13"/>
                <w:b w:val="1"/>
                <w:bCs w:val="1"/>
                <w:color w:val="auto"/>
              </w:rPr>
              <w:t>3 to 5 years</w:t>
            </w:r>
          </w:p>
        </w:tc>
        <w:tc>
          <w:tcPr>
            <w:tcW w:w="1280" w:type="dxa"/>
            <w:vAlign w:val="bottom"/>
          </w:tcPr>
          <w:p>
            <w:pPr>
              <w:jc w:val="right"/>
              <w:ind w:right="11"/>
              <w:spacing w:after="0"/>
              <w:rPr>
                <w:sz w:val="20"/>
                <w:szCs w:val="20"/>
                <w:color w:val="auto"/>
              </w:rPr>
            </w:pPr>
            <w:r>
              <w:rPr>
                <w:rFonts w:ascii="Arial" w:cs="Arial" w:eastAsia="Arial" w:hAnsi="Arial"/>
                <w:sz w:val="13"/>
                <w:szCs w:val="13"/>
                <w:b w:val="1"/>
                <w:bCs w:val="1"/>
                <w:color w:val="auto"/>
              </w:rPr>
              <w:t>More than 5 years</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$ 3,347</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$ 3,629</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$ 13,207</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0" w:type="dxa"/>
            <w:vAlign w:val="bottom"/>
          </w:tcPr>
          <w:p>
            <w:pPr>
              <w:spacing w:after="0"/>
              <w:rPr>
                <w:sz w:val="1"/>
                <w:szCs w:val="1"/>
                <w:color w:val="auto"/>
              </w:rPr>
            </w:pPr>
          </w:p>
        </w:tc>
      </w:tr>
      <w:tr>
        <w:trPr>
          <w:trHeight w:val="181"/>
        </w:trPr>
        <w:tc>
          <w:tcPr>
            <w:tcW w:w="230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7,642</w:t>
            </w:r>
          </w:p>
        </w:tc>
        <w:tc>
          <w:tcPr>
            <w:tcW w:w="900" w:type="dxa"/>
            <w:vAlign w:val="bottom"/>
          </w:tcPr>
          <w:p>
            <w:pPr>
              <w:jc w:val="right"/>
              <w:spacing w:after="0"/>
              <w:rPr>
                <w:sz w:val="20"/>
                <w:szCs w:val="20"/>
                <w:color w:val="auto"/>
              </w:rPr>
            </w:pPr>
            <w:r>
              <w:rPr>
                <w:rFonts w:ascii="Arial" w:cs="Arial" w:eastAsia="Arial" w:hAnsi="Arial"/>
                <w:sz w:val="14"/>
                <w:szCs w:val="14"/>
                <w:color w:val="auto"/>
              </w:rPr>
              <w:t>2,753</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2280" w:type="dxa"/>
            <w:vAlign w:val="bottom"/>
            <w:tcBorders>
              <w:bottom w:val="single" w:sz="8" w:color="auto"/>
            </w:tcBorders>
            <w:shd w:val="clear" w:color="auto" w:fill="CCEEFF"/>
          </w:tcPr>
          <w:p>
            <w:pPr>
              <w:spacing w:after="0" w:line="225" w:lineRule="exact"/>
              <w:rPr>
                <w:sz w:val="20"/>
                <w:szCs w:val="20"/>
                <w:color w:val="auto"/>
              </w:rPr>
            </w:pPr>
            <w:r>
              <w:rPr>
                <w:rFonts w:ascii="Arial" w:cs="Arial" w:eastAsia="Arial" w:hAnsi="Arial"/>
                <w:sz w:val="14"/>
                <w:szCs w:val="14"/>
                <w:color w:val="auto"/>
              </w:rPr>
              <w:t>Interest on long-term debt</w:t>
            </w:r>
            <w:r>
              <w:rPr>
                <w:rFonts w:ascii="Arial" w:cs="Arial" w:eastAsia="Arial" w:hAnsi="Arial"/>
                <w:sz w:val="21"/>
                <w:szCs w:val="21"/>
                <w:color w:val="auto"/>
                <w:vertAlign w:val="superscript"/>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-12700</wp:posOffset>
            </wp:positionV>
            <wp:extent cx="3429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22" w:lineRule="exact"/>
        <w:rPr>
          <w:sz w:val="20"/>
          <w:szCs w:val="20"/>
          <w:color w:val="auto"/>
        </w:rPr>
      </w:pPr>
    </w:p>
    <w:p>
      <w:pPr>
        <w:ind w:left="1500" w:right="1399" w:hanging="251"/>
        <w:spacing w:after="0" w:line="248" w:lineRule="auto"/>
        <w:tabs>
          <w:tab w:leader="none" w:pos="15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Reflects minimum interest payable under the Loan Agreement. Payment herein are subject to variable rate debt have been estimated.</w:t>
      </w:r>
    </w:p>
    <w:p>
      <w:pPr>
        <w:spacing w:after="0" w:line="113" w:lineRule="exact"/>
        <w:rPr>
          <w:sz w:val="20"/>
          <w:szCs w:val="20"/>
          <w:color w:val="auto"/>
        </w:rPr>
      </w:pPr>
    </w:p>
    <w:p>
      <w:pPr>
        <w:ind w:left="1240" w:right="1459"/>
        <w:spacing w:after="0" w:line="259" w:lineRule="auto"/>
        <w:rPr>
          <w:sz w:val="20"/>
          <w:szCs w:val="20"/>
          <w:color w:val="auto"/>
        </w:rPr>
      </w:pPr>
      <w:r>
        <w:rPr>
          <w:rFonts w:ascii="Arial" w:cs="Arial" w:eastAsia="Arial" w:hAnsi="Arial"/>
          <w:sz w:val="14"/>
          <w:szCs w:val="14"/>
          <w:color w:val="auto"/>
        </w:rPr>
        <w:t>Other than as disclosed in the table above, the payment obligations under our license, collaboration, and acquisition agreements as of December 31, 2020 are contingent upon future events such as our achievement of pre-specified development, regulatory, and commercial milestones, or royalties on net product sales. See the section titled “Business—Licensing, Partnerships and Collaborations” for more information about these payment</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3" w:name="page94"/>
    <w:bookmarkEnd w:id="9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obligations. As of December 31, 2020, the timing and likelihood of achieving the milestones and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success payments and generating future product sales are uncertain and therefore, any related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payments are not included in the table above. The Company has commitments under operating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leases for certain facilities used in its operations. The Company’s leases have initial lease terms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ranging from five to 16 years. The Company entered into three leases that had not commenced at</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As a result, future lease payments of approximately $0.5 million in 1 year,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$4.8 million in 1 to 3 years, $5.0 million in 3 to 5 years and $16.3 million in more than 5 years are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not included within the table above.</w:t>
      </w:r>
    </w:p>
    <w:p>
      <w:pPr>
        <w:spacing w:after="0" w:line="128" w:lineRule="exact"/>
        <w:rPr>
          <w:sz w:val="20"/>
          <w:szCs w:val="20"/>
          <w:color w:val="auto"/>
        </w:rPr>
      </w:pPr>
    </w:p>
    <w:p>
      <w:pPr>
        <w:ind w:left="1240" w:right="1759"/>
        <w:spacing w:after="0" w:line="275" w:lineRule="auto"/>
        <w:rPr>
          <w:sz w:val="20"/>
          <w:szCs w:val="20"/>
          <w:color w:val="auto"/>
        </w:rPr>
      </w:pPr>
      <w:r>
        <w:rPr>
          <w:rFonts w:ascii="Arial" w:cs="Arial" w:eastAsia="Arial" w:hAnsi="Arial"/>
          <w:sz w:val="14"/>
          <w:szCs w:val="14"/>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audited consolidated financial statements included elsewhere in this prospectus for additional information.</w:t>
      </w:r>
    </w:p>
    <w:p>
      <w:pPr>
        <w:spacing w:after="0" w:line="106"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We have entered into a $10.0 million Term Loan Agreement with Hercules. Amounts borrowed under the Loan Agreement have an interest-only period of up to 24 months and a maturity date of April 1, 2024. See Note 9 to our audited consolidated financial statements included elsewhere in this prospectus for additional information.</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Off-balance sheet arrangements</w:t>
      </w:r>
    </w:p>
    <w:p>
      <w:pPr>
        <w:spacing w:after="0" w:line="140"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Since our inception, we have not engaged in any off-balance sheet arrangements as defined under the rules and regulations of the SEC.</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9" w:lineRule="exact"/>
        <w:rPr>
          <w:sz w:val="20"/>
          <w:szCs w:val="20"/>
          <w:color w:val="auto"/>
        </w:rPr>
      </w:pPr>
    </w:p>
    <w:p>
      <w:pPr>
        <w:ind w:left="1240" w:right="1359"/>
        <w:spacing w:after="0" w:line="281" w:lineRule="auto"/>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4"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We had cash, cash equivalents, and restricted cash of $80.0 million as of March 31, 2021, which consisted of bank deposits and money market funds. We also had marketable securities of $166.6 million as of March 31, 2021. The primary objective of our investment activities is to preserve capital to fund our operations while earning a low 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JOBS act accounting election</w:t>
      </w:r>
    </w:p>
    <w:p>
      <w:pPr>
        <w:spacing w:after="0" w:line="140"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75" w:lineRule="exact"/>
        <w:rPr>
          <w:sz w:val="20"/>
          <w:szCs w:val="20"/>
          <w:color w:val="auto"/>
        </w:rPr>
      </w:pPr>
    </w:p>
    <w:p>
      <w:pPr>
        <w:ind w:left="1360" w:right="1339" w:hanging="111"/>
        <w:spacing w:after="0" w:line="278" w:lineRule="auto"/>
        <w:tabs>
          <w:tab w:leader="none" w:pos="1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4" w:name="page95"/>
    <w:bookmarkEnd w:id="9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right="1979" w:hanging="111"/>
        <w:spacing w:after="0" w:line="286" w:lineRule="auto"/>
        <w:tabs>
          <w:tab w:leader="none" w:pos="1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6" w:lineRule="exact"/>
        <w:rPr>
          <w:rFonts w:ascii="Arial" w:cs="Arial" w:eastAsia="Arial" w:hAnsi="Arial"/>
          <w:sz w:val="14"/>
          <w:szCs w:val="14"/>
          <w:color w:val="auto"/>
        </w:rPr>
      </w:pPr>
    </w:p>
    <w:p>
      <w:pPr>
        <w:ind w:left="1360" w:right="1519" w:hanging="111"/>
        <w:spacing w:after="0" w:line="278" w:lineRule="auto"/>
        <w:tabs>
          <w:tab w:leader="none" w:pos="1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2"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17" w:lineRule="exact"/>
        <w:rPr>
          <w:sz w:val="20"/>
          <w:szCs w:val="20"/>
          <w:color w:val="auto"/>
        </w:rPr>
      </w:pPr>
    </w:p>
    <w:p>
      <w:pPr>
        <w:ind w:left="1240" w:right="1459"/>
        <w:spacing w:after="0" w:line="260"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8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We will remain an emerging growth company until the earliest of (i) the last day of the fiscal year following the fifth anniversary of the closing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99" w:lineRule="exact"/>
        <w:rPr>
          <w:sz w:val="20"/>
          <w:szCs w:val="20"/>
          <w:color w:val="auto"/>
        </w:rPr>
      </w:pPr>
    </w:p>
    <w:p>
      <w:pPr>
        <w:ind w:left="1240" w:right="1379"/>
        <w:spacing w:after="0" w:line="255"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9"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5" w:name="page96"/>
    <w:bookmarkEnd w:id="9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88" w:lineRule="exact"/>
        <w:rPr>
          <w:sz w:val="20"/>
          <w:szCs w:val="20"/>
          <w:color w:val="auto"/>
        </w:rPr>
      </w:pPr>
    </w:p>
    <w:p>
      <w:pPr>
        <w:ind w:left="1240" w:right="1499"/>
        <w:spacing w:after="0" w:line="276" w:lineRule="auto"/>
        <w:rPr>
          <w:sz w:val="20"/>
          <w:szCs w:val="20"/>
          <w:color w:val="auto"/>
        </w:rPr>
      </w:pPr>
      <w:r>
        <w:rPr>
          <w:rFonts w:ascii="Arial" w:cs="Arial" w:eastAsia="Arial" w:hAnsi="Arial"/>
          <w:sz w:val="14"/>
          <w:szCs w:val="14"/>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Acquisitions</w:t>
      </w:r>
    </w:p>
    <w:p>
      <w:pPr>
        <w:spacing w:after="0" w:line="144" w:lineRule="exact"/>
        <w:rPr>
          <w:sz w:val="20"/>
          <w:szCs w:val="20"/>
          <w:color w:val="auto"/>
        </w:rPr>
      </w:pPr>
    </w:p>
    <w:p>
      <w:pPr>
        <w:ind w:left="1240" w:right="1439"/>
        <w:spacing w:after="0" w:line="275" w:lineRule="auto"/>
        <w:rPr>
          <w:sz w:val="20"/>
          <w:szCs w:val="20"/>
          <w:color w:val="auto"/>
        </w:rPr>
      </w:pPr>
      <w:r>
        <w:rPr>
          <w:rFonts w:ascii="Arial" w:cs="Arial" w:eastAsia="Arial" w:hAnsi="Arial"/>
          <w:sz w:val="14"/>
          <w:szCs w:val="14"/>
          <w:color w:val="auto"/>
        </w:rPr>
        <w:t>We account for business combinations using the acquisition method of accounting, which requires the assets acquired, including IPR&amp;D, and liabilities assumed, be recorded at their fair values as of the acquisition date. Any excess of the purchase price over the fair value of net assets acquired is recorded as goodwill. The determination of the estimated fair value of these items requires us to make significant estimates and assumptions.</w:t>
      </w:r>
    </w:p>
    <w:p>
      <w:pPr>
        <w:spacing w:after="0" w:line="9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If we determine the acquisition does not meet the definition of a business combination under the acquisition method of accounting, the transaction is accounted for as an asset acquisition and no goodwill or contingent consideration are recognized at the acquisition date. In an asset acquisition, up-front payments allocated to IPR&amp;D and subsequent milestone payments are recorded in research and development expense.</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109" w:lineRule="exact"/>
        <w:rPr>
          <w:sz w:val="20"/>
          <w:szCs w:val="20"/>
          <w:color w:val="auto"/>
        </w:rPr>
      </w:pPr>
    </w:p>
    <w:p>
      <w:pPr>
        <w:ind w:left="1240" w:right="1639"/>
        <w:spacing w:after="0" w:line="286" w:lineRule="auto"/>
        <w:rPr>
          <w:sz w:val="20"/>
          <w:szCs w:val="20"/>
          <w:color w:val="auto"/>
        </w:rPr>
      </w:pPr>
      <w:r>
        <w:rPr>
          <w:rFonts w:ascii="Arial" w:cs="Arial" w:eastAsia="Arial" w:hAnsi="Arial"/>
          <w:sz w:val="14"/>
          <w:szCs w:val="14"/>
          <w:color w:val="auto"/>
        </w:rPr>
        <w:t>The Black-Scholes option pricing model requires the use of highly subjective assumptions to determine the fair value of stock-based awards. These assumptions include:</w:t>
      </w:r>
    </w:p>
    <w:p>
      <w:pPr>
        <w:spacing w:after="0" w:line="66" w:lineRule="exact"/>
        <w:rPr>
          <w:sz w:val="20"/>
          <w:szCs w:val="20"/>
          <w:color w:val="auto"/>
        </w:rPr>
      </w:pPr>
    </w:p>
    <w:p>
      <w:pPr>
        <w:ind w:left="1360" w:hanging="111"/>
        <w:spacing w:after="0"/>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Fair Value of Common Stock—See the subsection titled “—Common Stock Valuations.”</w:t>
      </w:r>
    </w:p>
    <w:p>
      <w:pPr>
        <w:spacing w:after="0" w:line="106" w:lineRule="exact"/>
        <w:rPr>
          <w:rFonts w:ascii="Arial" w:cs="Arial" w:eastAsia="Arial" w:hAnsi="Arial"/>
          <w:sz w:val="14"/>
          <w:szCs w:val="14"/>
          <w:color w:val="auto"/>
        </w:rPr>
      </w:pPr>
    </w:p>
    <w:p>
      <w:pPr>
        <w:jc w:val="both"/>
        <w:ind w:left="1360" w:right="1619" w:hanging="111"/>
        <w:spacing w:after="0" w:line="278"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72" w:lineRule="exact"/>
        <w:rPr>
          <w:rFonts w:ascii="Arial" w:cs="Arial" w:eastAsia="Arial" w:hAnsi="Arial"/>
          <w:sz w:val="14"/>
          <w:szCs w:val="14"/>
          <w:color w:val="auto"/>
        </w:rPr>
      </w:pPr>
    </w:p>
    <w:p>
      <w:pPr>
        <w:ind w:left="1360" w:right="1319" w:hanging="111"/>
        <w:spacing w:after="0" w:line="275" w:lineRule="auto"/>
        <w:tabs>
          <w:tab w:leader="none" w:pos="1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Expected Volatility—Since we are not yet a public company and do not have any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6" w:name="page97"/>
    <w:bookmarkEnd w:id="9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right="1419"/>
        <w:spacing w:after="0" w:line="270" w:lineRule="auto"/>
        <w:rPr>
          <w:sz w:val="20"/>
          <w:szCs w:val="20"/>
          <w:color w:val="auto"/>
        </w:rPr>
      </w:pPr>
      <w:r>
        <w:rPr>
          <w:rFonts w:ascii="Arial" w:cs="Arial" w:eastAsia="Arial" w:hAnsi="Arial"/>
          <w:sz w:val="14"/>
          <w:szCs w:val="14"/>
          <w:color w:val="auto"/>
        </w:rPr>
        <w:t>specialty. We will continue to apply this process until sufficient historical information regarding the volatility of our own stock price becomes available.</w:t>
      </w:r>
    </w:p>
    <w:p>
      <w:pPr>
        <w:spacing w:after="0" w:line="66" w:lineRule="exact"/>
        <w:rPr>
          <w:sz w:val="20"/>
          <w:szCs w:val="20"/>
          <w:color w:val="auto"/>
        </w:rPr>
      </w:pPr>
    </w:p>
    <w:p>
      <w:pPr>
        <w:ind w:left="1360" w:right="1299" w:hanging="111"/>
        <w:spacing w:after="0" w:line="278"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58" w:lineRule="exact"/>
        <w:rPr>
          <w:rFonts w:ascii="Arial" w:cs="Arial" w:eastAsia="Arial" w:hAnsi="Arial"/>
          <w:sz w:val="14"/>
          <w:szCs w:val="14"/>
          <w:color w:val="auto"/>
        </w:rPr>
      </w:pPr>
    </w:p>
    <w:p>
      <w:pPr>
        <w:ind w:left="1360" w:right="1299" w:hanging="111"/>
        <w:spacing w:after="0" w:line="307" w:lineRule="auto"/>
        <w:tabs>
          <w:tab w:leader="none" w:pos="136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We have never paid dividends on our common stock and have no plans to</w:t>
      </w:r>
      <w:r>
        <w:rPr>
          <w:rFonts w:ascii="Arial" w:cs="Arial" w:eastAsia="Arial" w:hAnsi="Arial"/>
          <w:sz w:val="14"/>
          <w:szCs w:val="14"/>
          <w:i w:val="1"/>
          <w:iCs w:val="1"/>
          <w:color w:val="auto"/>
        </w:rPr>
        <w:t xml:space="preserve"> </w:t>
      </w:r>
      <w:r>
        <w:rPr>
          <w:rFonts w:ascii="Arial" w:cs="Arial" w:eastAsia="Arial" w:hAnsi="Arial"/>
          <w:sz w:val="14"/>
          <w:szCs w:val="14"/>
          <w:color w:val="auto"/>
        </w:rPr>
        <w:t>pay dividends on our common stock. Therefore, we used an expected dividend yield of zero.</w:t>
      </w:r>
    </w:p>
    <w:p>
      <w:pPr>
        <w:spacing w:after="0" w:line="7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See Note 14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Year Ended December 31, 2020 (Successor), the period from June 21, 2019 through December 31, 2019 (Successor), and the period from January 1, 2019 through June 20, 2019 (Predecessor).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99"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In June 2018, Prior Century adopted the 2018 Plan. The 2018 Plan provided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w:t>
      </w:r>
    </w:p>
    <w:p>
      <w:pPr>
        <w:spacing w:after="0" w:line="277" w:lineRule="exact"/>
        <w:rPr>
          <w:sz w:val="20"/>
          <w:szCs w:val="20"/>
          <w:color w:val="auto"/>
        </w:rPr>
      </w:pPr>
    </w:p>
    <w:p>
      <w:pPr>
        <w:ind w:left="1240" w:right="1439"/>
        <w:spacing w:after="0" w:line="259" w:lineRule="auto"/>
        <w:rPr>
          <w:sz w:val="20"/>
          <w:szCs w:val="20"/>
          <w:color w:val="auto"/>
        </w:rPr>
      </w:pPr>
      <w:r>
        <w:rPr>
          <w:rFonts w:ascii="Arial" w:cs="Arial" w:eastAsia="Arial" w:hAnsi="Arial"/>
          <w:sz w:val="14"/>
          <w:szCs w:val="14"/>
          <w:color w:val="auto"/>
        </w:rPr>
        <w:t>During the year ended December 31, 2020 and the periods from June 21, 2019 through December 31, 2019, equity compensation awards were granted from Prior Century to our employees. We recognized the costs of the stock based payments incurred by Prior Century on its behalf as our employees vest in the awards (i.e., we recognize expense measured on the same basis as Prior Century). We also record a corresponding capital contribution from Prior Century.</w:t>
      </w:r>
    </w:p>
    <w:p>
      <w:pPr>
        <w:spacing w:after="0" w:line="266" w:lineRule="exact"/>
        <w:rPr>
          <w:sz w:val="20"/>
          <w:szCs w:val="20"/>
          <w:color w:val="auto"/>
        </w:rPr>
      </w:pPr>
    </w:p>
    <w:p>
      <w:pPr>
        <w:ind w:left="1240" w:right="1279"/>
        <w:spacing w:after="0" w:line="263" w:lineRule="auto"/>
        <w:rPr>
          <w:sz w:val="20"/>
          <w:szCs w:val="20"/>
          <w:color w:val="auto"/>
        </w:rPr>
      </w:pPr>
      <w:r>
        <w:rPr>
          <w:rFonts w:ascii="Arial" w:cs="Arial" w:eastAsia="Arial" w:hAnsi="Arial"/>
          <w:sz w:val="14"/>
          <w:szCs w:val="14"/>
          <w:color w:val="auto"/>
        </w:rPr>
        <w:t>The intrinsic value of all outstanding options as of March 31, 2021 was approximately $62.1 million, based on the initial public offering price of $20.00 per share, of which approximately $35.9 million is related to vested options and approximately $26.2 million is related to unvested options.</w:t>
      </w:r>
    </w:p>
    <w:p>
      <w:pPr>
        <w:spacing w:after="0" w:line="30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 xml:space="preserve">Prior to this offering, we were a privately-held company with no active public market for our common stock. Therefore, our board of directors, with the assistance and upon the recommendation of management, has for financial reporting purposes periodically determined the estimated per share fair value of our common stock on the date of grant in part using contemporaneous independent third-party valuations consistent with the American Institute of Certified Public Accountants Practice Aid, </w:t>
      </w:r>
      <w:r>
        <w:rPr>
          <w:rFonts w:ascii="Arial" w:cs="Arial" w:eastAsia="Arial" w:hAnsi="Arial"/>
          <w:sz w:val="14"/>
          <w:szCs w:val="14"/>
          <w:i w:val="1"/>
          <w:iCs w:val="1"/>
          <w:color w:val="auto"/>
        </w:rPr>
        <w:t>Valuation of Privately-Held Company Equity Securities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Issued as Compensation </w:t>
      </w:r>
      <w:r>
        <w:rPr>
          <w:rFonts w:ascii="Arial" w:cs="Arial" w:eastAsia="Arial" w:hAnsi="Arial"/>
          <w:sz w:val="14"/>
          <w:szCs w:val="14"/>
          <w:color w:val="auto"/>
        </w:rPr>
        <w:t>(Practice Aid). Within the contemporaneous valuations performed by our</w:t>
      </w:r>
      <w:r>
        <w:rPr>
          <w:rFonts w:ascii="Arial" w:cs="Arial" w:eastAsia="Arial" w:hAnsi="Arial"/>
          <w:sz w:val="14"/>
          <w:szCs w:val="14"/>
          <w:i w:val="1"/>
          <w:iCs w:val="1"/>
          <w:color w:val="auto"/>
        </w:rPr>
        <w:t xml:space="preserve"> </w:t>
      </w:r>
      <w:r>
        <w:rPr>
          <w:rFonts w:ascii="Arial" w:cs="Arial" w:eastAsia="Arial" w:hAnsi="Arial"/>
          <w:sz w:val="14"/>
          <w:szCs w:val="14"/>
          <w:color w:val="auto"/>
        </w:rPr>
        <w:t>board of directors, a range of factors, assumptions, and methodologies were used. The significant objective and subjective factors included, but are not limited to:</w:t>
      </w:r>
    </w:p>
    <w:p>
      <w:pPr>
        <w:spacing w:after="0" w:line="259" w:lineRule="exact"/>
        <w:rPr>
          <w:sz w:val="20"/>
          <w:szCs w:val="20"/>
          <w:color w:val="auto"/>
        </w:rPr>
      </w:pPr>
    </w:p>
    <w:p>
      <w:pPr>
        <w:ind w:left="1360" w:right="1319" w:hanging="111"/>
        <w:spacing w:after="0" w:line="286"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most recently available valuations of our common stock performed by an independent third-party valuation firm;</w:t>
      </w:r>
    </w:p>
    <w:p>
      <w:pPr>
        <w:spacing w:after="0" w:line="66" w:lineRule="exact"/>
        <w:rPr>
          <w:rFonts w:ascii="Arial" w:cs="Arial" w:eastAsia="Arial" w:hAnsi="Arial"/>
          <w:sz w:val="14"/>
          <w:szCs w:val="14"/>
          <w:color w:val="auto"/>
        </w:rPr>
      </w:pPr>
    </w:p>
    <w:p>
      <w:pPr>
        <w:ind w:left="1360" w:right="1739" w:hanging="111"/>
        <w:spacing w:after="0" w:line="278"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prices of shares of our convertible preferred stock sold to investors in arm’s length transactions, and the rights, preferences and privileges of our convertible preferred stock relative to our common stock;</w:t>
      </w:r>
    </w:p>
    <w:p>
      <w:pPr>
        <w:spacing w:after="0" w:line="61" w:lineRule="exact"/>
        <w:rPr>
          <w:rFonts w:ascii="Arial" w:cs="Arial" w:eastAsia="Arial" w:hAnsi="Arial"/>
          <w:sz w:val="14"/>
          <w:szCs w:val="14"/>
          <w:color w:val="auto"/>
        </w:rPr>
      </w:pPr>
    </w:p>
    <w:p>
      <w:pPr>
        <w:ind w:left="1360" w:hanging="111"/>
        <w:spacing w:after="0"/>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committed future rounds of funding;</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stage of development and material risks related to our business;</w:t>
      </w:r>
    </w:p>
    <w:p>
      <w:pPr>
        <w:spacing w:after="0" w:line="106" w:lineRule="exact"/>
        <w:rPr>
          <w:rFonts w:ascii="Arial" w:cs="Arial" w:eastAsia="Arial" w:hAnsi="Arial"/>
          <w:sz w:val="14"/>
          <w:szCs w:val="14"/>
          <w:color w:val="auto"/>
        </w:rPr>
      </w:pPr>
    </w:p>
    <w:p>
      <w:pPr>
        <w:ind w:left="1360" w:right="1919" w:hanging="111"/>
        <w:spacing w:after="0" w:line="286" w:lineRule="auto"/>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results of operations and financial position, including our levels of available capital resources;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progress of our research and development activities;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lack of marketability of our common stock as a private company;</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7" w:name="page98"/>
    <w:bookmarkEnd w:id="9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hiring of key personnel and the experience of management;</w:t>
      </w:r>
    </w:p>
    <w:p>
      <w:pPr>
        <w:spacing w:after="0" w:line="106" w:lineRule="exact"/>
        <w:rPr>
          <w:rFonts w:ascii="Arial" w:cs="Arial" w:eastAsia="Arial" w:hAnsi="Arial"/>
          <w:sz w:val="14"/>
          <w:szCs w:val="14"/>
          <w:color w:val="auto"/>
        </w:rPr>
      </w:pPr>
    </w:p>
    <w:p>
      <w:pPr>
        <w:ind w:left="1360" w:right="1659" w:hanging="111"/>
        <w:spacing w:after="0" w:line="286"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likelihood of achieving a liquidity event for our securityholders, such as an initial public offering or a sale of our company, given prevailing market conditions;</w:t>
      </w:r>
    </w:p>
    <w:p>
      <w:pPr>
        <w:spacing w:after="0" w:line="7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valuation of publicly traded companies in the life sciences and biotechnology sectors, as well as recently completed mergers and acquisitions of peer companies;</w:t>
      </w:r>
    </w:p>
    <w:p>
      <w:pPr>
        <w:spacing w:after="0" w:line="76" w:lineRule="exact"/>
        <w:rPr>
          <w:rFonts w:ascii="Arial" w:cs="Arial" w:eastAsia="Arial" w:hAnsi="Arial"/>
          <w:sz w:val="14"/>
          <w:szCs w:val="14"/>
          <w:color w:val="auto"/>
        </w:rPr>
      </w:pPr>
    </w:p>
    <w:p>
      <w:pPr>
        <w:ind w:left="1360" w:right="1819" w:hanging="111"/>
        <w:spacing w:after="0" w:line="286" w:lineRule="auto"/>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status of strategic transactions, including the acquisition and licensing of intellectual property and technology;</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trends and developments in our industry; and</w:t>
      </w:r>
    </w:p>
    <w:p>
      <w:pPr>
        <w:spacing w:after="0" w:line="117" w:lineRule="exact"/>
        <w:rPr>
          <w:rFonts w:ascii="Arial" w:cs="Arial" w:eastAsia="Arial" w:hAnsi="Arial"/>
          <w:sz w:val="14"/>
          <w:szCs w:val="14"/>
          <w:color w:val="auto"/>
        </w:rPr>
      </w:pPr>
    </w:p>
    <w:p>
      <w:pPr>
        <w:ind w:left="1360" w:hanging="111"/>
        <w:spacing w:after="0"/>
        <w:tabs>
          <w:tab w:leader="none" w:pos="1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external market conditions affecting the life sciences and biotechnology industry sectors.</w:t>
      </w:r>
    </w:p>
    <w:p>
      <w:pPr>
        <w:spacing w:after="0" w:line="139" w:lineRule="exact"/>
        <w:rPr>
          <w:sz w:val="20"/>
          <w:szCs w:val="20"/>
          <w:color w:val="auto"/>
        </w:rPr>
      </w:pPr>
    </w:p>
    <w:p>
      <w:pPr>
        <w:ind w:left="1240" w:right="1319"/>
        <w:spacing w:after="0" w:line="291" w:lineRule="auto"/>
        <w:rPr>
          <w:sz w:val="20"/>
          <w:szCs w:val="20"/>
          <w:color w:val="auto"/>
        </w:rPr>
      </w:pPr>
      <w:r>
        <w:rPr>
          <w:rFonts w:ascii="Arial" w:cs="Arial" w:eastAsia="Arial" w:hAnsi="Arial"/>
          <w:sz w:val="14"/>
          <w:szCs w:val="14"/>
          <w:color w:val="auto"/>
        </w:rPr>
        <w:t>Our board of directors exercises significant judgment in estimating the fair value of our common stock. Such estimates involve inherent uncertainties and the application of significant judgment. As a result, if factors or expected outcomes change and we use significantly different assumptions or estimates, our equity-based compensation could be materially different. Changes in judgments could have a material impact on our results of operations.</w:t>
      </w:r>
    </w:p>
    <w:p>
      <w:pPr>
        <w:spacing w:after="0" w:line="95"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For our valuations performed prior to December 31, 2020, in accordance with the Practice Aid, we determined the option pricing model (OPM) method, utilizing recent rounds of preferred financing when available and if a recent round of financing wasn’t available utilizing an equity value determined by the amount invested in the company plus a market return, was the most appropriate method for determining the fair value of our common stock based on our stage of development and other relevant factors. The OPM framework, utilizing a recent round of financing (the backsolve method) infers the equity value implied by a recent financing transaction by making assumptions for the expected time to liquidity, volatility, discount for lack of marketability, and risk-free rate and then solving for the value of equity such that value for the most recent financing equals the amount paid. This method was selected as management concluded that the contemporaneous financing transactions were arms’-length transactions. The OPM framework utilizing the amount invested in the company plus a return provides the basis for the equity value in the OPM and then utilizes certain assumptions for the expected time to liquidity, volatility, discount for lack of marketability, and risk-free rate to estimate the fair value of the common stock.</w:t>
      </w:r>
    </w:p>
    <w:p>
      <w:pPr>
        <w:spacing w:after="0" w:line="305" w:lineRule="exact"/>
        <w:rPr>
          <w:sz w:val="20"/>
          <w:szCs w:val="20"/>
          <w:color w:val="auto"/>
        </w:rPr>
      </w:pPr>
    </w:p>
    <w:p>
      <w:pPr>
        <w:ind w:left="1240" w:right="1339"/>
        <w:spacing w:after="0" w:line="289" w:lineRule="auto"/>
        <w:rPr>
          <w:sz w:val="20"/>
          <w:szCs w:val="20"/>
          <w:color w:val="auto"/>
        </w:rPr>
      </w:pPr>
      <w:r>
        <w:rPr>
          <w:rFonts w:ascii="Arial" w:cs="Arial" w:eastAsia="Arial" w:hAnsi="Arial"/>
          <w:sz w:val="14"/>
          <w:szCs w:val="14"/>
          <w:color w:val="auto"/>
        </w:rPr>
        <w:t>For our valuations performed after December 31, 2020 we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w:t>
      </w:r>
    </w:p>
    <w:p>
      <w:pPr>
        <w:spacing w:after="0" w:line="298" w:lineRule="exact"/>
        <w:rPr>
          <w:sz w:val="20"/>
          <w:szCs w:val="20"/>
          <w:color w:val="auto"/>
        </w:rPr>
      </w:pPr>
    </w:p>
    <w:p>
      <w:pPr>
        <w:ind w:left="1240" w:right="1319"/>
        <w:spacing w:after="0" w:line="289" w:lineRule="auto"/>
        <w:rPr>
          <w:sz w:val="20"/>
          <w:szCs w:val="20"/>
          <w:color w:val="auto"/>
        </w:rPr>
      </w:pPr>
      <w:r>
        <w:rPr>
          <w:rFonts w:ascii="Arial" w:cs="Arial" w:eastAsia="Arial" w:hAnsi="Arial"/>
          <w:sz w:val="14"/>
          <w:szCs w:val="14"/>
          <w:color w:val="auto"/>
        </w:rPr>
        <w:t>In determining the estimated fair value of common stock, our board of directors considered the subjective factors discussed above in conjunction with the most recent valuations of our common stock that were prepared by an independent third-party. Our board of directors, relying in part on these third-party valuations, determined valuations of our common stock of $0.03, $1.03, $1.73 and $7.27 per share as of November 30, 2018, May 31, 2019, September 30, 2020 and February 25, 2021, respectively, and such valuations by the board of directors were used for the purposes of determining the share-based compensation expense.</w:t>
      </w:r>
    </w:p>
    <w:p>
      <w:pPr>
        <w:spacing w:after="0" w:line="99"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Following the closing of this offering, the fair market value of our common stock will be the closing price of our common stock on the date of grant on the primary stock exchange on which our common stock is traded.</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8" w:name="page99"/>
    <w:bookmarkEnd w:id="9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Recently adopted and recent accounting pronouncements</w:t>
      </w:r>
    </w:p>
    <w:p>
      <w:pPr>
        <w:spacing w:after="0" w:line="129"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See Note 2 to our audited consolidated financial statements included elsewhere in this prospectus for information about recent accounting pronouncements, the timing of their adoption, and our assessment, to the extent we have made one yet, of their potential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9" w:name="page100"/>
    <w:bookmarkEnd w:id="9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Business</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18" w:lineRule="exact"/>
        <w:rPr>
          <w:sz w:val="20"/>
          <w:szCs w:val="20"/>
          <w:color w:val="auto"/>
        </w:rPr>
      </w:pPr>
    </w:p>
    <w:p>
      <w:pPr>
        <w:ind w:left="1240" w:right="1279"/>
        <w:spacing w:after="0" w:line="249"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4"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key elements of our approach include: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efficient precision gene editing technology:</w:t>
      </w:r>
    </w:p>
    <w:p>
      <w:pPr>
        <w:spacing w:after="0" w:line="123"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We have developed highly efficient gene engineering processes to generate our product candidates. Our first product candidate will have six CRISPR-mediated homologous recombination and repair edits, and we plan to incorporate additional edits in our future product candidates. We are currently using the CRISPR-MAD7 nuclease to enable precise editing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28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49" w:lineRule="exact"/>
        <w:rPr>
          <w:sz w:val="20"/>
          <w:szCs w:val="20"/>
          <w:color w:val="auto"/>
        </w:rPr>
      </w:pPr>
    </w:p>
    <w:p>
      <w:pPr>
        <w:ind w:left="1240" w:right="1299"/>
        <w:spacing w:after="0" w:line="237" w:lineRule="auto"/>
        <w:rPr>
          <w:sz w:val="20"/>
          <w:szCs w:val="20"/>
          <w:color w:val="auto"/>
        </w:rPr>
      </w:pPr>
      <w:r>
        <w:rPr>
          <w:rFonts w:ascii="Arial" w:cs="Arial" w:eastAsia="Arial" w:hAnsi="Arial"/>
          <w:sz w:val="14"/>
          <w:szCs w:val="14"/>
          <w:color w:val="auto"/>
        </w:rPr>
        <w:t>We are leveraging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design cells capable of evading identification and destruction by the host immune system. We believe this technology may permit dosing in patients with limited or no</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0" w:name="page101"/>
    <w:bookmarkEnd w:id="10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63" w:lineRule="auto"/>
        <w:rPr>
          <w:sz w:val="20"/>
          <w:szCs w:val="20"/>
          <w:color w:val="auto"/>
        </w:rPr>
      </w:pPr>
      <w:r>
        <w:rPr>
          <w:rFonts w:ascii="Arial" w:cs="Arial" w:eastAsia="Arial" w:hAnsi="Arial"/>
          <w:sz w:val="14"/>
          <w:szCs w:val="14"/>
          <w:color w:val="auto"/>
        </w:rPr>
        <w:t>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30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CAR and protein engineering:</w:t>
      </w:r>
    </w:p>
    <w:p>
      <w:pPr>
        <w:spacing w:after="0" w:line="12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CAR design is a critical component of innovative cell therapy 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Common engineered iPSC progenitor accelerates new product candidate generation:</w:t>
      </w:r>
    </w:p>
    <w:p>
      <w:pPr>
        <w:spacing w:after="0" w:line="13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Significant acceleration of new product candidate generation.</w:t>
      </w:r>
    </w:p>
    <w:p>
      <w:pPr>
        <w:spacing w:after="0" w:line="131"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Multiple product candidates 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Robust manufacturing processes for multiple product candidates.</w:t>
      </w:r>
    </w:p>
    <w:p>
      <w:pPr>
        <w:spacing w:after="0" w:line="121" w:lineRule="exact"/>
        <w:rPr>
          <w:sz w:val="20"/>
          <w:szCs w:val="20"/>
          <w:color w:val="auto"/>
        </w:rPr>
      </w:pPr>
    </w:p>
    <w:p>
      <w:pPr>
        <w:ind w:left="1240" w:right="1739"/>
        <w:spacing w:after="0" w:line="270" w:lineRule="auto"/>
        <w:rPr>
          <w:sz w:val="20"/>
          <w:szCs w:val="20"/>
          <w:color w:val="auto"/>
        </w:rPr>
      </w:pPr>
      <w:r>
        <w:rPr>
          <w:rFonts w:ascii="Arial" w:cs="Arial" w:eastAsia="Arial" w:hAnsi="Arial"/>
          <w:sz w:val="14"/>
          <w:szCs w:val="14"/>
          <w:color w:val="auto"/>
        </w:rPr>
        <w:t>Since the starting iPSC line is the same for multiple product candidates, our manufacturing processes are predictable and robust.</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Predictability of product candidate functionality, safety, and persistence.</w:t>
      </w:r>
    </w:p>
    <w:p>
      <w:pPr>
        <w:spacing w:after="0" w:line="131" w:lineRule="exact"/>
        <w:rPr>
          <w:sz w:val="20"/>
          <w:szCs w:val="20"/>
          <w:color w:val="auto"/>
        </w:rPr>
      </w:pPr>
    </w:p>
    <w:p>
      <w:pPr>
        <w:ind w:left="1240" w:right="1579"/>
        <w:spacing w:after="0" w:line="260" w:lineRule="auto"/>
        <w:rPr>
          <w:sz w:val="20"/>
          <w:szCs w:val="20"/>
          <w:color w:val="auto"/>
        </w:rPr>
      </w:pPr>
      <w:r>
        <w:rPr>
          <w:rFonts w:ascii="Arial" w:cs="Arial" w:eastAsia="Arial" w:hAnsi="Arial"/>
          <w:sz w:val="14"/>
          <w:szCs w:val="14"/>
          <w:color w:val="auto"/>
        </w:rPr>
        <w:t>Because multiple 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106"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hematological and solid tumor malignancies. Our approach to developing therapies for life-threatening cancers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1" w:name="page102"/>
    <w:bookmarkEnd w:id="10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759"/>
        <w:spacing w:after="0" w:line="294" w:lineRule="auto"/>
        <w:rPr>
          <w:sz w:val="20"/>
          <w:szCs w:val="20"/>
          <w:color w:val="auto"/>
        </w:rPr>
      </w:pPr>
      <w:r>
        <w:rPr>
          <w:rFonts w:ascii="Arial" w:cs="Arial" w:eastAsia="Arial" w:hAnsi="Arial"/>
          <w:sz w:val="14"/>
          <w:szCs w:val="14"/>
          <w:color w:val="auto"/>
        </w:rPr>
        <w:t>of highly unmet medical need potentially presents an opportunity to efficiently advance our product candidates through clinical development, regulatory approval and ultimately to commercialization.</w:t>
      </w:r>
    </w:p>
    <w:p>
      <w:pPr>
        <w:spacing w:after="0" w:line="94" w:lineRule="exact"/>
        <w:rPr>
          <w:sz w:val="20"/>
          <w:szCs w:val="20"/>
          <w:color w:val="auto"/>
        </w:rPr>
      </w:pPr>
    </w:p>
    <w:p>
      <w:pPr>
        <w:ind w:left="1240" w:right="1359"/>
        <w:spacing w:after="0" w:line="290"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296"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112" w:lineRule="exact"/>
        <w:rPr>
          <w:sz w:val="20"/>
          <w:szCs w:val="20"/>
          <w:color w:val="auto"/>
        </w:rPr>
      </w:pPr>
    </w:p>
    <w:p>
      <w:pPr>
        <w:ind w:left="1240" w:right="1419"/>
        <w:spacing w:after="0" w:line="289"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99" w:lineRule="exact"/>
        <w:rPr>
          <w:sz w:val="20"/>
          <w:szCs w:val="20"/>
          <w:color w:val="auto"/>
        </w:rPr>
      </w:pPr>
    </w:p>
    <w:p>
      <w:pPr>
        <w:ind w:left="1240" w:right="1459"/>
        <w:spacing w:after="0" w:line="291"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pipeline</w:t>
      </w:r>
    </w:p>
    <w:p>
      <w:pPr>
        <w:spacing w:after="0" w:line="140"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2" w:name="page103"/>
    <w:bookmarkEnd w:id="10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102235</wp:posOffset>
            </wp:positionV>
            <wp:extent cx="3719830" cy="1054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1983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500" w:right="1359" w:hanging="251"/>
        <w:spacing w:after="0" w:line="244" w:lineRule="auto"/>
        <w:tabs>
          <w:tab w:leader="none" w:pos="1500" w:val="left"/>
        </w:tabs>
        <w:numPr>
          <w:ilvl w:val="0"/>
          <w:numId w:val="68"/>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4" w:lineRule="exact"/>
        <w:rPr>
          <w:sz w:val="20"/>
          <w:szCs w:val="20"/>
          <w:color w:val="auto"/>
        </w:rPr>
      </w:pPr>
    </w:p>
    <w:p>
      <w:pPr>
        <w:ind w:left="1240" w:right="2059"/>
        <w:spacing w:after="0" w:line="262" w:lineRule="auto"/>
        <w:rPr>
          <w:sz w:val="20"/>
          <w:szCs w:val="20"/>
          <w:color w:val="auto"/>
        </w:rPr>
      </w:pPr>
      <w:r>
        <w:rPr>
          <w:rFonts w:ascii="Arial" w:cs="Arial" w:eastAsia="Arial" w:hAnsi="Arial"/>
          <w:sz w:val="14"/>
          <w:szCs w:val="14"/>
          <w:b w:val="1"/>
          <w:bCs w:val="1"/>
          <w:i w:val="1"/>
          <w:iCs w:val="1"/>
          <w:color w:val="auto"/>
        </w:rPr>
        <w:t>CNTY-101: Our CAR-iNK candidate targeting CD19 for relapsed, refractory B-cell lymphoma.</w:t>
      </w:r>
    </w:p>
    <w:p>
      <w:pPr>
        <w:spacing w:after="0" w:line="93" w:lineRule="exact"/>
        <w:rPr>
          <w:sz w:val="20"/>
          <w:szCs w:val="20"/>
          <w:color w:val="auto"/>
        </w:rPr>
      </w:pPr>
    </w:p>
    <w:p>
      <w:pPr>
        <w:ind w:left="1240" w:right="1319"/>
        <w:spacing w:after="0" w:line="238" w:lineRule="auto"/>
        <w:rPr>
          <w:sz w:val="20"/>
          <w:szCs w:val="20"/>
          <w:color w:val="auto"/>
        </w:rPr>
      </w:pPr>
      <w:r>
        <w:rPr>
          <w:rFonts w:ascii="Arial" w:cs="Arial" w:eastAsia="Arial" w:hAnsi="Arial"/>
          <w:sz w:val="14"/>
          <w:szCs w:val="14"/>
          <w:color w:val="auto"/>
        </w:rPr>
        <w:t>Our lead product candidate, CNTY-101, is an allogeneic, iPSC-derived CAR-iNK cell 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CNTY-103: Our CAR-iNK candidate targeting CD133 + EGFR for recurrent glioblastoma.</w:t>
      </w:r>
    </w:p>
    <w:p>
      <w:pPr>
        <w:spacing w:after="0" w:line="123"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We 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134" w:lineRule="exact"/>
        <w:rPr>
          <w:sz w:val="20"/>
          <w:szCs w:val="20"/>
          <w:color w:val="auto"/>
        </w:rPr>
      </w:pPr>
    </w:p>
    <w:p>
      <w:pPr>
        <w:ind w:left="1240" w:right="1879"/>
        <w:spacing w:after="0" w:line="262" w:lineRule="auto"/>
        <w:rPr>
          <w:sz w:val="20"/>
          <w:szCs w:val="20"/>
          <w:color w:val="auto"/>
        </w:rPr>
      </w:pPr>
      <w:r>
        <w:rPr>
          <w:rFonts w:ascii="Arial" w:cs="Arial" w:eastAsia="Arial" w:hAnsi="Arial"/>
          <w:sz w:val="14"/>
          <w:szCs w:val="14"/>
          <w:b w:val="1"/>
          <w:bCs w:val="1"/>
          <w:i w:val="1"/>
          <w:iCs w:val="1"/>
          <w:color w:val="auto"/>
        </w:rPr>
        <w:t>CNTY-102: Our CAR-iT or CAR-iNK candidate targeting CD19 + CD79b for relapsed, refractory B-cell lymphoma and other B-cell malignancies.</w:t>
      </w:r>
    </w:p>
    <w:p>
      <w:pPr>
        <w:spacing w:after="0" w:line="93"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CNTY-102 will simultaneously 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CNTY-104: Our CAR-iNK or CAR-iT multi-specific candidate for acute myeloid leukemia.</w:t>
      </w:r>
    </w:p>
    <w:p>
      <w:pPr>
        <w:spacing w:after="0" w:line="133"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3"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3" w:name="page104"/>
    <w:bookmarkEnd w:id="10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379"/>
        <w:spacing w:after="0" w:line="262" w:lineRule="auto"/>
        <w:rPr>
          <w:sz w:val="20"/>
          <w:szCs w:val="20"/>
          <w:color w:val="auto"/>
        </w:rPr>
      </w:pPr>
      <w:r>
        <w:rPr>
          <w:rFonts w:ascii="Arial" w:cs="Arial" w:eastAsia="Arial" w:hAnsi="Arial"/>
          <w:sz w:val="14"/>
          <w:szCs w:val="14"/>
          <w:b w:val="1"/>
          <w:bCs w:val="1"/>
          <w:i w:val="1"/>
          <w:iCs w:val="1"/>
          <w:color w:val="auto"/>
        </w:rPr>
        <w:t>Our use of iPSCs provides us with a differentiated advantage in product development and manufacturing</w:t>
      </w:r>
    </w:p>
    <w:p>
      <w:pPr>
        <w:spacing w:after="0" w:line="93"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294" w:lineRule="exact"/>
        <w:rPr>
          <w:sz w:val="20"/>
          <w:szCs w:val="20"/>
          <w:color w:val="auto"/>
        </w:rPr>
      </w:pPr>
    </w:p>
    <w:p>
      <w:pPr>
        <w:ind w:left="1240" w:right="1419"/>
        <w:spacing w:after="0" w:line="276" w:lineRule="auto"/>
        <w:rPr>
          <w:sz w:val="20"/>
          <w:szCs w:val="20"/>
          <w:color w:val="auto"/>
        </w:rPr>
      </w:pPr>
      <w:r>
        <w:rPr>
          <w:rFonts w:ascii="Arial" w:cs="Arial" w:eastAsia="Arial" w:hAnsi="Arial"/>
          <w:sz w:val="14"/>
          <w:szCs w:val="14"/>
          <w:color w:val="auto"/>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120650</wp:posOffset>
            </wp:positionV>
            <wp:extent cx="3930650" cy="1033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30650" cy="103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iPSC-derived allogeneic cells differentiate our therapeutic development approach</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The source cells used in the manufacture of our allogeneic cell therapy candidates are induced pluripotent stem cells, or iPSCs. An iPSC is a type of stem cell that can be generated directly from a somatic cell. A somatic cell is a cell that has become functionally differentiated, or specialized, such as a blood cell, skin cell or bone cell. IPSC-derived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278"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believe the use of iPSCs will enable us to manufacture cell therapies of increased consistency, in a shorter period of time, at scale and at reduced cost compared to donor-derived NK or T cell therapies. Unlike these donor-derived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4" w:name="page105"/>
    <w:bookmarkEnd w:id="10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619"/>
        <w:spacing w:after="0" w:line="263" w:lineRule="auto"/>
        <w:rPr>
          <w:sz w:val="20"/>
          <w:szCs w:val="20"/>
          <w:color w:val="auto"/>
        </w:rPr>
      </w:pPr>
      <w:r>
        <w:rPr>
          <w:rFonts w:ascii="Arial" w:cs="Arial" w:eastAsia="Arial" w:hAnsi="Arial"/>
          <w:sz w:val="14"/>
          <w:szCs w:val="14"/>
          <w:color w:val="auto"/>
        </w:rPr>
        <w:t>alterations. A single cell clone is used to construct a master cell bank capable of providing a sufficient number of doses for the life of a product due to the unlimited replicative capacity of iPSCs.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use of iPSCs provide us with differentiated advantages in product development 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116205</wp:posOffset>
            </wp:positionV>
            <wp:extent cx="3930650" cy="15163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930650" cy="151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strategy</w:t>
      </w:r>
    </w:p>
    <w:p>
      <w:pPr>
        <w:spacing w:after="0" w:line="11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research,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41" w:lineRule="exact"/>
        <w:rPr>
          <w:sz w:val="20"/>
          <w:szCs w:val="20"/>
          <w:color w:val="auto"/>
        </w:rPr>
      </w:pPr>
    </w:p>
    <w:p>
      <w:pPr>
        <w:ind w:left="1620" w:right="1359" w:hanging="114"/>
        <w:spacing w:after="0" w:line="261" w:lineRule="auto"/>
        <w:tabs>
          <w:tab w:leader="none" w:pos="1620"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4"/>
          <w:szCs w:val="14"/>
          <w:color w:val="auto"/>
        </w:rPr>
        <w:t>We have created comprehensive allogeneic cell therapy platforms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industry-leading iPSC differentiation know-how, CRISPR-mediated precision gene editing, sophisticated protein engineering capabilities,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and cutting 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71" w:lineRule="exact"/>
        <w:rPr>
          <w:rFonts w:ascii="Arial" w:cs="Arial" w:eastAsia="Arial" w:hAnsi="Arial"/>
          <w:sz w:val="14"/>
          <w:szCs w:val="14"/>
          <w:color w:val="auto"/>
        </w:rPr>
      </w:pPr>
    </w:p>
    <w:p>
      <w:pPr>
        <w:ind w:left="1620" w:right="1419" w:hanging="114"/>
        <w:spacing w:after="0" w:line="276" w:lineRule="auto"/>
        <w:tabs>
          <w:tab w:leader="none" w:pos="1620"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Maximize the potential to treat a broad range of cancers by exploiting the distinct biologies of both NK and T cells. </w:t>
      </w:r>
      <w:r>
        <w:rPr>
          <w:rFonts w:ascii="Arial" w:cs="Arial" w:eastAsia="Arial" w:hAnsi="Arial"/>
          <w:sz w:val="14"/>
          <w:szCs w:val="14"/>
          <w:color w:val="auto"/>
        </w:rPr>
        <w:t>We are initially developing our CAR-iNK and CAR-iT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cell therapy platforms for multiple indications including lymphoma, glioblastoma, acute myeloid leukemia and other solid tumor and hematological malignancies.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w:t>
      </w:r>
    </w:p>
    <w:p>
      <w:pPr>
        <w:spacing w:after="0" w:line="29" w:lineRule="exact"/>
        <w:rPr>
          <w:rFonts w:ascii="Arial" w:cs="Arial" w:eastAsia="Arial" w:hAnsi="Arial"/>
          <w:sz w:val="14"/>
          <w:szCs w:val="14"/>
          <w:color w:val="auto"/>
        </w:rPr>
      </w:pPr>
    </w:p>
    <w:p>
      <w:pPr>
        <w:ind w:left="1620" w:right="1339" w:hanging="114"/>
        <w:spacing w:after="0" w:line="252" w:lineRule="auto"/>
        <w:tabs>
          <w:tab w:leader="none" w:pos="1620"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Leverage our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 across our product platform to avoid host rejection and enable repeat dosing. </w:t>
      </w:r>
      <w:r>
        <w:rPr>
          <w:rFonts w:ascii="Arial" w:cs="Arial" w:eastAsia="Arial" w:hAnsi="Arial"/>
          <w:sz w:val="14"/>
          <w:szCs w:val="14"/>
          <w:color w:val="auto"/>
        </w:rPr>
        <w:t>Central to the potential clinical performance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iPSC-derived cell therapies is our novel and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5" w:name="page106"/>
    <w:bookmarkEnd w:id="10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20" w:right="1299"/>
        <w:spacing w:after="0" w:line="260" w:lineRule="auto"/>
        <w:rPr>
          <w:sz w:val="20"/>
          <w:szCs w:val="20"/>
          <w:color w:val="auto"/>
        </w:rPr>
      </w:pPr>
      <w:r>
        <w:rPr>
          <w:rFonts w:ascii="Arial" w:cs="Arial" w:eastAsia="Arial" w:hAnsi="Arial"/>
          <w:sz w:val="14"/>
          <w:szCs w:val="14"/>
          <w:color w:val="auto"/>
        </w:rPr>
        <w:t>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pacing w:after="0" w:line="57" w:lineRule="exact"/>
        <w:rPr>
          <w:sz w:val="20"/>
          <w:szCs w:val="20"/>
          <w:color w:val="auto"/>
        </w:rPr>
      </w:pPr>
    </w:p>
    <w:p>
      <w:pPr>
        <w:ind w:left="1620" w:right="1459" w:hanging="114"/>
        <w:spacing w:after="0" w:line="274" w:lineRule="auto"/>
        <w:tabs>
          <w:tab w:leader="none" w:pos="1620"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Exploit serial gene editing of iPSCs to create product candidates with enhanced functionalities and fit for purpose product characteristics. </w:t>
      </w:r>
      <w:r>
        <w:rPr>
          <w:rFonts w:ascii="Arial" w:cs="Arial" w:eastAsia="Arial" w:hAnsi="Arial"/>
          <w:sz w:val="14"/>
          <w:szCs w:val="14"/>
          <w:color w:val="auto"/>
        </w:rPr>
        <w:t>We utilize CRISPR-mediated precision gene editing that allows us to incorporate multiple transgenes and knock-outs to achieve precise genetic modifications at defined locations in the iPSC genome. Our first clinical product candidate, CNTY-101, will incorporate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64" w:lineRule="exact"/>
        <w:rPr>
          <w:rFonts w:ascii="Arial" w:cs="Arial" w:eastAsia="Arial" w:hAnsi="Arial"/>
          <w:sz w:val="14"/>
          <w:szCs w:val="14"/>
          <w:color w:val="auto"/>
        </w:rPr>
      </w:pPr>
    </w:p>
    <w:p>
      <w:pPr>
        <w:ind w:left="1620" w:right="1279" w:hanging="114"/>
        <w:spacing w:after="0" w:line="276" w:lineRule="auto"/>
        <w:tabs>
          <w:tab w:leader="none" w:pos="1620"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own manufacturing infrastructure, product and process understanding, and scale-up technologies to minimize manufacturing risk. </w:t>
      </w:r>
      <w:r>
        <w:rPr>
          <w:rFonts w:ascii="Arial" w:cs="Arial" w:eastAsia="Arial" w:hAnsi="Arial"/>
          <w:sz w:val="14"/>
          <w:szCs w:val="14"/>
          <w:color w:val="auto"/>
        </w:rPr>
        <w:t>We are strategically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investing in manufacturing across all aspects of the value chain to become leaders in the industry. We are building internal manufacturing facilities that we believe will enable us to learn and iterate more rapidly and increase control of development timelines for expedited clinical development of high quality products. We will continue to invest in process and analytical development capabilities and closely study our cell process parameters that affect product quality. Furthermore, we intend to establish expertise in scale-up technologies designed to enable optimal manufacturing scale, which will reduce cost of goods and improve patient access.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Background</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The role of NK cells and T cells in the human immune system</w:t>
      </w:r>
    </w:p>
    <w:p>
      <w:pPr>
        <w:spacing w:after="0" w:line="133" w:lineRule="exact"/>
        <w:rPr>
          <w:sz w:val="20"/>
          <w:szCs w:val="20"/>
          <w:color w:val="auto"/>
        </w:rPr>
      </w:pPr>
    </w:p>
    <w:p>
      <w:pPr>
        <w:ind w:left="1240" w:right="1259"/>
        <w:spacing w:after="0" w:line="260" w:lineRule="auto"/>
        <w:rPr>
          <w:sz w:val="20"/>
          <w:szCs w:val="20"/>
          <w:color w:val="auto"/>
        </w:rPr>
      </w:pPr>
      <w:r>
        <w:rPr>
          <w:rFonts w:ascii="Arial" w:cs="Arial" w:eastAsia="Arial" w:hAnsi="Arial"/>
          <w:sz w:val="14"/>
          <w:szCs w:val="14"/>
          <w:color w:val="auto"/>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Innate immune system—NK Cells</w:t>
      </w:r>
    </w:p>
    <w:p>
      <w:pPr>
        <w:spacing w:after="0" w:line="12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Adaptive immune system—T Cells</w:t>
      </w:r>
    </w:p>
    <w:p>
      <w:pPr>
        <w:spacing w:after="0" w:line="13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6" w:name="page107"/>
    <w:bookmarkEnd w:id="10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same pathogen. We seek to take advantage of the unique properties of T cells and their proven anti-cancer activity to engineer iPSC-derived T cell products.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Cellular immunotherapy and its use in the treatment of cancer</w:t>
      </w:r>
    </w:p>
    <w:p>
      <w:pPr>
        <w:spacing w:after="0" w:line="118"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CARs on the surface of a lymphocyte that enable the CTL or NK cell to recognize specific antigens that are present on the surface of tumor cells.</w:t>
      </w:r>
    </w:p>
    <w:p>
      <w:pPr>
        <w:spacing w:after="0" w:line="277" w:lineRule="exact"/>
        <w:rPr>
          <w:sz w:val="20"/>
          <w:szCs w:val="20"/>
          <w:color w:val="auto"/>
        </w:rPr>
      </w:pPr>
    </w:p>
    <w:p>
      <w:pPr>
        <w:jc w:val="both"/>
        <w:ind w:left="1240" w:right="1659"/>
        <w:spacing w:after="0" w:line="260" w:lineRule="auto"/>
        <w:rPr>
          <w:sz w:val="20"/>
          <w:szCs w:val="20"/>
          <w:color w:val="auto"/>
        </w:rPr>
      </w:pPr>
      <w:r>
        <w:rPr>
          <w:rFonts w:ascii="Arial" w:cs="Arial" w:eastAsia="Arial" w:hAnsi="Arial"/>
          <w:sz w:val="14"/>
          <w:szCs w:val="14"/>
          <w:color w:val="auto"/>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14281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30650" cy="142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06"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2017, the U.S. Food and Drug Administration, or FDA, approved the first two CAR-T based cell therapies for the treatment of certain types of hematological cancers. They are axicabtagene ciloleucel, sold by Gilead Sciences under the brand name Yescarta®, and tisagenlecleucel, sold by Novartis under the brand name Kymriah®. Subsequently, Gilead Sciences’ Brexucabtagene autoleucel, branded Tecartus®, was approved in July 2020 and Bristol Myers Squibbs’ lisocabtagene maraleucel, branded Breyanzi®, received FDA approval in February 2021. Yescarta®, Kymriah® and Breyanzi® are approved for the treatment for relapsed or refractory large B-cell lymphoma, and Yescarta® is also approved for relapsed or refractory lymphoma and Tecartus® is approved for the treatment of relapsed or refractory mantle cell lymphoma. These therapies are autologous and made from T cells first collected from the patient, which are then genetically modified and administered back to the same patient. While these therapies represent a significant development milestone for the cellular therapy field overall, a significant percentage of patients who receive these therapies ultimately relapse. To date, no CAR-based cell therapies using NK cells have received FDA approval.</w:t>
      </w:r>
    </w:p>
    <w:p>
      <w:pPr>
        <w:spacing w:after="0" w:line="311" w:lineRule="exact"/>
        <w:rPr>
          <w:sz w:val="20"/>
          <w:szCs w:val="20"/>
          <w:color w:val="auto"/>
        </w:rPr>
      </w:pPr>
    </w:p>
    <w:p>
      <w:pPr>
        <w:ind w:left="1240" w:right="1799"/>
        <w:spacing w:after="0" w:line="262" w:lineRule="auto"/>
        <w:rPr>
          <w:sz w:val="20"/>
          <w:szCs w:val="20"/>
          <w:color w:val="auto"/>
        </w:rPr>
      </w:pPr>
      <w:r>
        <w:rPr>
          <w:rFonts w:ascii="Arial" w:cs="Arial" w:eastAsia="Arial" w:hAnsi="Arial"/>
          <w:sz w:val="14"/>
          <w:szCs w:val="14"/>
          <w:b w:val="1"/>
          <w:bCs w:val="1"/>
          <w:i w:val="1"/>
          <w:iCs w:val="1"/>
          <w:color w:val="auto"/>
        </w:rPr>
        <w:t>Advancements in cell therapy approaches have enhanced treatment alternatives for patients</w:t>
      </w:r>
    </w:p>
    <w:p>
      <w:pPr>
        <w:spacing w:after="0" w:line="93" w:lineRule="exact"/>
        <w:rPr>
          <w:sz w:val="20"/>
          <w:szCs w:val="20"/>
          <w:color w:val="auto"/>
        </w:rPr>
      </w:pPr>
    </w:p>
    <w:p>
      <w:pPr>
        <w:ind w:left="1240" w:right="1359"/>
        <w:spacing w:after="0" w:line="259" w:lineRule="auto"/>
        <w:rPr>
          <w:sz w:val="20"/>
          <w:szCs w:val="20"/>
          <w:color w:val="auto"/>
        </w:rPr>
      </w:pPr>
      <w:r>
        <w:rPr>
          <w:rFonts w:ascii="Arial" w:cs="Arial" w:eastAsia="Arial" w:hAnsi="Arial"/>
          <w:sz w:val="14"/>
          <w:szCs w:val="14"/>
          <w:color w:val="auto"/>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7" w:name="page108"/>
    <w:bookmarkEnd w:id="10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21285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30650" cy="212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Limitations of autologous CAR-T therapies</w:t>
      </w:r>
    </w:p>
    <w:p>
      <w:pPr>
        <w:spacing w:after="0" w:line="123"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Autologous CAR-T therapies have many characteristics that we believe limit their therapeutic potential. These therapies necessitate an individualized and lengthy manufacturing process, resulting in increased wait times for patients, limited product availability and increased supply chain complexity and cost. Additionally, patients may have undergone multiple therapeutic regimens such as chemotherapy or radiation treatment that may negatively impact the health of the donor cells. Damaged or weakened donor cells may not be able to properly proliferate, resulting in manufacturing failure or insufficient potency.</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Limitations of healthy donor-derived allogeneic CAR-NK and CAR-T therapies</w:t>
      </w:r>
    </w:p>
    <w:p>
      <w:pPr>
        <w:spacing w:after="0" w:line="133"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Allogeneic CAR-T and CAR-NK therapy uses lymphocytes donated by a person other than the patient as the starting biological material. Since the manufacturing process for allogeneic therapies is not individualized, allogeneic approaches enable immediate treatment availability and the opportunity to distribute cost across a larger number of doses, lowering the manufacturing cost per dose. Manufacturing healthy donor cells in larger batches provides the opportunity for more rigorous quality control and the production of engineered cells of a more consistent character while reducing the risk of manufacturing failure. While these benefits address some of the key limitations of autologous CAR-T therapies, allogeneic approaches still face challenges, including:</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GvHD.</w:t>
      </w:r>
    </w:p>
    <w:p>
      <w:pPr>
        <w:spacing w:after="0" w:line="12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Graft versus host disease, or GvHD, is a serious and life-threatening condition triggered when donor T cells recognize the recipient as non-self and initiate a powerful immune response against the recipient. This recognition is mediated by TCR engagement with the HLA expressed on organs of the recipient. Conversely, allogeneic CAR-T cells may be recognized as foreign to the recipient’s body and eliminated by the recipient’s immune system. CAR-NK cells do not express a TCR, and therefore the use of iNK cells does not trigger GvHD.</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Host versus graft rejection.</w:t>
      </w:r>
    </w:p>
    <w:p>
      <w:pPr>
        <w:spacing w:after="0" w:line="131"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In a similar fashion, allogeneic CAR-T cells may be recognized as foreign by the recipient’s immune system, leading to their rejection. The patient’s immune system being sensitized to the allogenic CAR-T also precludes the ability for the cells to be effectively re-dosed. Both outcomes diminish the ability of the infused cells to attack the cancer.</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8" w:name="page109"/>
    <w:bookmarkEnd w:id="10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Limited gene editing potential.</w:t>
      </w:r>
    </w:p>
    <w:p>
      <w:pPr>
        <w:spacing w:after="0" w:line="131" w:lineRule="exact"/>
        <w:rPr>
          <w:sz w:val="20"/>
          <w:szCs w:val="20"/>
          <w:color w:val="auto"/>
        </w:rPr>
      </w:pPr>
    </w:p>
    <w:p>
      <w:pPr>
        <w:ind w:left="1240" w:right="1539"/>
        <w:spacing w:after="0" w:line="275" w:lineRule="auto"/>
        <w:rPr>
          <w:sz w:val="20"/>
          <w:szCs w:val="20"/>
          <w:color w:val="auto"/>
        </w:rPr>
      </w:pPr>
      <w:r>
        <w:rPr>
          <w:rFonts w:ascii="Arial" w:cs="Arial" w:eastAsia="Arial" w:hAnsi="Arial"/>
          <w:sz w:val="14"/>
          <w:szCs w:val="14"/>
          <w:color w:val="auto"/>
        </w:rPr>
        <w:t>Allogeneic approaches that utilize differentiated lymphocytes are limited to just a few genetic edits. One edit utilized consistently across all allogeneic approaches is the addition of a CAR. Furthermore, elimination of the HLA-I is another typical edit. The number of edits that can be introduced into the genome of differentiated NK cells or T cells is limited, as each engineering step requires cells to replicate and too many expansion cycles often result in cell exhaustion.</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Finite replication capacity.</w:t>
      </w:r>
    </w:p>
    <w:p>
      <w:pPr>
        <w:spacing w:after="0" w:line="142"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Once donor cells have been sourced and modified, they must be expanded into a quantity sufficient for therapeutic efficacy.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NK cells or T cells is severely limited, as each engineering step requires cells to replicate. Too many expansion cycles often result in cell exhaustion, with the engineered lymphocytes (white blood cells) expressing checkpoint molecules, often accompanied by a loss of functionality.</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Advantages of iPSC vs. donor-derived approaches</w:t>
      </w:r>
    </w:p>
    <w:p>
      <w:pPr>
        <w:spacing w:after="0" w:line="144"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in-licensed iPSC technology allows us to reprogram differentiated cells to become iPSCs and to then differentiate the iPSCs to generate different immune cell types including NK cells and T cells. We believe some of the advantages offered by iPSCs are: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Receptive to complex genetic editing.</w:t>
      </w:r>
    </w:p>
    <w:p>
      <w:pPr>
        <w:spacing w:after="0" w:line="13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Significant replication capacity.</w:t>
      </w:r>
    </w:p>
    <w:p>
      <w:pPr>
        <w:spacing w:after="0" w:line="142"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iPSCs are derived from single cell clones, which are used to construct a master cell bank capable of providing a sufficient number of doses for the life of a product due to the unlimited replicative capacity of iPSCs.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Streamlined manufacturing and consistent product.</w:t>
      </w:r>
    </w:p>
    <w:p>
      <w:pPr>
        <w:spacing w:after="0" w:line="142" w:lineRule="exact"/>
        <w:rPr>
          <w:sz w:val="20"/>
          <w:szCs w:val="20"/>
          <w:color w:val="auto"/>
        </w:rPr>
      </w:pPr>
    </w:p>
    <w:p>
      <w:pPr>
        <w:jc w:val="both"/>
        <w:ind w:left="1240" w:right="1479"/>
        <w:spacing w:after="0" w:line="278" w:lineRule="auto"/>
        <w:rPr>
          <w:sz w:val="20"/>
          <w:szCs w:val="20"/>
          <w:color w:val="auto"/>
        </w:rPr>
      </w:pPr>
      <w:r>
        <w:rPr>
          <w:rFonts w:ascii="Arial" w:cs="Arial" w:eastAsia="Arial" w:hAnsi="Arial"/>
          <w:sz w:val="14"/>
          <w:szCs w:val="14"/>
          <w:color w:val="auto"/>
        </w:rPr>
        <w:t>The use of a single master cell bank allows iPSC-derived products to be produced with greater consistency, at the greatest possible scale and at reduced cost compared to donor-derived NK cells or T cells.</w:t>
      </w:r>
    </w:p>
    <w:p>
      <w:pPr>
        <w:spacing w:after="0" w:line="94" w:lineRule="exact"/>
        <w:rPr>
          <w:sz w:val="20"/>
          <w:szCs w:val="20"/>
          <w:color w:val="auto"/>
        </w:rPr>
      </w:pPr>
    </w:p>
    <w:p>
      <w:pPr>
        <w:ind w:left="1240" w:right="1299"/>
        <w:spacing w:after="0" w:line="286" w:lineRule="auto"/>
        <w:rPr>
          <w:sz w:val="20"/>
          <w:szCs w:val="20"/>
          <w:color w:val="auto"/>
        </w:rPr>
      </w:pPr>
      <w:r>
        <w:rPr>
          <w:rFonts w:ascii="Arial" w:cs="Arial" w:eastAsia="Arial" w:hAnsi="Arial"/>
          <w:sz w:val="14"/>
          <w:szCs w:val="14"/>
          <w:color w:val="auto"/>
        </w:rPr>
        <w:t>We believe that iPSC-derived cell therapies provide meaningful advantages over other modalities and have the potential to disrupt the oncology treatment paradigm.</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9" w:name="page110"/>
    <w:bookmarkEnd w:id="10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127000</wp:posOffset>
            </wp:positionV>
            <wp:extent cx="3230245" cy="2073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0245" cy="207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40" w:right="1339"/>
        <w:spacing w:after="0" w:line="243" w:lineRule="auto"/>
        <w:rPr>
          <w:sz w:val="20"/>
          <w:szCs w:val="20"/>
          <w:color w:val="auto"/>
        </w:rPr>
      </w:pPr>
      <w:r>
        <w:rPr>
          <w:rFonts w:ascii="Arial" w:cs="Arial" w:eastAsia="Arial" w:hAnsi="Arial"/>
          <w:sz w:val="14"/>
          <w:szCs w:val="14"/>
          <w:i w:val="1"/>
          <w:iCs w:val="1"/>
          <w:color w:val="auto"/>
        </w:rPr>
        <w:t>Stages of iPSC gene editing, characterization, and clonal selection prior to the generation of the engineered iPSC master cell bank (MCB). Genetic engineering of our product candidates occurs exclusively at the iPSC stage, where the cells have unlimited replicative capacity and pluripotency. In the above figure, we highlight the multiple steps required for selection of the final CNTY-101 clinical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rationale for developing both iNK and iT allogeneic cell therapy platforms</w:t>
      </w:r>
    </w:p>
    <w:p>
      <w:pPr>
        <w:spacing w:after="0" w:line="144" w:lineRule="exact"/>
        <w:rPr>
          <w:sz w:val="20"/>
          <w:szCs w:val="20"/>
          <w:color w:val="auto"/>
        </w:rPr>
      </w:pPr>
    </w:p>
    <w:p>
      <w:pPr>
        <w:ind w:left="1240" w:right="1259"/>
        <w:spacing w:after="0" w:line="288" w:lineRule="auto"/>
        <w:rPr>
          <w:sz w:val="20"/>
          <w:szCs w:val="20"/>
          <w:color w:val="auto"/>
        </w:rPr>
      </w:pPr>
      <w:r>
        <w:rPr>
          <w:rFonts w:ascii="Arial" w:cs="Arial" w:eastAsia="Arial" w:hAnsi="Arial"/>
          <w:sz w:val="14"/>
          <w:szCs w:val="14"/>
          <w:color w:val="auto"/>
        </w:rPr>
        <w:t>We are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GvHD in iT cells through the use of TCRs that are not expected to cause GvHD, which we refer to herein as Trusted 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 (e.g., when targeting AML antigens that are also expressed on some normal hematopoietic progenitors, enabling a chance for normal cell recovery between doses). Ultimately, the development of both platforms enables a unique opportunity to merge the intrinsic biology of these lymphocyte subsets with desirable engineering attributes to tailor therapies best suited for the clinical path being pursued.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0" w:name="page111"/>
    <w:bookmarkEnd w:id="11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Development of CAR-NK and CAR-T platforms: distinct biology influences disease-specific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81915</wp:posOffset>
            </wp:positionV>
            <wp:extent cx="3502025" cy="21418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02025" cy="214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proprietary technology and differentiated approach</w:t>
      </w:r>
    </w:p>
    <w:p>
      <w:pPr>
        <w:spacing w:after="0" w:line="113"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b w:val="1"/>
          <w:bCs w:val="1"/>
          <w:i w:val="1"/>
          <w:iCs w:val="1"/>
          <w:color w:val="auto"/>
        </w:rPr>
        <w:t>Advanced cell engineering expertise further differentiates our iPSC-derived allogeneic cell therapies</w:t>
      </w:r>
    </w:p>
    <w:p>
      <w:pPr>
        <w:spacing w:after="0" w:line="6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HDR, to enable the creation of optimized cell products specifically tailored to address a particular disease. Protein engineering refers to the engineering and incorporation of CARs and other transgenes such as stimulatory cytokines, allo-evasive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93345</wp:posOffset>
            </wp:positionV>
            <wp:extent cx="3053080" cy="144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53080" cy="144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Common engineered iPSC progenitor</w:t>
      </w:r>
    </w:p>
    <w:p>
      <w:pPr>
        <w:spacing w:after="0" w:line="99" w:lineRule="exact"/>
        <w:rPr>
          <w:sz w:val="20"/>
          <w:szCs w:val="20"/>
          <w:color w:val="auto"/>
        </w:rPr>
      </w:pPr>
    </w:p>
    <w:p>
      <w:pPr>
        <w:jc w:val="both"/>
        <w:ind w:left="1240" w:right="1399"/>
        <w:spacing w:after="0" w:line="223" w:lineRule="auto"/>
        <w:rPr>
          <w:sz w:val="20"/>
          <w:szCs w:val="20"/>
          <w:color w:val="auto"/>
        </w:rPr>
      </w:pPr>
      <w:r>
        <w:rPr>
          <w:rFonts w:ascii="Arial" w:cs="Arial" w:eastAsia="Arial" w:hAnsi="Arial"/>
          <w:sz w:val="14"/>
          <w:szCs w:val="14"/>
          <w:color w:val="auto"/>
        </w:rPr>
        <w:t>All of our product candidates include a set of core features to increase their functionality, safety, and persistence. These features include (i)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enable the cells to avoid detection by the host</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1" w:name="page112"/>
    <w:bookmarkEnd w:id="11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 xml:space="preserve">immune system; (ii) a safety switch to allow for the rapid elimination of the cells from the patient if necessary; (iii) the inclusion of a homeostatic cytokine, IL-15, which promotes increased functionality and persistence </w:t>
      </w:r>
      <w:r>
        <w:rPr>
          <w:rFonts w:ascii="Arial" w:cs="Arial" w:eastAsia="Arial" w:hAnsi="Arial"/>
          <w:sz w:val="14"/>
          <w:szCs w:val="14"/>
          <w:i w:val="1"/>
          <w:iCs w:val="1"/>
          <w:color w:val="auto"/>
        </w:rPr>
        <w:t>in vivo</w:t>
      </w:r>
      <w:r>
        <w:rPr>
          <w:rFonts w:ascii="Arial" w:cs="Arial" w:eastAsia="Arial" w:hAnsi="Arial"/>
          <w:sz w:val="14"/>
          <w:szCs w:val="14"/>
          <w:color w:val="auto"/>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plan to build all of these core features into a “common engineered iPSC progenitor” which will be utilized in the creation of a master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120650</wp:posOffset>
            </wp:positionV>
            <wp:extent cx="3998595" cy="1809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9859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Highly efficient engineering processes</w:t>
      </w:r>
    </w:p>
    <w:p>
      <w:pPr>
        <w:spacing w:after="0" w:line="142"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2" w:name="page113"/>
    <w:bookmarkEnd w:id="11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Engineering steps used to generate our CNTY-101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113665</wp:posOffset>
            </wp:positionV>
            <wp:extent cx="3998595" cy="1530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98595" cy="153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120650</wp:posOffset>
            </wp:positionV>
            <wp:extent cx="3373120" cy="2209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73120"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Advantages of 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49" w:lineRule="exact"/>
        <w:rPr>
          <w:sz w:val="20"/>
          <w:szCs w:val="20"/>
          <w:color w:val="auto"/>
        </w:rPr>
      </w:pPr>
    </w:p>
    <w:p>
      <w:pPr>
        <w:ind w:left="1240" w:right="1359"/>
        <w:spacing w:after="0" w:line="244" w:lineRule="auto"/>
        <w:rPr>
          <w:sz w:val="20"/>
          <w:szCs w:val="20"/>
          <w:color w:val="auto"/>
        </w:rPr>
      </w:pP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therapeutic efficacy. In combination with the extended killing capability of optimized immune cells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3" w:name="page114"/>
    <w:bookmarkEnd w:id="11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94" w:lineRule="auto"/>
        <w:rPr>
          <w:sz w:val="20"/>
          <w:szCs w:val="20"/>
          <w:color w:val="auto"/>
        </w:rPr>
      </w:pPr>
      <w:r>
        <w:rPr>
          <w:rFonts w:ascii="Arial" w:cs="Arial" w:eastAsia="Arial" w:hAnsi="Arial"/>
          <w:sz w:val="14"/>
          <w:szCs w:val="14"/>
          <w:color w:val="auto"/>
        </w:rPr>
        <w:t>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potential of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using NK inhibitory ligands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40" w:right="1319"/>
        <w:spacing w:after="0" w:line="229" w:lineRule="auto"/>
        <w:rPr>
          <w:sz w:val="20"/>
          <w:szCs w:val="20"/>
          <w:color w:val="auto"/>
        </w:rPr>
      </w:pPr>
      <w:r>
        <w:rPr>
          <w:rFonts w:ascii="Arial" w:cs="Arial" w:eastAsia="Arial" w:hAnsi="Arial"/>
          <w:sz w:val="14"/>
          <w:szCs w:val="14"/>
          <w:i w:val="1"/>
          <w:iCs w:val="1"/>
          <w:color w:val="auto"/>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CD4</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 cells respectively, but renders the cells susceptible to killing by recipient NK cells (middle panel). Introduction of the NK inhibitory ligand HLA-E into the product candidate (right panel) delivers a negative signal to recipient NK cells that protects them from elimination.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llustrative potential of PK of Allo-Evasion</w:t>
      </w:r>
      <w:r>
        <w:rPr>
          <w:rFonts w:ascii="Arial" w:cs="Arial" w:eastAsia="Arial" w:hAnsi="Arial"/>
          <w:sz w:val="21"/>
          <w:szCs w:val="21"/>
          <w:b w:val="1"/>
          <w:bCs w:val="1"/>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99695</wp:posOffset>
            </wp:positionV>
            <wp:extent cx="3978275" cy="1767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7827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Future generations of our cell therapies will embrace an extended range of capabilities</w:t>
      </w:r>
    </w:p>
    <w:p>
      <w:pPr>
        <w:spacing w:after="0" w:line="142"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4" w:name="page115"/>
    <w:bookmarkEnd w:id="11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Future product candidates will be designed to embrace a potentially extended range of</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116205</wp:posOffset>
            </wp:positionV>
            <wp:extent cx="2849245" cy="17748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49245"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Manufacturing, product quality and COGS advantages</w:t>
      </w:r>
    </w:p>
    <w:p>
      <w:pPr>
        <w:spacing w:after="0" w:line="133"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28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We intend to increase our investment in scale-up technology as our product pipeline advances through clinical trials towards commercialization.</w:t>
      </w:r>
    </w:p>
    <w:p>
      <w:pPr>
        <w:spacing w:after="0" w:line="27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 A key aspect of our investment in internal manufacturing facilities and capabilities includes the construction of our Current Good Manufacturing Practices, or cGMP, manufacturing facility in Branchburg, New Jersey. We anticipate that this facility will become operational by the end of 2021. This multi-product, multi-phase facility will have the capabilities and capacity to manufacture both NK and T cells, as well as other immune cell types, for complete optionality.</w:t>
      </w:r>
    </w:p>
    <w:p>
      <w:pPr>
        <w:spacing w:after="0" w:line="291" w:lineRule="exact"/>
        <w:rPr>
          <w:sz w:val="20"/>
          <w:szCs w:val="20"/>
          <w:color w:val="auto"/>
        </w:rPr>
      </w:pPr>
    </w:p>
    <w:p>
      <w:pPr>
        <w:ind w:left="1240" w:right="1399"/>
        <w:spacing w:after="0" w:line="276" w:lineRule="auto"/>
        <w:rPr>
          <w:sz w:val="20"/>
          <w:szCs w:val="20"/>
          <w:color w:val="auto"/>
        </w:rPr>
      </w:pPr>
      <w:r>
        <w:rPr>
          <w:rFonts w:ascii="Arial" w:cs="Arial" w:eastAsia="Arial" w:hAnsi="Arial"/>
          <w:sz w:val="14"/>
          <w:szCs w:val="14"/>
          <w:color w:val="auto"/>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5" w:name="page116"/>
    <w:bookmarkEnd w:id="11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59"/>
        <w:spacing w:after="0" w:line="294" w:lineRule="auto"/>
        <w:rPr>
          <w:sz w:val="20"/>
          <w:szCs w:val="20"/>
          <w:color w:val="auto"/>
        </w:rPr>
      </w:pPr>
      <w:r>
        <w:rPr>
          <w:rFonts w:ascii="Arial" w:cs="Arial" w:eastAsia="Arial" w:hAnsi="Arial"/>
          <w:sz w:val="14"/>
          <w:szCs w:val="14"/>
          <w:color w:val="auto"/>
        </w:rPr>
        <w:t>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21" w:lineRule="exact"/>
        <w:rPr>
          <w:sz w:val="20"/>
          <w:szCs w:val="20"/>
          <w:color w:val="auto"/>
        </w:rPr>
      </w:pPr>
    </w:p>
    <w:p>
      <w:pPr>
        <w:ind w:left="1240" w:right="1779"/>
        <w:spacing w:after="0" w:line="262" w:lineRule="auto"/>
        <w:rPr>
          <w:sz w:val="20"/>
          <w:szCs w:val="20"/>
          <w:color w:val="auto"/>
        </w:rPr>
      </w:pPr>
      <w:r>
        <w:rPr>
          <w:rFonts w:ascii="Arial" w:cs="Arial" w:eastAsia="Arial" w:hAnsi="Arial"/>
          <w:sz w:val="14"/>
          <w:szCs w:val="14"/>
          <w:b w:val="1"/>
          <w:bCs w:val="1"/>
          <w:i w:val="1"/>
          <w:iCs w:val="1"/>
          <w:color w:val="auto"/>
        </w:rPr>
        <w:t>Off-the-shelf commercialization opportunity for iPSC-derived allogeneic cell therapy platform derived product candidates</w:t>
      </w:r>
    </w:p>
    <w:p>
      <w:pPr>
        <w:spacing w:after="0" w:line="93" w:lineRule="exact"/>
        <w:rPr>
          <w:sz w:val="20"/>
          <w:szCs w:val="20"/>
          <w:color w:val="auto"/>
        </w:rPr>
      </w:pPr>
    </w:p>
    <w:p>
      <w:pPr>
        <w:ind w:left="1240" w:right="1399"/>
        <w:spacing w:after="0" w:line="292" w:lineRule="auto"/>
        <w:rPr>
          <w:sz w:val="20"/>
          <w:szCs w:val="20"/>
          <w:color w:val="auto"/>
        </w:rPr>
      </w:pPr>
      <w:r>
        <w:rPr>
          <w:rFonts w:ascii="Arial" w:cs="Arial" w:eastAsia="Arial" w:hAnsi="Arial"/>
          <w:sz w:val="14"/>
          <w:szCs w:val="14"/>
          <w:color w:val="auto"/>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295"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Preclinical profiles or characteristics of development candidates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Our product platforms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iNK cell platform is our most advanced iPSC-derived cell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40" w:right="1279"/>
        <w:spacing w:after="0" w:line="266" w:lineRule="auto"/>
        <w:rPr>
          <w:sz w:val="20"/>
          <w:szCs w:val="20"/>
          <w:color w:val="auto"/>
        </w:rPr>
      </w:pPr>
      <w:r>
        <w:rPr>
          <w:rFonts w:ascii="Arial" w:cs="Arial" w:eastAsia="Arial" w:hAnsi="Arial"/>
          <w:sz w:val="14"/>
          <w:szCs w:val="14"/>
          <w:color w:val="auto"/>
        </w:rPr>
        <w:t>Left panel: cartoon representation of CNTY-101, our first iNK cell clinical candidate. Right panel: NALM-6 tumor growth inhibition of mice treated with CD19-CAR-iNK cells (clone iPSC611). The CD19-CAR-iNK cells were administered intravenously at 1x10</w:t>
      </w:r>
      <w:r>
        <w:rPr>
          <w:rFonts w:ascii="Arial" w:cs="Arial" w:eastAsia="Arial" w:hAnsi="Arial"/>
          <w:sz w:val="21"/>
          <w:szCs w:val="21"/>
          <w:color w:val="auto"/>
          <w:vertAlign w:val="superscript"/>
        </w:rPr>
        <w:t>7</w:t>
      </w:r>
      <w:r>
        <w:rPr>
          <w:rFonts w:ascii="Arial" w:cs="Arial" w:eastAsia="Arial" w:hAnsi="Arial"/>
          <w:sz w:val="14"/>
          <w:szCs w:val="14"/>
          <w:color w:val="auto"/>
        </w:rPr>
        <w:t xml:space="preserve"> cells per mouse on Days 1, 8, and 15, as indicated by the arrows. CD19-CAR-iNK cells demonstrate statistically significant (p=0.0027) anti-tumor growth inhibition compared to untreated control animals (“Tumor only”). Tumor burden was measured as the “Average radiance” of tumor-bearing mice.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6" w:name="page117"/>
    <w:bookmarkEnd w:id="11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iT Cell platform is closely behind and making rapid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61595</wp:posOffset>
            </wp:positionV>
            <wp:extent cx="3930650" cy="1659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30650" cy="165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right="1279"/>
        <w:spacing w:after="0"/>
        <w:rPr>
          <w:sz w:val="20"/>
          <w:szCs w:val="20"/>
          <w:color w:val="auto"/>
        </w:rPr>
      </w:pPr>
      <w:r>
        <w:rPr>
          <w:rFonts w:ascii="Arial" w:cs="Arial" w:eastAsia="Arial" w:hAnsi="Arial"/>
          <w:sz w:val="14"/>
          <w:szCs w:val="14"/>
          <w:color w:val="auto"/>
        </w:rPr>
        <w:t>Left panel: cartoon representation of an iPSC-derived CAR-iT cell, expressing a Trusted TCR, that is, a TCR that is not expected to cause GvHD. Right panel: NALM-6 tumor growth inhibition of mice treated with Century CAR-iT cells. The CD19-CAR-iT cells were administered as a single intravenous dose of 1x10</w:t>
      </w:r>
      <w:r>
        <w:rPr>
          <w:rFonts w:ascii="Arial" w:cs="Arial" w:eastAsia="Arial" w:hAnsi="Arial"/>
          <w:sz w:val="21"/>
          <w:szCs w:val="21"/>
          <w:color w:val="auto"/>
          <w:vertAlign w:val="superscript"/>
        </w:rPr>
        <w:t>7</w:t>
      </w:r>
      <w:r>
        <w:rPr>
          <w:rFonts w:ascii="Arial" w:cs="Arial" w:eastAsia="Arial" w:hAnsi="Arial"/>
          <w:sz w:val="14"/>
          <w:szCs w:val="14"/>
          <w:color w:val="auto"/>
        </w:rPr>
        <w:t xml:space="preserve"> cells per mouse on Day 1, as indicated by the arrow. The CD19-CAR-iT cells demonstrate statistically significant (p&lt;0.0001) anti-tumor growth inhibition compared to untreated control animals (“Tumor only”). Tumor burden was measured as the “Average radiance” of tumor-bearing mice.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iPSC-derived iNK cell platform</w:t>
      </w:r>
    </w:p>
    <w:p>
      <w:pPr>
        <w:spacing w:after="0" w:line="99"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113665</wp:posOffset>
            </wp:positionV>
            <wp:extent cx="3930650" cy="12376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30650" cy="123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40" w:right="1439"/>
        <w:spacing w:after="0" w:line="263" w:lineRule="auto"/>
        <w:rPr>
          <w:sz w:val="20"/>
          <w:szCs w:val="20"/>
          <w:color w:val="auto"/>
        </w:rPr>
      </w:pPr>
      <w:r>
        <w:rPr>
          <w:rFonts w:ascii="Arial" w:cs="Arial" w:eastAsia="Arial" w:hAnsi="Arial"/>
          <w:sz w:val="14"/>
          <w:szCs w:val="14"/>
          <w:color w:val="auto"/>
        </w:rPr>
        <w:t>We have intentionally focused on the parameters that define immune cell functionality to direct internal development initiatives. This focus is intended to improve upon the intellectual property licensed from FCDI.</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7" w:name="page118"/>
    <w:bookmarkEnd w:id="11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91" w:lineRule="auto"/>
        <w:rPr>
          <w:sz w:val="20"/>
          <w:szCs w:val="20"/>
          <w:color w:val="auto"/>
        </w:rPr>
      </w:pPr>
      <w:r>
        <w:rPr>
          <w:rFonts w:ascii="Arial" w:cs="Arial" w:eastAsia="Arial" w:hAnsi="Arial"/>
          <w:sz w:val="14"/>
          <w:szCs w:val="14"/>
          <w:color w:val="auto"/>
        </w:rPr>
        <w:t>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285" w:lineRule="exact"/>
        <w:rPr>
          <w:sz w:val="20"/>
          <w:szCs w:val="20"/>
          <w:color w:val="auto"/>
        </w:rPr>
      </w:pPr>
    </w:p>
    <w:p>
      <w:pPr>
        <w:ind w:left="1240" w:right="1259"/>
        <w:spacing w:after="0" w:line="290" w:lineRule="auto"/>
        <w:rPr>
          <w:sz w:val="20"/>
          <w:szCs w:val="20"/>
          <w:color w:val="auto"/>
        </w:rPr>
      </w:pPr>
      <w:r>
        <w:rPr>
          <w:rFonts w:ascii="Arial" w:cs="Arial" w:eastAsia="Arial" w:hAnsi="Arial"/>
          <w:sz w:val="14"/>
          <w:szCs w:val="14"/>
          <w:color w:val="auto"/>
        </w:rPr>
        <w:t xml:space="preserve">Assessment of these cells’ functionality demonstrates their potential for tumor cell cytotoxicity. Through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127000</wp:posOffset>
            </wp:positionV>
            <wp:extent cx="2931160" cy="2067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31160"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40" w:right="1299"/>
        <w:spacing w:after="0" w:line="246" w:lineRule="auto"/>
        <w:rPr>
          <w:sz w:val="20"/>
          <w:szCs w:val="20"/>
          <w:color w:val="auto"/>
        </w:rPr>
      </w:pPr>
      <w:r>
        <w:rPr>
          <w:rFonts w:ascii="Arial" w:cs="Arial" w:eastAsia="Arial" w:hAnsi="Arial"/>
          <w:sz w:val="14"/>
          <w:szCs w:val="14"/>
          <w:i w:val="1"/>
          <w:iCs w:val="1"/>
          <w:color w:val="auto"/>
        </w:rPr>
        <w:t>Century’s iNK cells and peripheral blood mononuclear cell, or PBMC, NK cells were incubated with K562 tumor cells labelled with NuclightRed, or NLR,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281"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8" w:name="page119"/>
    <w:bookmarkEnd w:id="11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127000</wp:posOffset>
            </wp:positionV>
            <wp:extent cx="2951480" cy="2169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5148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99"/>
        <w:spacing w:after="0" w:line="248" w:lineRule="auto"/>
        <w:rPr>
          <w:sz w:val="20"/>
          <w:szCs w:val="20"/>
          <w:color w:val="auto"/>
        </w:rPr>
      </w:pPr>
      <w:r>
        <w:rPr>
          <w:rFonts w:ascii="Arial" w:cs="Arial" w:eastAsia="Arial" w:hAnsi="Arial"/>
          <w:sz w:val="14"/>
          <w:szCs w:val="14"/>
          <w:i w:val="1"/>
          <w:iCs w:val="1"/>
          <w:color w:val="auto"/>
        </w:rPr>
        <w:t>Our CAR-iNK cells and peripheral blood CAR-T cells were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14"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133985</wp:posOffset>
            </wp:positionV>
            <wp:extent cx="2971800" cy="1917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71800" cy="191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9" w:name="page120"/>
    <w:bookmarkEnd w:id="11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right="1279"/>
        <w:spacing w:after="0" w:line="227" w:lineRule="auto"/>
        <w:rPr>
          <w:sz w:val="20"/>
          <w:szCs w:val="20"/>
          <w:color w:val="auto"/>
        </w:rPr>
      </w:pPr>
      <w:r>
        <w:rPr>
          <w:rFonts w:ascii="Arial" w:cs="Arial" w:eastAsia="Arial" w:hAnsi="Arial"/>
          <w:sz w:val="14"/>
          <w:szCs w:val="14"/>
          <w:i w:val="1"/>
          <w:iCs w:val="1"/>
          <w:color w:val="auto"/>
        </w:rPr>
        <w:t>Our CAR-iNK cells were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w:t>
      </w:r>
    </w:p>
    <w:p>
      <w:pPr>
        <w:spacing w:after="0" w:line="2" w:lineRule="exact"/>
        <w:rPr>
          <w:sz w:val="20"/>
          <w:szCs w:val="20"/>
          <w:color w:val="auto"/>
        </w:rPr>
      </w:pPr>
    </w:p>
    <w:p>
      <w:pPr>
        <w:ind w:left="1240" w:right="1479" w:firstLine="9"/>
        <w:spacing w:after="0" w:line="239" w:lineRule="auto"/>
        <w:tabs>
          <w:tab w:leader="none" w:pos="1326"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tumor only well at time x) / (tumor and iNK well at first time point) * 100. Loss in killing activity was observed between rounds seven and eight.</w:t>
      </w:r>
    </w:p>
    <w:p>
      <w:pPr>
        <w:spacing w:after="0" w:line="94"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 xml:space="preserve">The tumor-killing potential of our iNK cells was confirmed through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evaluations. Raji lymphoma cells were administered intravenously to mice that were then dosed three consecutive days with both non-engineered and CAR-modified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Our CAR-iNK cells have robust anti-tumor activity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120650</wp:posOffset>
            </wp:positionV>
            <wp:extent cx="3107690" cy="2808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07690" cy="280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107" w:lineRule="exact"/>
        <w:rPr>
          <w:sz w:val="20"/>
          <w:szCs w:val="20"/>
          <w:color w:val="auto"/>
        </w:rPr>
      </w:pPr>
    </w:p>
    <w:p>
      <w:pPr>
        <w:ind w:left="1240" w:right="1379"/>
        <w:spacing w:after="0" w:line="277" w:lineRule="auto"/>
        <w:rPr>
          <w:sz w:val="20"/>
          <w:szCs w:val="20"/>
          <w:color w:val="auto"/>
        </w:rPr>
      </w:pPr>
      <w:r>
        <w:rPr>
          <w:rFonts w:ascii="Arial" w:cs="Arial" w:eastAsia="Arial" w:hAnsi="Arial"/>
          <w:sz w:val="14"/>
          <w:szCs w:val="14"/>
          <w:color w:val="auto"/>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CAR-iNK cells without the addition of the cytokine.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0" w:name="page121"/>
    <w:bookmarkEnd w:id="12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93345</wp:posOffset>
            </wp:positionV>
            <wp:extent cx="2359660" cy="2162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59660" cy="216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IPSC-derived iT cell platform</w:t>
      </w:r>
    </w:p>
    <w:p>
      <w:pPr>
        <w:spacing w:after="0" w:line="10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93345</wp:posOffset>
            </wp:positionV>
            <wp:extent cx="3427095" cy="1802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709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Proprietary Trusted TCR constructs enable our generation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w:t>
      </w:r>
    </w:p>
    <w:p>
      <w:pPr>
        <w:spacing w:after="0" w:line="60" w:lineRule="exact"/>
        <w:rPr>
          <w:sz w:val="20"/>
          <w:szCs w:val="20"/>
          <w:color w:val="auto"/>
        </w:rPr>
      </w:pPr>
    </w:p>
    <w:p>
      <w:pPr>
        <w:jc w:val="both"/>
        <w:ind w:left="1240" w:right="1399"/>
        <w:spacing w:after="0" w:line="263" w:lineRule="auto"/>
        <w:rPr>
          <w:sz w:val="20"/>
          <w:szCs w:val="20"/>
          <w:color w:val="auto"/>
        </w:rPr>
      </w:pPr>
      <w:r>
        <w:rPr>
          <w:rFonts w:ascii="Arial" w:cs="Arial" w:eastAsia="Arial" w:hAnsi="Arial"/>
          <w:sz w:val="14"/>
          <w:szCs w:val="14"/>
          <w:color w:val="auto"/>
        </w:rPr>
        <w:t>Many companies that are pursing the development of allogeneic T cell therapies engineer T cell with an intentionally deleted TCR to eliminate the risk of GvHD. We have taken a fundamentally different approach; we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1" w:name="page122"/>
    <w:bookmarkEnd w:id="12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95" w:lineRule="exact"/>
        <w:rPr>
          <w:sz w:val="20"/>
          <w:szCs w:val="20"/>
          <w:color w:val="auto"/>
        </w:rPr>
      </w:pPr>
    </w:p>
    <w:p>
      <w:pPr>
        <w:ind w:left="1240" w:right="1259"/>
        <w:spacing w:after="0" w:line="245" w:lineRule="auto"/>
        <w:rPr>
          <w:sz w:val="20"/>
          <w:szCs w:val="20"/>
          <w:color w:val="auto"/>
        </w:rPr>
      </w:pPr>
      <w:r>
        <w:rPr>
          <w:rFonts w:ascii="Arial" w:cs="Arial" w:eastAsia="Arial" w:hAnsi="Arial"/>
          <w:sz w:val="14"/>
          <w:szCs w:val="14"/>
          <w:color w:val="auto"/>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as a contrast to T cell engineered without a TCR.</w:t>
      </w:r>
    </w:p>
    <w:p>
      <w:pPr>
        <w:spacing w:after="0" w:line="256" w:lineRule="exact"/>
        <w:rPr>
          <w:sz w:val="20"/>
          <w:szCs w:val="20"/>
          <w:color w:val="auto"/>
        </w:rPr>
      </w:pPr>
    </w:p>
    <w:p>
      <w:pPr>
        <w:ind w:left="1240" w:right="1259"/>
        <w:spacing w:after="0" w:line="251" w:lineRule="auto"/>
        <w:rPr>
          <w:sz w:val="20"/>
          <w:szCs w:val="20"/>
          <w:color w:val="auto"/>
        </w:rPr>
      </w:pPr>
      <w:r>
        <w:rPr>
          <w:rFonts w:ascii="Arial" w:cs="Arial" w:eastAsia="Arial" w:hAnsi="Arial"/>
          <w:sz w:val="14"/>
          <w:szCs w:val="14"/>
          <w:color w:val="auto"/>
        </w:rPr>
        <w:t>For any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 approach there are two main strategies that can be deployed to make iPSC-derived T cells. The first is to begin with a T cell from 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114" w:lineRule="exact"/>
        <w:rPr>
          <w:sz w:val="20"/>
          <w:szCs w:val="20"/>
          <w:color w:val="auto"/>
        </w:rPr>
      </w:pPr>
    </w:p>
    <w:p>
      <w:pPr>
        <w:ind w:left="1240" w:right="1739"/>
        <w:spacing w:after="0" w:line="224" w:lineRule="auto"/>
        <w:rPr>
          <w:sz w:val="20"/>
          <w:szCs w:val="20"/>
          <w:color w:val="auto"/>
        </w:rPr>
      </w:pPr>
      <w:r>
        <w:rPr>
          <w:rFonts w:ascii="Arial" w:cs="Arial" w:eastAsia="Arial" w:hAnsi="Arial"/>
          <w:sz w:val="14"/>
          <w:szCs w:val="14"/>
          <w:b w:val="1"/>
          <w:bCs w:val="1"/>
          <w:i w:val="1"/>
          <w:iCs w:val="1"/>
          <w:color w:val="auto"/>
        </w:rPr>
        <w:t>Differentiation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 results in cells that co-express TCR and CD3 and can utilize an engineered CAR for target cell killing</w:t>
      </w:r>
    </w:p>
    <w:p>
      <w:pPr>
        <w:spacing w:after="0" w:line="93" w:lineRule="exact"/>
        <w:rPr>
          <w:sz w:val="20"/>
          <w:szCs w:val="20"/>
          <w:color w:val="auto"/>
        </w:rPr>
      </w:pPr>
    </w:p>
    <w:p>
      <w:pPr>
        <w:ind w:left="1240" w:right="1359"/>
        <w:spacing w:after="0" w:line="267" w:lineRule="auto"/>
        <w:rPr>
          <w:sz w:val="20"/>
          <w:szCs w:val="20"/>
          <w:color w:val="auto"/>
        </w:rPr>
      </w:pPr>
      <w:r>
        <w:rPr>
          <w:rFonts w:ascii="Arial" w:cs="Arial" w:eastAsia="Arial" w:hAnsi="Arial"/>
          <w:sz w:val="14"/>
          <w:szCs w:val="14"/>
          <w:color w:val="auto"/>
        </w:rPr>
        <w:t xml:space="preserve">The process for differentiating T cells from iPSC is a multistage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90"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Differentiation of γδ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106680</wp:posOffset>
            </wp:positionV>
            <wp:extent cx="3644900" cy="16998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44900"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2" w:name="page123"/>
    <w:bookmarkEnd w:id="12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A T-iPSC line that was derived from a γδ T cell was used to differentiate γδ T cells using a process that takes approximately 5-6 weeks. At the end of the process, cells were collected and stained for flow cytometry. The left panel demonstrates co-expression of CD3 and the γδ TCR on the cell surface of resulting iT cells. Because the T-iPSC line was also engineered with a CAR transgene, the CAR protein was also detected on the surface of these iT cells.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γδ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120650</wp:posOffset>
            </wp:positionV>
            <wp:extent cx="2251075" cy="17678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51075" cy="176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06"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For conventional αβ T cells, the current process yields iT cells that uniformly express the αβ TCR and CD3. These iPSCs were also engineered to express a CD19 CAR to evaluate their tumor cell killing activity. When the iPSC-derived αβ T cells were exposed to CD19-expressing lymphoma cells, the lymphoma cells were killed in an antigen-specific manner.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Differentiation of αβ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113665</wp:posOffset>
            </wp:positionV>
            <wp:extent cx="3481705" cy="15506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81705" cy="155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 Because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3" w:name="page124"/>
    <w:bookmarkEnd w:id="12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the T-iPSC line was also engineered with a CAR transgene, the CAR protein was also detected on the surface of these iT cells (right panel).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αβ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75565</wp:posOffset>
            </wp:positionV>
            <wp:extent cx="2693035" cy="2046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93035"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81280</wp:posOffset>
            </wp:positionV>
            <wp:extent cx="4134485" cy="15982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34485" cy="159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Serial killing of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tumor cells by CAR-γδ-iT cells is comparable to PBMC-derived CAR-T</w:t>
      </w:r>
    </w:p>
    <w:p>
      <w:pPr>
        <w:ind w:left="1240" w:right="1299"/>
        <w:spacing w:after="0" w:line="227" w:lineRule="auto"/>
        <w:rPr>
          <w:sz w:val="20"/>
          <w:szCs w:val="20"/>
          <w:color w:val="auto"/>
        </w:rPr>
      </w:pPr>
      <w:r>
        <w:rPr>
          <w:rFonts w:ascii="Arial" w:cs="Arial" w:eastAsia="Arial" w:hAnsi="Arial"/>
          <w:sz w:val="14"/>
          <w:szCs w:val="14"/>
          <w:i w:val="1"/>
          <w:iCs w:val="1"/>
          <w:color w:val="auto"/>
        </w:rPr>
        <w:t>cells. The serial killing assay was performed using an Incucyte instrument where viable tumor cells expressed Nuclight Red and were enumerated every 3 hours based on Red Calibrated Units, or RCU, a measure of total red fluorescence. At the beginning of the culture, 1e5 CAR-γδ-iT or CAR-T were added to each well followed by addition of 2e4 NALM-6 target cells (Nuclight Red+). Cells were cultured in complete medium with 10 ng/ml rhIL- 15. Every 24 hours, 2e4 fresh NALM-6 cells were added to the culture and data was recorded for 10 days. Increasing RCU indicates daily addition of new targets and/or outgrowth of tumor cells. Decreasing RCU indicates tumor cell killing by γδ CAR-iT cells or PBMC CAR-T cells.</w:t>
      </w:r>
    </w:p>
    <w:p>
      <w:pPr>
        <w:spacing w:after="0" w:line="110" w:lineRule="exact"/>
        <w:rPr>
          <w:sz w:val="20"/>
          <w:szCs w:val="20"/>
          <w:color w:val="auto"/>
        </w:rPr>
      </w:pPr>
    </w:p>
    <w:p>
      <w:pPr>
        <w:ind w:left="1240" w:right="1299"/>
        <w:spacing w:after="0" w:line="223" w:lineRule="auto"/>
        <w:rPr>
          <w:sz w:val="20"/>
          <w:szCs w:val="20"/>
          <w:color w:val="auto"/>
        </w:rPr>
      </w:pPr>
      <w:r>
        <w:rPr>
          <w:rFonts w:ascii="Arial" w:cs="Arial" w:eastAsia="Arial" w:hAnsi="Arial"/>
          <w:sz w:val="14"/>
          <w:szCs w:val="14"/>
          <w:color w:val="auto"/>
        </w:rPr>
        <w:t>Collectively, we have made significant progress in deriving iPSC lines that carry Trusted TCRs as well as refining the differentiation process to generate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that express a TCR and a CAR. The cells mediate robust killing</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4" w:name="page125"/>
    <w:bookmarkEnd w:id="12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development candidates</w:t>
      </w:r>
    </w:p>
    <w:p>
      <w:pPr>
        <w:spacing w:after="0" w:line="118" w:lineRule="exact"/>
        <w:rPr>
          <w:sz w:val="20"/>
          <w:szCs w:val="20"/>
          <w:color w:val="auto"/>
        </w:rPr>
      </w:pPr>
    </w:p>
    <w:p>
      <w:pPr>
        <w:ind w:left="1240" w:right="1279"/>
        <w:spacing w:after="0" w:line="246"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tumors and hematological malignancies. This pipeline is comprised of cell therapies that will address diseases where we believe current therapies are inadequate. Our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is designed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an IND in the second half of 2023. Our fourth product candidate, CNTY-104, is being developed to treat AML with the IND expected in mid 2024. 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213995</wp:posOffset>
            </wp:positionV>
            <wp:extent cx="3930650" cy="11087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3065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00" w:right="1359" w:hanging="251"/>
        <w:spacing w:after="0" w:line="244" w:lineRule="auto"/>
        <w:tabs>
          <w:tab w:leader="none" w:pos="150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4" w:lineRule="exact"/>
        <w:rPr>
          <w:sz w:val="20"/>
          <w:szCs w:val="20"/>
          <w:color w:val="auto"/>
        </w:rPr>
      </w:pPr>
    </w:p>
    <w:p>
      <w:pPr>
        <w:ind w:left="1240" w:right="1279"/>
        <w:spacing w:after="0" w:line="458" w:lineRule="auto"/>
        <w:rPr>
          <w:sz w:val="20"/>
          <w:szCs w:val="20"/>
          <w:color w:val="auto"/>
        </w:rPr>
      </w:pPr>
      <w:r>
        <w:rPr>
          <w:rFonts w:ascii="Arial" w:cs="Arial" w:eastAsia="Arial" w:hAnsi="Arial"/>
          <w:sz w:val="14"/>
          <w:szCs w:val="14"/>
          <w:b w:val="1"/>
          <w:bCs w:val="1"/>
          <w:i w:val="1"/>
          <w:iCs w:val="1"/>
          <w:color w:val="auto"/>
        </w:rPr>
        <w:t xml:space="preserve">CNTY-101: Our CAR-iNK candidate targeting CD19 for relapsed, refractory B-cell lymphoma </w:t>
      </w:r>
      <w:r>
        <w:rPr>
          <w:rFonts w:ascii="Arial" w:cs="Arial" w:eastAsia="Arial" w:hAnsi="Arial"/>
          <w:sz w:val="14"/>
          <w:szCs w:val="14"/>
          <w:i w:val="1"/>
          <w:iCs w:val="1"/>
          <w:color w:val="auto"/>
        </w:rPr>
        <w:t>Disease background</w:t>
      </w:r>
    </w:p>
    <w:p>
      <w:pPr>
        <w:spacing w:after="0" w:line="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Current treatment and shortcomings</w:t>
      </w:r>
    </w:p>
    <w:p>
      <w:pPr>
        <w:spacing w:after="0" w:line="13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9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5" w:name="page126"/>
    <w:bookmarkEnd w:id="12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39"/>
        <w:spacing w:after="0" w:line="259" w:lineRule="auto"/>
        <w:rPr>
          <w:sz w:val="20"/>
          <w:szCs w:val="20"/>
          <w:color w:val="auto"/>
        </w:rPr>
      </w:pPr>
      <w:r>
        <w:rPr>
          <w:rFonts w:ascii="Arial" w:cs="Arial" w:eastAsia="Arial" w:hAnsi="Arial"/>
          <w:sz w:val="14"/>
          <w:szCs w:val="14"/>
          <w:color w:val="auto"/>
        </w:rPr>
        <w:t>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 and development program</w:t>
      </w:r>
    </w:p>
    <w:p>
      <w:pPr>
        <w:spacing w:after="0" w:line="121" w:lineRule="exact"/>
        <w:rPr>
          <w:sz w:val="20"/>
          <w:szCs w:val="20"/>
          <w:color w:val="auto"/>
        </w:rPr>
      </w:pPr>
    </w:p>
    <w:p>
      <w:pPr>
        <w:jc w:val="both"/>
        <w:ind w:left="1240" w:right="1399"/>
        <w:spacing w:after="0" w:line="270" w:lineRule="auto"/>
        <w:rPr>
          <w:sz w:val="20"/>
          <w:szCs w:val="20"/>
          <w:color w:val="auto"/>
        </w:rPr>
      </w:pPr>
      <w:r>
        <w:rPr>
          <w:rFonts w:ascii="Arial" w:cs="Arial" w:eastAsia="Arial" w:hAnsi="Arial"/>
          <w:sz w:val="14"/>
          <w:szCs w:val="14"/>
          <w:color w:val="auto"/>
        </w:rPr>
        <w:t>Our lead product candidate, CNTY-101, is an allogeneic, iPSC-derived CAR-iNK cell product for the treatment of B-cell lymphomas. CNTY-101 has been engineered with the following features:</w:t>
      </w:r>
    </w:p>
    <w:p>
      <w:pPr>
        <w:spacing w:after="0" w:line="77" w:lineRule="exact"/>
        <w:rPr>
          <w:sz w:val="20"/>
          <w:szCs w:val="20"/>
          <w:color w:val="auto"/>
        </w:rPr>
      </w:pPr>
    </w:p>
    <w:p>
      <w:pPr>
        <w:ind w:left="1620" w:right="1459" w:hanging="114"/>
        <w:spacing w:after="0" w:line="286" w:lineRule="auto"/>
        <w:tabs>
          <w:tab w:leader="none" w:pos="1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expression of CD19 CAR to target malignant B cells. Our CAR construct uses the FMC63 scFv and the signaling domains of CD28 and CD3ζ;</w:t>
      </w:r>
    </w:p>
    <w:p>
      <w:pPr>
        <w:spacing w:after="0" w:line="44" w:lineRule="exact"/>
        <w:rPr>
          <w:rFonts w:ascii="Arial" w:cs="Arial" w:eastAsia="Arial" w:hAnsi="Arial"/>
          <w:sz w:val="14"/>
          <w:szCs w:val="14"/>
          <w:color w:val="auto"/>
        </w:rPr>
      </w:pPr>
    </w:p>
    <w:p>
      <w:pPr>
        <w:ind w:left="1620" w:hanging="114"/>
        <w:spacing w:after="0"/>
        <w:tabs>
          <w:tab w:leader="none" w:pos="1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knock-out of HLA-I and HLA-II to escape elimination by the patient’s CD8 and CD4 T cells;</w:t>
      </w:r>
    </w:p>
    <w:p>
      <w:pPr>
        <w:spacing w:after="0" w:line="96" w:lineRule="exact"/>
        <w:rPr>
          <w:rFonts w:ascii="Arial" w:cs="Arial" w:eastAsia="Arial" w:hAnsi="Arial"/>
          <w:sz w:val="14"/>
          <w:szCs w:val="14"/>
          <w:color w:val="auto"/>
        </w:rPr>
      </w:pPr>
    </w:p>
    <w:p>
      <w:pPr>
        <w:ind w:left="1620" w:hanging="114"/>
        <w:spacing w:after="0"/>
        <w:tabs>
          <w:tab w:leader="none" w:pos="1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knock-in of HLA-E to avoid killing by the patient’s NK cells;</w:t>
      </w:r>
    </w:p>
    <w:p>
      <w:pPr>
        <w:spacing w:after="0" w:line="85" w:lineRule="exact"/>
        <w:rPr>
          <w:rFonts w:ascii="Arial" w:cs="Arial" w:eastAsia="Arial" w:hAnsi="Arial"/>
          <w:sz w:val="14"/>
          <w:szCs w:val="14"/>
          <w:color w:val="auto"/>
        </w:rPr>
      </w:pPr>
    </w:p>
    <w:p>
      <w:pPr>
        <w:ind w:left="1620" w:right="1579" w:hanging="114"/>
        <w:spacing w:after="0" w:line="286" w:lineRule="auto"/>
        <w:tabs>
          <w:tab w:leader="none" w:pos="1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expression of IL-15 to provide homeostatic cytokine support to improve persistence and functionality; and</w:t>
      </w:r>
    </w:p>
    <w:p>
      <w:pPr>
        <w:spacing w:after="0" w:line="55" w:lineRule="exact"/>
        <w:rPr>
          <w:rFonts w:ascii="Arial" w:cs="Arial" w:eastAsia="Arial" w:hAnsi="Arial"/>
          <w:sz w:val="14"/>
          <w:szCs w:val="14"/>
          <w:color w:val="auto"/>
        </w:rPr>
      </w:pPr>
    </w:p>
    <w:p>
      <w:pPr>
        <w:ind w:left="1620" w:hanging="114"/>
        <w:spacing w:after="0"/>
        <w:tabs>
          <w:tab w:leader="none" w:pos="16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incorporation of an EGFR safety switch to allow for elimination of the product if necessary.</w:t>
      </w:r>
    </w:p>
    <w:p>
      <w:pPr>
        <w:spacing w:after="0" w:line="117"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106" w:lineRule="exact"/>
        <w:rPr>
          <w:sz w:val="20"/>
          <w:szCs w:val="20"/>
          <w:color w:val="auto"/>
        </w:rPr>
      </w:pPr>
    </w:p>
    <w:p>
      <w:pPr>
        <w:ind w:left="1240" w:right="1259"/>
        <w:spacing w:after="0" w:line="246" w:lineRule="auto"/>
        <w:rPr>
          <w:sz w:val="20"/>
          <w:szCs w:val="20"/>
          <w:color w:val="auto"/>
        </w:rPr>
      </w:pPr>
      <w:r>
        <w:rPr>
          <w:rFonts w:ascii="Arial" w:cs="Arial" w:eastAsia="Arial" w:hAnsi="Arial"/>
          <w:sz w:val="14"/>
          <w:szCs w:val="14"/>
          <w:color w:val="auto"/>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B-cell malignancies. The inclusion of a validated CAR construct in our first product candidate eliminates a key variable, i.e. the performance of a novel CAR construct, better enabling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engineered iNK platform to be validated in the initial studies. The validity of this therapeutic approach is further supported by a M.D. Anderson clinical trial of CAR-NK cells targeting CD19 used in the treatment of relapsed or refractory NHL and chronic lymphocytic leukemia, or CLL, patients. In that trial, eight of the 11 patients responded to treatment with seven patients achieving complete remission.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113665</wp:posOffset>
            </wp:positionV>
            <wp:extent cx="3971290" cy="17341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971290" cy="173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40" w:right="1399"/>
        <w:spacing w:after="0" w:line="307" w:lineRule="auto"/>
        <w:rPr>
          <w:sz w:val="20"/>
          <w:szCs w:val="20"/>
          <w:color w:val="auto"/>
        </w:rPr>
      </w:pPr>
      <w:r>
        <w:rPr>
          <w:rFonts w:ascii="Arial" w:cs="Arial" w:eastAsia="Arial" w:hAnsi="Arial"/>
          <w:sz w:val="14"/>
          <w:szCs w:val="14"/>
          <w:i w:val="1"/>
          <w:iCs w:val="1"/>
          <w:color w:val="auto"/>
        </w:rPr>
        <w:t>Left panel: engineered features of CNTY-101. Right panel: structure of the CD19 CAR construct used in CNTY-101</w:t>
      </w:r>
    </w:p>
    <w:p>
      <w:pPr>
        <w:spacing w:after="0" w:line="73"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have completed engineering of iPSC lines from five different donors and single cell cloning of numerous iPSC lines. The single cell clones are undergoing genotype and phenotype identity, purity, safety, manufacturability, and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6" w:name="page127"/>
    <w:bookmarkEnd w:id="12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359"/>
        <w:spacing w:after="0" w:line="261" w:lineRule="auto"/>
        <w:rPr>
          <w:sz w:val="20"/>
          <w:szCs w:val="20"/>
          <w:color w:val="auto"/>
        </w:rPr>
      </w:pPr>
      <w:r>
        <w:rPr>
          <w:rFonts w:ascii="Arial" w:cs="Arial" w:eastAsia="Arial" w:hAnsi="Arial"/>
          <w:sz w:val="14"/>
          <w:szCs w:val="14"/>
          <w:i w:val="1"/>
          <w:iCs w:val="1"/>
          <w:color w:val="auto"/>
        </w:rPr>
        <w:t xml:space="preserve">in vitro </w:t>
      </w:r>
      <w:r>
        <w:rPr>
          <w:rFonts w:ascii="Arial" w:cs="Arial" w:eastAsia="Arial" w:hAnsi="Arial"/>
          <w:sz w:val="14"/>
          <w:szCs w:val="14"/>
          <w:color w:val="auto"/>
        </w:rPr>
        <w:t>and</w:t>
      </w:r>
      <w:r>
        <w:rPr>
          <w:rFonts w:ascii="Arial" w:cs="Arial" w:eastAsia="Arial" w:hAnsi="Arial"/>
          <w:sz w:val="14"/>
          <w:szCs w:val="14"/>
          <w:i w:val="1"/>
          <w:iCs w:val="1"/>
          <w:color w:val="auto"/>
        </w:rPr>
        <w:t xml:space="preserve"> in vivo </w:t>
      </w:r>
      <w:r>
        <w:rPr>
          <w:rFonts w:ascii="Arial" w:cs="Arial" w:eastAsia="Arial" w:hAnsi="Arial"/>
          <w:sz w:val="14"/>
          <w:szCs w:val="14"/>
          <w:color w:val="auto"/>
        </w:rPr>
        <w:t>functional testing. CD19 iNK single cell clones demonstrate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cytotoxicity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comparable to CAR-T controls, and numerous cycles of serial killing after repeated challenge with lymphoma cells. CNTY-101 single cell clones also demonstrate IL-15 expression and persistence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as well as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tumor growth inhibition. We expect clinical candidate clone selection in the first half of 2021, and plan to move into IND-enabling preclinical and technical studies and manufacturing at that time. We currently anticipate filing an IND in mid 2022 to advance CNTY-101 into a Phase 1 clinical trial.</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Preclinical studies and selection of the final product candidate for CNTY-101</w:t>
      </w:r>
    </w:p>
    <w:p>
      <w:pPr>
        <w:spacing w:after="0" w:line="121" w:lineRule="exact"/>
        <w:rPr>
          <w:sz w:val="20"/>
          <w:szCs w:val="20"/>
          <w:color w:val="auto"/>
        </w:rPr>
      </w:pPr>
    </w:p>
    <w:p>
      <w:pPr>
        <w:ind w:left="1240" w:right="1299"/>
        <w:spacing w:after="0"/>
        <w:rPr>
          <w:sz w:val="20"/>
          <w:szCs w:val="20"/>
          <w:color w:val="auto"/>
        </w:rPr>
      </w:pPr>
      <w:r>
        <w:rPr>
          <w:rFonts w:ascii="Arial" w:cs="Arial" w:eastAsia="Arial" w:hAnsi="Arial"/>
          <w:sz w:val="14"/>
          <w:szCs w:val="14"/>
          <w:color w:val="auto"/>
        </w:rPr>
        <w:t>To identify the CNTY-101 clinical candidate, we engineered iPSC lines from five different donors. The initial characterization studies were done with bulk cells prior to single cell cloning (bulk-engineered cells), and we have now generated additional data with single-cell clones. To identify the candidate, we have narrowed down to six clonal cell lines derived from two donors. The initial evaluation of the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features and safety switch was done on bulk-engineered iPSC lines.</w:t>
      </w:r>
    </w:p>
    <w:p>
      <w:pPr>
        <w:spacing w:after="0" w:line="28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Allo-Evasion</w:t>
      </w:r>
      <w:r>
        <w:rPr>
          <w:rFonts w:ascii="Arial" w:cs="Arial" w:eastAsia="Arial" w:hAnsi="Arial"/>
          <w:sz w:val="21"/>
          <w:szCs w:val="21"/>
          <w:i w:val="1"/>
          <w:iCs w:val="1"/>
          <w:color w:val="auto"/>
          <w:vertAlign w:val="superscript"/>
        </w:rPr>
        <w:t>TM</w:t>
      </w:r>
      <w:r>
        <w:rPr>
          <w:rFonts w:ascii="Arial" w:cs="Arial" w:eastAsia="Arial" w:hAnsi="Arial"/>
          <w:sz w:val="14"/>
          <w:szCs w:val="14"/>
          <w:i w:val="1"/>
          <w:iCs w:val="1"/>
          <w:color w:val="auto"/>
        </w:rPr>
        <w:t xml:space="preserve"> studies with bulk-engineered CAR-iNK cells</w:t>
      </w:r>
    </w:p>
    <w:p>
      <w:pPr>
        <w:spacing w:after="0" w:line="79" w:lineRule="exact"/>
        <w:rPr>
          <w:sz w:val="20"/>
          <w:szCs w:val="20"/>
          <w:color w:val="auto"/>
        </w:rPr>
      </w:pPr>
    </w:p>
    <w:p>
      <w:pPr>
        <w:ind w:left="1240" w:right="1379"/>
        <w:spacing w:after="0"/>
        <w:rPr>
          <w:sz w:val="20"/>
          <w:szCs w:val="20"/>
          <w:color w:val="auto"/>
        </w:rPr>
      </w:pPr>
      <w:r>
        <w:rPr>
          <w:rFonts w:ascii="Arial" w:cs="Arial" w:eastAsia="Arial" w:hAnsi="Arial"/>
          <w:sz w:val="14"/>
          <w:szCs w:val="14"/>
          <w:color w:val="auto"/>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products, HLA-I will be uniformly absent from all iNK cells.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106680</wp:posOffset>
            </wp:positionV>
            <wp:extent cx="2509520" cy="1924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09520"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40" w:right="1299"/>
        <w:spacing w:after="0" w:line="234" w:lineRule="auto"/>
        <w:rPr>
          <w:sz w:val="20"/>
          <w:szCs w:val="20"/>
          <w:color w:val="auto"/>
        </w:rPr>
      </w:pPr>
      <w:r>
        <w:rPr>
          <w:rFonts w:ascii="Arial" w:cs="Arial" w:eastAsia="Arial" w:hAnsi="Arial"/>
          <w:sz w:val="14"/>
          <w:szCs w:val="14"/>
          <w:i w:val="1"/>
          <w:iCs w:val="1"/>
          <w:color w:val="auto"/>
        </w:rPr>
        <w:t>Elimination of HLA-I prevents allogeneic immune recognition of iNK cells by CD8 T cells. To determine if removal of HLA-I via β2m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97" w:lineRule="exact"/>
        <w:rPr>
          <w:sz w:val="20"/>
          <w:szCs w:val="20"/>
          <w:color w:val="auto"/>
        </w:rPr>
      </w:pPr>
    </w:p>
    <w:p>
      <w:pPr>
        <w:ind w:left="1240" w:right="1319"/>
        <w:spacing w:after="0"/>
        <w:rPr>
          <w:sz w:val="20"/>
          <w:szCs w:val="20"/>
          <w:color w:val="auto"/>
        </w:rPr>
      </w:pPr>
      <w:r>
        <w:rPr>
          <w:rFonts w:ascii="Arial" w:cs="Arial" w:eastAsia="Arial" w:hAnsi="Arial"/>
          <w:sz w:val="14"/>
          <w:szCs w:val="14"/>
          <w:color w:val="auto"/>
        </w:rPr>
        <w:t>Deletion of HLA-I prevents the recognition of our iNK cells by allogeneic T cells, but on the other hand, it exposes the iNK cells to killing by the patient’s NK cells. NK cells can sense the lack of HLA-I as a danger signal (missing self-hypothesis) and eliminate HLA-I negative cells. As part of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engineered the expression of HLA-E, a monomorphic MHC Class I related molecule to prevent the killing of the HLA-I null iNK cells. HLA-E engages an inhibitory receptor, NKG2A on NK cells and prevents their cytolytic activity. Our data with bulk-engineered iNK cells indicates that HLA-E is effective in mitigating the killing of the null iNK cells.</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7" w:name="page128"/>
    <w:bookmarkEnd w:id="12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Expression of HLA-E prevents killing of iNK cells</w:t>
      </w:r>
    </w:p>
    <w:p>
      <w:pPr>
        <w:spacing w:after="0" w:line="2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68580</wp:posOffset>
            </wp:positionV>
            <wp:extent cx="3406775" cy="17341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06775" cy="173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i w:val="1"/>
          <w:iCs w:val="1"/>
          <w:color w:val="auto"/>
        </w:rPr>
        <w:t>In contrast with HLA-I null iNK cells, which are killed by allogeneic NK cells, HLA-I null iNK cells engineered with HLA-E are mostly protected from killing by allogeneic NK cells.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Evaluation of the EGFR safety switch with bulk engineered CAR-iNK cells</w:t>
      </w:r>
    </w:p>
    <w:p>
      <w:pPr>
        <w:spacing w:after="0" w:line="131"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 xml:space="preserve">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 Cetuximab engages FcγR on innate immune cells, such as NK cells and macrophages, to eliminate EFGR-expressing cells through ADCC or ADCP. Our preliminary data from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indicates that the cetuximab effectively triggers the elimination of iNK cells engineered with our EGFR safety switch from different tissues including blood, liver, and lungs.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73025</wp:posOffset>
            </wp:positionV>
            <wp:extent cx="4011930" cy="2033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11930" cy="203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40" w:right="1439"/>
        <w:spacing w:after="0" w:line="241" w:lineRule="auto"/>
        <w:rPr>
          <w:sz w:val="20"/>
          <w:szCs w:val="20"/>
          <w:color w:val="auto"/>
        </w:rPr>
      </w:pPr>
      <w:r>
        <w:rPr>
          <w:rFonts w:ascii="Arial" w:cs="Arial" w:eastAsia="Arial" w:hAnsi="Arial"/>
          <w:sz w:val="14"/>
          <w:szCs w:val="14"/>
          <w:i w:val="1"/>
          <w:iCs w:val="1"/>
          <w:color w:val="auto"/>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8" w:name="page129"/>
    <w:bookmarkEnd w:id="12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cloning of engineered iPSC from different donors to identify the final clinical candidate</w:t>
      </w:r>
    </w:p>
    <w:p>
      <w:pPr>
        <w:spacing w:after="0" w:line="131"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 xml:space="preserve">We have now completed the single cell cloning of engineered iPSC lines from three different donors. The single cell clones have been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and manufacturability screens. We have narrowed down the number of candidates to six clonal lines from two different donors. These lines are being evaluated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for final clinical candidate selection, which is set to occur in the first half of 2021. We anticipate filing an IND in mid 2022 and subsequently advance CNTY-101 into a Phase</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 clinical trial.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120650</wp:posOffset>
            </wp:positionV>
            <wp:extent cx="4134485" cy="16046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34485" cy="160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Selected single-cell clones express engineered transgenes in virtually all cells after expansion</w:t>
      </w:r>
    </w:p>
    <w:p>
      <w:pPr>
        <w:spacing w:after="0" w:line="142"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We have run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9" w:name="page130"/>
    <w:bookmarkEnd w:id="12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127000</wp:posOffset>
            </wp:positionV>
            <wp:extent cx="3896360" cy="3230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96360" cy="323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40" w:right="1279"/>
        <w:spacing w:after="0" w:line="252" w:lineRule="auto"/>
        <w:rPr>
          <w:sz w:val="20"/>
          <w:szCs w:val="20"/>
          <w:color w:val="auto"/>
        </w:rPr>
      </w:pPr>
      <w:r>
        <w:rPr>
          <w:rFonts w:ascii="Arial" w:cs="Arial" w:eastAsia="Arial" w:hAnsi="Arial"/>
          <w:sz w:val="14"/>
          <w:szCs w:val="14"/>
          <w:i w:val="1"/>
          <w:iCs w:val="1"/>
          <w:color w:val="auto"/>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Functional analysis of iNK cells generated from individual iPSC clones reveals meaningful</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differences in the </w:t>
      </w:r>
      <w:r>
        <w:rPr>
          <w:rFonts w:ascii="Arial" w:cs="Arial" w:eastAsia="Arial" w:hAnsi="Arial"/>
          <w:sz w:val="14"/>
          <w:szCs w:val="14"/>
          <w:b w:val="1"/>
          <w:bCs w:val="1"/>
          <w:i w:val="1"/>
          <w:iCs w:val="1"/>
          <w:color w:val="auto"/>
        </w:rPr>
        <w:t>in vitro</w:t>
      </w:r>
      <w:r>
        <w:rPr>
          <w:rFonts w:ascii="Arial" w:cs="Arial" w:eastAsia="Arial" w:hAnsi="Arial"/>
          <w:sz w:val="14"/>
          <w:szCs w:val="14"/>
          <w:b w:val="1"/>
          <w:bCs w:val="1"/>
          <w:color w:val="auto"/>
        </w:rPr>
        <w:t xml:space="preserve"> persistence and killing capacity of clinical candidates.</w:t>
      </w:r>
    </w:p>
    <w:p>
      <w:pPr>
        <w:spacing w:after="0" w:line="168" w:lineRule="exact"/>
        <w:rPr>
          <w:sz w:val="20"/>
          <w:szCs w:val="20"/>
          <w:color w:val="auto"/>
        </w:rPr>
      </w:pPr>
    </w:p>
    <w:p>
      <w:pPr>
        <w:ind w:left="1240" w:right="1299"/>
        <w:spacing w:after="0" w:line="291" w:lineRule="auto"/>
        <w:rPr>
          <w:sz w:val="20"/>
          <w:szCs w:val="20"/>
          <w:color w:val="auto"/>
        </w:rPr>
      </w:pPr>
      <w:r>
        <w:rPr>
          <w:rFonts w:ascii="Arial" w:cs="Arial" w:eastAsia="Arial" w:hAnsi="Arial"/>
          <w:sz w:val="14"/>
          <w:szCs w:val="14"/>
          <w:color w:val="auto"/>
        </w:rPr>
        <w:t xml:space="preserve">In addition to assuring uniform transgene expression in the clones under consideration for clinical candidate selection, we compared two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 there was a meaningful difference between clones in the recovery of iNK cells after a seven day culture, with three clones demonstrating particularly favorable persistence.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0" w:name="page131"/>
    <w:bookmarkEnd w:id="13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433705</wp:posOffset>
            </wp:positionV>
            <wp:extent cx="4127500" cy="171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127500" cy="171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40" w:right="1299"/>
        <w:spacing w:after="0" w:line="193" w:lineRule="auto"/>
        <w:rPr>
          <w:sz w:val="20"/>
          <w:szCs w:val="20"/>
          <w:color w:val="auto"/>
        </w:rPr>
      </w:pPr>
      <w:r>
        <w:rPr>
          <w:rFonts w:ascii="Arial" w:cs="Arial" w:eastAsia="Arial" w:hAnsi="Arial"/>
          <w:sz w:val="14"/>
          <w:szCs w:val="14"/>
          <w:i w:val="1"/>
          <w:iCs w:val="1"/>
          <w:color w:val="auto"/>
        </w:rPr>
        <w:t>Average iNK cell number as measured by flow cytometry at the conclusion of the 7 day persistence assay. iNK cells were cultured alone or in co-culture with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NALM6 or REH cells</w:t>
      </w:r>
    </w:p>
    <w:p>
      <w:pPr>
        <w:spacing w:after="0" w:line="1" w:lineRule="exact"/>
        <w:rPr>
          <w:sz w:val="20"/>
          <w:szCs w:val="20"/>
          <w:color w:val="auto"/>
        </w:rPr>
      </w:pPr>
    </w:p>
    <w:p>
      <w:pPr>
        <w:ind w:left="1240" w:right="1439"/>
        <w:spacing w:after="0"/>
        <w:rPr>
          <w:sz w:val="20"/>
          <w:szCs w:val="20"/>
          <w:color w:val="auto"/>
        </w:rPr>
      </w:pPr>
      <w:r>
        <w:rPr>
          <w:rFonts w:ascii="Arial" w:cs="Arial" w:eastAsia="Arial" w:hAnsi="Arial"/>
          <w:sz w:val="14"/>
          <w:szCs w:val="14"/>
          <w:i w:val="1"/>
          <w:iCs w:val="1"/>
          <w:color w:val="auto"/>
        </w:rPr>
        <w:t>at an effector to target ratio of 1:1 in the absence of any exogenous cytokine support for 7 days and then analyzed by flow cytometry. The iNK cell population was defined as live, CD45</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CD56</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cells.</w:t>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clones mediate serial killing of lymphoma cells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to characterize and distinguish CAR-iNK cell clones. Our most potent clones (iPSC611, iPSC387, iPSC384) sustain serial killing activity for over ten rounds of killing. These clones have now progressed to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for characterization of their anti-tumor activity against human lymphoma xenografts. These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will determine the final choice of the iPSC clone that will be selected to generate the CNTY-101 clinical candidate.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113665</wp:posOffset>
            </wp:positionV>
            <wp:extent cx="4073525" cy="1924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73525"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1240" w:right="1299"/>
        <w:spacing w:after="0" w:line="241" w:lineRule="auto"/>
        <w:rPr>
          <w:sz w:val="20"/>
          <w:szCs w:val="20"/>
          <w:color w:val="auto"/>
        </w:rPr>
      </w:pPr>
      <w:r>
        <w:rPr>
          <w:rFonts w:ascii="Arial" w:cs="Arial" w:eastAsia="Arial" w:hAnsi="Arial"/>
          <w:sz w:val="14"/>
          <w:szCs w:val="14"/>
          <w:i w:val="1"/>
          <w:iCs w:val="1"/>
          <w:color w:val="auto"/>
        </w:rPr>
        <w:t>To demonstrate the ability of our clonal CAR-iNK cells to kill lymphoma cells over multiple rounds of tumor challenge, NuclightRed labeled Nalm-6 CD19+ lymphoma cells were cocultured with iNK clones at an E:T ratio of 5:1. The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1" w:name="page132"/>
    <w:bookmarkEnd w:id="13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399"/>
        <w:spacing w:after="0" w:line="249" w:lineRule="auto"/>
        <w:rPr>
          <w:sz w:val="20"/>
          <w:szCs w:val="20"/>
          <w:color w:val="auto"/>
        </w:rPr>
      </w:pPr>
      <w:r>
        <w:rPr>
          <w:rFonts w:ascii="Arial" w:cs="Arial" w:eastAsia="Arial" w:hAnsi="Arial"/>
          <w:sz w:val="14"/>
          <w:szCs w:val="14"/>
          <w:i w:val="1"/>
          <w:iCs w:val="1"/>
          <w:color w:val="auto"/>
        </w:rPr>
        <w:t>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Preliminary assessment of CD19 CAR-iNK cell clone inhibition of tumor growth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133985</wp:posOffset>
            </wp:positionV>
            <wp:extent cx="3189605" cy="26657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8960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right="1339"/>
        <w:spacing w:after="0" w:line="244" w:lineRule="auto"/>
        <w:rPr>
          <w:sz w:val="20"/>
          <w:szCs w:val="20"/>
          <w:color w:val="auto"/>
        </w:rPr>
      </w:pPr>
      <w:r>
        <w:rPr>
          <w:rFonts w:ascii="Arial" w:cs="Arial" w:eastAsia="Arial" w:hAnsi="Arial"/>
          <w:sz w:val="14"/>
          <w:szCs w:val="14"/>
          <w:i w:val="1"/>
          <w:iCs w:val="1"/>
          <w:color w:val="auto"/>
        </w:rPr>
        <w:t>The clones that performed best in the persistence and serial killing assays shown above were advanced into in vivo tumor growth inhibition studies. The CD19 expressing NALM6 lymphoma model was used in a mouse xenograft model to determine the impact of the three leading clones (as determined above) on tumor growth. Tumor was established on day zero and iNK cells derived from single-cell clones (iPSC384, iPSC387, iPSC611)or bulk engineered iNK cells (iPSC300) were administered intravenously on days 1, 8, and 15. As predicted, each of the three lines derived from single-cell clones mediated significant anti-tumor growth inhibition which was greater than CD19 CAR-iNK cells derived from the bulk culture (iPSC300).</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Single-cell clones eliminate CD19+ B cells</w:t>
      </w:r>
    </w:p>
    <w:p>
      <w:pPr>
        <w:spacing w:after="0" w:line="131" w:lineRule="exact"/>
        <w:rPr>
          <w:sz w:val="20"/>
          <w:szCs w:val="20"/>
          <w:color w:val="auto"/>
        </w:rPr>
      </w:pPr>
    </w:p>
    <w:p>
      <w:pPr>
        <w:ind w:left="1240" w:right="1299"/>
        <w:spacing w:after="0" w:line="289" w:lineRule="auto"/>
        <w:rPr>
          <w:sz w:val="20"/>
          <w:szCs w:val="20"/>
          <w:color w:val="auto"/>
        </w:rPr>
      </w:pPr>
      <w:r>
        <w:rPr>
          <w:rFonts w:ascii="Arial" w:cs="Arial" w:eastAsia="Arial" w:hAnsi="Arial"/>
          <w:sz w:val="14"/>
          <w:szCs w:val="14"/>
          <w:color w:val="auto"/>
        </w:rPr>
        <w:t>One of the key hallmarks of approved CD19 CAR-T cell therapy is the observation that patients who respond to treatment have B-cell aplasia (loss of B cells). Because normal B-cells express CD19, B-cell aplasia is expected during CD19 CAR-T cell treatment and has been used as a pharmacodynamic indicator of CAR-T cell activity. 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B-cell aplasia should be expected during treatment of lymphoma patients. B-cell aplasia is expected to benefit our Allo-Evasion™ strategy by further reducing the chance of patients mounting a humoral anti-iNK cell antibody response.</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2" w:name="page133"/>
    <w:bookmarkEnd w:id="13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B Cells in Co-cultures of PBMCs with CAR-iNK Cells Derived from Single-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122555</wp:posOffset>
            </wp:positionV>
            <wp:extent cx="3420745" cy="22574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0745"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b w:val="1"/>
          <w:bCs w:val="1"/>
          <w:i w:val="1"/>
          <w:iCs w:val="1"/>
          <w:color w:val="auto"/>
        </w:rPr>
        <w:t>Elimination of normal B cells from whole PBMCs by our top candidate iNK single-cell clones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To evaluate B-cell killing activity in-vitro, CAR-iNK cells derived from six single-cell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CNTY-101 clinical development program</w:t>
      </w:r>
    </w:p>
    <w:p>
      <w:pPr>
        <w:spacing w:after="0" w:line="131" w:lineRule="exact"/>
        <w:rPr>
          <w:sz w:val="20"/>
          <w:szCs w:val="20"/>
          <w:color w:val="auto"/>
        </w:rPr>
      </w:pPr>
    </w:p>
    <w:p>
      <w:pPr>
        <w:jc w:val="both"/>
        <w:ind w:left="1240" w:right="1419"/>
        <w:spacing w:after="0" w:line="241" w:lineRule="auto"/>
        <w:rPr>
          <w:sz w:val="20"/>
          <w:szCs w:val="20"/>
          <w:color w:val="auto"/>
        </w:rPr>
      </w:pPr>
      <w:r>
        <w:rPr>
          <w:rFonts w:ascii="Arial" w:cs="Arial" w:eastAsia="Arial" w:hAnsi="Arial"/>
          <w:sz w:val="14"/>
          <w:szCs w:val="14"/>
          <w:color w:val="auto"/>
        </w:rPr>
        <w:t>We believe the successful development of CNTY-101 will enable us to establish clinical proof of concept for our CAR-iNT cell therapy and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CNTY-101 is projected to enter preclinical and technical IND-enabling studies and manufacturing this year, supporting an IND filing in the middle of 2022.</w:t>
      </w:r>
    </w:p>
    <w:p>
      <w:pPr>
        <w:spacing w:after="0" w:line="12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intend to initiate a first-in-human Phase 1 clinical study in the United States in 2022, in relapsed and refractory large B-cell lymphoma, or RR NHL, patients including dose escalation and expansion portions, designed to evaluate the safety, tolerability, pharmacokinetics, persistence, efficacy, and recommended Phase 2 dose and schedule of CNTY-101. We plan to assess both CD19-naïve and CD19-CAR-T treated patients who have relapsed. We will evaluate dose and dosing schedule, and characterize repeat dosing and its impact on safety, persistence, and efficacy. Depending on FDA feedback on our study design, we’re expecting to be able to evaluate preliminary safety in several patients approximately six months after study start and preliminary efficacy approximately nine to twelve months after study start. CNTY-101 will allow for benchmarking, where safety and efficacy can be compared to the available results for mono-specific CD19 autologous and allogeneic therapies that also utilize the FMC63 binder and CAR.</w:t>
      </w:r>
    </w:p>
    <w:p>
      <w:pPr>
        <w:spacing w:after="0" w:line="113"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primary objective of the Phase 1 clinical study will be to evaluate incidence and nature of dose-limiting toxicities within each dose level cohort. The secondary objectives of the study will include cell pharmacokinetics and persistence, incidence, nature, and severity of adverse events, overall response rate, complete and partial response rates, and duration of response, among other measures. Exploratory measures will include evaluation of immunogenicity, correlation of antigen expression with response, and cytokine profile as a reporter of safety.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3" w:name="page134"/>
    <w:bookmarkEnd w:id="13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believe CNTY-101 may provide significant treatment advantages including (i) as a result of our ability to repeat dose, the potential to enhance objective response rates, or ORRs, and the duration of response, or DoR; (ii) 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134" w:lineRule="exact"/>
        <w:rPr>
          <w:sz w:val="20"/>
          <w:szCs w:val="20"/>
          <w:color w:val="auto"/>
        </w:rPr>
      </w:pPr>
    </w:p>
    <w:p>
      <w:pPr>
        <w:ind w:left="1240" w:right="1639"/>
        <w:spacing w:after="0" w:line="450" w:lineRule="auto"/>
        <w:rPr>
          <w:sz w:val="20"/>
          <w:szCs w:val="20"/>
          <w:color w:val="auto"/>
        </w:rPr>
      </w:pPr>
      <w:r>
        <w:rPr>
          <w:rFonts w:ascii="Arial" w:cs="Arial" w:eastAsia="Arial" w:hAnsi="Arial"/>
          <w:sz w:val="14"/>
          <w:szCs w:val="14"/>
          <w:b w:val="1"/>
          <w:bCs w:val="1"/>
          <w:i w:val="1"/>
          <w:iCs w:val="1"/>
          <w:color w:val="auto"/>
        </w:rPr>
        <w:t xml:space="preserve">CNTY-103: Our CAR iNK candidate targeting CD133 + EGFR for recurrent glioblastoma </w:t>
      </w:r>
      <w:r>
        <w:rPr>
          <w:rFonts w:ascii="Arial" w:cs="Arial" w:eastAsia="Arial" w:hAnsi="Arial"/>
          <w:sz w:val="14"/>
          <w:szCs w:val="14"/>
          <w:i w:val="1"/>
          <w:iCs w:val="1"/>
          <w:color w:val="auto"/>
        </w:rPr>
        <w:t>Disease background</w:t>
      </w:r>
    </w:p>
    <w:p>
      <w:pPr>
        <w:spacing w:after="0" w:line="1" w:lineRule="exact"/>
        <w:rPr>
          <w:sz w:val="20"/>
          <w:szCs w:val="20"/>
          <w:color w:val="auto"/>
        </w:rPr>
      </w:pPr>
    </w:p>
    <w:p>
      <w:pPr>
        <w:ind w:left="1240" w:right="1299"/>
        <w:spacing w:after="0" w:line="244" w:lineRule="auto"/>
        <w:rPr>
          <w:sz w:val="20"/>
          <w:szCs w:val="20"/>
          <w:color w:val="auto"/>
        </w:rPr>
      </w:pPr>
      <w:r>
        <w:rPr>
          <w:rFonts w:ascii="Arial" w:cs="Arial" w:eastAsia="Arial" w:hAnsi="Arial"/>
          <w:sz w:val="14"/>
          <w:szCs w:val="14"/>
          <w:color w:val="auto"/>
        </w:rPr>
        <w:t>GBM is the most aggressive cancer that originates in the brain and accounts for 15% of all brain cancers. There is no known cure for this form of cancer and as such, GBM represents a significant unmet medical need. Treatment for GBM involves surgery followed by chemotherapy and radiation and is considered only palliative as patient relapse is virtually inevitable. Surgical removal of the tumor mass is often complicated by tumor growth into critical regions or the brain, which cannot be excised surgically. While Avastin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Gliadel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have been approved for use in the treatment of recurrent GBM, their therapeutic benefit is modest. Duration of survival after diagnosis is generally 12 to 15 months with treatment, 3 months without treatment. Recurrence is virtually inevitable, with short survival times and no effective therapies.</w:t>
      </w:r>
    </w:p>
    <w:p>
      <w:pPr>
        <w:spacing w:after="0" w:line="14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w:t>
      </w:r>
    </w:p>
    <w:p>
      <w:pPr>
        <w:spacing w:after="0" w:line="131" w:lineRule="exact"/>
        <w:rPr>
          <w:sz w:val="20"/>
          <w:szCs w:val="20"/>
          <w:color w:val="auto"/>
        </w:rPr>
      </w:pPr>
    </w:p>
    <w:p>
      <w:pPr>
        <w:ind w:left="1240" w:right="1259"/>
        <w:spacing w:after="0" w:line="243" w:lineRule="auto"/>
        <w:rPr>
          <w:sz w:val="20"/>
          <w:szCs w:val="20"/>
          <w:color w:val="auto"/>
        </w:rPr>
      </w:pPr>
      <w:r>
        <w:rPr>
          <w:rFonts w:ascii="Arial" w:cs="Arial" w:eastAsia="Arial" w:hAnsi="Arial"/>
          <w:sz w:val="14"/>
          <w:szCs w:val="14"/>
          <w:color w:val="auto"/>
        </w:rPr>
        <w:t>We are pursuing a novel and differentiated approach to the treatment of recurrent GBM using allogeneic iNK cells. Our initial GBM product candidate, CNTY-103, is a dual-targeted CD133 + EGFR iNK,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product, engineered to express IL-15, a safety switch to allow for cell removal and possibly a PET reporter for imaging of the cells after administration to the patients. A dual-target should advantage our treatment strategy, as GBM tumor cells have high target heterogeneity. We believe an iNK cell product will minimize clinical safety risks such as cytokine release syndrome, and our ability to locally administer may minimize systemic toxicity and could eliminate the need for lymphodepletion, allowing older and less fit patients to have access to treatment. CNTY-103 represents our first clinical candidate targeting a solid tumor.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CNTY-103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113665</wp:posOffset>
            </wp:positionV>
            <wp:extent cx="2128520" cy="21488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2852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4" w:name="page135"/>
    <w:bookmarkEnd w:id="13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9" w:lineRule="auto"/>
        <w:rPr>
          <w:sz w:val="20"/>
          <w:szCs w:val="20"/>
          <w:color w:val="auto"/>
        </w:rPr>
      </w:pPr>
      <w:r>
        <w:rPr>
          <w:rFonts w:ascii="Arial" w:cs="Arial" w:eastAsia="Arial" w:hAnsi="Arial"/>
          <w:sz w:val="14"/>
          <w:szCs w:val="14"/>
          <w:color w:val="auto"/>
        </w:rPr>
        <w:t>Through our June 2020 acquisition of the assets of Empirica Therapeutics Inc., or Empirica, we gained access to a broad set of assets to enable the development of novel cell therapies for GBM. This acquisition brought us significant GBM expertise, direct access to tumor tissue from GBM patients, new potential targets for GBM CARs, novel, proprietary preclinical models of GBM, and access to an established laboratory to conduct development activities. These models involve the administration of the human tumor xenografts into mouse brains and delivery of the cell therapy candidates directly to sites in the brain where the tumor cells were implanted. These xenograft GBM models have been used to demonstrate the potential utility of CD133 CAR-T therapy to treat GBM. As seen in the data presented below, the CD133 CAR originally developed by Empirica demonstrates compelling anti-tumor activity against three different GBM tumors that express CD133.</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CD133 CAR-T cells display strong </w:t>
      </w:r>
      <w:r>
        <w:rPr>
          <w:rFonts w:ascii="Arial" w:cs="Arial" w:eastAsia="Arial" w:hAnsi="Arial"/>
          <w:sz w:val="14"/>
          <w:szCs w:val="14"/>
          <w:b w:val="1"/>
          <w:bCs w:val="1"/>
          <w:i w:val="1"/>
          <w:iCs w:val="1"/>
          <w:color w:val="auto"/>
        </w:rPr>
        <w:t>in vivo</w:t>
      </w:r>
      <w:r>
        <w:rPr>
          <w:rFonts w:ascii="Arial" w:cs="Arial" w:eastAsia="Arial" w:hAnsi="Arial"/>
          <w:sz w:val="14"/>
          <w:szCs w:val="14"/>
          <w:b w:val="1"/>
          <w:bCs w:val="1"/>
          <w:color w:val="auto"/>
        </w:rPr>
        <w:t xml:space="preserve"> anti-tumor activity against GBM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133985</wp:posOffset>
            </wp:positionV>
            <wp:extent cx="3434080" cy="131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34080" cy="131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40" w:right="1319"/>
        <w:spacing w:after="0" w:line="294" w:lineRule="auto"/>
        <w:rPr>
          <w:sz w:val="20"/>
          <w:szCs w:val="20"/>
          <w:color w:val="auto"/>
        </w:rPr>
      </w:pPr>
      <w:r>
        <w:rPr>
          <w:rFonts w:ascii="Arial" w:cs="Arial" w:eastAsia="Arial" w:hAnsi="Arial"/>
          <w:sz w:val="14"/>
          <w:szCs w:val="14"/>
          <w:color w:val="auto"/>
        </w:rPr>
        <w:t xml:space="preserve">As is depicted in the cross-sectional images presented below, results achieved in an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mouse model provide further evidence of the utility of CD133 as a therapeutic target. Tumor cells were implanted into the brains of mice and the mice administered either a CAR-control or a CAR targeting CD133. The image on the left, which reflects tumor growth, is representative of mice dosed with the control CAR. Mice treated with the CAR-targeting CD133 through intracranial delivery, shown on the right, displayed significant tumor shrinkage.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CD133 targeted CARs significantly reduced tumor burden in preclinical </w:t>
      </w:r>
      <w:r>
        <w:rPr>
          <w:rFonts w:ascii="Arial" w:cs="Arial" w:eastAsia="Arial" w:hAnsi="Arial"/>
          <w:sz w:val="14"/>
          <w:szCs w:val="14"/>
          <w:b w:val="1"/>
          <w:bCs w:val="1"/>
          <w:i w:val="1"/>
          <w:iCs w:val="1"/>
          <w:color w:val="auto"/>
        </w:rPr>
        <w:t>in-vivo</w:t>
      </w:r>
      <w:r>
        <w:rPr>
          <w:rFonts w:ascii="Arial" w:cs="Arial" w:eastAsia="Arial" w:hAnsi="Arial"/>
          <w:sz w:val="14"/>
          <w:szCs w:val="14"/>
          <w:b w:val="1"/>
          <w:bCs w:val="1"/>
          <w:color w:val="auto"/>
        </w:rPr>
        <w:t xml:space="preserv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Tumor shrinkage leads to increased survival, as outlined in the graph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5" w:name="page136"/>
    <w:bookmarkEnd w:id="13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Tumor shrinkage led to improved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113665</wp:posOffset>
            </wp:positionV>
            <wp:extent cx="3107690" cy="18357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07690" cy="183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i w:val="1"/>
          <w:iCs w:val="1"/>
          <w:color w:val="auto"/>
        </w:rPr>
        <w:t>Mice intracranially treated with CART133 cells have improved survival compared to mice treated with control CART cells (p = 0.0027).</w:t>
      </w:r>
    </w:p>
    <w:p>
      <w:pPr>
        <w:spacing w:after="0" w:line="95"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Epidermal growth factor receptor (EGFR) is a well-known oncogene expressed in multiple tumors. Tumors frequently overexpress wild-type and mutant EGFR, including the EGFRvIII variant which is expressed in a fraction of GBM tumors. EGFR gene amplification and overexpression is present in about 40% of GBM and amongst the tumors with amplified EGFR, about 50% express EGFRvIII. We plan to engineer the EGFR-CAR for CNTY-103 to bind both the wild-type and EGFRvIII variant.</w:t>
      </w:r>
    </w:p>
    <w:p>
      <w:pPr>
        <w:spacing w:after="0" w:line="277"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CNTY-103 may also allow for additional therapeutic benefit, taking advantage of the ability to administer the cells directly into the brain and repeat dosing to enhance response durability. Current treatment of GBM commonly utilizes the insertion of a catheter through the cranium directly into the tumor space or brain ventricles. We envision mitigating the challenge of therapeutic delivery across the blood-brain barrier through the use of this intracranial port. We believe that accessing the tumor site using an indwelling catheter may not only facilitate localized trafficking of the therapeutic cells to the tumor and limit the need for lymphodepletion, but also significantly diminish issues related to potential systemic toxicity. In addition, we believe the administration of the CAR-NK cells into the brain eliminates the need to use lymphodepletion, which is not tolerated by older patients or patients with low performance status.</w:t>
      </w:r>
    </w:p>
    <w:p>
      <w:pPr>
        <w:spacing w:after="0" w:line="29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We anticipate filing an IND and/or CTA to begin a Phase 1 clinical trial of CNTY-103 for the treatment of recurrent GBM in the first half of 2023. As CNTY-103 is our first solid tumor product candidate, Phase 1 development will include clinical proof of concept. The primary objectives of the Phase 1 study will be safety and tolerability, and we will also assess cell pharmacokinetics and persistence, and GBM efficacy and translational measures, including response rate, tumor volume, minimum residual disease, median progression free survival, and overall survival. Upon positive Phase 1 clinical trial results, we would move to develop through registration for use in recurrent GBM, as well as consider evaluating CNTY-103 further in earlier GBM populations.</w:t>
      </w:r>
    </w:p>
    <w:p>
      <w:pPr>
        <w:spacing w:after="0" w:line="125" w:lineRule="exact"/>
        <w:rPr>
          <w:sz w:val="20"/>
          <w:szCs w:val="20"/>
          <w:color w:val="auto"/>
        </w:rPr>
      </w:pPr>
    </w:p>
    <w:p>
      <w:pPr>
        <w:ind w:left="1240" w:right="1879"/>
        <w:spacing w:after="0" w:line="262" w:lineRule="auto"/>
        <w:rPr>
          <w:sz w:val="20"/>
          <w:szCs w:val="20"/>
          <w:color w:val="auto"/>
        </w:rPr>
      </w:pPr>
      <w:r>
        <w:rPr>
          <w:rFonts w:ascii="Arial" w:cs="Arial" w:eastAsia="Arial" w:hAnsi="Arial"/>
          <w:sz w:val="14"/>
          <w:szCs w:val="14"/>
          <w:b w:val="1"/>
          <w:bCs w:val="1"/>
          <w:i w:val="1"/>
          <w:iCs w:val="1"/>
          <w:color w:val="auto"/>
        </w:rPr>
        <w:t>CNTY-102: Our CAR-iNK or CAR -iT candidate targeting CD19 + CD79b for relapsed, refractory B-cell lymphoma and other B-cell malignancies</w:t>
      </w:r>
    </w:p>
    <w:p>
      <w:pPr>
        <w:spacing w:after="0" w:line="104" w:lineRule="exact"/>
        <w:rPr>
          <w:sz w:val="20"/>
          <w:szCs w:val="20"/>
          <w:color w:val="auto"/>
        </w:rPr>
      </w:pPr>
    </w:p>
    <w:p>
      <w:pPr>
        <w:ind w:left="1240" w:right="1379"/>
        <w:spacing w:after="0" w:line="252" w:lineRule="auto"/>
        <w:rPr>
          <w:sz w:val="20"/>
          <w:szCs w:val="20"/>
          <w:color w:val="auto"/>
        </w:rPr>
      </w:pPr>
      <w:r>
        <w:rPr>
          <w:rFonts w:ascii="Arial" w:cs="Arial" w:eastAsia="Arial" w:hAnsi="Arial"/>
          <w:sz w:val="14"/>
          <w:szCs w:val="14"/>
          <w:color w:val="auto"/>
        </w:rPr>
        <w:t>Our next-generation product candidate directed to treat B-cell malignancies is CNTY-102, an iPSC-derived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CAR-iNK or CAR-iT cell therapy designed to simultaneously target two tumor antigens, CD19 and CD79b.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6" w:name="page137"/>
    <w:bookmarkEnd w:id="13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63" w:lineRule="auto"/>
        <w:rPr>
          <w:sz w:val="20"/>
          <w:szCs w:val="20"/>
          <w:color w:val="auto"/>
        </w:rPr>
      </w:pPr>
      <w:r>
        <w:rPr>
          <w:rFonts w:ascii="Arial" w:cs="Arial" w:eastAsia="Arial" w:hAnsi="Arial"/>
          <w:sz w:val="14"/>
          <w:szCs w:val="14"/>
          <w:color w:val="auto"/>
        </w:rPr>
        <w:t>response by eliminating the effect of CD19 antigen loss that has been observed as a factor limiting durability of CAR-T cell therapies, as well as taking advantage of targeting CD79b, an independently regulated, ubiquitous and validated B-cell target.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120650</wp:posOffset>
            </wp:positionV>
            <wp:extent cx="2475230" cy="2196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75230"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We are actively investigating both iNK and iT cell platforms for this product, as either may have preferential clinical features: iT cells are expected to have high proliferative capacity, persistence, and trafficking, leading to sustained anti-tumor activity, while iNK cell products are intrinsically active against tumor cells, traffic in the hematopoietic compartment where lymphoma is localized, and so far have demonstrated reduced clinical safety risks (e.g., limited observation of cytokine release syndrome). We currently envision filing an IND for CNTY-102 in the second half of 2023.</w:t>
      </w:r>
    </w:p>
    <w:p>
      <w:pPr>
        <w:spacing w:after="0" w:line="10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B-cell acute lymphoblastic leukemia, or B-ALL. We will assess safety, tolerability, pharmacokinetics, persistence, and efficacy,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307" w:lineRule="exact"/>
        <w:rPr>
          <w:sz w:val="20"/>
          <w:szCs w:val="20"/>
          <w:color w:val="auto"/>
        </w:rPr>
      </w:pPr>
    </w:p>
    <w:p>
      <w:pPr>
        <w:ind w:left="1240" w:right="1699"/>
        <w:spacing w:after="0" w:line="262" w:lineRule="auto"/>
        <w:rPr>
          <w:sz w:val="20"/>
          <w:szCs w:val="20"/>
          <w:color w:val="auto"/>
        </w:rPr>
      </w:pPr>
      <w:r>
        <w:rPr>
          <w:rFonts w:ascii="Arial" w:cs="Arial" w:eastAsia="Arial" w:hAnsi="Arial"/>
          <w:sz w:val="14"/>
          <w:szCs w:val="14"/>
          <w:b w:val="1"/>
          <w:bCs w:val="1"/>
          <w:i w:val="1"/>
          <w:iCs w:val="1"/>
          <w:color w:val="auto"/>
        </w:rPr>
        <w:t>CNTY-104: Our CAR-iNK or CAR-iT multi-specific candidate for the treatment of acute myeloid leukemia</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Disease background</w:t>
      </w:r>
    </w:p>
    <w:p>
      <w:pPr>
        <w:spacing w:after="0" w:line="12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&gt;60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7" w:name="page138"/>
    <w:bookmarkEnd w:id="13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659"/>
        <w:spacing w:after="0" w:line="270" w:lineRule="auto"/>
        <w:rPr>
          <w:sz w:val="20"/>
          <w:szCs w:val="20"/>
          <w:color w:val="auto"/>
        </w:rPr>
      </w:pPr>
      <w:r>
        <w:rPr>
          <w:rFonts w:ascii="Arial" w:cs="Arial" w:eastAsia="Arial" w:hAnsi="Arial"/>
          <w:sz w:val="14"/>
          <w:szCs w:val="14"/>
          <w:color w:val="auto"/>
        </w:rPr>
        <w:t>remission, likely offers the only possible current chance for cure. Despite numerous clinical studies, outcomes are consistently disappointing with 5-year overall survival rates of ~ 10%.</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Our therapeutic approach</w:t>
      </w:r>
    </w:p>
    <w:p>
      <w:pPr>
        <w:spacing w:after="0" w:line="121" w:lineRule="exact"/>
        <w:rPr>
          <w:sz w:val="20"/>
          <w:szCs w:val="20"/>
          <w:color w:val="auto"/>
        </w:rPr>
      </w:pPr>
    </w:p>
    <w:p>
      <w:pPr>
        <w:ind w:left="1240" w:right="1419"/>
        <w:spacing w:after="0" w:line="258" w:lineRule="auto"/>
        <w:rPr>
          <w:sz w:val="20"/>
          <w:szCs w:val="20"/>
          <w:color w:val="auto"/>
        </w:rPr>
      </w:pPr>
      <w:r>
        <w:rPr>
          <w:rFonts w:ascii="Arial" w:cs="Arial" w:eastAsia="Arial" w:hAnsi="Arial"/>
          <w:sz w:val="14"/>
          <w:szCs w:val="14"/>
          <w:color w:val="auto"/>
        </w:rPr>
        <w:t>We are developing a multi-specific CAR-iNK or CAR-iT cell product candidate to treat relapsed, refractory, and secondary AML. CNTY-104 is a CAR-iNK or CAR-iT product candidate designed to target at least two tumor-associated antigens of relevance in AML. We are currently investigating four tumor targets to select the final candidates for the CNTY-104 product candidate. CNTY-104 will include a safety switch and possibly a PET reporter for imaging of the cells after administration to the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95885</wp:posOffset>
            </wp:positionV>
            <wp:extent cx="2502535" cy="2196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02535"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pharmacokinetics and persistence, but we will evaluate both cell platforms to engineer CNTY-104. We currently envision filing an IND for CNTY-104 in mid 2024.</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3" w:lineRule="exact"/>
        <w:rPr>
          <w:sz w:val="20"/>
          <w:szCs w:val="20"/>
          <w:color w:val="auto"/>
        </w:rPr>
      </w:pPr>
    </w:p>
    <w:p>
      <w:pPr>
        <w:ind w:left="1240" w:right="1559"/>
        <w:spacing w:after="0" w:line="258"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07"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We have initiated multiple VHH antibody campaigns to identify binders to build the CAR constructs for the prioritized tumor indications. These campaigns are at different stages of development and include targets for bladder cancer and targets for renal cell carcinoma. Our goal is to do side by side comparisons of the different CARs to select the final CAR constructs for the product candidates. We plan to have these CARs ready in 2022 and add them to the common engineered iPSC progenitor.</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8" w:name="page139"/>
    <w:bookmarkEnd w:id="13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19"/>
        <w:spacing w:after="0" w:line="259" w:lineRule="auto"/>
        <w:rPr>
          <w:sz w:val="20"/>
          <w:szCs w:val="20"/>
          <w:color w:val="auto"/>
        </w:rPr>
      </w:pPr>
      <w:r>
        <w:rPr>
          <w:rFonts w:ascii="Arial" w:cs="Arial" w:eastAsia="Arial" w:hAnsi="Arial"/>
          <w:sz w:val="14"/>
          <w:szCs w:val="14"/>
          <w:color w:val="auto"/>
        </w:rPr>
        <w:t>We intend to evaluate the use of engineered macrophages and dendritic cells in the future as potential anti-cancer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Manufacturing</w:t>
      </w:r>
    </w:p>
    <w:p>
      <w:pPr>
        <w:spacing w:after="0" w:line="118"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believe that our iPSC-derived NK cells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285"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We believe that our relationship with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279"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120650</wp:posOffset>
            </wp:positionV>
            <wp:extent cx="3916680" cy="10337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16680" cy="103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We intend to source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 At the same time, we are investing in the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9" w:name="page140"/>
    <w:bookmarkEnd w:id="13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construction of our own 53,000 square foot cell therapy manufacturing facility in Branchburg, New Jersey. We anticipate that this facility will become operational by the end of 2021.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266"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Licensing, partnerships and collaborations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Fujifilm Cellular Dynamics, Inc.</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We are party to an exclusive license with FCDI, dated September 18, 2018, pursuant to which we have licensed from FCDI certain patents and know-how related to differentiation of iPSC cells into immune-effector cells in the field of cancer immunotherapeutics, or, as amended, the Differentiation License. We are also party to a non-exclusive license with FCDI, also dated September 18, 2018, pursuant to which we have licensed from FCDI certain patents and know-how related to the reprogramming of human somatic cells to iPSCs in the field of cancer immunotherapeutics, or, as amended, the Reprogramming License. On October 21, 2019, we entered into a Master Collaboration Agreement with FCDI pursuant to which we agreed to fund research and development work at FCDI pursuant to a research plan, or, as amended, the Collaboration Agreement. On March 23, 2021, we entered into a Manufacturing and Supply Agreement with FCDI, or the Manufacturing Agreement, pursuant to which FCDI will provide certain agreed upon technology transfer, process development, analytical testing and GMP manufacturing services to us.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Differentiation License Agreement</w:t>
      </w:r>
    </w:p>
    <w:p>
      <w:pPr>
        <w:spacing w:after="0" w:line="13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284"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2,980,803 shares of common stock to FCDI, which were exchanged for 2,980,803 shares of common stock in connection with the Reorganization.</w:t>
      </w:r>
    </w:p>
    <w:p>
      <w:pPr>
        <w:spacing w:after="0" w:line="288" w:lineRule="exact"/>
        <w:rPr>
          <w:sz w:val="20"/>
          <w:szCs w:val="20"/>
          <w:color w:val="auto"/>
        </w:rPr>
      </w:pPr>
    </w:p>
    <w:p>
      <w:pPr>
        <w:ind w:left="1240" w:right="1739"/>
        <w:spacing w:after="0" w:line="278" w:lineRule="auto"/>
        <w:rPr>
          <w:sz w:val="20"/>
          <w:szCs w:val="20"/>
          <w:color w:val="auto"/>
        </w:rPr>
      </w:pPr>
      <w:r>
        <w:rPr>
          <w:rFonts w:ascii="Arial" w:cs="Arial" w:eastAsia="Arial" w:hAnsi="Arial"/>
          <w:sz w:val="14"/>
          <w:szCs w:val="14"/>
          <w:color w:val="auto"/>
        </w:rPr>
        <w:t>The Differentiation License expires upon the expiration of the last-to-expire patent licensed thereunder, which is currently expected to expire in 2036. Either party may terminate the Differentiation License upon the other party’s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0" w:name="page141"/>
    <w:bookmarkEnd w:id="14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w:t>
      </w:r>
    </w:p>
    <w:p>
      <w:pPr>
        <w:spacing w:after="0" w:line="97" w:lineRule="exact"/>
        <w:rPr>
          <w:sz w:val="20"/>
          <w:szCs w:val="20"/>
          <w:color w:val="auto"/>
        </w:rPr>
      </w:pPr>
    </w:p>
    <w:p>
      <w:pPr>
        <w:ind w:left="1240" w:right="2179"/>
        <w:spacing w:after="0" w:line="286" w:lineRule="auto"/>
        <w:rPr>
          <w:sz w:val="20"/>
          <w:szCs w:val="20"/>
          <w:color w:val="auto"/>
        </w:rPr>
      </w:pPr>
      <w:r>
        <w:rPr>
          <w:rFonts w:ascii="Arial" w:cs="Arial" w:eastAsia="Arial" w:hAnsi="Arial"/>
          <w:sz w:val="14"/>
          <w:szCs w:val="14"/>
          <w:color w:val="auto"/>
        </w:rPr>
        <w:t>The Differentiation License also contains customary representations and warranties, confidentiality, insurance and indemnification provisions.</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Reprogramming License Agreement</w:t>
      </w:r>
    </w:p>
    <w:p>
      <w:pPr>
        <w:spacing w:after="0" w:line="142"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294"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277"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288" w:lineRule="exact"/>
        <w:rPr>
          <w:sz w:val="20"/>
          <w:szCs w:val="20"/>
          <w:color w:val="auto"/>
        </w:rPr>
      </w:pPr>
    </w:p>
    <w:p>
      <w:pPr>
        <w:ind w:left="1240" w:right="2039"/>
        <w:spacing w:after="0" w:line="286" w:lineRule="auto"/>
        <w:rPr>
          <w:sz w:val="20"/>
          <w:szCs w:val="20"/>
          <w:color w:val="auto"/>
        </w:rPr>
      </w:pPr>
      <w:r>
        <w:rPr>
          <w:rFonts w:ascii="Arial" w:cs="Arial" w:eastAsia="Arial" w:hAnsi="Arial"/>
          <w:sz w:val="14"/>
          <w:szCs w:val="14"/>
          <w:color w:val="auto"/>
        </w:rPr>
        <w:t>The Reprogramming License also contains customary representations and warranties, confidentiality, insurance and indemnification provisions.</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Master Collaboration Agreement</w:t>
      </w:r>
    </w:p>
    <w:p>
      <w:pPr>
        <w:spacing w:after="0" w:line="142" w:lineRule="exact"/>
        <w:rPr>
          <w:sz w:val="20"/>
          <w:szCs w:val="20"/>
          <w:color w:val="auto"/>
        </w:rPr>
      </w:pPr>
    </w:p>
    <w:p>
      <w:pPr>
        <w:ind w:left="1240" w:right="1339"/>
        <w:spacing w:after="0" w:line="271" w:lineRule="auto"/>
        <w:rPr>
          <w:sz w:val="20"/>
          <w:szCs w:val="20"/>
          <w:color w:val="auto"/>
        </w:rPr>
      </w:pPr>
      <w:r>
        <w:rPr>
          <w:rFonts w:ascii="Arial" w:cs="Arial" w:eastAsia="Arial" w:hAnsi="Arial"/>
          <w:sz w:val="14"/>
          <w:szCs w:val="14"/>
          <w:color w:val="auto"/>
        </w:rPr>
        <w:t>Under the Collaboration Agreement, we established a collaborative relationship under which FCDI agreed to render certain services to us for the development and manufacture iPSC-derived cells in accordance with a research plan and approved budget funded by us. For the first</w:t>
      </w:r>
    </w:p>
    <w:p>
      <w:pPr>
        <w:spacing w:after="0" w:line="1" w:lineRule="exact"/>
        <w:rPr>
          <w:sz w:val="20"/>
          <w:szCs w:val="20"/>
          <w:color w:val="auto"/>
        </w:rPr>
      </w:pPr>
    </w:p>
    <w:p>
      <w:pPr>
        <w:ind w:left="1240" w:right="1559"/>
        <w:spacing w:after="0" w:line="286" w:lineRule="auto"/>
        <w:rPr>
          <w:sz w:val="20"/>
          <w:szCs w:val="20"/>
          <w:color w:val="auto"/>
        </w:rPr>
      </w:pPr>
      <w:r>
        <w:rPr>
          <w:rFonts w:ascii="Arial" w:cs="Arial" w:eastAsia="Arial" w:hAnsi="Arial"/>
          <w:sz w:val="14"/>
          <w:szCs w:val="14"/>
          <w:color w:val="auto"/>
        </w:rPr>
        <w:t>three years of the term of the Collaboration Agreement, we agreed to pay FCDI a minimum of $2.5 million per year.</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1" w:name="page142"/>
    <w:bookmarkEnd w:id="14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Under the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Collaboration Agreement.</w:t>
      </w:r>
    </w:p>
    <w:p>
      <w:pPr>
        <w:spacing w:after="0" w:line="98"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The Collaboration Agreement expires upon the termination of the Reprogramming License. Either party may terminate the Collaboration Agreement upon the other party’s material breach, subject to a 30-day notice and cure period. We may terminate the Collaboration Agreement for convenience after October 1, 2021 by providing FCDI 60-days’ written notice.</w:t>
      </w:r>
    </w:p>
    <w:p>
      <w:pPr>
        <w:spacing w:after="0" w:line="106" w:lineRule="exact"/>
        <w:rPr>
          <w:sz w:val="20"/>
          <w:szCs w:val="20"/>
          <w:color w:val="auto"/>
        </w:rPr>
      </w:pPr>
    </w:p>
    <w:p>
      <w:pPr>
        <w:ind w:left="1240" w:right="1999"/>
        <w:spacing w:after="0" w:line="270" w:lineRule="auto"/>
        <w:rPr>
          <w:sz w:val="20"/>
          <w:szCs w:val="20"/>
          <w:color w:val="auto"/>
        </w:rPr>
      </w:pPr>
      <w:r>
        <w:rPr>
          <w:rFonts w:ascii="Arial" w:cs="Arial" w:eastAsia="Arial" w:hAnsi="Arial"/>
          <w:sz w:val="14"/>
          <w:szCs w:val="14"/>
          <w:color w:val="auto"/>
        </w:rPr>
        <w:t>The Collaboration Agreement also contains customary representations and warranties, confidentiality and indemnification provisions.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Manufacturing and Supply Agreement</w:t>
      </w:r>
    </w:p>
    <w:p>
      <w:pPr>
        <w:spacing w:after="0" w:line="13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Under the Manufacturing Agreement, FCDI will perform certain agreed upon technology transfer, process development, analytical testing, and 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268"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HealthCare LLC</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Option Agreement</w:t>
      </w:r>
    </w:p>
    <w:p>
      <w:pPr>
        <w:spacing w:after="0" w:line="131"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284" w:lineRule="exact"/>
        <w:rPr>
          <w:sz w:val="20"/>
          <w:szCs w:val="20"/>
          <w:color w:val="auto"/>
        </w:rPr>
      </w:pPr>
    </w:p>
    <w:p>
      <w:pPr>
        <w:jc w:val="both"/>
        <w:ind w:left="1240" w:right="1299"/>
        <w:spacing w:after="0" w:line="263" w:lineRule="auto"/>
        <w:rPr>
          <w:sz w:val="20"/>
          <w:szCs w:val="20"/>
          <w:color w:val="auto"/>
        </w:rPr>
      </w:pPr>
      <w:r>
        <w:rPr>
          <w:rFonts w:ascii="Arial" w:cs="Arial" w:eastAsia="Arial" w:hAnsi="Arial"/>
          <w:sz w:val="14"/>
          <w:szCs w:val="14"/>
          <w:color w:val="auto"/>
        </w:rPr>
        <w:t>In the event that Bayer exercises its ROFR right, we will provide Bayer with our current, minimum offer terms with respect to the relevant Research Product Rights, or the Minimum Offer Terms, as determined by our Board</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2" w:name="page143"/>
    <w:bookmarkEnd w:id="14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284" w:lineRule="exact"/>
        <w:rPr>
          <w:sz w:val="20"/>
          <w:szCs w:val="20"/>
          <w:color w:val="auto"/>
        </w:rPr>
      </w:pPr>
    </w:p>
    <w:p>
      <w:pPr>
        <w:ind w:left="1240" w:right="1499"/>
        <w:spacing w:after="0" w:line="281" w:lineRule="auto"/>
        <w:rPr>
          <w:sz w:val="20"/>
          <w:szCs w:val="20"/>
          <w:color w:val="auto"/>
        </w:rPr>
      </w:pPr>
      <w:r>
        <w:rPr>
          <w:rFonts w:ascii="Arial" w:cs="Arial" w:eastAsia="Arial" w:hAnsi="Arial"/>
          <w:sz w:val="14"/>
          <w:szCs w:val="14"/>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w:t>
      </w:r>
    </w:p>
    <w:p>
      <w:pPr>
        <w:spacing w:after="0" w:line="14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10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279"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University of Toronto and McMaster University</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3" w:name="page144"/>
    <w:bookmarkEnd w:id="14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with the Council, the Toronto Universities, and Empirica. Under the Empirica License, we received an exclusive, non-transferable,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 bi-Specific or engineered T-Cells, including but not limited to CAR-Ts. The Toronto Universities reserve a royalty-free, non-exclusive, perpetual, irrevocable license to use such technology for non-commercial research, educational and administrative purposes.</w:t>
      </w:r>
    </w:p>
    <w:p>
      <w:pPr>
        <w:spacing w:after="0" w:line="27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106"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Inscripta</w:t>
      </w:r>
    </w:p>
    <w:p>
      <w:pPr>
        <w:spacing w:after="0" w:line="13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Intellectual property</w:t>
      </w:r>
    </w:p>
    <w:p>
      <w:pPr>
        <w:spacing w:after="0" w:line="11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do not own any issued patents covering our product candidates, platforms or technology and our patent portfolio is currently comprised only of provisional patent applications. Additionally, we have not filed any patent applications related to our product candidates other than CNTY-101. We have also filed provisional patent applications relating to our T-cell platform related to compositions and methods for generating alpha-beta and gamma delta T-cells from iPSCs. Additionally, we have filed a provisional application on gene transfer vectors and methods of engineering iPSCs. We have sought patent protection in the United States related to our CNTY-101</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4" w:name="page145"/>
    <w:bookmarkEnd w:id="14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277"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295"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w:t>
      </w:r>
    </w:p>
    <w:p>
      <w:pPr>
        <w:spacing w:after="0" w:line="17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13"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5" w:name="page146"/>
    <w:bookmarkEnd w:id="14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relating to our provisional patent applications, we cannot predict whether any such patent applications will result in the issuance of patents that provide us with any competitive advantage.</w:t>
      </w:r>
    </w:p>
    <w:p>
      <w:pPr>
        <w:spacing w:after="0" w:line="88"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8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09"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9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28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iPSC technology</w:t>
      </w:r>
    </w:p>
    <w:p>
      <w:pPr>
        <w:spacing w:after="0" w:line="131"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29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genetic engineering</w:t>
      </w:r>
    </w:p>
    <w:p>
      <w:pPr>
        <w:spacing w:after="0" w:line="131"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issue from these pending patent applications will expire in 2037, without giving effect to any patent term adjustment or extension.</w:t>
      </w:r>
    </w:p>
    <w:p>
      <w:pPr>
        <w:spacing w:after="0" w:line="108"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759"/>
        <w:spacing w:after="0" w:line="263" w:lineRule="auto"/>
        <w:rPr>
          <w:sz w:val="20"/>
          <w:szCs w:val="20"/>
          <w:color w:val="auto"/>
        </w:rPr>
      </w:pPr>
      <w:r>
        <w:rPr>
          <w:rFonts w:ascii="Arial" w:cs="Arial" w:eastAsia="Arial" w:hAnsi="Arial"/>
          <w:sz w:val="14"/>
          <w:szCs w:val="14"/>
          <w:color w:val="auto"/>
        </w:rPr>
        <w:t>develop product candidates more rapidly than we do or their product candidates are more effective, our ability to develop and successfully commercialize products may be adversely affected.”</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the differentiation of hematopoietic cells</w:t>
      </w:r>
    </w:p>
    <w:p>
      <w:pPr>
        <w:spacing w:after="0" w:line="13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engineered iPSCs and derivative cells</w:t>
      </w:r>
    </w:p>
    <w:p>
      <w:pPr>
        <w:spacing w:after="0" w:line="142"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Currently, we own eight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product, as well as other iPSC-derived engineered CAR cells comprising certain transgene insertions and deletions, including our proprietary Allo-Evasion™ technology. One of our provisional patent applications includes claims directed to a universal CAR cell platform. We have also filed provisional patent applications relating to our T-cell platform related to compositions and methods for generating alpha-beta and gamma delta T cells from iPSCs. Any U.S. patents that may issue from such pending provisional patent applications would expire in 2040 or 2041, without giving effect to any patent term adjustment or extension.</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Intellectual property relating to engineered T cells</w:t>
      </w:r>
    </w:p>
    <w:p>
      <w:pPr>
        <w:spacing w:after="0" w:line="142"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Competition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biotechnology and pharmaceutical industries have made substantial investments in</w:t>
      </w:r>
    </w:p>
    <w:p>
      <w:pPr>
        <w:spacing w:after="0" w:line="21"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recent years into the rapid development of novel immunotherapies for the treatment of a range of pathologies, including infectious diseases and cancers, making this a highly competitive market.</w:t>
      </w:r>
    </w:p>
    <w:p>
      <w:pPr>
        <w:spacing w:after="0" w:line="98"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95" w:lineRule="exact"/>
        <w:rPr>
          <w:sz w:val="20"/>
          <w:szCs w:val="20"/>
          <w:color w:val="auto"/>
        </w:rPr>
      </w:pPr>
    </w:p>
    <w:p>
      <w:pPr>
        <w:ind w:left="1240" w:right="1419"/>
        <w:spacing w:after="0" w:line="263" w:lineRule="auto"/>
        <w:rPr>
          <w:sz w:val="20"/>
          <w:szCs w:val="20"/>
          <w:color w:val="auto"/>
        </w:rPr>
      </w:pPr>
      <w:r>
        <w:rPr>
          <w:rFonts w:ascii="Arial" w:cs="Arial" w:eastAsia="Arial" w:hAnsi="Arial"/>
          <w:sz w:val="14"/>
          <w:szCs w:val="14"/>
          <w:color w:val="auto"/>
        </w:rPr>
        <w:t>Large pharmaceutical companies that have commercialized or are developing immunotherapies to treat cancer include AstraZeneca, Bristol Myers Squibb, Gilead Sciences, Merck, Novartis, Pfizer, and Roche/Genentech.</w:t>
      </w:r>
    </w:p>
    <w:p>
      <w:pPr>
        <w:spacing w:after="0" w:line="103" w:lineRule="exact"/>
        <w:rPr>
          <w:sz w:val="20"/>
          <w:szCs w:val="20"/>
          <w:color w:val="auto"/>
        </w:rPr>
      </w:pPr>
    </w:p>
    <w:p>
      <w:pPr>
        <w:ind w:left="1240" w:right="1419"/>
        <w:spacing w:after="0" w:line="260" w:lineRule="auto"/>
        <w:rPr>
          <w:sz w:val="20"/>
          <w:szCs w:val="20"/>
          <w:color w:val="auto"/>
        </w:rPr>
      </w:pPr>
      <w:r>
        <w:rPr>
          <w:rFonts w:ascii="Arial" w:cs="Arial" w:eastAsia="Arial" w:hAnsi="Arial"/>
          <w:sz w:val="14"/>
          <w:szCs w:val="14"/>
          <w:color w:val="auto"/>
        </w:rPr>
        <w:t>Companies that compete with us directly on the level of the development of product candidates targeting B-cell lymphomas include Gilead Sciences, Novartis and Bristol Myers Squibb, among others. Companies developing therapeutic candidates to treat glioblastomas include Arbor Pharmaceuticals and Genentech.</w:t>
      </w:r>
    </w:p>
    <w:p>
      <w:pPr>
        <w:spacing w:after="0" w:line="106" w:lineRule="exact"/>
        <w:rPr>
          <w:sz w:val="20"/>
          <w:szCs w:val="20"/>
          <w:color w:val="auto"/>
        </w:rPr>
      </w:pPr>
    </w:p>
    <w:p>
      <w:pPr>
        <w:ind w:left="1240" w:right="1479"/>
        <w:spacing w:after="0" w:line="263" w:lineRule="auto"/>
        <w:rPr>
          <w:sz w:val="20"/>
          <w:szCs w:val="20"/>
          <w:color w:val="auto"/>
        </w:rPr>
      </w:pPr>
      <w:r>
        <w:rPr>
          <w:rFonts w:ascii="Arial" w:cs="Arial" w:eastAsia="Arial" w:hAnsi="Arial"/>
          <w:sz w:val="14"/>
          <w:szCs w:val="14"/>
          <w:color w:val="auto"/>
        </w:rPr>
        <w:t>On the technology level, other emerging biopharmaceutical companies which can potentially develop competing cell therapy candidates to treat cancer include Fate Therapeutics, Allogene Therapeutics and Nkarta Therapeutics.</w:t>
      </w:r>
    </w:p>
    <w:p>
      <w:pPr>
        <w:spacing w:after="0" w:line="9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280"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Government regulation</w:t>
      </w:r>
    </w:p>
    <w:p>
      <w:pPr>
        <w:spacing w:after="0" w:line="129"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development process</w:t>
      </w:r>
    </w:p>
    <w:p>
      <w:pPr>
        <w:spacing w:after="0" w:line="123" w:lineRule="exact"/>
        <w:rPr>
          <w:sz w:val="20"/>
          <w:szCs w:val="20"/>
          <w:color w:val="auto"/>
        </w:rPr>
      </w:pPr>
    </w:p>
    <w:p>
      <w:pPr>
        <w:ind w:left="1240" w:right="1299"/>
        <w:spacing w:after="0" w:line="270" w:lineRule="auto"/>
        <w:rPr>
          <w:sz w:val="20"/>
          <w:szCs w:val="20"/>
          <w:color w:val="auto"/>
        </w:rPr>
      </w:pPr>
      <w:r>
        <w:rPr>
          <w:rFonts w:ascii="Arial" w:cs="Arial" w:eastAsia="Arial" w:hAnsi="Arial"/>
          <w:sz w:val="14"/>
          <w:szCs w:val="14"/>
          <w:color w:val="auto"/>
        </w:rPr>
        <w:t>The process required by the FDA before a biologic product may be marketed in the United States generally involves the following:</w:t>
      </w:r>
    </w:p>
    <w:p>
      <w:pPr>
        <w:spacing w:after="0" w:line="66" w:lineRule="exact"/>
        <w:rPr>
          <w:sz w:val="20"/>
          <w:szCs w:val="20"/>
          <w:color w:val="auto"/>
        </w:rPr>
      </w:pPr>
    </w:p>
    <w:p>
      <w:pPr>
        <w:ind w:left="1620" w:right="1359" w:hanging="114"/>
        <w:spacing w:after="0" w:line="278" w:lineRule="auto"/>
        <w:tabs>
          <w:tab w:leader="none" w:pos="16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completion of nonclinical laboratory tests and animal studies according to Good Laboratory Practices, or cGLP, and applicable requirements for the humane use of laboratory animals or other applicable regulations;</w:t>
      </w:r>
    </w:p>
    <w:p>
      <w:pPr>
        <w:spacing w:after="0" w:line="72" w:lineRule="exact"/>
        <w:rPr>
          <w:rFonts w:ascii="Arial" w:cs="Arial" w:eastAsia="Arial" w:hAnsi="Arial"/>
          <w:sz w:val="14"/>
          <w:szCs w:val="14"/>
          <w:color w:val="auto"/>
        </w:rPr>
      </w:pPr>
    </w:p>
    <w:p>
      <w:pPr>
        <w:ind w:left="1620" w:hanging="114"/>
        <w:spacing w:after="0"/>
        <w:tabs>
          <w:tab w:leader="none" w:pos="16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preparation of clinical trial material in accordance with cGMP;</w:t>
      </w:r>
    </w:p>
    <w:p>
      <w:pPr>
        <w:spacing w:after="0" w:line="96" w:lineRule="exact"/>
        <w:rPr>
          <w:rFonts w:ascii="Arial" w:cs="Arial" w:eastAsia="Arial" w:hAnsi="Arial"/>
          <w:sz w:val="14"/>
          <w:szCs w:val="14"/>
          <w:color w:val="auto"/>
        </w:rPr>
      </w:pPr>
    </w:p>
    <w:p>
      <w:pPr>
        <w:ind w:left="1620" w:right="1539" w:hanging="114"/>
        <w:spacing w:after="0" w:line="286" w:lineRule="auto"/>
        <w:tabs>
          <w:tab w:leader="none" w:pos="16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submission to the FDA of an application for an IND, which must become effective before human clinical trials may begin;</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9" w:name="page150"/>
    <w:bookmarkEnd w:id="14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right="149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approval by an institutional review board, or IRB, reviewing each clinical site before each clinical trial may be initiated;</w:t>
      </w:r>
    </w:p>
    <w:p>
      <w:pPr>
        <w:spacing w:after="0" w:line="66" w:lineRule="exact"/>
        <w:rPr>
          <w:rFonts w:ascii="Arial" w:cs="Arial" w:eastAsia="Arial" w:hAnsi="Arial"/>
          <w:sz w:val="14"/>
          <w:szCs w:val="14"/>
          <w:color w:val="auto"/>
        </w:rPr>
      </w:pPr>
    </w:p>
    <w:p>
      <w:pPr>
        <w:ind w:left="1620" w:right="1619" w:hanging="114"/>
        <w:spacing w:after="0" w:line="27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73" w:lineRule="exact"/>
        <w:rPr>
          <w:rFonts w:ascii="Arial" w:cs="Arial" w:eastAsia="Arial" w:hAnsi="Arial"/>
          <w:sz w:val="14"/>
          <w:szCs w:val="14"/>
          <w:color w:val="auto"/>
        </w:rPr>
      </w:pPr>
    </w:p>
    <w:p>
      <w:pPr>
        <w:ind w:left="1620" w:right="1479" w:hanging="114"/>
        <w:spacing w:after="0" w:line="278"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submission to the FDA of a Biologics License Application, or BLA, for marketing approval that includes substantive evidence of safety, purity, potency, and efficacy from results of nonclinical testing and clinical trials;</w:t>
      </w:r>
    </w:p>
    <w:p>
      <w:pPr>
        <w:spacing w:after="0" w:line="72" w:lineRule="exact"/>
        <w:rPr>
          <w:rFonts w:ascii="Arial" w:cs="Arial" w:eastAsia="Arial" w:hAnsi="Arial"/>
          <w:sz w:val="14"/>
          <w:szCs w:val="14"/>
          <w:color w:val="auto"/>
        </w:rPr>
      </w:pPr>
    </w:p>
    <w:p>
      <w:pPr>
        <w:ind w:left="1620" w:right="1319" w:hanging="114"/>
        <w:spacing w:after="0" w:line="27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73" w:lineRule="exact"/>
        <w:rPr>
          <w:rFonts w:ascii="Arial" w:cs="Arial" w:eastAsia="Arial" w:hAnsi="Arial"/>
          <w:sz w:val="14"/>
          <w:szCs w:val="14"/>
          <w:color w:val="auto"/>
        </w:rPr>
      </w:pPr>
    </w:p>
    <w:p>
      <w:pPr>
        <w:ind w:left="1620" w:right="163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potential FDA audit of the nonclinical and clinical study sites that generated the data in support of the BLA;</w:t>
      </w:r>
    </w:p>
    <w:p>
      <w:pPr>
        <w:spacing w:after="0" w:line="66" w:lineRule="exact"/>
        <w:rPr>
          <w:rFonts w:ascii="Arial" w:cs="Arial" w:eastAsia="Arial" w:hAnsi="Arial"/>
          <w:sz w:val="14"/>
          <w:szCs w:val="14"/>
          <w:color w:val="auto"/>
        </w:rPr>
      </w:pPr>
    </w:p>
    <w:p>
      <w:pPr>
        <w:ind w:left="1620" w:right="173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potential FDA Advisory Committee meeting to elicit expert input on critical issues and including a vote by external committee members;</w:t>
      </w:r>
    </w:p>
    <w:p>
      <w:pPr>
        <w:spacing w:after="0" w:line="66" w:lineRule="exact"/>
        <w:rPr>
          <w:rFonts w:ascii="Arial" w:cs="Arial" w:eastAsia="Arial" w:hAnsi="Arial"/>
          <w:sz w:val="14"/>
          <w:szCs w:val="14"/>
          <w:color w:val="auto"/>
        </w:rPr>
      </w:pPr>
    </w:p>
    <w:p>
      <w:pPr>
        <w:ind w:left="1620" w:right="1479" w:hanging="114"/>
        <w:spacing w:after="0" w:line="286"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FDA review and approval, or licensure, of the BLA, and payment of associated user fees, when applicable; and</w:t>
      </w:r>
    </w:p>
    <w:p>
      <w:pPr>
        <w:spacing w:after="0" w:line="76" w:lineRule="exact"/>
        <w:rPr>
          <w:rFonts w:ascii="Arial" w:cs="Arial" w:eastAsia="Arial" w:hAnsi="Arial"/>
          <w:sz w:val="14"/>
          <w:szCs w:val="14"/>
          <w:color w:val="auto"/>
        </w:rPr>
      </w:pPr>
    </w:p>
    <w:p>
      <w:pPr>
        <w:ind w:left="1620" w:right="1619" w:hanging="114"/>
        <w:spacing w:after="0" w:line="278" w:lineRule="auto"/>
        <w:tabs>
          <w:tab w:leader="none" w:pos="16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Mitigation Strategies, or REMS, and the potential requirement to conduct post-approval studies.</w:t>
      </w:r>
    </w:p>
    <w:p>
      <w:pPr>
        <w:spacing w:after="0" w:line="94" w:lineRule="exact"/>
        <w:rPr>
          <w:sz w:val="20"/>
          <w:szCs w:val="20"/>
          <w:color w:val="auto"/>
        </w:rPr>
      </w:pPr>
    </w:p>
    <w:p>
      <w:pPr>
        <w:ind w:left="1240" w:right="1459"/>
        <w:spacing w:after="0" w:line="275" w:lineRule="auto"/>
        <w:rPr>
          <w:sz w:val="20"/>
          <w:szCs w:val="20"/>
          <w:color w:val="auto"/>
        </w:rPr>
      </w:pPr>
      <w:r>
        <w:rPr>
          <w:rFonts w:ascii="Arial" w:cs="Arial" w:eastAsia="Arial" w:hAnsi="Arial"/>
          <w:sz w:val="14"/>
          <w:szCs w:val="14"/>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284"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0" w:name="page151"/>
    <w:bookmarkEnd w:id="15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color w:val="auto"/>
        </w:rPr>
        <w:t>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279" w:lineRule="exact"/>
        <w:rPr>
          <w:sz w:val="20"/>
          <w:szCs w:val="20"/>
          <w:color w:val="auto"/>
        </w:rPr>
      </w:pPr>
    </w:p>
    <w:p>
      <w:pPr>
        <w:ind w:left="1240" w:right="1499"/>
        <w:spacing w:after="0" w:line="286" w:lineRule="auto"/>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50" w:lineRule="exact"/>
        <w:rPr>
          <w:sz w:val="20"/>
          <w:szCs w:val="20"/>
          <w:color w:val="auto"/>
        </w:rPr>
      </w:pPr>
    </w:p>
    <w:p>
      <w:pPr>
        <w:jc w:val="both"/>
        <w:ind w:left="1620" w:right="1679" w:hanging="114"/>
        <w:spacing w:after="0" w:line="290"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Phase 1</w:t>
      </w:r>
      <w:r>
        <w:rPr>
          <w:rFonts w:ascii="Arial" w:cs="Arial" w:eastAsia="Arial" w:hAnsi="Arial"/>
          <w:sz w:val="14"/>
          <w:szCs w:val="14"/>
          <w:color w:val="auto"/>
        </w:rPr>
        <w:t>. The biologic product is initially introduced into healthy human subjects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tested for safety. In the case of some products for rare and severe diseases, the initial human testing is often conducted in patients.</w:t>
      </w:r>
    </w:p>
    <w:p>
      <w:pPr>
        <w:spacing w:after="0" w:line="58" w:lineRule="exact"/>
        <w:rPr>
          <w:rFonts w:ascii="Arial" w:cs="Arial" w:eastAsia="Arial" w:hAnsi="Arial"/>
          <w:sz w:val="14"/>
          <w:szCs w:val="14"/>
          <w:color w:val="auto"/>
        </w:rPr>
      </w:pPr>
    </w:p>
    <w:p>
      <w:pPr>
        <w:ind w:left="1620" w:right="1439" w:hanging="114"/>
        <w:spacing w:after="0" w:line="289"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Phase 2</w:t>
      </w:r>
      <w:r>
        <w:rPr>
          <w:rFonts w:ascii="Arial" w:cs="Arial" w:eastAsia="Arial" w:hAnsi="Arial"/>
          <w:sz w:val="14"/>
          <w:szCs w:val="14"/>
          <w:color w:val="auto"/>
        </w:rPr>
        <w:t>. The biologic product is evaluated in a limited patient population to identify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possible adverse effects and safety risks, to preliminarily evaluate the efficacy of the product for specific targeted diseases and to determine dosage tolerance, optimal dosage and dosing schedule.</w:t>
      </w:r>
    </w:p>
    <w:p>
      <w:pPr>
        <w:spacing w:after="0" w:line="232" w:lineRule="exact"/>
        <w:rPr>
          <w:rFonts w:ascii="Arial" w:cs="Arial" w:eastAsia="Arial" w:hAnsi="Arial"/>
          <w:sz w:val="14"/>
          <w:szCs w:val="14"/>
          <w:color w:val="auto"/>
        </w:rPr>
      </w:pPr>
    </w:p>
    <w:p>
      <w:pPr>
        <w:ind w:left="1620" w:right="1259" w:hanging="114"/>
        <w:spacing w:after="0" w:line="279" w:lineRule="auto"/>
        <w:tabs>
          <w:tab w:leader="none" w:pos="1620"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Phase 3</w:t>
      </w:r>
      <w:r>
        <w:rPr>
          <w:rFonts w:ascii="Arial" w:cs="Arial" w:eastAsia="Arial" w:hAnsi="Arial"/>
          <w:sz w:val="14"/>
          <w:szCs w:val="14"/>
          <w:color w:val="auto"/>
        </w:rPr>
        <w:t>. Clinical trials are undertaken to further evaluate dosage, clinical efficacy, potency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92" w:lineRule="exact"/>
        <w:rPr>
          <w:sz w:val="20"/>
          <w:szCs w:val="20"/>
          <w:color w:val="auto"/>
        </w:rPr>
      </w:pPr>
    </w:p>
    <w:p>
      <w:pPr>
        <w:jc w:val="both"/>
        <w:ind w:left="1240" w:right="1459"/>
        <w:spacing w:after="0" w:line="281" w:lineRule="auto"/>
        <w:rPr>
          <w:sz w:val="20"/>
          <w:szCs w:val="20"/>
          <w:color w:val="auto"/>
        </w:rPr>
      </w:pPr>
      <w:r>
        <w:rPr>
          <w:rFonts w:ascii="Arial" w:cs="Arial" w:eastAsia="Arial" w:hAnsi="Arial"/>
          <w:sz w:val="14"/>
          <w:szCs w:val="14"/>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28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293"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1" w:name="page152"/>
    <w:bookmarkEnd w:id="15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277" w:lineRule="exact"/>
        <w:rPr>
          <w:sz w:val="20"/>
          <w:szCs w:val="20"/>
          <w:color w:val="auto"/>
        </w:rPr>
      </w:pPr>
    </w:p>
    <w:p>
      <w:pPr>
        <w:ind w:left="1240" w:right="1259"/>
        <w:spacing w:after="0" w:line="277" w:lineRule="auto"/>
        <w:rPr>
          <w:sz w:val="20"/>
          <w:szCs w:val="20"/>
          <w:color w:val="auto"/>
        </w:rPr>
      </w:pPr>
      <w:r>
        <w:rPr>
          <w:rFonts w:ascii="Arial" w:cs="Arial" w:eastAsia="Arial" w:hAnsi="Arial"/>
          <w:sz w:val="14"/>
          <w:szCs w:val="14"/>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30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review and approval processes</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28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00"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292"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2" w:name="page153"/>
    <w:bookmarkEnd w:id="15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268"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0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United States post-approval requirements</w:t>
      </w:r>
    </w:p>
    <w:p>
      <w:pPr>
        <w:spacing w:after="0" w:line="133"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00"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27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3" w:name="page154"/>
    <w:bookmarkEnd w:id="15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19"/>
        <w:spacing w:after="0" w:line="294" w:lineRule="auto"/>
        <w:rPr>
          <w:sz w:val="20"/>
          <w:szCs w:val="20"/>
          <w:color w:val="auto"/>
        </w:rPr>
      </w:pPr>
      <w:r>
        <w:rPr>
          <w:rFonts w:ascii="Arial" w:cs="Arial" w:eastAsia="Arial" w:hAnsi="Arial"/>
          <w:sz w:val="14"/>
          <w:szCs w:val="14"/>
          <w:color w:val="auto"/>
        </w:rPr>
        <w:t>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94"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200" w:lineRule="exact"/>
        <w:rPr>
          <w:sz w:val="20"/>
          <w:szCs w:val="20"/>
          <w:color w:val="auto"/>
        </w:rPr>
      </w:pPr>
    </w:p>
    <w:p>
      <w:pPr>
        <w:spacing w:after="0" w:line="27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97" w:lineRule="exact"/>
        <w:rPr>
          <w:sz w:val="20"/>
          <w:szCs w:val="20"/>
          <w:color w:val="auto"/>
        </w:rPr>
      </w:pPr>
    </w:p>
    <w:p>
      <w:pPr>
        <w:jc w:val="both"/>
        <w:ind w:left="1240" w:right="1339"/>
        <w:spacing w:after="0" w:line="275" w:lineRule="auto"/>
        <w:rPr>
          <w:sz w:val="20"/>
          <w:szCs w:val="20"/>
          <w:color w:val="auto"/>
        </w:rPr>
      </w:pPr>
      <w:r>
        <w:rPr>
          <w:rFonts w:ascii="Arial" w:cs="Arial" w:eastAsia="Arial" w:hAnsi="Arial"/>
          <w:sz w:val="14"/>
          <w:szCs w:val="14"/>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06"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4" w:name="page155"/>
    <w:bookmarkEnd w:id="15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Expedited review and approval programs</w:t>
      </w:r>
    </w:p>
    <w:p>
      <w:pPr>
        <w:spacing w:after="0" w:line="123" w:lineRule="exact"/>
        <w:rPr>
          <w:sz w:val="20"/>
          <w:szCs w:val="20"/>
          <w:color w:val="auto"/>
        </w:rPr>
      </w:pPr>
    </w:p>
    <w:p>
      <w:pPr>
        <w:jc w:val="both"/>
        <w:ind w:left="1240" w:right="1599"/>
        <w:spacing w:after="0" w:line="263" w:lineRule="auto"/>
        <w:rPr>
          <w:sz w:val="20"/>
          <w:szCs w:val="20"/>
          <w:color w:val="auto"/>
        </w:rPr>
      </w:pPr>
      <w:r>
        <w:rPr>
          <w:rFonts w:ascii="Arial" w:cs="Arial" w:eastAsia="Arial" w:hAnsi="Arial"/>
          <w:sz w:val="14"/>
          <w:szCs w:val="14"/>
          <w:color w:val="auto"/>
        </w:rPr>
        <w:t>The FDA has various programs, including fast track designation, priority review, accelerated approval, and breakthrough therapy designation, that are intended to expedite or simplify the process for the development and</w:t>
      </w:r>
    </w:p>
    <w:p>
      <w:pPr>
        <w:spacing w:after="0" w:line="10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24"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283"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89"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Biologics Price Competition and Innovation Act</w:t>
      </w:r>
    </w:p>
    <w:p>
      <w:pPr>
        <w:spacing w:after="0" w:line="144"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5" w:name="page156"/>
    <w:bookmarkEnd w:id="15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 xml:space="preserve">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0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Regulation outside of the United States</w:t>
      </w:r>
    </w:p>
    <w:p>
      <w:pPr>
        <w:spacing w:after="0" w:line="123" w:lineRule="exact"/>
        <w:rPr>
          <w:sz w:val="20"/>
          <w:szCs w:val="20"/>
          <w:color w:val="auto"/>
        </w:rPr>
      </w:pPr>
    </w:p>
    <w:p>
      <w:pPr>
        <w:ind w:left="1240" w:right="1419"/>
        <w:spacing w:after="0" w:line="257" w:lineRule="auto"/>
        <w:rPr>
          <w:sz w:val="20"/>
          <w:szCs w:val="20"/>
          <w:color w:val="auto"/>
        </w:rPr>
      </w:pPr>
      <w:r>
        <w:rPr>
          <w:rFonts w:ascii="Arial" w:cs="Arial" w:eastAsia="Arial" w:hAnsi="Arial"/>
          <w:sz w:val="14"/>
          <w:szCs w:val="14"/>
          <w:color w:val="auto"/>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0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To obtain regulatory approval of an orphan drug under the European Union regulatory system, we are mandated to submit a Marketing Authorization Application, or MAA,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May 20,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May 20, 2004 or for products that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Centrally-authorized products may be marketed in all Member States. The centralized procedure is as follows: Full copies of the marketing authorization, or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200" w:lineRule="exact"/>
        <w:rPr>
          <w:sz w:val="20"/>
          <w:szCs w:val="20"/>
          <w:color w:val="auto"/>
        </w:rPr>
      </w:pPr>
    </w:p>
    <w:p>
      <w:pPr>
        <w:spacing w:after="0" w:line="251" w:lineRule="exact"/>
        <w:rPr>
          <w:sz w:val="20"/>
          <w:szCs w:val="20"/>
          <w:color w:val="auto"/>
        </w:rPr>
      </w:pPr>
    </w:p>
    <w:p>
      <w:pPr>
        <w:jc w:val="both"/>
        <w:ind w:left="1240" w:right="1339"/>
        <w:spacing w:after="0" w:line="260" w:lineRule="auto"/>
        <w:rPr>
          <w:sz w:val="20"/>
          <w:szCs w:val="20"/>
          <w:color w:val="auto"/>
        </w:rPr>
      </w:pPr>
      <w:r>
        <w:rPr>
          <w:rFonts w:ascii="Arial" w:cs="Arial" w:eastAsia="Arial" w:hAnsi="Arial"/>
          <w:sz w:val="14"/>
          <w:szCs w:val="14"/>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6" w:name="page157"/>
    <w:bookmarkEnd w:id="15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European Commission. This is the start of the second phase of the procedure: the decision-making process. The EMA sends to the Commission its opinion and assessment report, together with annexes containing: the SmPC, or Annex 1; the particulars of the MAH responsible for batch release, the particulars of the manufacturer of the active substance and the conditions of the marketing authorization, or Annex 2; and the labelling and the package leaflet, or Annex 3. The annexes are translated into the 22 other official languages of the European Union.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27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295"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Applications from persons or companies seeking “orphan medicinal product designation” for products they intend to develop for the diagnosis, prevention, or treatment of life-threatening or very serious conditions that affect not more than five in 10,000 persons in the European Union are reviewed by the Committee for Orphan Medicinal Products, or COMP. In addition, orphan drug designation can be granted if the drug or biologic is intended for a life threatening, seriously debilitating, or serious and chronic condition in the European Union and that without incentives it is unlikely that sales of the drug in the European Union would be sufficient to justify developing the drug or biologic. Orphan drug designation is only available if there is no other satisfactory method approved in the European Union of diagnosing, preventing, or treating the condition, or if such a method exists, the proposed orphan drug will be of significant benefit to patients.</w:t>
      </w:r>
    </w:p>
    <w:p>
      <w:pPr>
        <w:spacing w:after="0" w:line="107"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that has an orphan drug designation subsequently receives EMA marketing approval for the indication for which it has such designation, the product is entitled to orphan market exclusivity, which means the EMA may not approve any other application to market a similar drug or biologic for the same indication for a period of ten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over the existing orphan product. This demonstration of clinical superiority may be done at the time of initial approval or in post-approval studies, depending on the type of marketing authorization granted.</w:t>
      </w:r>
    </w:p>
    <w:p>
      <w:pPr>
        <w:spacing w:after="0" w:line="284"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7" w:name="page158"/>
    <w:bookmarkEnd w:id="15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or PUMA. If a PUMA is granted, the product will benefit from ten years of market protection as an incentive.</w:t>
      </w:r>
    </w:p>
    <w:p>
      <w:pPr>
        <w:spacing w:after="0" w:line="102"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drugs and biologics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29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United Kingdom left the European Union on January 31, 2020, referred to as Brexit, following which, existing European Union medicinal product legislation continued to apply in the United Kingdom during the transition period under the terms of the Brexit withdrawal agreement. The Brexit transition period, which ended on December 31, 2020, maintained access to the European Union single market and to the global trade deals negotiated by the European Union on behalf of its members. The Brexit transition period provided time for the United Kingdom and European Union to negotiate a framework for partnership for the future, which was then crystallized in the Trade and Cooperation Agreement, or TCA, and became effective on the January 1, 2021.</w:t>
      </w:r>
    </w:p>
    <w:p>
      <w:pPr>
        <w:spacing w:after="0" w:line="109"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As of January 1, 2021, the Medicines and Healthcare products Regulatory Agency, or MHRA, is the United Kingdom’s standalone medicines and medical devices regulator. As a result of the Northern Ireland protocol, different rules will apply in Northern Ireland than in England, Wales and Scotland, together Great Britain, broadly, Northern Ireland will continue to follow the European Union regulatory regime, but its national competent authority will remain the MHRA. The MHRA has published a draft guidance on how various aspects of the United Kingdom regulatory regime for medicines will operate in Great Britain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new guidance was be given effect via the Human Medicines Regulations (Amendment etc.) (European Union Exit) Regulations 2019, or the Exit Regulations. The United Kingdom regulatory regime largely mirrors that of the European Union.</w:t>
      </w:r>
    </w:p>
    <w:p>
      <w:pPr>
        <w:spacing w:after="0" w:line="284" w:lineRule="exact"/>
        <w:rPr>
          <w:sz w:val="20"/>
          <w:szCs w:val="20"/>
          <w:color w:val="auto"/>
        </w:rPr>
      </w:pPr>
    </w:p>
    <w:p>
      <w:pPr>
        <w:ind w:left="1240" w:right="1519"/>
        <w:spacing w:after="0" w:line="275" w:lineRule="auto"/>
        <w:rPr>
          <w:sz w:val="20"/>
          <w:szCs w:val="20"/>
          <w:color w:val="auto"/>
        </w:rPr>
      </w:pPr>
      <w:r>
        <w:rPr>
          <w:rFonts w:ascii="Arial" w:cs="Arial" w:eastAsia="Arial" w:hAnsi="Arial"/>
          <w:sz w:val="14"/>
          <w:szCs w:val="14"/>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will automatically be converted (grandfathered) into United Kingdom MAs free-of-charge on January 1, 2021.</w:t>
      </w:r>
    </w:p>
    <w:p>
      <w:pPr>
        <w:spacing w:after="0" w:line="106" w:lineRule="exact"/>
        <w:rPr>
          <w:sz w:val="20"/>
          <w:szCs w:val="20"/>
          <w:color w:val="auto"/>
        </w:rPr>
      </w:pPr>
    </w:p>
    <w:p>
      <w:pPr>
        <w:ind w:left="1240" w:right="1339"/>
        <w:spacing w:after="0" w:line="276" w:lineRule="auto"/>
        <w:rPr>
          <w:sz w:val="20"/>
          <w:szCs w:val="20"/>
          <w:color w:val="auto"/>
        </w:rPr>
      </w:pPr>
      <w:r>
        <w:rPr>
          <w:rFonts w:ascii="Arial" w:cs="Arial" w:eastAsia="Arial" w:hAnsi="Arial"/>
          <w:sz w:val="14"/>
          <w:szCs w:val="14"/>
          <w:color w:val="auto"/>
        </w:rPr>
        <w:t>There will be no pre-marketing authorization orphan designation. Instead, the MHRA will review applications for orphan designation in parallel to the corresponding MA application. The criteria are essentially the same, but have been tailored for the Great Britain market, i.e., the prevalence of the condition in Great Britain (rather than the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8" w:name="page159"/>
    <w:bookmarkEnd w:id="15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8" w:lineRule="auto"/>
        <w:rPr>
          <w:sz w:val="20"/>
          <w:szCs w:val="20"/>
          <w:color w:val="auto"/>
        </w:rPr>
      </w:pPr>
      <w:r>
        <w:rPr>
          <w:rFonts w:ascii="Arial" w:cs="Arial" w:eastAsia="Arial" w:hAnsi="Arial"/>
          <w:sz w:val="14"/>
          <w:szCs w:val="14"/>
          <w:color w:val="auto"/>
        </w:rPr>
        <w:t>European Union) must not be more than five in 10,000. Should an orphan designation be granted, the period or market exclusivity will be set from the date of first approval of the product in Great Britain or the European Economic Area, wherever is earliest.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Healthcare laws and regulations</w:t>
      </w:r>
    </w:p>
    <w:p>
      <w:pPr>
        <w:spacing w:after="0" w:line="133"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4" w:lineRule="exact"/>
        <w:rPr>
          <w:sz w:val="20"/>
          <w:szCs w:val="20"/>
          <w:color w:val="auto"/>
        </w:rPr>
      </w:pPr>
    </w:p>
    <w:p>
      <w:pPr>
        <w:ind w:left="1620" w:right="1379" w:hanging="114"/>
        <w:spacing w:after="0" w:line="274"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75" w:lineRule="exact"/>
        <w:rPr>
          <w:rFonts w:ascii="Arial" w:cs="Arial" w:eastAsia="Arial" w:hAnsi="Arial"/>
          <w:sz w:val="14"/>
          <w:szCs w:val="14"/>
          <w:color w:val="auto"/>
        </w:rPr>
      </w:pPr>
    </w:p>
    <w:p>
      <w:pPr>
        <w:ind w:left="1620" w:right="1299" w:hanging="114"/>
        <w:spacing w:after="0" w:line="277"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252" w:lineRule="exact"/>
        <w:rPr>
          <w:rFonts w:ascii="Arial" w:cs="Arial" w:eastAsia="Arial" w:hAnsi="Arial"/>
          <w:sz w:val="14"/>
          <w:szCs w:val="14"/>
          <w:color w:val="auto"/>
        </w:rPr>
      </w:pPr>
    </w:p>
    <w:p>
      <w:pPr>
        <w:ind w:left="1620" w:right="1319" w:hanging="114"/>
        <w:spacing w:after="0" w:line="275"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84" w:lineRule="exact"/>
        <w:rPr>
          <w:rFonts w:ascii="Arial" w:cs="Arial" w:eastAsia="Arial" w:hAnsi="Arial"/>
          <w:sz w:val="14"/>
          <w:szCs w:val="14"/>
          <w:color w:val="auto"/>
        </w:rPr>
      </w:pPr>
    </w:p>
    <w:p>
      <w:pPr>
        <w:ind w:left="1620" w:right="1319" w:hanging="114"/>
        <w:spacing w:after="0" w:line="291"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and their implementing regulations, impose obligations on certain types of individuals and</w:t>
      </w:r>
    </w:p>
    <w:p>
      <w:pPr>
        <w:spacing w:after="0" w:line="241" w:lineRule="exact"/>
        <w:rPr>
          <w:rFonts w:ascii="Arial" w:cs="Arial" w:eastAsia="Arial" w:hAnsi="Arial"/>
          <w:sz w:val="14"/>
          <w:szCs w:val="14"/>
          <w:color w:val="auto"/>
        </w:rPr>
      </w:pPr>
    </w:p>
    <w:p>
      <w:pPr>
        <w:ind w:left="1620" w:right="1839" w:hanging="114"/>
        <w:spacing w:after="0" w:line="278"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entities regarding the electronic exchange of information in common healthcare transactions, as well as standards relating to the privacy and security of individually identifiable health information;</w:t>
      </w:r>
    </w:p>
    <w:p>
      <w:pPr>
        <w:spacing w:after="0" w:line="83" w:lineRule="exact"/>
        <w:rPr>
          <w:rFonts w:ascii="Arial" w:cs="Arial" w:eastAsia="Arial" w:hAnsi="Arial"/>
          <w:sz w:val="14"/>
          <w:szCs w:val="14"/>
          <w:color w:val="auto"/>
        </w:rPr>
      </w:pPr>
    </w:p>
    <w:p>
      <w:pPr>
        <w:ind w:left="1620" w:right="1319" w:hanging="114"/>
        <w:spacing w:after="0" w:line="274"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as well as ownership and investment interests held by physicians and their immediate family members; and</w:t>
      </w:r>
    </w:p>
    <w:p>
      <w:pPr>
        <w:spacing w:after="0" w:line="257" w:lineRule="exact"/>
        <w:rPr>
          <w:rFonts w:ascii="Arial" w:cs="Arial" w:eastAsia="Arial" w:hAnsi="Arial"/>
          <w:sz w:val="14"/>
          <w:szCs w:val="14"/>
          <w:color w:val="auto"/>
        </w:rPr>
      </w:pPr>
    </w:p>
    <w:p>
      <w:pPr>
        <w:ind w:left="1620" w:right="1319" w:hanging="114"/>
        <w:spacing w:after="0" w:line="275" w:lineRule="auto"/>
        <w:tabs>
          <w:tab w:leader="none" w:pos="16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06"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9" w:name="page160"/>
    <w:bookmarkEnd w:id="15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Healthcare Reform</w:t>
      </w:r>
    </w:p>
    <w:p>
      <w:pPr>
        <w:spacing w:after="0" w:line="121"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200" w:lineRule="exact"/>
        <w:rPr>
          <w:sz w:val="20"/>
          <w:szCs w:val="20"/>
          <w:color w:val="auto"/>
        </w:rPr>
      </w:pPr>
    </w:p>
    <w:p>
      <w:pPr>
        <w:spacing w:after="0" w:line="255" w:lineRule="exact"/>
        <w:rPr>
          <w:sz w:val="20"/>
          <w:szCs w:val="20"/>
          <w:color w:val="auto"/>
        </w:rPr>
      </w:pPr>
    </w:p>
    <w:p>
      <w:pPr>
        <w:ind w:left="1240" w:right="1359"/>
        <w:spacing w:after="0" w:line="256" w:lineRule="auto"/>
        <w:rPr>
          <w:sz w:val="20"/>
          <w:szCs w:val="20"/>
          <w:color w:val="auto"/>
        </w:rPr>
      </w:pPr>
      <w:r>
        <w:rPr>
          <w:rFonts w:ascii="Arial" w:cs="Arial" w:eastAsia="Arial" w:hAnsi="Arial"/>
          <w:sz w:val="14"/>
          <w:szCs w:val="14"/>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200" w:lineRule="exact"/>
        <w:rPr>
          <w:sz w:val="20"/>
          <w:szCs w:val="20"/>
          <w:color w:val="auto"/>
        </w:rPr>
      </w:pPr>
    </w:p>
    <w:p>
      <w:pPr>
        <w:spacing w:after="0" w:line="251"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unless additional Congressional action is taken. However, pursuant to the Coronavirus Aid, Relief and Economic Security Act, or CARES Act, the 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0" w:name="page161"/>
    <w:bookmarkEnd w:id="16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Further legislative and regulatory changes under the Affordable Care Act remain possible, although the new Administration under President Biden has signaled that it plans to build on the Affordable Care Act and expand the number of people who are eligible for subsidies under it. President Biden indicated that he intends to use executive orders to undo changes to the Affordable Care Act made by the former administration and would advocate for legislation to build on the Affordable Care Act.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278"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w:t>
      </w:r>
    </w:p>
    <w:p>
      <w:pPr>
        <w:spacing w:after="0" w:line="110" w:lineRule="exact"/>
        <w:rPr>
          <w:sz w:val="20"/>
          <w:szCs w:val="20"/>
          <w:color w:val="auto"/>
        </w:rPr>
      </w:pPr>
    </w:p>
    <w:p>
      <w:pPr>
        <w:ind w:left="1240" w:right="1319"/>
        <w:spacing w:after="0" w:line="271" w:lineRule="auto"/>
        <w:rPr>
          <w:sz w:val="20"/>
          <w:szCs w:val="20"/>
          <w:color w:val="auto"/>
        </w:rPr>
      </w:pPr>
      <w:r>
        <w:rPr>
          <w:rFonts w:ascii="Arial" w:cs="Arial" w:eastAsia="Arial" w:hAnsi="Arial"/>
          <w:sz w:val="14"/>
          <w:szCs w:val="14"/>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w:t>
      </w:r>
    </w:p>
    <w:p>
      <w:pPr>
        <w:spacing w:after="0" w:line="2" w:lineRule="exact"/>
        <w:rPr>
          <w:sz w:val="20"/>
          <w:szCs w:val="20"/>
          <w:color w:val="auto"/>
        </w:rPr>
      </w:pPr>
    </w:p>
    <w:p>
      <w:pPr>
        <w:ind w:left="1240" w:right="1299" w:firstLine="9"/>
        <w:spacing w:after="0" w:line="286" w:lineRule="auto"/>
        <w:tabs>
          <w:tab w:leader="none" w:pos="1449" w:val="left"/>
        </w:tabs>
        <w:numPr>
          <w:ilvl w:val="0"/>
          <w:numId w:val="78"/>
        </w:numPr>
        <w:rPr>
          <w:rFonts w:ascii="Arial" w:cs="Arial" w:eastAsia="Arial" w:hAnsi="Arial"/>
          <w:sz w:val="14"/>
          <w:szCs w:val="14"/>
          <w:color w:val="auto"/>
        </w:rPr>
      </w:pPr>
      <w:r>
        <w:rPr>
          <w:rFonts w:ascii="Arial" w:cs="Arial" w:eastAsia="Arial" w:hAnsi="Arial"/>
          <w:sz w:val="14"/>
          <w:szCs w:val="14"/>
          <w:color w:val="auto"/>
        </w:rPr>
        <w:t>percent to 70 percent the point-of-sale discount that is owed by pharmaceutical manufacturers who participate in Medicare Part D.</w:t>
      </w:r>
    </w:p>
    <w:p>
      <w:pPr>
        <w:spacing w:after="0" w:line="98"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283" w:lineRule="exact"/>
        <w:rPr>
          <w:sz w:val="20"/>
          <w:szCs w:val="20"/>
          <w:color w:val="auto"/>
        </w:rPr>
      </w:pPr>
    </w:p>
    <w:p>
      <w:pPr>
        <w:ind w:left="1240" w:right="1379"/>
        <w:spacing w:after="0" w:line="275" w:lineRule="auto"/>
        <w:rPr>
          <w:sz w:val="20"/>
          <w:szCs w:val="20"/>
          <w:color w:val="auto"/>
        </w:rPr>
      </w:pPr>
      <w:r>
        <w:rPr>
          <w:rFonts w:ascii="Arial" w:cs="Arial" w:eastAsia="Arial" w:hAnsi="Arial"/>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6" w:lineRule="exact"/>
        <w:rPr>
          <w:sz w:val="20"/>
          <w:szCs w:val="20"/>
          <w:color w:val="auto"/>
        </w:rPr>
      </w:pPr>
    </w:p>
    <w:p>
      <w:pPr>
        <w:jc w:val="both"/>
        <w:ind w:left="1240" w:right="1339"/>
        <w:spacing w:after="0" w:line="276" w:lineRule="auto"/>
        <w:rPr>
          <w:sz w:val="20"/>
          <w:szCs w:val="20"/>
          <w:color w:val="auto"/>
        </w:rPr>
      </w:pPr>
      <w:r>
        <w:rPr>
          <w:rFonts w:ascii="Arial" w:cs="Arial" w:eastAsia="Arial" w:hAnsi="Arial"/>
          <w:sz w:val="14"/>
          <w:szCs w:val="14"/>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1" w:name="page162"/>
    <w:bookmarkEnd w:id="16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Human capital resources</w:t>
      </w:r>
    </w:p>
    <w:p>
      <w:pPr>
        <w:spacing w:after="0" w:line="129" w:lineRule="exact"/>
        <w:rPr>
          <w:sz w:val="20"/>
          <w:szCs w:val="20"/>
          <w:color w:val="auto"/>
        </w:rPr>
      </w:pPr>
    </w:p>
    <w:p>
      <w:pPr>
        <w:ind w:left="1240" w:right="1359"/>
        <w:spacing w:after="0" w:line="278" w:lineRule="auto"/>
        <w:rPr>
          <w:sz w:val="20"/>
          <w:szCs w:val="20"/>
          <w:color w:val="auto"/>
        </w:rPr>
      </w:pPr>
      <w:r>
        <w:rPr>
          <w:rFonts w:ascii="Arial" w:cs="Arial" w:eastAsia="Arial" w:hAnsi="Arial"/>
          <w:sz w:val="14"/>
          <w:szCs w:val="14"/>
          <w:color w:val="auto"/>
        </w:rPr>
        <w:t>As of April 30, 2021, we had 97 full-time employees and ten part-time employees. Of our 107 full and part-time employees, 47 have Ph.D. or M.D. degrees and 69 are engaged in research and development activities. We consider our relationship with our employees to be good.</w:t>
      </w:r>
    </w:p>
    <w:p>
      <w:pPr>
        <w:spacing w:after="0" w:line="105" w:lineRule="exact"/>
        <w:rPr>
          <w:sz w:val="20"/>
          <w:szCs w:val="20"/>
          <w:color w:val="auto"/>
        </w:rPr>
      </w:pPr>
    </w:p>
    <w:p>
      <w:pPr>
        <w:ind w:left="1240" w:right="1279"/>
        <w:spacing w:after="0" w:line="277"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Facilities</w:t>
      </w:r>
    </w:p>
    <w:p>
      <w:pPr>
        <w:spacing w:after="0" w:line="140" w:lineRule="exact"/>
        <w:rPr>
          <w:sz w:val="20"/>
          <w:szCs w:val="20"/>
          <w:color w:val="auto"/>
        </w:rPr>
      </w:pPr>
    </w:p>
    <w:p>
      <w:pPr>
        <w:ind w:left="1240" w:right="1299"/>
        <w:spacing w:after="0" w:line="271" w:lineRule="auto"/>
        <w:rPr>
          <w:sz w:val="20"/>
          <w:szCs w:val="20"/>
          <w:color w:val="auto"/>
        </w:rPr>
      </w:pPr>
      <w:r>
        <w:rPr>
          <w:rFonts w:ascii="Arial" w:cs="Arial" w:eastAsia="Arial" w:hAnsi="Arial"/>
          <w:sz w:val="14"/>
          <w:szCs w:val="14"/>
          <w:color w:val="auto"/>
        </w:rPr>
        <w:t>Our principal executive offices are located in Philadelphia, Pennsylvania, pursuant to a lease that expires in March 2032. We operate in three laboratory spaces in Philadelphia pursuant to leases that expire in January 2026, January 2031 and July 2023. Additionally, we lease office and laboratory space in Seattle, Washington pursuant to leases expiring in January 2030 and</w:t>
      </w:r>
    </w:p>
    <w:p>
      <w:pPr>
        <w:spacing w:after="0" w:line="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May 2030, respectively. Century Canada’s operations are located in Hamilton, Ontario, pursuant to a lease that expires in October 2025. We are investing in the construction of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Legal proceedings</w:t>
      </w:r>
    </w:p>
    <w:p>
      <w:pPr>
        <w:spacing w:after="0" w:line="129" w:lineRule="exact"/>
        <w:rPr>
          <w:sz w:val="20"/>
          <w:szCs w:val="20"/>
          <w:color w:val="auto"/>
        </w:rPr>
      </w:pPr>
    </w:p>
    <w:p>
      <w:pPr>
        <w:jc w:val="both"/>
        <w:ind w:left="1240" w:right="1799"/>
        <w:spacing w:after="0" w:line="278" w:lineRule="auto"/>
        <w:rPr>
          <w:sz w:val="20"/>
          <w:szCs w:val="20"/>
          <w:color w:val="auto"/>
        </w:rPr>
      </w:pPr>
      <w:r>
        <w:rPr>
          <w:rFonts w:ascii="Arial" w:cs="Arial" w:eastAsia="Arial" w:hAnsi="Arial"/>
          <w:sz w:val="14"/>
          <w:szCs w:val="14"/>
          <w:color w:val="auto"/>
        </w:rPr>
        <w:t>We are not currently a party to any material legal proceedings. From time to time, we may become involved in other litigation or legal proceedings relating to claims arising from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2" w:name="page163"/>
    <w:bookmarkEnd w:id="16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Management</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information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ind w:left="389"/>
              <w:spacing w:after="0"/>
              <w:rPr>
                <w:sz w:val="20"/>
                <w:szCs w:val="20"/>
                <w:color w:val="auto"/>
              </w:rPr>
            </w:pPr>
            <w:r>
              <w:rPr>
                <w:rFonts w:ascii="Arial" w:cs="Arial" w:eastAsia="Arial" w:hAnsi="Arial"/>
                <w:sz w:val="13"/>
                <w:szCs w:val="13"/>
                <w:b w:val="1"/>
                <w:bCs w:val="1"/>
                <w:color w:val="auto"/>
                <w:w w:val="97"/>
              </w:rPr>
              <w:t>Age</w:t>
            </w:r>
          </w:p>
        </w:tc>
        <w:tc>
          <w:tcPr>
            <w:tcW w:w="3180" w:type="dxa"/>
            <w:vAlign w:val="bottom"/>
          </w:tcPr>
          <w:p>
            <w:pPr>
              <w:ind w:left="60"/>
              <w:spacing w:after="0"/>
              <w:rPr>
                <w:sz w:val="20"/>
                <w:szCs w:val="20"/>
                <w:color w:val="auto"/>
              </w:rPr>
            </w:pPr>
            <w:r>
              <w:rPr>
                <w:rFonts w:ascii="Arial" w:cs="Arial" w:eastAsia="Arial" w:hAnsi="Arial"/>
                <w:sz w:val="13"/>
                <w:szCs w:val="13"/>
                <w:b w:val="1"/>
                <w:bCs w:val="1"/>
                <w:color w:val="auto"/>
              </w:rPr>
              <w:t>Position(s)</w:t>
            </w:r>
          </w:p>
        </w:tc>
      </w:tr>
      <w:tr>
        <w:trPr>
          <w:trHeight w:val="193"/>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Osvaldo Flores, Ph.D.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58</w:t>
            </w:r>
          </w:p>
        </w:tc>
        <w:tc>
          <w:tcPr>
            <w:tcW w:w="318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Luis Borges,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Scientific Officer</w:t>
            </w: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52</w:t>
            </w:r>
          </w:p>
        </w:tc>
        <w:tc>
          <w:tcPr>
            <w:tcW w:w="3180" w:type="dxa"/>
            <w:vAlign w:val="bottom"/>
          </w:tcPr>
          <w:p>
            <w:pPr>
              <w:ind w:left="60"/>
              <w:spacing w:after="0"/>
              <w:rPr>
                <w:sz w:val="20"/>
                <w:szCs w:val="20"/>
                <w:color w:val="auto"/>
              </w:rPr>
            </w:pPr>
            <w:r>
              <w:rPr>
                <w:rFonts w:ascii="Arial" w:cs="Arial" w:eastAsia="Arial" w:hAnsi="Arial"/>
                <w:sz w:val="14"/>
                <w:szCs w:val="14"/>
                <w:color w:val="auto"/>
              </w:rPr>
              <w:t>Chief Business Officer</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Adrienne Farid,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Operations Officer</w:t>
            </w:r>
          </w:p>
        </w:tc>
      </w:tr>
      <w:tr>
        <w:trPr>
          <w:trHeight w:val="181"/>
        </w:trPr>
        <w:tc>
          <w:tcPr>
            <w:tcW w:w="2480" w:type="dxa"/>
            <w:vAlign w:val="bottom"/>
            <w:gridSpan w:val="2"/>
          </w:tcPr>
          <w:p>
            <w:pPr>
              <w:spacing w:after="0"/>
              <w:rPr>
                <w:sz w:val="20"/>
                <w:szCs w:val="20"/>
                <w:color w:val="auto"/>
              </w:rPr>
            </w:pPr>
            <w:r>
              <w:rPr>
                <w:rFonts w:ascii="Arial" w:cs="Arial" w:eastAsia="Arial" w:hAnsi="Arial"/>
                <w:sz w:val="14"/>
                <w:szCs w:val="14"/>
                <w:color w:val="auto"/>
              </w:rPr>
              <w:t>Hyam Levitsky,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63</w:t>
            </w:r>
          </w:p>
        </w:tc>
        <w:tc>
          <w:tcPr>
            <w:tcW w:w="3180" w:type="dxa"/>
            <w:vAlign w:val="bottom"/>
          </w:tcPr>
          <w:p>
            <w:pPr>
              <w:ind w:left="60"/>
              <w:spacing w:after="0"/>
              <w:rPr>
                <w:sz w:val="20"/>
                <w:szCs w:val="20"/>
                <w:color w:val="auto"/>
              </w:rPr>
            </w:pPr>
            <w:r>
              <w:rPr>
                <w:rFonts w:ascii="Arial" w:cs="Arial" w:eastAsia="Arial" w:hAnsi="Arial"/>
                <w:sz w:val="14"/>
                <w:szCs w:val="14"/>
                <w:color w:val="auto"/>
              </w:rPr>
              <w:t>President of Research and Development</w:t>
            </w:r>
          </w:p>
        </w:tc>
      </w:tr>
      <w:tr>
        <w:trPr>
          <w:trHeight w:val="22"/>
        </w:trPr>
        <w:tc>
          <w:tcPr>
            <w:tcW w:w="2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Gregory Russotti,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Technology Officer</w:t>
            </w: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Arial" w:cs="Arial" w:eastAsia="Arial" w:hAnsi="Arial"/>
                <w:sz w:val="14"/>
                <w:szCs w:val="14"/>
                <w:b w:val="1"/>
                <w:bCs w:val="1"/>
                <w:color w:val="auto"/>
              </w:rPr>
              <w:t>Non-Employee Directors</w:t>
            </w:r>
          </w:p>
        </w:tc>
        <w:tc>
          <w:tcPr>
            <w:tcW w:w="86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460" w:type="dxa"/>
            <w:vAlign w:val="bottom"/>
            <w:shd w:val="clear" w:color="auto" w:fill="CCEEFF"/>
          </w:tcPr>
          <w:p>
            <w:pPr>
              <w:spacing w:after="0" w:line="229" w:lineRule="exact"/>
              <w:rPr>
                <w:sz w:val="20"/>
                <w:szCs w:val="20"/>
                <w:color w:val="auto"/>
              </w:rPr>
            </w:pPr>
            <w:r>
              <w:rPr>
                <w:rFonts w:ascii="Arial" w:cs="Arial" w:eastAsia="Arial" w:hAnsi="Arial"/>
                <w:sz w:val="14"/>
                <w:szCs w:val="14"/>
                <w:color w:val="auto"/>
              </w:rPr>
              <w:t>Toshikazu Ban</w:t>
            </w:r>
            <w:r>
              <w:rPr>
                <w:rFonts w:ascii="Arial" w:cs="Arial" w:eastAsia="Arial" w:hAnsi="Arial"/>
                <w:sz w:val="21"/>
                <w:szCs w:val="21"/>
                <w:color w:val="auto"/>
                <w:vertAlign w:val="superscript"/>
              </w:rPr>
              <w:t>(4)</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Kimberly Blackwell, M.D.</w:t>
            </w:r>
            <w:r>
              <w:rPr>
                <w:rFonts w:ascii="Arial" w:cs="Arial" w:eastAsia="Arial" w:hAnsi="Arial"/>
                <w:sz w:val="21"/>
                <w:szCs w:val="21"/>
                <w:color w:val="auto"/>
                <w:vertAlign w:val="superscript"/>
              </w:rPr>
              <w:t>(1)(3)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52</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Cynthia Butitta</w:t>
            </w:r>
            <w:r>
              <w:rPr>
                <w:rFonts w:ascii="Arial" w:cs="Arial" w:eastAsia="Arial" w:hAnsi="Arial"/>
                <w:sz w:val="21"/>
                <w:szCs w:val="21"/>
                <w:color w:val="auto"/>
                <w:vertAlign w:val="superscript"/>
              </w:rPr>
              <w:t>(1)(2)</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66</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48</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Juergen Eckhardt, M.D.</w:t>
            </w:r>
            <w:r>
              <w:rPr>
                <w:rFonts w:ascii="Arial" w:cs="Arial" w:eastAsia="Arial" w:hAnsi="Arial"/>
                <w:sz w:val="21"/>
                <w:szCs w:val="21"/>
                <w:color w:val="auto"/>
                <w:vertAlign w:val="superscript"/>
              </w:rPr>
              <w:t>(5)</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4"/>
        </w:trPr>
        <w:tc>
          <w:tcPr>
            <w:tcW w:w="20" w:type="dxa"/>
            <w:vAlign w:val="bottom"/>
          </w:tcPr>
          <w:p>
            <w:pPr>
              <w:spacing w:after="0"/>
              <w:rPr>
                <w:sz w:val="18"/>
                <w:szCs w:val="18"/>
                <w:color w:val="auto"/>
              </w:rPr>
            </w:pPr>
          </w:p>
        </w:tc>
        <w:tc>
          <w:tcPr>
            <w:tcW w:w="2460" w:type="dxa"/>
            <w:vAlign w:val="bottom"/>
          </w:tcPr>
          <w:p>
            <w:pPr>
              <w:spacing w:after="0" w:line="214" w:lineRule="exact"/>
              <w:rPr>
                <w:sz w:val="20"/>
                <w:szCs w:val="20"/>
                <w:color w:val="auto"/>
              </w:rPr>
            </w:pPr>
            <w:r>
              <w:rPr>
                <w:rFonts w:ascii="Arial" w:cs="Arial" w:eastAsia="Arial" w:hAnsi="Arial"/>
                <w:sz w:val="14"/>
                <w:szCs w:val="14"/>
                <w:color w:val="auto"/>
              </w:rPr>
              <w:t>Joseph Jimenez</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61</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 Chairman of the Board</w:t>
            </w:r>
          </w:p>
        </w:tc>
      </w:tr>
      <w:tr>
        <w:trPr>
          <w:trHeight w:val="214"/>
        </w:trPr>
        <w:tc>
          <w:tcPr>
            <w:tcW w:w="20" w:type="dxa"/>
            <w:vAlign w:val="bottom"/>
          </w:tcPr>
          <w:p>
            <w:pPr>
              <w:spacing w:after="0"/>
              <w:rPr>
                <w:sz w:val="18"/>
                <w:szCs w:val="18"/>
                <w:color w:val="auto"/>
              </w:rPr>
            </w:pPr>
          </w:p>
        </w:tc>
        <w:tc>
          <w:tcPr>
            <w:tcW w:w="246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Alessandro Riva, M.D.</w:t>
            </w:r>
            <w:r>
              <w:rPr>
                <w:rFonts w:ascii="Arial" w:cs="Arial" w:eastAsia="Arial" w:hAnsi="Arial"/>
                <w:sz w:val="21"/>
                <w:szCs w:val="21"/>
                <w:color w:val="auto"/>
                <w:vertAlign w:val="superscript"/>
              </w:rPr>
              <w:t>(1)</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74"/>
        </w:trPr>
        <w:tc>
          <w:tcPr>
            <w:tcW w:w="20" w:type="dxa"/>
            <w:vAlign w:val="bottom"/>
          </w:tcPr>
          <w:p>
            <w:pPr>
              <w:spacing w:after="0"/>
              <w:rPr>
                <w:sz w:val="23"/>
                <w:szCs w:val="23"/>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Carlo Rizzuto, Ph.D.</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51</w:t>
            </w:r>
          </w:p>
        </w:tc>
        <w:tc>
          <w:tcPr>
            <w:tcW w:w="3180" w:type="dxa"/>
            <w:vAlign w:val="bottom"/>
          </w:tcPr>
          <w:p>
            <w:pPr>
              <w:ind w:left="6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-30480</wp:posOffset>
            </wp:positionV>
            <wp:extent cx="413448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ind w:left="1480" w:hanging="231"/>
        <w:spacing w:after="0"/>
        <w:tabs>
          <w:tab w:leader="none" w:pos="14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Member of our audit committee upon effectiveness of the Registration Statement of which this prospectus forms a part.</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Member of our compensation committee upon effectiveness of the Registration Statement of which this prospectus forms a</w:t>
      </w:r>
    </w:p>
    <w:p>
      <w:pPr>
        <w:spacing w:after="0" w:line="2" w:lineRule="exact"/>
        <w:rPr>
          <w:rFonts w:ascii="Arial" w:cs="Arial" w:eastAsia="Arial" w:hAnsi="Arial"/>
          <w:sz w:val="11"/>
          <w:szCs w:val="11"/>
          <w:color w:val="auto"/>
        </w:rPr>
      </w:pPr>
    </w:p>
    <w:p>
      <w:pPr>
        <w:ind w:left="1240"/>
        <w:spacing w:after="0"/>
        <w:rPr>
          <w:rFonts w:ascii="Arial" w:cs="Arial" w:eastAsia="Arial" w:hAnsi="Arial"/>
          <w:sz w:val="11"/>
          <w:szCs w:val="11"/>
          <w:color w:val="auto"/>
        </w:rPr>
      </w:pPr>
      <w:r>
        <w:rPr>
          <w:rFonts w:ascii="Arial" w:cs="Arial" w:eastAsia="Arial" w:hAnsi="Arial"/>
          <w:sz w:val="11"/>
          <w:szCs w:val="11"/>
          <w:color w:val="auto"/>
        </w:rPr>
        <w:t>part.</w:t>
      </w:r>
    </w:p>
    <w:p>
      <w:pPr>
        <w:spacing w:after="0" w:line="66" w:lineRule="exact"/>
        <w:rPr>
          <w:rFonts w:ascii="Arial" w:cs="Arial" w:eastAsia="Arial" w:hAnsi="Arial"/>
          <w:sz w:val="11"/>
          <w:szCs w:val="11"/>
          <w:color w:val="auto"/>
        </w:rPr>
      </w:pPr>
    </w:p>
    <w:p>
      <w:pPr>
        <w:ind w:left="1240" w:right="1399" w:firstLine="9"/>
        <w:spacing w:after="0" w:line="248" w:lineRule="auto"/>
        <w:tabs>
          <w:tab w:leader="none" w:pos="1476" w:val="left"/>
        </w:tabs>
        <w:numPr>
          <w:ilvl w:val="0"/>
          <w:numId w:val="79"/>
        </w:numPr>
        <w:rPr>
          <w:rFonts w:ascii="Arial" w:cs="Arial" w:eastAsia="Arial" w:hAnsi="Arial"/>
          <w:sz w:val="11"/>
          <w:szCs w:val="11"/>
          <w:color w:val="auto"/>
        </w:rPr>
      </w:pPr>
      <w:r>
        <w:rPr>
          <w:rFonts w:ascii="Arial" w:cs="Arial" w:eastAsia="Arial" w:hAnsi="Arial"/>
          <w:sz w:val="11"/>
          <w:szCs w:val="11"/>
          <w:color w:val="auto"/>
        </w:rPr>
        <w:t>Member of our nominating and corporate governance committee upon effectiveness of the Registration Statement of which this prospectus forms a part.</w:t>
      </w:r>
    </w:p>
    <w:p>
      <w:pPr>
        <w:spacing w:after="0" w:line="49" w:lineRule="exact"/>
        <w:rPr>
          <w:rFonts w:ascii="Arial" w:cs="Arial" w:eastAsia="Arial" w:hAnsi="Arial"/>
          <w:sz w:val="11"/>
          <w:szCs w:val="11"/>
          <w:color w:val="auto"/>
        </w:rPr>
      </w:pPr>
    </w:p>
    <w:p>
      <w:pPr>
        <w:ind w:left="1240" w:right="1339" w:firstLine="9"/>
        <w:spacing w:after="0" w:line="248" w:lineRule="auto"/>
        <w:tabs>
          <w:tab w:leader="none" w:pos="1476" w:val="left"/>
        </w:tabs>
        <w:numPr>
          <w:ilvl w:val="0"/>
          <w:numId w:val="79"/>
        </w:numPr>
        <w:rPr>
          <w:rFonts w:ascii="Arial" w:cs="Arial" w:eastAsia="Arial" w:hAnsi="Arial"/>
          <w:sz w:val="11"/>
          <w:szCs w:val="11"/>
          <w:color w:val="auto"/>
        </w:rPr>
      </w:pPr>
      <w:r>
        <w:rPr>
          <w:rFonts w:ascii="Arial" w:cs="Arial" w:eastAsia="Arial" w:hAnsi="Arial"/>
          <w:sz w:val="11"/>
          <w:szCs w:val="11"/>
          <w:color w:val="auto"/>
        </w:rPr>
        <w:t>Mr. Ban resigned from our board of directors effective immediately prior to the effectiveness of the Registration Statement of which this prospectus forms a part.</w:t>
      </w:r>
    </w:p>
    <w:p>
      <w:pPr>
        <w:spacing w:after="0" w:line="49" w:lineRule="exact"/>
        <w:rPr>
          <w:rFonts w:ascii="Arial" w:cs="Arial" w:eastAsia="Arial" w:hAnsi="Arial"/>
          <w:sz w:val="11"/>
          <w:szCs w:val="11"/>
          <w:color w:val="auto"/>
        </w:rPr>
      </w:pPr>
    </w:p>
    <w:p>
      <w:pPr>
        <w:ind w:left="1240" w:right="1779" w:firstLine="9"/>
        <w:spacing w:after="0" w:line="248" w:lineRule="auto"/>
        <w:tabs>
          <w:tab w:leader="none" w:pos="1476" w:val="left"/>
        </w:tabs>
        <w:numPr>
          <w:ilvl w:val="0"/>
          <w:numId w:val="79"/>
        </w:numPr>
        <w:rPr>
          <w:rFonts w:ascii="Arial" w:cs="Arial" w:eastAsia="Arial" w:hAnsi="Arial"/>
          <w:sz w:val="11"/>
          <w:szCs w:val="11"/>
          <w:color w:val="auto"/>
        </w:rPr>
      </w:pPr>
      <w:r>
        <w:rPr>
          <w:rFonts w:ascii="Arial" w:cs="Arial" w:eastAsia="Arial" w:hAnsi="Arial"/>
          <w:sz w:val="11"/>
          <w:szCs w:val="11"/>
          <w:color w:val="auto"/>
        </w:rPr>
        <w:t>Dr. Eckhardt resigned from our board of directors effective immediately prior to the effectiveness of the Registration Statement of which this prospectus forms a part.</w:t>
      </w:r>
    </w:p>
    <w:p>
      <w:pPr>
        <w:spacing w:after="0" w:line="14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Executive officers</w:t>
      </w:r>
    </w:p>
    <w:p>
      <w:pPr>
        <w:spacing w:after="0" w:line="124" w:lineRule="exact"/>
        <w:rPr>
          <w:sz w:val="20"/>
          <w:szCs w:val="20"/>
          <w:color w:val="auto"/>
        </w:rPr>
      </w:pPr>
    </w:p>
    <w:p>
      <w:pPr>
        <w:ind w:left="1240" w:right="1399"/>
        <w:spacing w:after="0" w:line="274" w:lineRule="auto"/>
        <w:rPr>
          <w:sz w:val="20"/>
          <w:szCs w:val="20"/>
          <w:color w:val="auto"/>
        </w:rPr>
      </w:pPr>
      <w:r>
        <w:rPr>
          <w:rFonts w:ascii="Arial" w:cs="Arial" w:eastAsia="Arial" w:hAnsi="Arial"/>
          <w:sz w:val="14"/>
          <w:szCs w:val="14"/>
          <w:b w:val="1"/>
          <w:bCs w:val="1"/>
          <w:i w:val="1"/>
          <w:iCs w:val="1"/>
          <w:color w:val="auto"/>
        </w:rPr>
        <w:t xml:space="preserve">Osvaldo Flores,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Flores previously served as a member of the board of directors of Prior Century from September 2018 until the 2021 Reorganization in February 2021. Dr. Flores has served as our President and Chief Executive Officer since June 2019 and the President and Chief Executive Officer of Prior Century from September 10, 2018 until the 2021 Reorganization in</w:t>
      </w:r>
    </w:p>
    <w:p>
      <w:pPr>
        <w:spacing w:after="0" w:line="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February 2021. Dr. Flores was previously Vice President of R&amp;D from December 2015 until December 2017, and Entrepreneur-in-Residence from January 2018 until August 2018 with Janssen, a Johnson &amp; Johnson company. He founded and served as President and Chief Scientific Officer of Novira Therapeutics from January 2009 to December 2015. Prior to Novira, Dr. Flores was a department head at Merck &amp; Co., where he led drug discovery and development programs across diverse therapeutic areas including antiviral, oncology, and metabolic, from 1999 to 2008. Dr. Flores began his R&amp;D career at Tularik Inc., establishing key elements of the antiviral drug discovery platform. Dr. Flores received his Ph.D. in Biochemistry and Molecular Biology from Rutgers University and was a postdoctoral Fellow at the Salk Institute.</w:t>
      </w:r>
    </w:p>
    <w:p>
      <w:pPr>
        <w:spacing w:after="0" w:line="108"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We believe that Dr. Flores is qualified to serve on our board of directors due to the valuable experience he brings in his capacity as our President and Chief Officer along with his extensive experience and knowledge of our industry.</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3" w:name="page164"/>
    <w:bookmarkEnd w:id="16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40" w:right="1759"/>
        <w:spacing w:after="0" w:line="279" w:lineRule="auto"/>
        <w:rPr>
          <w:sz w:val="20"/>
          <w:szCs w:val="20"/>
          <w:color w:val="auto"/>
        </w:rPr>
      </w:pPr>
      <w:r>
        <w:rPr>
          <w:rFonts w:ascii="Arial" w:cs="Arial" w:eastAsia="Arial" w:hAnsi="Arial"/>
          <w:sz w:val="14"/>
          <w:szCs w:val="14"/>
          <w:b w:val="1"/>
          <w:bCs w:val="1"/>
          <w:i w:val="1"/>
          <w:iCs w:val="1"/>
          <w:color w:val="auto"/>
        </w:rPr>
        <w:t xml:space="preserve">Luis Borges, Ph.D. </w:t>
      </w:r>
      <w:r>
        <w:rPr>
          <w:rFonts w:ascii="Arial" w:cs="Arial" w:eastAsia="Arial" w:hAnsi="Arial"/>
          <w:sz w:val="14"/>
          <w:szCs w:val="14"/>
          <w:color w:val="auto"/>
        </w:rPr>
        <w:t>has served as our Chief Scientific Officer since April 2019. Dr. Borges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Scientific Officer of Cell Medica, a pharmaceutical company specializing in cellular immunotherapy, from August 2017 until March 2019. Prior to this,</w:t>
      </w:r>
    </w:p>
    <w:p>
      <w:pPr>
        <w:spacing w:after="0" w:line="1"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Dr. Borges served as Senior Vice President of Research from September 2016 until July 2017, and Vice President of Immuno-Oncology Research from July 2015 until September 2016 at Five Prime Therapeutics, Inc., a publicly-traded biotechnology company. Dr. Borges also served as Executive Director and Senior Director at Five Prime Therapeutics, Inc. from February 2015 until June 2015 and May 2014 until January 2015, respectively. Dr. Borges served in several positions at Amgen Inc., a publicly-traded biotechnology company from 2002 until 2014, most recently serving as Scientific Director from November 2011 until April 2014. Prior to this, Dr. Borges served at Immunex Corp., a publicly-traded biotechnology company, as a Postdoctoral Scientist from September 1996 until September 1999, and as a Staff Scientist from September 1999 until July 2002 when Amgen Inc. acquired Immunex Corp. Dr. Borges holds a Bachelor of Science in marine biology from the University of Lisbon and a Ph.D. in pathology from the University of Washington School of Medicine.</w:t>
      </w:r>
    </w:p>
    <w:p>
      <w:pPr>
        <w:spacing w:after="0" w:line="261" w:lineRule="exact"/>
        <w:rPr>
          <w:sz w:val="20"/>
          <w:szCs w:val="20"/>
          <w:color w:val="auto"/>
        </w:rPr>
      </w:pPr>
    </w:p>
    <w:p>
      <w:pPr>
        <w:ind w:left="1240" w:right="1539"/>
        <w:spacing w:after="0" w:line="279" w:lineRule="auto"/>
        <w:rPr>
          <w:sz w:val="20"/>
          <w:szCs w:val="20"/>
          <w:color w:val="auto"/>
        </w:rPr>
      </w:pPr>
      <w:r>
        <w:rPr>
          <w:rFonts w:ascii="Arial" w:cs="Arial" w:eastAsia="Arial" w:hAnsi="Arial"/>
          <w:sz w:val="14"/>
          <w:szCs w:val="14"/>
          <w:b w:val="1"/>
          <w:bCs w:val="1"/>
          <w:i w:val="1"/>
          <w:iCs w:val="1"/>
          <w:color w:val="auto"/>
        </w:rPr>
        <w:t xml:space="preserve">Michael Diem, M.D. </w:t>
      </w:r>
      <w:r>
        <w:rPr>
          <w:rFonts w:ascii="Arial" w:cs="Arial" w:eastAsia="Arial" w:hAnsi="Arial"/>
          <w:sz w:val="14"/>
          <w:szCs w:val="14"/>
          <w:color w:val="auto"/>
        </w:rPr>
        <w:t>has served as our Chief Business Officer since September 2020.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joining us, Dr. Diem was Senior Vice President of Business and Corporate Development at Amicus Therapeutics, a global biotechnology company, from September 2017 to</w:t>
      </w:r>
    </w:p>
    <w:p>
      <w:pPr>
        <w:spacing w:after="0" w:line="1"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w:t>
      </w:r>
    </w:p>
    <w:p>
      <w:pPr>
        <w:spacing w:after="0" w:line="2" w:lineRule="exact"/>
        <w:rPr>
          <w:sz w:val="20"/>
          <w:szCs w:val="20"/>
          <w:color w:val="auto"/>
        </w:rPr>
      </w:pPr>
    </w:p>
    <w:p>
      <w:pPr>
        <w:ind w:left="1240" w:right="1399"/>
        <w:spacing w:after="0" w:line="275" w:lineRule="auto"/>
        <w:rPr>
          <w:sz w:val="20"/>
          <w:szCs w:val="20"/>
          <w:color w:val="auto"/>
        </w:rPr>
      </w:pPr>
      <w:r>
        <w:rPr>
          <w:rFonts w:ascii="Arial" w:cs="Arial" w:eastAsia="Arial" w:hAnsi="Arial"/>
          <w:sz w:val="14"/>
          <w:szCs w:val="14"/>
          <w:color w:val="auto"/>
        </w:rPr>
        <w:t>December 2020. Additionally, he serves on the board of directors of Venatorx Pharmaceuticals and the Boys and Girls Clubs of Philadelphia. Dr. Diem holds a B.A. in biological sciences from Rutgers University, an M.D. from the Rutgers-Robert Wood Johnson Medical School, and an M.B.A. from Case Western Reserve University. Dr. Diem completed his medical training at Duke University and is a Kauffman Fellow.</w:t>
      </w:r>
    </w:p>
    <w:p>
      <w:pPr>
        <w:spacing w:after="0" w:line="90"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b w:val="1"/>
          <w:bCs w:val="1"/>
          <w:i w:val="1"/>
          <w:iCs w:val="1"/>
          <w:color w:val="auto"/>
        </w:rPr>
        <w:t xml:space="preserve">Adrienne Farid, Ph.D. </w:t>
      </w:r>
      <w:r>
        <w:rPr>
          <w:rFonts w:ascii="Arial" w:cs="Arial" w:eastAsia="Arial" w:hAnsi="Arial"/>
          <w:sz w:val="14"/>
          <w:szCs w:val="14"/>
          <w:color w:val="auto"/>
        </w:rPr>
        <w:t>has served as our Chief Operations Officer since April 2021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p>
    <w:p>
      <w:pPr>
        <w:spacing w:after="0" w:line="279" w:lineRule="exact"/>
        <w:rPr>
          <w:sz w:val="20"/>
          <w:szCs w:val="20"/>
          <w:color w:val="auto"/>
        </w:rPr>
      </w:pPr>
    </w:p>
    <w:p>
      <w:pPr>
        <w:jc w:val="both"/>
        <w:ind w:left="1240" w:right="1279"/>
        <w:spacing w:after="0" w:line="279" w:lineRule="auto"/>
        <w:rPr>
          <w:sz w:val="20"/>
          <w:szCs w:val="20"/>
          <w:color w:val="auto"/>
        </w:rPr>
      </w:pPr>
      <w:r>
        <w:rPr>
          <w:rFonts w:ascii="Arial" w:cs="Arial" w:eastAsia="Arial" w:hAnsi="Arial"/>
          <w:sz w:val="14"/>
          <w:szCs w:val="14"/>
          <w:b w:val="1"/>
          <w:bCs w:val="1"/>
          <w:i w:val="1"/>
          <w:iCs w:val="1"/>
          <w:color w:val="auto"/>
        </w:rPr>
        <w:t xml:space="preserve">Hyam Levitsky, M.D. </w:t>
      </w:r>
      <w:r>
        <w:rPr>
          <w:rFonts w:ascii="Arial" w:cs="Arial" w:eastAsia="Arial" w:hAnsi="Arial"/>
          <w:sz w:val="14"/>
          <w:szCs w:val="14"/>
          <w:color w:val="auto"/>
        </w:rPr>
        <w:t>has served as our President, Research and Development since May 2019.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Levitsky served as Executive Vice President and Chief Scientific Officer at Juno Therapeutics, Inc. from 2015 to 2018 and was Head of Cancer Immunotherapy Experimental Medicine at F.</w:t>
      </w:r>
    </w:p>
    <w:p>
      <w:pPr>
        <w:spacing w:after="0" w:line="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has served on the board of directors of Replimune Therapeutics, Inc. since May 2018. Dr. Levitsky received a B.S. from the University of Pennsylvania School of Engineering and Applied Science and an M.D. from The Johns Hopkins University School of Medicine.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4" w:name="page165"/>
    <w:bookmarkEnd w:id="16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b w:val="1"/>
          <w:bCs w:val="1"/>
          <w:i w:val="1"/>
          <w:iCs w:val="1"/>
          <w:color w:val="auto"/>
        </w:rPr>
        <w:t xml:space="preserve">Gregory Russotti, Ph.D. </w:t>
      </w:r>
      <w:r>
        <w:rPr>
          <w:rFonts w:ascii="Arial" w:cs="Arial" w:eastAsia="Arial" w:hAnsi="Arial"/>
          <w:sz w:val="14"/>
          <w:szCs w:val="14"/>
          <w:color w:val="auto"/>
        </w:rPr>
        <w:t>has served as our Chief Technology Officer since January 2020. Prior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joining us, Dr. Russotti held multiple positions at Celgene Corporation, a Bristol Myers Squibb company, from 2006 until 2009, including, Vice President of Cell Therapy Technical Development from January 2018 to November 2019, Vice President of Cell Therapy Development and Operations from October 2016 to December 2017,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directors</w:t>
      </w:r>
    </w:p>
    <w:p>
      <w:pPr>
        <w:spacing w:after="0" w:line="102"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b w:val="1"/>
          <w:bCs w:val="1"/>
          <w:i w:val="1"/>
          <w:iCs w:val="1"/>
          <w:color w:val="auto"/>
        </w:rPr>
        <w:t xml:space="preserve">Toshikazu Ban </w:t>
      </w:r>
      <w:r>
        <w:rPr>
          <w:rFonts w:ascii="Arial" w:cs="Arial" w:eastAsia="Arial" w:hAnsi="Arial"/>
          <w:sz w:val="14"/>
          <w:szCs w:val="14"/>
          <w:color w:val="auto"/>
        </w:rPr>
        <w:t>has served as a member of our board of directors since the 2021 Reorganization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February 2021, and previously served as a member of the board of managers of Century Therapeutics, LLC from June 2019 until the 2021 Reorganization in February 2021. Mr. Ban served on the board of directors of Prior Century from October 2018 until the 2021 Reorganization in February 2021. He has served as Corporate Vice President and Senior Deputy General Manager of the pharmaceutical product division at FUJIFILM Corporation since</w:t>
      </w:r>
    </w:p>
    <w:p>
      <w:pPr>
        <w:spacing w:after="0" w:line="2" w:lineRule="exact"/>
        <w:rPr>
          <w:sz w:val="20"/>
          <w:szCs w:val="20"/>
          <w:color w:val="auto"/>
        </w:rPr>
      </w:pPr>
    </w:p>
    <w:p>
      <w:pPr>
        <w:ind w:left="1240" w:right="1459"/>
        <w:spacing w:after="0" w:line="255" w:lineRule="auto"/>
        <w:rPr>
          <w:sz w:val="20"/>
          <w:szCs w:val="20"/>
          <w:color w:val="auto"/>
        </w:rPr>
      </w:pPr>
      <w:r>
        <w:rPr>
          <w:rFonts w:ascii="Arial" w:cs="Arial" w:eastAsia="Arial" w:hAnsi="Arial"/>
          <w:sz w:val="14"/>
          <w:szCs w:val="14"/>
          <w:color w:val="auto"/>
        </w:rPr>
        <w:t>July 2018. Mr. Ban joined FUJIFILM Corporation in April 2013, a conglomerate operating in the photography, optics, biotechnology, and chemical industries, and served as Corporate Vice President and General Manager of regenerative medicine business product division from</w:t>
      </w:r>
    </w:p>
    <w:p>
      <w:pPr>
        <w:spacing w:after="0" w:line="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June 2016. Prior to joining FUJIFILM Corporation, Mr. Ban served at Takeda Pharmaceutical Co. Ltd. from April 1985 to March 2013 in various R&amp;D management and Business Development roles of gradually increasing responsibility, including Senior Vice President, Global head of Business Development from January 2008 to January 2012. Mr. Ban is currently a Board Member of FUJIFILM Toyama Chemical and FUJIFILM Kyowa Kirin Biologics, Ltd. He has been a Director of Perseus Proteomics Inc. since June 2017. Mr. Ban earned his B.S. in Pharmaceutical Science from The University of Tokyo and M.S. from the Graduate School of Medical Science of Kyoto University.</w:t>
      </w:r>
    </w:p>
    <w:p>
      <w:pPr>
        <w:spacing w:after="0" w:line="282"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We believe that Mr. Ban is qualified to serve on our board of directors due to his extensive management experience and deep understanding of the biotechnology industry. Mr. Ban resigned from our board of directors effective immediately prior to the effectiveness of the Registration Statement of which this prospectus forms a part.</w:t>
      </w:r>
    </w:p>
    <w:p>
      <w:pPr>
        <w:spacing w:after="0" w:line="9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 xml:space="preserve">Kimberly Lynn Blackwell, M.D. </w:t>
      </w:r>
      <w:r>
        <w:rPr>
          <w:rFonts w:ascii="Arial" w:cs="Arial" w:eastAsia="Arial" w:hAnsi="Arial"/>
          <w:sz w:val="14"/>
          <w:szCs w:val="14"/>
          <w:color w:val="auto"/>
        </w:rPr>
        <w:t>has served as a member of our board of directors since</w:t>
      </w:r>
    </w:p>
    <w:p>
      <w:pPr>
        <w:spacing w:after="0" w:line="26" w:lineRule="exact"/>
        <w:rPr>
          <w:sz w:val="20"/>
          <w:szCs w:val="20"/>
          <w:color w:val="auto"/>
        </w:rPr>
      </w:pPr>
    </w:p>
    <w:p>
      <w:pPr>
        <w:ind w:left="1240" w:right="1379"/>
        <w:spacing w:after="0" w:line="255" w:lineRule="auto"/>
        <w:rPr>
          <w:sz w:val="20"/>
          <w:szCs w:val="20"/>
          <w:color w:val="auto"/>
        </w:rPr>
      </w:pPr>
      <w:r>
        <w:rPr>
          <w:rFonts w:ascii="Arial" w:cs="Arial" w:eastAsia="Arial" w:hAnsi="Arial"/>
          <w:sz w:val="14"/>
          <w:szCs w:val="14"/>
          <w:color w:val="auto"/>
        </w:rPr>
        <w:t>May 2021. Dr. Blackwell has been the Chief Medical Officer and Senior Vice President, Clinical Oncology Development at Tempus Labs, Inc., a biotechnology company, since March 2020. Previously, Dr. Blackwell was the Vice President of Early Phase Immunooncology at Eli Lilly and Company, a pharmaceutical company, from March 2018 to March 2020. Prior to Eli Lilly,</w:t>
      </w:r>
    </w:p>
    <w:p>
      <w:pPr>
        <w:spacing w:after="0" w:line="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Dr. Blackwell held positions at Duke Medical Center and Duke Cancer Institute as a Professor in the Department of Medicine from July 2012 to March 2018. Dr. Blackwell has served on the board of directors of Monte Rosa Therapeutics, Inc., a biotechnology company, and Zentalis Pharmaceuticals, Inc., a publicly-traded clinical-stage biopharmaceutical company, since June and July 2020, respectively. She has also served as a Steering Committee Member at the Duke Angel Network since February 2017 and on the Scientific Advisory Board for Artemis Women’s Health Fund since January 2021. Dr. Blackwell received her B.A. in bioethics from Duke University and her M.D. from the Mayo Clinic Medical School.</w:t>
      </w:r>
    </w:p>
    <w:p>
      <w:pPr>
        <w:spacing w:after="0" w:line="99"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We believe that Dr. Blackwell is qualified to serve on our board of directors due to her experience on the board of pharmaceutical companies and her extensive knowledge of the biotechnology and pharmaceutical industries.</w:t>
      </w:r>
    </w:p>
    <w:p>
      <w:pPr>
        <w:spacing w:after="0" w:line="8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 xml:space="preserve">Cynthia Butitta </w:t>
      </w:r>
      <w:r>
        <w:rPr>
          <w:rFonts w:ascii="Arial" w:cs="Arial" w:eastAsia="Arial" w:hAnsi="Arial"/>
          <w:sz w:val="14"/>
          <w:szCs w:val="14"/>
          <w:color w:val="auto"/>
        </w:rPr>
        <w:t>has served as a member of our board of directors since February 2021.</w:t>
      </w:r>
    </w:p>
    <w:p>
      <w:pPr>
        <w:spacing w:after="0" w:line="26"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Ms. Butitta has served as a member of the board of directors of Olema Pharmaceuticals, Autolus Therapeutics plc, and UroGen Pharma</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5" w:name="page166"/>
    <w:bookmarkEnd w:id="16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Ltd., publicly traded biopharmaceutical companies, since August 2020, March 2018 and October 2017, respectively. Ms. Butitta previously served as the Chief Operating Officer of Kite Pharma Inc., a biopharmaceutical company, from March 2014 to September 2017 and as its Executive Vice President and Chief Financial Officer from 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in Madison, Wisconsin and an M.B.A. in finance from the University of Wisconsin, Madison.</w:t>
      </w:r>
    </w:p>
    <w:p>
      <w:pPr>
        <w:spacing w:after="0" w:line="269" w:lineRule="exact"/>
        <w:rPr>
          <w:sz w:val="20"/>
          <w:szCs w:val="20"/>
          <w:color w:val="auto"/>
        </w:rPr>
      </w:pPr>
    </w:p>
    <w:p>
      <w:pPr>
        <w:jc w:val="both"/>
        <w:ind w:left="1240" w:right="1539"/>
        <w:spacing w:after="0" w:line="263" w:lineRule="auto"/>
        <w:rPr>
          <w:sz w:val="20"/>
          <w:szCs w:val="20"/>
          <w:color w:val="auto"/>
        </w:rPr>
      </w:pPr>
      <w:r>
        <w:rPr>
          <w:rFonts w:ascii="Arial" w:cs="Arial" w:eastAsia="Arial" w:hAnsi="Arial"/>
          <w:sz w:val="14"/>
          <w:szCs w:val="14"/>
          <w:color w:val="auto"/>
        </w:rPr>
        <w:t>We believe that Ms. Butitta is qualified to serve on our board of directors due to her extensive experience as a public company director, her knowledge of corporate finance and accounting, and her experience as a biopharmaceutical company executive.</w:t>
      </w:r>
    </w:p>
    <w:p>
      <w:pPr>
        <w:spacing w:after="0" w:line="87" w:lineRule="exact"/>
        <w:rPr>
          <w:sz w:val="20"/>
          <w:szCs w:val="20"/>
          <w:color w:val="auto"/>
        </w:rPr>
      </w:pPr>
    </w:p>
    <w:p>
      <w:pPr>
        <w:ind w:left="1240" w:right="1259"/>
        <w:spacing w:after="0" w:line="258" w:lineRule="auto"/>
        <w:rPr>
          <w:sz w:val="20"/>
          <w:szCs w:val="20"/>
          <w:color w:val="auto"/>
        </w:rPr>
      </w:pPr>
      <w:r>
        <w:rPr>
          <w:rFonts w:ascii="Arial" w:cs="Arial" w:eastAsia="Arial" w:hAnsi="Arial"/>
          <w:sz w:val="14"/>
          <w:szCs w:val="14"/>
          <w:b w:val="1"/>
          <w:bCs w:val="1"/>
          <w:i w:val="1"/>
          <w:iCs w:val="1"/>
          <w:color w:val="auto"/>
        </w:rPr>
        <w:t xml:space="preserve">Eli Casdin </w:t>
      </w:r>
      <w:r>
        <w:rPr>
          <w:rFonts w:ascii="Arial" w:cs="Arial" w:eastAsia="Arial" w:hAnsi="Arial"/>
          <w:sz w:val="14"/>
          <w:szCs w:val="14"/>
          <w:color w:val="auto"/>
        </w:rPr>
        <w:t>has served as a member of our board of directors since February 2021. He founded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Casdin Capital, a venture capital firm specializing in life sciences, in 2011 and serves as Chief Investment Officer of Casdin Capital. Prior to founding Casdin Capital, Mr. Casdin was a Vice President and Analyst at Alliance Bernstein and a member of its “thematic” based investment group from 2007 until 2011. Mr. Casdin’s previously held positions at Bear Stearns, an investment bank and Cooper Hill Partners, a biotechnology-focused investment firm. Mr. Casdin has served on the board of directors of life-sciences-focused special purpose acquisition companies CM Life Sciences, Inc. and CM Life Sciences II, Inc., since September 2020 and February 2021, respectively. Mr. Casdin also serves on the board of directors of several other life science and biotechnology-focused entities, including, AbSci Corporation, C2i Genomics, Cedilla Therapeutics, DNA Script, Einstein Medical, EQRx, GeneMatters, Genomatica, Insitro, Maze Therapeutics, Mnemo Therapeutics, PACT Pharma, Inc., New York Genome Center, Prominex Inc., Sexton Biotechnologies, SomaLogic, Tango Therapeutics, Tenaya Therapeutics, Verana Health, Inc., Verve Therapeutics, and Vineti, Inc. Mr. Casdin also serves on the Columbia University School of General Studies board of directors. Mr. Casdin earned his B.S. from Columbia University and an M.B.A. from Columbia Business School.</w:t>
      </w:r>
    </w:p>
    <w:p>
      <w:pPr>
        <w:spacing w:after="0" w:line="279"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We believe that Mr. Casdin is qualified to serve on our board of directors due to his investment experience, knowledge of the biopharmaceutical industry, and extensive board experience on life sciences and biotechnology companies.</w:t>
      </w:r>
    </w:p>
    <w:p>
      <w:pPr>
        <w:spacing w:after="0" w:line="76"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b w:val="1"/>
          <w:bCs w:val="1"/>
          <w:i w:val="1"/>
          <w:iCs w:val="1"/>
          <w:color w:val="auto"/>
        </w:rPr>
        <w:t xml:space="preserve">Juergen Eckhardt, M.D.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September 2020 until the 2021 Reorganization in February 2021. Dr. Eckhardt served as Vice President, Head of Venture Investments at Bayer Consumer Care AG, or Bayer AG, a conglomerate operating in the field of pharmaceuticals, consumer health and agriculture, from September 2016 until February 2019 and has served as Senior Vice President, Head of Leaps by Bayer, the strategic venture capital unit of Bayer AG, since March 2019. Before joining Bayer AG in 2016, Dr. Eckhardt was head of the venture capital franchise at Bellevue Asset Management, an investment management firm, in Switzerland from November 2004 to August 2016. Previously, Dr. Eckhardt was a management consultant and Associate Partner with McKinsey &amp; Co. and a member of McKinsey’s Healthcare Leadership Team. Dr. Eckhardt currently serves as a member of the board of directors of Joyn Bio, Dewpoint, Khloris, Oerth Bio, Immunitas, eGenesis, and several other private companies. Dr. Eckhardt received his M.D. from the University of Basel and his M.B.A. from INSEAD in Fontainebleau, France.</w:t>
      </w:r>
    </w:p>
    <w:p>
      <w:pPr>
        <w:spacing w:after="0" w:line="281" w:lineRule="exact"/>
        <w:rPr>
          <w:sz w:val="20"/>
          <w:szCs w:val="20"/>
          <w:color w:val="auto"/>
        </w:rPr>
      </w:pPr>
    </w:p>
    <w:p>
      <w:pPr>
        <w:ind w:left="1240" w:right="1619"/>
        <w:spacing w:after="0" w:line="260" w:lineRule="auto"/>
        <w:rPr>
          <w:sz w:val="20"/>
          <w:szCs w:val="20"/>
          <w:color w:val="auto"/>
        </w:rPr>
      </w:pPr>
      <w:r>
        <w:rPr>
          <w:rFonts w:ascii="Arial" w:cs="Arial" w:eastAsia="Arial" w:hAnsi="Arial"/>
          <w:sz w:val="14"/>
          <w:szCs w:val="14"/>
          <w:color w:val="auto"/>
        </w:rPr>
        <w:t>We believe that Dr. Eckhardt is qualified to serve on our board of directors due to his deep knowledge of the biopharmaceutical industry and his diverse board experience. Dr. Eckhardt resigned from our board of directors effective immediately prior to the effectiveness of the Registration Statement of which this prospectus forms a part.</w:t>
      </w:r>
    </w:p>
    <w:p>
      <w:pPr>
        <w:spacing w:after="0" w:line="90" w:lineRule="exact"/>
        <w:rPr>
          <w:sz w:val="20"/>
          <w:szCs w:val="20"/>
          <w:color w:val="auto"/>
        </w:rPr>
      </w:pPr>
    </w:p>
    <w:p>
      <w:pPr>
        <w:ind w:left="1240" w:right="1359"/>
        <w:spacing w:after="0" w:line="265" w:lineRule="auto"/>
        <w:rPr>
          <w:sz w:val="20"/>
          <w:szCs w:val="20"/>
          <w:color w:val="auto"/>
        </w:rPr>
      </w:pPr>
      <w:r>
        <w:rPr>
          <w:rFonts w:ascii="Arial" w:cs="Arial" w:eastAsia="Arial" w:hAnsi="Arial"/>
          <w:sz w:val="14"/>
          <w:szCs w:val="14"/>
          <w:b w:val="1"/>
          <w:bCs w:val="1"/>
          <w:i w:val="1"/>
          <w:iCs w:val="1"/>
          <w:color w:val="auto"/>
        </w:rPr>
        <w:t xml:space="preserve">Joseph Jimenez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August 2019 until the 2021 Reorganization in February 2021. Mr. Jimenez has served as chairman of our board of directors since February 2021. Mr. Jimenez is currently Co-Founder and Managing Director of Aditum</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6" w:name="page167"/>
    <w:bookmarkEnd w:id="16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99"/>
        <w:spacing w:after="0" w:line="255" w:lineRule="auto"/>
        <w:rPr>
          <w:sz w:val="20"/>
          <w:szCs w:val="20"/>
          <w:color w:val="auto"/>
        </w:rPr>
      </w:pPr>
      <w:r>
        <w:rPr>
          <w:rFonts w:ascii="Arial" w:cs="Arial" w:eastAsia="Arial" w:hAnsi="Arial"/>
          <w:sz w:val="14"/>
          <w:szCs w:val="14"/>
          <w:color w:val="auto"/>
        </w:rPr>
        <w:t>Bio, a venture capital firm. He has held this position since July 2019. Mr. Jimenez served as CEO of Novartis AG, a pharmaceutical company, from 2010 until his retirement in 2018. He led Novartis’ Pharmaceuticals Division from October 2007 to 2010 and its Consumer Health Division in 2007. From 2006 to 2007, Mr. Jimenez served as Advisor to the Blackstone Group L.P.</w:t>
      </w:r>
    </w:p>
    <w:p>
      <w:pPr>
        <w:spacing w:after="0" w:line="1" w:lineRule="exact"/>
        <w:rPr>
          <w:sz w:val="20"/>
          <w:szCs w:val="20"/>
          <w:color w:val="auto"/>
        </w:rPr>
      </w:pPr>
    </w:p>
    <w:p>
      <w:pPr>
        <w:ind w:left="1240" w:right="1559"/>
        <w:spacing w:after="0" w:line="255" w:lineRule="auto"/>
        <w:rPr>
          <w:sz w:val="20"/>
          <w:szCs w:val="20"/>
          <w:color w:val="auto"/>
        </w:rPr>
      </w:pPr>
      <w:r>
        <w:rPr>
          <w:rFonts w:ascii="Arial" w:cs="Arial" w:eastAsia="Arial" w:hAnsi="Arial"/>
          <w:sz w:val="14"/>
          <w:szCs w:val="14"/>
          <w:color w:val="auto"/>
        </w:rPr>
        <w:t>Mr. Jimenez was Executive Vice President, President and CEO of Heinz Europe from 2002 to 2006, and President and CEO of H.J. Heinz Company North America from 1999 to 2002.</w:t>
      </w:r>
    </w:p>
    <w:p>
      <w:pPr>
        <w:spacing w:after="0" w:line="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Mr. Jimenez is currently a member of the board of directors of General Motors Company, where he has served since 2015. Mr. Jimenez has also been a member of the board of The Proctor &amp; Gamble Company since March 2018 and Graphite Bio since June 2020. Additionally, Mr. Jimenez served on the board of directors of Colgate-Palmolive Company from 2009 to 2015, and of AstraZeneca PLC, from 2002 to 2007. Mr. Jimenez received his B.A. in marketing from Stanford University and an M.B.A. from the University of California, Berkeley.</w:t>
      </w:r>
    </w:p>
    <w:p>
      <w:pPr>
        <w:spacing w:after="0" w:line="97" w:lineRule="exact"/>
        <w:rPr>
          <w:sz w:val="20"/>
          <w:szCs w:val="20"/>
          <w:color w:val="auto"/>
        </w:rPr>
      </w:pPr>
    </w:p>
    <w:p>
      <w:pPr>
        <w:ind w:left="1240" w:right="1499"/>
        <w:spacing w:after="0" w:line="263" w:lineRule="auto"/>
        <w:rPr>
          <w:sz w:val="20"/>
          <w:szCs w:val="20"/>
          <w:color w:val="auto"/>
        </w:rPr>
      </w:pPr>
      <w:r>
        <w:rPr>
          <w:rFonts w:ascii="Arial" w:cs="Arial" w:eastAsia="Arial" w:hAnsi="Arial"/>
          <w:sz w:val="14"/>
          <w:szCs w:val="14"/>
          <w:color w:val="auto"/>
        </w:rPr>
        <w:t>We believe that Mr. Jimenez is qualified to serve on our board of directors due to his years of experience as a senior executive in the pharmaceutical industry, his extensive public company directorship experience, and his deep insights into our industry.</w:t>
      </w:r>
    </w:p>
    <w:p>
      <w:pPr>
        <w:spacing w:after="0" w:line="87" w:lineRule="exact"/>
        <w:rPr>
          <w:sz w:val="20"/>
          <w:szCs w:val="20"/>
          <w:color w:val="auto"/>
        </w:rPr>
      </w:pPr>
    </w:p>
    <w:p>
      <w:pPr>
        <w:ind w:left="1240" w:right="1399"/>
        <w:spacing w:after="0" w:line="261" w:lineRule="auto"/>
        <w:rPr>
          <w:sz w:val="20"/>
          <w:szCs w:val="20"/>
          <w:color w:val="auto"/>
        </w:rPr>
      </w:pPr>
      <w:r>
        <w:rPr>
          <w:rFonts w:ascii="Arial" w:cs="Arial" w:eastAsia="Arial" w:hAnsi="Arial"/>
          <w:sz w:val="14"/>
          <w:szCs w:val="14"/>
          <w:b w:val="1"/>
          <w:bCs w:val="1"/>
          <w:i w:val="1"/>
          <w:iCs w:val="1"/>
          <w:color w:val="auto"/>
        </w:rPr>
        <w:t xml:space="preserve">Alessandro Riva, M.D. </w:t>
      </w:r>
      <w:r>
        <w:rPr>
          <w:rFonts w:ascii="Arial" w:cs="Arial" w:eastAsia="Arial" w:hAnsi="Arial"/>
          <w:sz w:val="14"/>
          <w:szCs w:val="14"/>
          <w:color w:val="auto"/>
        </w:rPr>
        <w:t>has served as a member of our board of directors since May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Riva recently served as the Chief Executive Officer of Ichnos Sciences, a biotechnology company focusing on oncology therapies. Previously, Dr. Riva was the Executive Vice President and Global Head, Oncology Therapeutics and Cell Therapy at Gilead Sciences, Inc., a biotechnology company, from January 2017 to March 2019. Prior to Gilead, Dr. Riva served as the Executive Vice President and Global Head, Oncology Development and Medical Affairs at Novartis AG, a position he held from January 2005 until December 2016. Dr. Riva received his M.D. from Università degli Studi di Milano.</w:t>
      </w:r>
    </w:p>
    <w:p>
      <w:pPr>
        <w:spacing w:after="0" w:line="279" w:lineRule="exact"/>
        <w:rPr>
          <w:sz w:val="20"/>
          <w:szCs w:val="20"/>
          <w:color w:val="auto"/>
        </w:rPr>
      </w:pPr>
    </w:p>
    <w:p>
      <w:pPr>
        <w:ind w:left="1240" w:right="1759"/>
        <w:spacing w:after="0" w:line="270" w:lineRule="auto"/>
        <w:rPr>
          <w:sz w:val="20"/>
          <w:szCs w:val="20"/>
          <w:color w:val="auto"/>
        </w:rPr>
      </w:pPr>
      <w:r>
        <w:rPr>
          <w:rFonts w:ascii="Arial" w:cs="Arial" w:eastAsia="Arial" w:hAnsi="Arial"/>
          <w:sz w:val="14"/>
          <w:szCs w:val="14"/>
          <w:color w:val="auto"/>
        </w:rPr>
        <w:t>We believe that Dr. Riva is qualified to serve on our board of directors due to his extensive management experience at biotechnology companies.</w:t>
      </w:r>
    </w:p>
    <w:p>
      <w:pPr>
        <w:spacing w:after="0" w:line="72"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b w:val="1"/>
          <w:bCs w:val="1"/>
          <w:i w:val="1"/>
          <w:iCs w:val="1"/>
          <w:color w:val="auto"/>
        </w:rPr>
        <w:t xml:space="preserve">Carlo Rizzuto,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Rizzuto served on the board of directors of Prior Century from March 2018 until June 2019. From April 2018 until August 2018, Dr. Rizzuto was President, Secretary and Treasurer of Prior Century. Dr. Rizzuto joined Versant Ventures in November 2012 where he has served in a variety of roles including operating principal, venture partner and partner. Dr. Rizzuto has served as Chief Executive Officer of Highline Therapeutics, a biotech incubator established by Versant Ventures, since March 2015. Dr. Rizzuto previously served as Chief Business Officer of Anokion SA, a biopharmaceutical company, from January 2014 to January 2017. Prior to joining Versant Ventures, Dr. Rizzuto worked at Novartis AG, where he was a global program team director from 2010 to 2012. Dr. Rizzuto has served on the Pandion Therapeutics, Inc. board of directors since January 2018. Dr. Rizzuto received a Ph.D. in virology from Harvard University and a B.A. in biology from the University of Virginia.</w:t>
      </w:r>
    </w:p>
    <w:p>
      <w:pPr>
        <w:spacing w:after="0" w:line="283" w:lineRule="exact"/>
        <w:rPr>
          <w:sz w:val="20"/>
          <w:szCs w:val="20"/>
          <w:color w:val="auto"/>
        </w:rPr>
      </w:pPr>
    </w:p>
    <w:p>
      <w:pPr>
        <w:ind w:left="1240" w:right="1479"/>
        <w:spacing w:after="0" w:line="270" w:lineRule="auto"/>
        <w:rPr>
          <w:sz w:val="20"/>
          <w:szCs w:val="20"/>
          <w:color w:val="auto"/>
        </w:rPr>
      </w:pPr>
      <w:r>
        <w:rPr>
          <w:rFonts w:ascii="Arial" w:cs="Arial" w:eastAsia="Arial" w:hAnsi="Arial"/>
          <w:sz w:val="14"/>
          <w:szCs w:val="14"/>
          <w:color w:val="auto"/>
        </w:rPr>
        <w:t>We believe that Dr. Rizzuto is qualified to serve on our board of directors due to his knowledge and experience as an investor in the life sciences industry.</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Family relationships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There are no family relationships among our directors and executive officers.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118"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Our board of directors is currently composed of nine members and following the resignation of Toshikazu Ban and Juergen Eckhardt upon the effectiveness of the Registration Statement of which this prospectus forms a part, will consist of seven members. Eight of our directors are independent within the meaning of the independent director guidelines of Nasdaq. Pursuant to our certificate of incorporation as in effect immediately prior to this offering and voting agreement, Mr. Ban and Dr. Rizzuto were designated by the holders of our Series A preferred stock;</w:t>
      </w:r>
    </w:p>
    <w:p>
      <w:pPr>
        <w:spacing w:after="0" w:line="2" w:lineRule="exact"/>
        <w:rPr>
          <w:sz w:val="20"/>
          <w:szCs w:val="20"/>
          <w:color w:val="auto"/>
        </w:rPr>
      </w:pPr>
    </w:p>
    <w:p>
      <w:pPr>
        <w:ind w:left="1240" w:right="1379"/>
        <w:spacing w:after="0" w:line="263" w:lineRule="auto"/>
        <w:rPr>
          <w:sz w:val="20"/>
          <w:szCs w:val="20"/>
          <w:color w:val="auto"/>
        </w:rPr>
      </w:pPr>
      <w:r>
        <w:rPr>
          <w:rFonts w:ascii="Arial" w:cs="Arial" w:eastAsia="Arial" w:hAnsi="Arial"/>
          <w:sz w:val="14"/>
          <w:szCs w:val="14"/>
          <w:color w:val="auto"/>
        </w:rPr>
        <w:t>Dr. Eckhardt was designated by holders of our Series B preferred stock; Mr. Casdin was designated by the holders of our Series C preferred stock; and Dr. Flores was designated by the holders of our common stock,</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7" w:name="page168"/>
    <w:bookmarkEnd w:id="16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40" w:right="1359"/>
        <w:spacing w:after="0" w:line="263" w:lineRule="auto"/>
        <w:rPr>
          <w:sz w:val="20"/>
          <w:szCs w:val="20"/>
          <w:color w:val="auto"/>
        </w:rPr>
      </w:pPr>
      <w:r>
        <w:rPr>
          <w:rFonts w:ascii="Arial" w:cs="Arial" w:eastAsia="Arial" w:hAnsi="Arial"/>
          <w:sz w:val="14"/>
          <w:szCs w:val="14"/>
          <w:color w:val="auto"/>
        </w:rPr>
        <w:t>voting as a separate class. Mr. Jimenez, Ms. Butitta, Dr. Blackwell, and Dr. Riva were appointed as independent directors by our board of directors, and Mr. Jimenez was appointed as Chairman of our board of directors.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123" w:lineRule="exact"/>
        <w:rPr>
          <w:sz w:val="20"/>
          <w:szCs w:val="20"/>
          <w:color w:val="auto"/>
        </w:rPr>
      </w:pPr>
    </w:p>
    <w:p>
      <w:pPr>
        <w:ind w:left="1240" w:right="1359"/>
        <w:spacing w:after="0" w:line="258" w:lineRule="auto"/>
        <w:rPr>
          <w:sz w:val="20"/>
          <w:szCs w:val="20"/>
          <w:color w:val="auto"/>
        </w:rPr>
      </w:pPr>
      <w:r>
        <w:rPr>
          <w:rFonts w:ascii="Arial" w:cs="Arial" w:eastAsia="Arial" w:hAnsi="Arial"/>
          <w:sz w:val="14"/>
          <w:szCs w:val="14"/>
          <w:color w:val="auto"/>
        </w:rPr>
        <w:t>In accordance with our second amended and restated certificate of incorporation, which will become effective at the closing of this offering, our directors will be divided into three classes serving staggered three-year terms.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current directors will be divided among the three classes as follows:</w:t>
      </w:r>
    </w:p>
    <w:p>
      <w:pPr>
        <w:spacing w:after="0" w:line="257" w:lineRule="exact"/>
        <w:rPr>
          <w:sz w:val="20"/>
          <w:szCs w:val="20"/>
          <w:color w:val="auto"/>
        </w:rPr>
      </w:pPr>
    </w:p>
    <w:p>
      <w:pPr>
        <w:jc w:val="both"/>
        <w:ind w:left="1360" w:right="1659" w:hanging="111"/>
        <w:spacing w:after="0" w:line="286" w:lineRule="auto"/>
        <w:tabs>
          <w:tab w:leader="none" w:pos="13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Class I directors will be Carlo Rizzuto, Eli Casdin, and Lalo Flores, and their terms will expire at the first annual meeting of stockholders held following the closing of this offering;</w:t>
      </w:r>
    </w:p>
    <w:p>
      <w:pPr>
        <w:spacing w:after="0" w:line="6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Class II directors will be Cynthia Butitta and Alessandro Riva, and their terms will expire at the second annual meeting of stockholders held following the closing of this offering; and</w:t>
      </w:r>
    </w:p>
    <w:p>
      <w:pPr>
        <w:spacing w:after="0" w:line="55" w:lineRule="exact"/>
        <w:rPr>
          <w:rFonts w:ascii="Arial" w:cs="Arial" w:eastAsia="Arial" w:hAnsi="Arial"/>
          <w:sz w:val="14"/>
          <w:szCs w:val="14"/>
          <w:color w:val="auto"/>
        </w:rPr>
      </w:pPr>
    </w:p>
    <w:p>
      <w:pPr>
        <w:ind w:left="1360" w:right="1599" w:hanging="111"/>
        <w:spacing w:after="0" w:line="286" w:lineRule="auto"/>
        <w:tabs>
          <w:tab w:leader="none" w:pos="13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Class III directors will be Joseph Jimenez and Kimberly Blackwell, and their terms will expire at the third annual meeting of stockholders held following the closing of this offering.</w:t>
      </w:r>
    </w:p>
    <w:p>
      <w:pPr>
        <w:spacing w:after="0" w:line="8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Each director’s term continues until the election and qualification of his or her successor, or his or her earlier death, resignation, or removal. Our second amended and restated certificate of incorporation and our amended and restated bylaws, which will become effective immediately prior to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The classification of our board of directors may have the effect of delaying or preventing a change in control or management. See “Description of capital stock—Anti-Takeover Provisions of Delaware Law and our Charter Documents” for a discussion of other anti-takeover provisions that will be included in our second amended and restated certificate of incorporation.</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leadership structure</w:t>
      </w:r>
    </w:p>
    <w:p>
      <w:pPr>
        <w:spacing w:after="0" w:line="118"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Our board of directors does not have a formal policy with respect to the separation of the offices of Chief Executive Officer and Chairman of the board of directors.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of directors. Our board of directors believes that the separation of the positions of Chief Executive Officer and Chairman of the board of directors reinforces the independence of the board of directors from management, creates an environment that encourages objective oversight of management’s performance and enhances the effectiveness of our board of directors as a whole.</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Role of board in risk oversight</w:t>
      </w:r>
    </w:p>
    <w:p>
      <w:pPr>
        <w:spacing w:after="0" w:line="129"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08" w:lineRule="exact"/>
        <w:rPr>
          <w:sz w:val="20"/>
          <w:szCs w:val="20"/>
          <w:color w:val="auto"/>
        </w:rPr>
      </w:pPr>
    </w:p>
    <w:p>
      <w:pPr>
        <w:ind w:left="1240" w:right="1439"/>
        <w:spacing w:after="0" w:line="263" w:lineRule="auto"/>
        <w:rPr>
          <w:sz w:val="20"/>
          <w:szCs w:val="20"/>
          <w:color w:val="auto"/>
        </w:rPr>
      </w:pPr>
      <w:r>
        <w:rPr>
          <w:rFonts w:ascii="Arial" w:cs="Arial" w:eastAsia="Arial" w:hAnsi="Arial"/>
          <w:sz w:val="14"/>
          <w:szCs w:val="14"/>
          <w:color w:val="auto"/>
        </w:rPr>
        <w:t>Our board of directors does not have a standing risk management committee, but rather administers this oversight function directly through our board of directors as a whole, as well as through various standing</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8" w:name="page169"/>
    <w:bookmarkEnd w:id="16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committees of our board of directors that address the risks inherent in their respective areas of oversight. While our board of directors is responsible for monitoring strategic risk exposure, our audit committee oversees management of financial reporting, compliance and litigation risks, as well as the steps management has taken to monitor and control such exposures. Our nominating and corporate governance committee manages risks associated with the independence of our board of directors, potential conflicts of interest and the effectiveness of our board of directors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Director independence</w:t>
      </w:r>
    </w:p>
    <w:p>
      <w:pPr>
        <w:spacing w:after="0" w:line="129"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In connection with this offering, we have applied to list our common stock on the Nasdaq Global Select Market. Under the Nasdaq listing rules, or the Listing Rules, independent directors must comprise a majority of a listed company’s board of directors within a specified period following the closing of this offering. In addition, the Listing Rules require that, subject to specified exceptions, each member of a listed company’s audit, compensation, and nominating and governance committees be independent. Under the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9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fees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288"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Additionally, compensation committee members must not have a relationship with us that is material to the director’s ability to be independent from management in connection with the duties of a compensation committee member. We intend to satisfy the compensation committee independence requirements of Rule 10A-3 as of the closing of this offering.</w:t>
      </w:r>
    </w:p>
    <w:p>
      <w:pPr>
        <w:spacing w:after="0" w:line="95"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Our board of directors has undertaken a review of the independence of each director and determined that all of our directors, other than Dr. Flores, qualify as “independent” directors in accordance with the Listing Rules. Dr. Flores is not considered independent by virtue of his position as our President and Chief Executive Officer. 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Board committees</w:t>
      </w:r>
    </w:p>
    <w:p>
      <w:pPr>
        <w:spacing w:after="0" w:line="140"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each of which will have the composition and responsibilities described below upon effectiveness of the Registration Statement of which this prospectus forms a part. Our board of directors may establish other committees to facilitate the management of our business. Members will serve on these committees until their resignation or until otherwise determined by our board of directors. Each committee intends to adopt a written charter that satisfies the applicable rules and regulations of the SEC and Listing Rules, which we will post on our website at www.centurytx.com prior to the closing of this offering.</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44"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Our audit committee will consist of Kimberly Blackwell, Cynthia Butitta, and Alessandro Riva. Our board of directors has determined that each of Kimberly Blackwell, Cynthia Butitta, and Alessandro Riva is independent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9" w:name="page170"/>
    <w:bookmarkEnd w:id="16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under the Listing Rules and Rule 10A-3(b)(1) of the Exchange Act. The chair of our audit committee will be Cynthia Butitta. Our board of directors has determined that each member of the audit committee can read and understand fundamental consolidated financial statements and that Cynthia Butitta is an “audit committee financial expert” as such term is currently defined in</w:t>
      </w:r>
    </w:p>
    <w:p>
      <w:pPr>
        <w:spacing w:after="0" w:line="1" w:lineRule="exact"/>
        <w:rPr>
          <w:sz w:val="20"/>
          <w:szCs w:val="20"/>
          <w:color w:val="auto"/>
        </w:rPr>
      </w:pPr>
    </w:p>
    <w:p>
      <w:pPr>
        <w:ind w:left="1240" w:right="1739"/>
        <w:spacing w:after="0" w:line="270" w:lineRule="auto"/>
        <w:rPr>
          <w:sz w:val="20"/>
          <w:szCs w:val="20"/>
          <w:color w:val="auto"/>
        </w:rPr>
      </w:pPr>
      <w:r>
        <w:rPr>
          <w:rFonts w:ascii="Arial" w:cs="Arial" w:eastAsia="Arial" w:hAnsi="Arial"/>
          <w:sz w:val="14"/>
          <w:szCs w:val="14"/>
          <w:color w:val="auto"/>
        </w:rPr>
        <w:t>Item 407(d)(5) of Regulation S-K. Our audit committee will be responsible for, among other things:</w:t>
      </w:r>
    </w:p>
    <w:p>
      <w:pPr>
        <w:spacing w:after="0" w:line="77" w:lineRule="exact"/>
        <w:rPr>
          <w:sz w:val="20"/>
          <w:szCs w:val="20"/>
          <w:color w:val="auto"/>
        </w:rPr>
      </w:pPr>
    </w:p>
    <w:p>
      <w:pPr>
        <w:ind w:left="1360" w:right="1599" w:hanging="111"/>
        <w:spacing w:after="0" w:line="286" w:lineRule="auto"/>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appointing, evaluating, and overseeing a firm to serve as the independent registered public accounting firm to audit our consolidated financial statements;</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ensuring the independence of the independent registered public accounting firm;</w:t>
      </w:r>
    </w:p>
    <w:p>
      <w:pPr>
        <w:spacing w:after="0" w:line="106" w:lineRule="exact"/>
        <w:rPr>
          <w:rFonts w:ascii="Arial" w:cs="Arial" w:eastAsia="Arial" w:hAnsi="Arial"/>
          <w:sz w:val="14"/>
          <w:szCs w:val="14"/>
          <w:color w:val="auto"/>
        </w:rPr>
      </w:pPr>
    </w:p>
    <w:p>
      <w:pPr>
        <w:jc w:val="both"/>
        <w:ind w:left="1360" w:right="1339" w:hanging="111"/>
        <w:spacing w:after="0" w:line="286" w:lineRule="auto"/>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66" w:lineRule="exact"/>
        <w:rPr>
          <w:rFonts w:ascii="Arial" w:cs="Arial" w:eastAsia="Arial" w:hAnsi="Arial"/>
          <w:sz w:val="14"/>
          <w:szCs w:val="14"/>
          <w:color w:val="auto"/>
        </w:rPr>
      </w:pPr>
    </w:p>
    <w:p>
      <w:pPr>
        <w:ind w:left="1360" w:right="1539" w:hanging="111"/>
        <w:spacing w:after="0" w:line="286" w:lineRule="auto"/>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and internal audit function;</w:t>
      </w:r>
    </w:p>
    <w:p>
      <w:pPr>
        <w:spacing w:after="0" w:line="10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monitoring and reviewing legal, regulatory, and administrative compliance to the extent affecting our financial results;</w:t>
      </w:r>
    </w:p>
    <w:p>
      <w:pPr>
        <w:spacing w:after="0" w:line="66" w:lineRule="exact"/>
        <w:rPr>
          <w:rFonts w:ascii="Arial" w:cs="Arial" w:eastAsia="Arial" w:hAnsi="Arial"/>
          <w:sz w:val="14"/>
          <w:szCs w:val="14"/>
          <w:color w:val="auto"/>
        </w:rPr>
      </w:pPr>
    </w:p>
    <w:p>
      <w:pPr>
        <w:ind w:left="1360" w:right="1779" w:hanging="111"/>
        <w:spacing w:after="0" w:line="286" w:lineRule="auto"/>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reviewing proposed waivers of the code of business conduct and ethics for directors and executive officers;</w:t>
      </w:r>
    </w:p>
    <w:p>
      <w:pPr>
        <w:spacing w:after="0" w:line="66" w:lineRule="exact"/>
        <w:rPr>
          <w:rFonts w:ascii="Arial" w:cs="Arial" w:eastAsia="Arial" w:hAnsi="Arial"/>
          <w:sz w:val="14"/>
          <w:szCs w:val="14"/>
          <w:color w:val="auto"/>
        </w:rPr>
      </w:pPr>
    </w:p>
    <w:p>
      <w:pPr>
        <w:ind w:left="1360" w:right="1259" w:hanging="111"/>
        <w:spacing w:after="0" w:line="286" w:lineRule="auto"/>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reviewing and recommending and changes or amendments to the code of business and conduct and ethics;</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reviewing material related party transactions or those that require disclosure;</w:t>
      </w:r>
    </w:p>
    <w:p>
      <w:pPr>
        <w:spacing w:after="0" w:line="139"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•determining and reviewing risk assessment guidelines and policies, including cybersecurity risks, financial risk exposure, and internal controls regarding information security; and</w:t>
      </w:r>
    </w:p>
    <w:p>
      <w:pPr>
        <w:spacing w:after="0" w:line="66" w:lineRule="exact"/>
        <w:rPr>
          <w:sz w:val="20"/>
          <w:szCs w:val="20"/>
          <w:color w:val="auto"/>
        </w:rPr>
      </w:pPr>
    </w:p>
    <w:p>
      <w:pPr>
        <w:ind w:left="1360" w:right="1479" w:hanging="111"/>
        <w:spacing w:after="0" w:line="286" w:lineRule="auto"/>
        <w:tabs>
          <w:tab w:leader="none" w:pos="1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33" w:lineRule="exact"/>
        <w:rPr>
          <w:sz w:val="20"/>
          <w:szCs w:val="20"/>
          <w:color w:val="auto"/>
        </w:rPr>
      </w:pPr>
    </w:p>
    <w:p>
      <w:pPr>
        <w:ind w:left="1240" w:right="1259"/>
        <w:spacing w:after="0" w:line="275" w:lineRule="auto"/>
        <w:rPr>
          <w:sz w:val="20"/>
          <w:szCs w:val="20"/>
          <w:color w:val="auto"/>
        </w:rPr>
      </w:pPr>
      <w:r>
        <w:rPr>
          <w:rFonts w:ascii="Arial" w:cs="Arial" w:eastAsia="Arial" w:hAnsi="Arial"/>
          <w:sz w:val="14"/>
          <w:szCs w:val="14"/>
          <w:color w:val="auto"/>
        </w:rPr>
        <w:t>Our compensation committee will consist of Cynthia Butitta, Eli Casdin, Joseph Jimenez, and Carlo Rizzuto. Our board of directors has determined that each member of this committee is a non-employee director, as defined by Rule 16b-3 promulgated under the Exchange Act and meets the requirements for independence under the Listing Rules. The chair of our compensation committee will be Carlo Rizzuto. The compensation committee will be responsible for, among other things:</w:t>
      </w:r>
    </w:p>
    <w:p>
      <w:pPr>
        <w:spacing w:after="0" w:line="256" w:lineRule="exact"/>
        <w:rPr>
          <w:sz w:val="20"/>
          <w:szCs w:val="20"/>
          <w:color w:val="auto"/>
        </w:rPr>
      </w:pPr>
    </w:p>
    <w:p>
      <w:pPr>
        <w:ind w:left="1360" w:right="127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and approving the compensation of our executive officers and recommending that our board of directors approve the compensation of our Chief Executive Officer;</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directors;</w:t>
      </w:r>
    </w:p>
    <w:p>
      <w:pPr>
        <w:spacing w:after="0" w:line="106" w:lineRule="exact"/>
        <w:rPr>
          <w:rFonts w:ascii="Arial" w:cs="Arial" w:eastAsia="Arial" w:hAnsi="Arial"/>
          <w:sz w:val="14"/>
          <w:szCs w:val="14"/>
          <w:color w:val="auto"/>
        </w:rPr>
      </w:pPr>
    </w:p>
    <w:p>
      <w:pPr>
        <w:ind w:left="1360" w:right="173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 and overseeing regulatory compliance related to such plans;</w:t>
      </w:r>
    </w:p>
    <w:p>
      <w:pPr>
        <w:spacing w:after="0" w:line="6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 and</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reviewing our overall compensation philosophy.</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44"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Our nominating and corporate governance committee will consist of Kimberly Blackwell, Eli Casdin, Joseph Jimenez, and Carlo Rizzuto. Our board of directors has determined that each member of the nominating and corporate governance committee meets the requirements for independence under the Listing Rules. The chair of our nominating and corporate governance committee will be Joseph Jimenez. The nominating and corporate governance committee will be responsible for, among other things: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0" w:name="page171"/>
    <w:bookmarkEnd w:id="17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11"/>
        <w:spacing w:after="0"/>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developing and recommending selection criteria for new directors for our board of directors;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106" w:lineRule="exact"/>
        <w:rPr>
          <w:rFonts w:ascii="Arial" w:cs="Arial" w:eastAsia="Arial" w:hAnsi="Arial"/>
          <w:sz w:val="14"/>
          <w:szCs w:val="14"/>
          <w:color w:val="auto"/>
        </w:rPr>
      </w:pPr>
    </w:p>
    <w:p>
      <w:pPr>
        <w:ind w:left="1360" w:right="1399" w:hanging="111"/>
        <w:spacing w:after="0" w:line="286" w:lineRule="auto"/>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reviewing and determining board director independence annually and, as needed, as potential conflicts of interest arise;</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reviewing and recommending our corporate governance guidelines and policies;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 and</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assisting our board of directors on corporate governance matters.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8" w:lineRule="exact"/>
        <w:rPr>
          <w:sz w:val="20"/>
          <w:szCs w:val="20"/>
          <w:color w:val="auto"/>
        </w:rPr>
      </w:pPr>
    </w:p>
    <w:p>
      <w:pPr>
        <w:ind w:left="1240" w:right="1259"/>
        <w:spacing w:after="0" w:line="259" w:lineRule="auto"/>
        <w:rPr>
          <w:sz w:val="20"/>
          <w:szCs w:val="20"/>
          <w:color w:val="auto"/>
        </w:rPr>
      </w:pPr>
      <w:r>
        <w:rPr>
          <w:rFonts w:ascii="Arial" w:cs="Arial" w:eastAsia="Arial" w:hAnsi="Arial"/>
          <w:sz w:val="14"/>
          <w:szCs w:val="14"/>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 compensation</w:t>
      </w:r>
    </w:p>
    <w:p>
      <w:pPr>
        <w:spacing w:after="0" w:line="129"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Prior to 2021, we did not regularly provide compensation to our non-employee directors and, as shown in the table below, did not provide any compensation to our non-employee directors in 2020. Dr. Flores, our President and Chief Executive Officer, does not receive additional compensation for his services as a director. We do reimburse our non-employee directors for reasonable travel and out-of-pocket expenses incurred in connection with attending board of directors and committee meetings.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2020 director compensation table</w:t>
      </w:r>
    </w:p>
    <w:p>
      <w:pPr>
        <w:spacing w:after="0" w:line="133" w:lineRule="exact"/>
        <w:rPr>
          <w:sz w:val="20"/>
          <w:szCs w:val="20"/>
          <w:color w:val="auto"/>
        </w:rPr>
      </w:pPr>
    </w:p>
    <w:p>
      <w:pPr>
        <w:ind w:left="1240" w:right="1439"/>
        <w:spacing w:after="0" w:line="270" w:lineRule="auto"/>
        <w:rPr>
          <w:sz w:val="20"/>
          <w:szCs w:val="20"/>
          <w:color w:val="auto"/>
        </w:rPr>
      </w:pPr>
      <w:r>
        <w:rPr>
          <w:rFonts w:ascii="Arial" w:cs="Arial" w:eastAsia="Arial" w:hAnsi="Arial"/>
          <w:sz w:val="14"/>
          <w:szCs w:val="14"/>
          <w:color w:val="auto"/>
        </w:rPr>
        <w:t>The following table sets forth information regarding the compensation earned for service on our board of directors during the year ended December 31, 2020.</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Fees earned</w:t>
            </w:r>
          </w:p>
        </w:tc>
        <w:tc>
          <w:tcPr>
            <w:tcW w:w="6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b w:val="1"/>
                <w:bCs w:val="1"/>
                <w:color w:val="auto"/>
              </w:rPr>
              <w:t>or paid in</w:t>
            </w:r>
          </w:p>
        </w:tc>
        <w:tc>
          <w:tcPr>
            <w:tcW w:w="660" w:type="dxa"/>
            <w:vAlign w:val="bottom"/>
          </w:tcPr>
          <w:p>
            <w:pPr>
              <w:jc w:val="right"/>
              <w:ind w:right="52"/>
              <w:spacing w:after="0"/>
              <w:rPr>
                <w:sz w:val="20"/>
                <w:szCs w:val="20"/>
                <w:color w:val="auto"/>
              </w:rPr>
            </w:pPr>
            <w:r>
              <w:rPr>
                <w:rFonts w:ascii="Arial" w:cs="Arial" w:eastAsia="Arial" w:hAnsi="Arial"/>
                <w:sz w:val="13"/>
                <w:szCs w:val="13"/>
                <w:b w:val="1"/>
                <w:bCs w:val="1"/>
                <w:color w:val="auto"/>
              </w:rPr>
              <w:t>Option</w:t>
            </w: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All other</w:t>
            </w:r>
          </w:p>
        </w:tc>
        <w:tc>
          <w:tcPr>
            <w:tcW w:w="4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jc w:val="right"/>
              <w:ind w:right="52"/>
              <w:spacing w:after="0"/>
              <w:rPr>
                <w:sz w:val="20"/>
                <w:szCs w:val="20"/>
                <w:color w:val="auto"/>
              </w:rPr>
            </w:pPr>
            <w:r>
              <w:rPr>
                <w:rFonts w:ascii="Arial" w:cs="Arial" w:eastAsia="Arial" w:hAnsi="Arial"/>
                <w:sz w:val="13"/>
                <w:szCs w:val="13"/>
                <w:b w:val="1"/>
                <w:bCs w:val="1"/>
                <w:color w:val="auto"/>
              </w:rPr>
              <w:t>cash</w:t>
            </w:r>
          </w:p>
        </w:tc>
        <w:tc>
          <w:tcPr>
            <w:tcW w:w="660" w:type="dxa"/>
            <w:vAlign w:val="bottom"/>
          </w:tcPr>
          <w:p>
            <w:pPr>
              <w:jc w:val="right"/>
              <w:ind w:right="52"/>
              <w:spacing w:after="0"/>
              <w:rPr>
                <w:sz w:val="20"/>
                <w:szCs w:val="20"/>
                <w:color w:val="auto"/>
              </w:rPr>
            </w:pPr>
            <w:r>
              <w:rPr>
                <w:rFonts w:ascii="Arial" w:cs="Arial" w:eastAsia="Arial" w:hAnsi="Arial"/>
                <w:sz w:val="13"/>
                <w:szCs w:val="13"/>
                <w:b w:val="1"/>
                <w:bCs w:val="1"/>
                <w:color w:val="auto"/>
              </w:rPr>
              <w:t>awards</w:t>
            </w: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compensation</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8"/>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right"/>
              <w:ind w:right="32"/>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1"/>
        </w:trPr>
        <w:tc>
          <w:tcPr>
            <w:tcW w:w="20" w:type="dxa"/>
            <w:vAlign w:val="bottom"/>
          </w:tcPr>
          <w:p>
            <w:pPr>
              <w:spacing w:after="0"/>
              <w:rPr>
                <w:sz w:val="14"/>
                <w:szCs w:val="14"/>
                <w:color w:val="auto"/>
              </w:rPr>
            </w:pPr>
          </w:p>
        </w:tc>
        <w:tc>
          <w:tcPr>
            <w:tcW w:w="3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Juergen Eckhardt, M.D.</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Joseph Jimenez</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
        </w:trPr>
        <w:tc>
          <w:tcPr>
            <w:tcW w:w="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2021 Director letter agreements</w:t>
      </w:r>
    </w:p>
    <w:p>
      <w:pPr>
        <w:spacing w:after="0" w:line="129"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In February 2021, in connection with our Series C Financing, we entered into letter agreements with Ms. Butitta and Mr. Jimenez regarding their service as members of our board of directors and their compensation for that service. These letters each contemplate one-time stock option awards and annual cash retainers. The letter agreements provide for the issuance of stock options to purchase 149,224 and 271,690 shares of our common stock to Ms. Butitta and Mr. Jimenez, respectively. In each case, the exercise price of these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268" w:lineRule="exact"/>
        <w:rPr>
          <w:sz w:val="20"/>
          <w:szCs w:val="20"/>
          <w:color w:val="auto"/>
        </w:rPr>
      </w:pPr>
    </w:p>
    <w:p>
      <w:pPr>
        <w:ind w:left="1240" w:right="1259"/>
        <w:spacing w:after="0" w:line="263" w:lineRule="auto"/>
        <w:rPr>
          <w:sz w:val="20"/>
          <w:szCs w:val="20"/>
          <w:color w:val="auto"/>
        </w:rPr>
      </w:pPr>
      <w:r>
        <w:rPr>
          <w:rFonts w:ascii="Arial" w:cs="Arial" w:eastAsia="Arial" w:hAnsi="Arial"/>
          <w:sz w:val="14"/>
          <w:szCs w:val="14"/>
          <w:color w:val="auto"/>
        </w:rPr>
        <w:t>The letter agreements also provide that we will pay annual cash retainers of $25,000 and $50,000 to Ms. Butitta and Mr. Jimenez, respectively. These annual retainers will be paid in quarterly installments. Following the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1" w:name="page172"/>
    <w:bookmarkEnd w:id="17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completion of this offering, these annual cash retainers will be superseded by the compensation payable under the Non-Employee Director Compensation Policy described below.</w:t>
      </w:r>
    </w:p>
    <w:p>
      <w:pPr>
        <w:spacing w:after="0" w:line="87" w:lineRule="exact"/>
        <w:rPr>
          <w:sz w:val="20"/>
          <w:szCs w:val="20"/>
          <w:color w:val="auto"/>
        </w:rPr>
      </w:pPr>
    </w:p>
    <w:p>
      <w:pPr>
        <w:ind w:left="1240" w:right="1399"/>
        <w:spacing w:after="0" w:line="276" w:lineRule="auto"/>
        <w:rPr>
          <w:sz w:val="20"/>
          <w:szCs w:val="20"/>
          <w:color w:val="auto"/>
        </w:rPr>
      </w:pPr>
      <w:r>
        <w:rPr>
          <w:rFonts w:ascii="Arial" w:cs="Arial" w:eastAsia="Arial" w:hAnsi="Arial"/>
          <w:sz w:val="14"/>
          <w:szCs w:val="14"/>
          <w:color w:val="auto"/>
        </w:rPr>
        <w:t>In June 2021, after further discussions, our Board determined to cancel the stock option award described above, and instead issued a restricted stock award to Ms. Butitta with respect to 98,936 shares of our Common Stock. The restricted stock award will vest on the same schedule as the original stock option award.</w:t>
      </w:r>
    </w:p>
    <w:p>
      <w:pPr>
        <w:spacing w:after="0" w:line="105"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May 2021, we entered into letter agreements with Dr. Blackwell and Dr. Riva regarding their service as members of our board of directors and their compensation for that service. These letters contemplate one-time stock option awards and annual cash retainers. The letter agreements provide for the issuance of a stock option to purchase 99,483 shares of our common stock to each of Dr. Blackwell and Dr. Riva. The exercise price of these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107"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The letter agreements also provide that we will pay an annual cash retainer of $25,000 to each of Dr. Blackwell and Dr. Riva. These annual retainers will be paid in quarterly installments. Following the completion of this offering, these annual cash retainers will be superseded by the compensation payable under the Non-Employee Director Compensation Policy described below.</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Non-employee director compensation policy</w:t>
      </w:r>
    </w:p>
    <w:p>
      <w:pPr>
        <w:spacing w:after="0" w:line="129"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Our board of directors intends to adopt a non-employee director compensation policy, to be effective upon the effectiveness of the Registration Statement of which this prospectus forms a part. The below table depicts this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86995</wp:posOffset>
            </wp:positionV>
            <wp:extent cx="4134485" cy="133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Compensation Elements: Non-Employee Director Compensation Policy</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w:t>
            </w:r>
          </w:p>
        </w:tc>
        <w:tc>
          <w:tcPr>
            <w:tcW w:w="3580" w:type="dxa"/>
            <w:vAlign w:val="bottom"/>
            <w:tcBorders>
              <w:top w:val="single" w:sz="8" w:color="auto"/>
            </w:tcBorders>
            <w:shd w:val="clear" w:color="auto" w:fill="CCEEFF"/>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Member Annual Retainer</w:t>
            </w:r>
          </w:p>
        </w:tc>
        <w:tc>
          <w:tcPr>
            <w:tcW w:w="3580" w:type="dxa"/>
            <w:vAlign w:val="bottom"/>
          </w:tcPr>
          <w:p>
            <w:pPr>
              <w:ind w:left="1000"/>
              <w:spacing w:after="0"/>
              <w:rPr>
                <w:sz w:val="20"/>
                <w:szCs w:val="20"/>
                <w:color w:val="auto"/>
              </w:rPr>
            </w:pPr>
            <w:r>
              <w:rPr>
                <w:rFonts w:ascii="Arial" w:cs="Arial" w:eastAsia="Arial" w:hAnsi="Arial"/>
                <w:sz w:val="14"/>
                <w:szCs w:val="14"/>
                <w:color w:val="auto"/>
              </w:rPr>
              <w:t>$ 35,000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Chairperson Annual Retainer</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$ 30,000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Annual Committee Chair Retainer</w:t>
            </w:r>
          </w:p>
        </w:tc>
        <w:tc>
          <w:tcPr>
            <w:tcW w:w="3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$ 15,000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580" w:type="dxa"/>
            <w:vAlign w:val="bottom"/>
          </w:tcPr>
          <w:p>
            <w:pPr>
              <w:ind w:left="1000"/>
              <w:spacing w:after="0"/>
              <w:rPr>
                <w:sz w:val="20"/>
                <w:szCs w:val="20"/>
                <w:color w:val="auto"/>
              </w:rPr>
            </w:pPr>
            <w:r>
              <w:rPr>
                <w:rFonts w:ascii="Arial" w:cs="Arial" w:eastAsia="Arial" w:hAnsi="Arial"/>
                <w:sz w:val="14"/>
                <w:szCs w:val="14"/>
                <w:color w:val="auto"/>
              </w:rPr>
              <w:t>$ 10,000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$ 8,000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Annual Committee Member Retainer</w:t>
            </w:r>
          </w:p>
        </w:tc>
        <w:tc>
          <w:tcPr>
            <w:tcW w:w="3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$ 7,500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580" w:type="dxa"/>
            <w:vAlign w:val="bottom"/>
          </w:tcPr>
          <w:p>
            <w:pPr>
              <w:ind w:left="1000"/>
              <w:spacing w:after="0"/>
              <w:rPr>
                <w:sz w:val="20"/>
                <w:szCs w:val="20"/>
                <w:color w:val="auto"/>
              </w:rPr>
            </w:pPr>
            <w:r>
              <w:rPr>
                <w:rFonts w:ascii="Arial" w:cs="Arial" w:eastAsia="Arial" w:hAnsi="Arial"/>
                <w:sz w:val="14"/>
                <w:szCs w:val="14"/>
                <w:color w:val="auto"/>
              </w:rPr>
              <w:t>$ 5,000</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$ 4,000</w:t>
            </w:r>
          </w:p>
        </w:tc>
        <w:tc>
          <w:tcPr>
            <w:tcW w:w="1000" w:type="dxa"/>
            <w:vAlign w:val="bottom"/>
          </w:tcPr>
          <w:p>
            <w:pPr>
              <w:spacing w:after="0"/>
              <w:rPr>
                <w:sz w:val="14"/>
                <w:szCs w:val="14"/>
                <w:color w:val="auto"/>
              </w:rPr>
            </w:pPr>
          </w:p>
        </w:tc>
      </w:tr>
      <w:tr>
        <w:trPr>
          <w:trHeight w:val="139"/>
        </w:trPr>
        <w:tc>
          <w:tcPr>
            <w:tcW w:w="1000" w:type="dxa"/>
            <w:vAlign w:val="bottom"/>
          </w:tcPr>
          <w:p>
            <w:pPr>
              <w:spacing w:after="0"/>
              <w:rPr>
                <w:sz w:val="12"/>
                <w:szCs w:val="12"/>
                <w:color w:val="auto"/>
              </w:rPr>
            </w:pPr>
          </w:p>
        </w:tc>
        <w:tc>
          <w:tcPr>
            <w:tcW w:w="2920" w:type="dxa"/>
            <w:vAlign w:val="bottom"/>
          </w:tcPr>
          <w:p>
            <w:pPr>
              <w:spacing w:after="0" w:line="139" w:lineRule="exact"/>
              <w:rPr>
                <w:sz w:val="20"/>
                <w:szCs w:val="20"/>
                <w:color w:val="auto"/>
              </w:rPr>
            </w:pPr>
            <w:r>
              <w:rPr>
                <w:rFonts w:ascii="Arial" w:cs="Arial" w:eastAsia="Arial" w:hAnsi="Arial"/>
                <w:sz w:val="14"/>
                <w:szCs w:val="14"/>
                <w:b w:val="1"/>
                <w:bCs w:val="1"/>
                <w:color w:val="auto"/>
              </w:rPr>
              <w:t>Equity</w:t>
            </w:r>
          </w:p>
        </w:tc>
        <w:tc>
          <w:tcPr>
            <w:tcW w:w="35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Equity Grant</w:t>
            </w:r>
          </w:p>
        </w:tc>
        <w:tc>
          <w:tcPr>
            <w:tcW w:w="358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Option to purchase 100,000 shares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Common Stock, made to directors</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at  the  commencement  of  their</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director  service,  vesting  monthly</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over a period of 36 months, subject</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to   continued   service   with   the</w:t>
            </w:r>
          </w:p>
        </w:tc>
        <w:tc>
          <w:tcPr>
            <w:tcW w:w="1000" w:type="dxa"/>
            <w:vAlign w:val="bottom"/>
          </w:tcPr>
          <w:p>
            <w:pPr>
              <w:spacing w:after="0"/>
              <w:rPr>
                <w:sz w:val="14"/>
                <w:szCs w:val="14"/>
                <w:color w:val="auto"/>
              </w:rPr>
            </w:pPr>
          </w:p>
        </w:tc>
      </w:tr>
      <w:tr>
        <w:trPr>
          <w:trHeight w:val="172"/>
        </w:trPr>
        <w:tc>
          <w:tcPr>
            <w:tcW w:w="10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58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Company</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ind w:left="140"/>
              <w:spacing w:after="0"/>
              <w:rPr>
                <w:sz w:val="20"/>
                <w:szCs w:val="20"/>
                <w:color w:val="auto"/>
              </w:rPr>
            </w:pPr>
            <w:r>
              <w:rPr>
                <w:rFonts w:ascii="Arial" w:cs="Arial" w:eastAsia="Arial" w:hAnsi="Arial"/>
                <w:sz w:val="14"/>
                <w:szCs w:val="14"/>
                <w:color w:val="auto"/>
              </w:rPr>
              <w:t>Annual Equity Retainer</w:t>
            </w:r>
          </w:p>
        </w:tc>
        <w:tc>
          <w:tcPr>
            <w:tcW w:w="3580" w:type="dxa"/>
            <w:vAlign w:val="bottom"/>
          </w:tcPr>
          <w:p>
            <w:pPr>
              <w:ind w:left="1000"/>
              <w:spacing w:after="0"/>
              <w:rPr>
                <w:sz w:val="20"/>
                <w:szCs w:val="20"/>
                <w:color w:val="auto"/>
              </w:rPr>
            </w:pPr>
            <w:r>
              <w:rPr>
                <w:rFonts w:ascii="Arial" w:cs="Arial" w:eastAsia="Arial" w:hAnsi="Arial"/>
                <w:sz w:val="14"/>
                <w:szCs w:val="14"/>
                <w:color w:val="auto"/>
              </w:rPr>
              <w:t>Option to purchase 50,000 shares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Common Stock, vesting in full on</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the sooner of the first anniversary of</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the date of grant or the next annual</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shareholder  meeting,  subject  to</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580" w:type="dxa"/>
            <w:vAlign w:val="bottom"/>
          </w:tcPr>
          <w:p>
            <w:pPr>
              <w:ind w:left="1160"/>
              <w:spacing w:after="0"/>
              <w:rPr>
                <w:sz w:val="20"/>
                <w:szCs w:val="20"/>
                <w:color w:val="auto"/>
              </w:rPr>
            </w:pPr>
            <w:r>
              <w:rPr>
                <w:rFonts w:ascii="Arial" w:cs="Arial" w:eastAsia="Arial" w:hAnsi="Arial"/>
                <w:sz w:val="14"/>
                <w:szCs w:val="14"/>
                <w:color w:val="auto"/>
              </w:rPr>
              <w:t>continued service with the Company</w:t>
            </w:r>
          </w:p>
        </w:tc>
        <w:tc>
          <w:tcPr>
            <w:tcW w:w="1000" w:type="dxa"/>
            <w:vAlign w:val="bottom"/>
          </w:tcPr>
          <w:p>
            <w:pPr>
              <w:spacing w:after="0"/>
              <w:rPr>
                <w:sz w:val="14"/>
                <w:szCs w:val="14"/>
                <w:color w:val="auto"/>
              </w:rPr>
            </w:pPr>
          </w:p>
        </w:tc>
      </w:tr>
      <w:tr>
        <w:trPr>
          <w:trHeight w:val="54"/>
        </w:trPr>
        <w:tc>
          <w:tcPr>
            <w:tcW w:w="1000" w:type="dxa"/>
            <w:vAlign w:val="bottom"/>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504"/>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159</w:t>
            </w: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2" w:name="page173"/>
    <w:bookmarkEnd w:id="17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79"/>
        <w:spacing w:after="0" w:line="270" w:lineRule="auto"/>
        <w:rPr>
          <w:sz w:val="20"/>
          <w:szCs w:val="20"/>
          <w:color w:val="auto"/>
        </w:rPr>
      </w:pPr>
      <w:r>
        <w:rPr>
          <w:rFonts w:ascii="Arial" w:cs="Arial" w:eastAsia="Arial" w:hAnsi="Arial"/>
          <w:sz w:val="14"/>
          <w:szCs w:val="14"/>
          <w:color w:val="auto"/>
        </w:rPr>
        <w:t>Each annual cash retainer will be paid quarterly in arrears. All equity awards granted under the non-employee director compensation policy will be granted under, and subject to the terms of, the 2021 Plan.</w:t>
      </w:r>
    </w:p>
    <w:p>
      <w:pPr>
        <w:spacing w:after="0" w:line="29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Initial public offering option grant</w:t>
      </w:r>
    </w:p>
    <w:p>
      <w:pPr>
        <w:spacing w:after="0" w:line="118" w:lineRule="exact"/>
        <w:rPr>
          <w:sz w:val="20"/>
          <w:szCs w:val="20"/>
          <w:color w:val="auto"/>
        </w:rPr>
      </w:pPr>
    </w:p>
    <w:p>
      <w:pPr>
        <w:ind w:left="1240" w:right="1339"/>
        <w:spacing w:after="0" w:line="257" w:lineRule="auto"/>
        <w:rPr>
          <w:sz w:val="20"/>
          <w:szCs w:val="20"/>
          <w:color w:val="auto"/>
        </w:rPr>
      </w:pPr>
      <w:r>
        <w:rPr>
          <w:rFonts w:ascii="Arial" w:cs="Arial" w:eastAsia="Arial" w:hAnsi="Arial"/>
          <w:sz w:val="14"/>
          <w:szCs w:val="14"/>
          <w:color w:val="auto"/>
        </w:rPr>
        <w:t>In connection with this offering, each of our non-employee directors (other than Mr. Casdin and Dr. Rizzuto) serving on the board of directors upon the closing of the offering will be granted an option to purchase 19,872 shares of our common stock at the initial public offering price on the same terms as the Annual Equity Retainer, as described in the above table. Each of Mr. Casdin and Dr. Rizzuto, so long as each is serving on the board of directors upon the closing of the offering, will be granted an option to purchase 39,744 shares of our common stock at the initial public offering price on the same terms as the Initial Equity Grant, as described in the above table. Each of the foregoing director equity grants will be granted under, and subject to the terms of, the 2021 Plan.</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Code of business conduct and ethics</w:t>
      </w:r>
    </w:p>
    <w:p>
      <w:pPr>
        <w:spacing w:after="0" w:line="7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In connection with this offering, our board of directors will adopt a written code of business conduct and ethics that will apply to all of our directors, officers, and employees. The code of business conduct and ethics will cover fundamental ethics and compliance-related principles and practices such as accurate accounting records and financial reporting, avoiding conflicts of interest, the protection and use of our property and information, and compliance with legal and regulatory requirements. Our code of business conduct and ethics will be posted on the investor relations section of our website at www.centurytx.com. We intend to disclose any amendments to our code of business conduct and ethics, or waivers of its requirements, on our website to the extent required by the applicable rules and exchange requirements.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65"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Our second amended and restated certificate of incorporation and our amended and restated bylaws, which will each become effective immediately prior to the closing of this offering, will limit our directors’ liability and may indemnify our directors and officers to the fullest extent permitted under the DGCL. The DGCL provides that directors of a corporation will not be personally liable for monetary damages for breach of their fiduciary duties as directors, except for liability for any:</w:t>
      </w:r>
    </w:p>
    <w:p>
      <w:pPr>
        <w:spacing w:after="0" w:line="74" w:lineRule="exact"/>
        <w:rPr>
          <w:sz w:val="20"/>
          <w:szCs w:val="20"/>
          <w:color w:val="auto"/>
        </w:rPr>
      </w:pPr>
    </w:p>
    <w:p>
      <w:pPr>
        <w:ind w:left="1360" w:hanging="111"/>
        <w:spacing w:after="0"/>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85" w:lineRule="exact"/>
        <w:rPr>
          <w:rFonts w:ascii="Arial" w:cs="Arial" w:eastAsia="Arial" w:hAnsi="Arial"/>
          <w:sz w:val="14"/>
          <w:szCs w:val="14"/>
          <w:color w:val="auto"/>
        </w:rPr>
      </w:pPr>
    </w:p>
    <w:p>
      <w:pPr>
        <w:ind w:left="1360" w:right="1259" w:hanging="111"/>
        <w:spacing w:after="0" w:line="263"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act or omission not in good faith or that involves intentional misconduct or a knowing violation of law;</w:t>
      </w:r>
    </w:p>
    <w:p>
      <w:pPr>
        <w:spacing w:after="0" w:line="262" w:lineRule="exact"/>
        <w:rPr>
          <w:rFonts w:ascii="Arial" w:cs="Arial" w:eastAsia="Arial" w:hAnsi="Arial"/>
          <w:sz w:val="14"/>
          <w:szCs w:val="14"/>
          <w:color w:val="auto"/>
        </w:rPr>
      </w:pPr>
    </w:p>
    <w:p>
      <w:pPr>
        <w:ind w:left="1360" w:right="1579" w:hanging="111"/>
        <w:spacing w:after="0" w:line="286" w:lineRule="auto"/>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unlawful payment of dividends or unlawful stock repurchases or redemptions as provided in Section 174 of the DGCL; or</w:t>
      </w:r>
    </w:p>
    <w:p>
      <w:pPr>
        <w:spacing w:after="0" w:line="44" w:lineRule="exact"/>
        <w:rPr>
          <w:rFonts w:ascii="Arial" w:cs="Arial" w:eastAsia="Arial" w:hAnsi="Arial"/>
          <w:sz w:val="14"/>
          <w:szCs w:val="14"/>
          <w:color w:val="auto"/>
        </w:rPr>
      </w:pPr>
    </w:p>
    <w:p>
      <w:pPr>
        <w:ind w:left="1360" w:hanging="111"/>
        <w:spacing w:after="0"/>
        <w:tabs>
          <w:tab w:leader="none" w:pos="1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benefit.</w:t>
      </w:r>
    </w:p>
    <w:p>
      <w:pPr>
        <w:spacing w:after="0" w:line="75" w:lineRule="exact"/>
        <w:rPr>
          <w:sz w:val="20"/>
          <w:szCs w:val="20"/>
          <w:color w:val="auto"/>
        </w:rPr>
      </w:pPr>
    </w:p>
    <w:p>
      <w:pPr>
        <w:ind w:left="1240" w:right="1339"/>
        <w:spacing w:after="0" w:line="278" w:lineRule="auto"/>
        <w:rPr>
          <w:sz w:val="20"/>
          <w:szCs w:val="20"/>
          <w:color w:val="auto"/>
        </w:rPr>
      </w:pPr>
      <w:r>
        <w:rPr>
          <w:rFonts w:ascii="Arial" w:cs="Arial" w:eastAsia="Arial" w:hAnsi="Arial"/>
          <w:sz w:val="14"/>
          <w:szCs w:val="14"/>
          <w:color w:val="auto"/>
        </w:rPr>
        <w:t>The DGCL and our amended and restated bylaws provide that we will, in certain situations, indemnify our directors and officers and may indemnify other employees and other agents, to the fullest extent permitted by law.</w:t>
      </w:r>
    </w:p>
    <w:p>
      <w:pPr>
        <w:spacing w:after="0" w:line="5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penalties, fines, and settlement amounts incurred by a director or officer in any action or proceeding arising out of his or her service as one of our directors or officers,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227"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We maintain a directors’ and officers’ insurance policy pursuant to which our directors and officers are insured against liability for actions taken in their capacities as directors and officers. We believe that these provisions in our second amended and restated certificate of incorporation and amended and restated bylaws and these indemnification agreements are necessary to attract and retain qualified persons as directors and officers.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3" w:name="page174"/>
    <w:bookmarkEnd w:id="17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directors and officers as required by these indemnification provisions.</w:t>
      </w:r>
    </w:p>
    <w:p>
      <w:pPr>
        <w:spacing w:after="0" w:line="46" w:lineRule="exact"/>
        <w:rPr>
          <w:sz w:val="20"/>
          <w:szCs w:val="20"/>
          <w:color w:val="auto"/>
        </w:rPr>
      </w:pPr>
    </w:p>
    <w:p>
      <w:pPr>
        <w:jc w:val="both"/>
        <w:ind w:left="1240" w:right="1399"/>
        <w:spacing w:after="0" w:line="278" w:lineRule="auto"/>
        <w:rPr>
          <w:sz w:val="20"/>
          <w:szCs w:val="20"/>
          <w:color w:val="auto"/>
        </w:rPr>
      </w:pPr>
      <w:r>
        <w:rPr>
          <w:rFonts w:ascii="Arial" w:cs="Arial" w:eastAsia="Arial" w:hAnsi="Arial"/>
          <w:sz w:val="14"/>
          <w:szCs w:val="14"/>
          <w:color w:val="auto"/>
        </w:rPr>
        <w:t>At present, there is no pending litigation or proceeding involving any of our directors, officers or employees for which indemnification is sought and we are not aware of any threatened litigation that may result in claims for indemnification.</w:t>
      </w:r>
    </w:p>
    <w:p>
      <w:pPr>
        <w:spacing w:after="0" w:line="40"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4" w:name="page175"/>
    <w:bookmarkEnd w:id="17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Executive compensation</w:t>
      </w:r>
    </w:p>
    <w:p>
      <w:pPr>
        <w:spacing w:after="0" w:line="119"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Our named executive officers, or NEOs, for the year ended December 31, 2020, which consist of our principal executive officer and our two most highly compensated executive officers, are:</w:t>
      </w:r>
    </w:p>
    <w:p>
      <w:pPr>
        <w:spacing w:after="0" w:line="77" w:lineRule="exact"/>
        <w:rPr>
          <w:sz w:val="20"/>
          <w:szCs w:val="20"/>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Osvaldo Flores, our President and Chief Executive Officer;</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Hyam Levitsky, our President of Research and Development; and</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Michael Diem, our Chief Business Officer.</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Summary compensation table</w:t>
      </w:r>
    </w:p>
    <w:p>
      <w:pPr>
        <w:spacing w:after="0" w:line="129" w:lineRule="exact"/>
        <w:rPr>
          <w:sz w:val="20"/>
          <w:szCs w:val="20"/>
          <w:color w:val="auto"/>
        </w:rPr>
      </w:pPr>
    </w:p>
    <w:p>
      <w:pPr>
        <w:ind w:left="1240" w:right="1339"/>
        <w:spacing w:after="0" w:line="270" w:lineRule="auto"/>
        <w:rPr>
          <w:sz w:val="20"/>
          <w:szCs w:val="20"/>
          <w:color w:val="auto"/>
        </w:rPr>
      </w:pPr>
      <w:r>
        <w:rPr>
          <w:rFonts w:ascii="Arial" w:cs="Arial" w:eastAsia="Arial" w:hAnsi="Arial"/>
          <w:sz w:val="14"/>
          <w:szCs w:val="14"/>
          <w:color w:val="auto"/>
        </w:rPr>
        <w:t>The following table provides information regarding the compensation earned by our NEOs for the year ended December 31, 2020.</w:t>
      </w:r>
    </w:p>
    <w:p>
      <w:pPr>
        <w:spacing w:after="0" w:line="12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Non-equity</w:t>
            </w:r>
          </w:p>
        </w:tc>
        <w:tc>
          <w:tcPr>
            <w:tcW w:w="10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jc w:val="right"/>
              <w:ind w:right="14"/>
              <w:spacing w:after="0"/>
              <w:rPr>
                <w:sz w:val="20"/>
                <w:szCs w:val="20"/>
                <w:color w:val="auto"/>
              </w:rPr>
            </w:pPr>
            <w:r>
              <w:rPr>
                <w:rFonts w:ascii="Arial" w:cs="Arial" w:eastAsia="Arial" w:hAnsi="Arial"/>
                <w:sz w:val="13"/>
                <w:szCs w:val="13"/>
                <w:b w:val="1"/>
                <w:bCs w:val="1"/>
                <w:color w:val="auto"/>
              </w:rPr>
              <w:t>Option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020" w:type="dxa"/>
            <w:vAlign w:val="bottom"/>
          </w:tcPr>
          <w:p>
            <w:pPr>
              <w:jc w:val="right"/>
              <w:ind w:right="12"/>
              <w:spacing w:after="0"/>
              <w:rPr>
                <w:sz w:val="20"/>
                <w:szCs w:val="20"/>
                <w:color w:val="auto"/>
              </w:rPr>
            </w:pPr>
            <w:r>
              <w:rPr>
                <w:rFonts w:ascii="Arial" w:cs="Arial" w:eastAsia="Arial" w:hAnsi="Arial"/>
                <w:sz w:val="13"/>
                <w:szCs w:val="13"/>
                <w:b w:val="1"/>
                <w:bCs w:val="1"/>
                <w:color w:val="auto"/>
              </w:rPr>
              <w:t>All other</w:t>
            </w:r>
          </w:p>
        </w:tc>
        <w:tc>
          <w:tcPr>
            <w:tcW w:w="680" w:type="dxa"/>
            <w:vAlign w:val="bottom"/>
          </w:tcPr>
          <w:p>
            <w:pPr>
              <w:spacing w:after="0"/>
              <w:rPr>
                <w:sz w:val="13"/>
                <w:szCs w:val="13"/>
                <w:color w:val="auto"/>
              </w:rPr>
            </w:pPr>
          </w:p>
        </w:tc>
      </w:tr>
      <w:tr>
        <w:trPr>
          <w:trHeight w:val="143"/>
        </w:trPr>
        <w:tc>
          <w:tcPr>
            <w:tcW w:w="15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Name and principal</w:t>
            </w:r>
          </w:p>
        </w:tc>
        <w:tc>
          <w:tcPr>
            <w:tcW w:w="400" w:type="dxa"/>
            <w:vAlign w:val="bottom"/>
          </w:tcPr>
          <w:p>
            <w:pPr>
              <w:spacing w:after="0"/>
              <w:rPr>
                <w:sz w:val="12"/>
                <w:szCs w:val="12"/>
                <w:color w:val="auto"/>
              </w:rPr>
            </w:pPr>
          </w:p>
        </w:tc>
        <w:tc>
          <w:tcPr>
            <w:tcW w:w="760" w:type="dxa"/>
            <w:vAlign w:val="bottom"/>
          </w:tcPr>
          <w:p>
            <w:pPr>
              <w:jc w:val="right"/>
              <w:ind w:right="91"/>
              <w:spacing w:after="0" w:line="143" w:lineRule="exact"/>
              <w:rPr>
                <w:sz w:val="20"/>
                <w:szCs w:val="20"/>
                <w:color w:val="auto"/>
              </w:rPr>
            </w:pPr>
            <w:r>
              <w:rPr>
                <w:rFonts w:ascii="Arial" w:cs="Arial" w:eastAsia="Arial" w:hAnsi="Arial"/>
                <w:sz w:val="13"/>
                <w:szCs w:val="13"/>
                <w:b w:val="1"/>
                <w:bCs w:val="1"/>
                <w:color w:val="auto"/>
              </w:rPr>
              <w:t>Salary</w:t>
            </w:r>
          </w:p>
        </w:tc>
        <w:tc>
          <w:tcPr>
            <w:tcW w:w="580" w:type="dxa"/>
            <w:vAlign w:val="bottom"/>
          </w:tcPr>
          <w:p>
            <w:pPr>
              <w:jc w:val="right"/>
              <w:ind w:right="12"/>
              <w:spacing w:after="0" w:line="143" w:lineRule="exact"/>
              <w:rPr>
                <w:sz w:val="20"/>
                <w:szCs w:val="20"/>
                <w:color w:val="auto"/>
              </w:rPr>
            </w:pPr>
            <w:r>
              <w:rPr>
                <w:rFonts w:ascii="Arial" w:cs="Arial" w:eastAsia="Arial" w:hAnsi="Arial"/>
                <w:sz w:val="13"/>
                <w:szCs w:val="13"/>
                <w:b w:val="1"/>
                <w:bCs w:val="1"/>
                <w:color w:val="auto"/>
              </w:rPr>
              <w:t>Bonus</w:t>
            </w:r>
          </w:p>
        </w:tc>
        <w:tc>
          <w:tcPr>
            <w:tcW w:w="580" w:type="dxa"/>
            <w:vAlign w:val="bottom"/>
          </w:tcPr>
          <w:p>
            <w:pPr>
              <w:jc w:val="right"/>
              <w:ind w:right="14"/>
              <w:spacing w:after="0" w:line="143" w:lineRule="exact"/>
              <w:rPr>
                <w:sz w:val="20"/>
                <w:szCs w:val="20"/>
                <w:color w:val="auto"/>
              </w:rPr>
            </w:pPr>
            <w:r>
              <w:rPr>
                <w:rFonts w:ascii="Arial" w:cs="Arial" w:eastAsia="Arial" w:hAnsi="Arial"/>
                <w:sz w:val="13"/>
                <w:szCs w:val="13"/>
                <w:b w:val="1"/>
                <w:bCs w:val="1"/>
                <w:color w:val="auto"/>
              </w:rPr>
              <w:t>awards</w:t>
            </w:r>
          </w:p>
        </w:tc>
        <w:tc>
          <w:tcPr>
            <w:tcW w:w="9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compensation</w:t>
            </w:r>
          </w:p>
        </w:tc>
        <w:tc>
          <w:tcPr>
            <w:tcW w:w="1020" w:type="dxa"/>
            <w:vAlign w:val="bottom"/>
          </w:tcPr>
          <w:p>
            <w:pPr>
              <w:jc w:val="right"/>
              <w:ind w:right="12"/>
              <w:spacing w:after="0" w:line="143" w:lineRule="exact"/>
              <w:rPr>
                <w:sz w:val="20"/>
                <w:szCs w:val="20"/>
                <w:color w:val="auto"/>
              </w:rPr>
            </w:pPr>
            <w:r>
              <w:rPr>
                <w:rFonts w:ascii="Arial" w:cs="Arial" w:eastAsia="Arial" w:hAnsi="Arial"/>
                <w:sz w:val="13"/>
                <w:szCs w:val="13"/>
                <w:b w:val="1"/>
                <w:bCs w:val="1"/>
                <w:color w:val="auto"/>
              </w:rPr>
              <w:t>compensation</w:t>
            </w:r>
          </w:p>
        </w:tc>
        <w:tc>
          <w:tcPr>
            <w:tcW w:w="6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Total</w:t>
            </w:r>
          </w:p>
        </w:tc>
      </w:tr>
      <w:tr>
        <w:trPr>
          <w:trHeight w:val="203"/>
        </w:trPr>
        <w:tc>
          <w:tcPr>
            <w:tcW w:w="152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99"/>
              </w:rPr>
              <w:t>Year</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20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(1)</w:t>
            </w:r>
          </w:p>
        </w:tc>
        <w:tc>
          <w:tcPr>
            <w:tcW w:w="980" w:type="dxa"/>
            <w:vAlign w:val="bottom"/>
          </w:tcPr>
          <w:p>
            <w:pPr>
              <w:jc w:val="right"/>
              <w:spacing w:after="0" w:line="20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3"/>
        </w:trPr>
        <w:tc>
          <w:tcPr>
            <w:tcW w:w="20" w:type="dxa"/>
            <w:vAlign w:val="bottom"/>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Osvaldo Flores, Ph.D.</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7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461,250</w:t>
            </w: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741,750</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185,400</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1,390,650</w:t>
            </w:r>
          </w:p>
        </w:tc>
      </w:tr>
      <w:tr>
        <w:trPr>
          <w:trHeight w:val="157"/>
        </w:trPr>
        <w:tc>
          <w:tcPr>
            <w:tcW w:w="20" w:type="dxa"/>
            <w:vAlign w:val="bottom"/>
          </w:tcPr>
          <w:p>
            <w:pPr>
              <w:spacing w:after="0"/>
              <w:rPr>
                <w:sz w:val="13"/>
                <w:szCs w:val="13"/>
                <w:color w:val="auto"/>
              </w:rPr>
            </w:pPr>
          </w:p>
        </w:tc>
        <w:tc>
          <w:tcPr>
            <w:tcW w:w="1500" w:type="dxa"/>
            <w:vAlign w:val="bottom"/>
          </w:tcPr>
          <w:p>
            <w:pPr>
              <w:ind w:left="140"/>
              <w:spacing w:after="0" w:line="157" w:lineRule="exact"/>
              <w:rPr>
                <w:sz w:val="20"/>
                <w:szCs w:val="20"/>
                <w:color w:val="auto"/>
              </w:rPr>
            </w:pPr>
            <w:r>
              <w:rPr>
                <w:rFonts w:ascii="Arial" w:cs="Arial" w:eastAsia="Arial" w:hAnsi="Arial"/>
                <w:sz w:val="14"/>
                <w:szCs w:val="14"/>
                <w:i w:val="1"/>
                <w:iCs w:val="1"/>
                <w:color w:val="auto"/>
              </w:rPr>
              <w:t>President and Chief</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4"/>
                <w:szCs w:val="14"/>
                <w:i w:val="1"/>
                <w:iCs w:val="1"/>
                <w:color w:val="auto"/>
              </w:rPr>
              <w:t>Executive Officer</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3"/>
        </w:trPr>
        <w:tc>
          <w:tcPr>
            <w:tcW w:w="15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Hyam Levitsky, M.D.</w:t>
            </w: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760" w:type="dxa"/>
            <w:vAlign w:val="bottom"/>
            <w:shd w:val="clear" w:color="auto" w:fill="CCEEFF"/>
          </w:tcPr>
          <w:p>
            <w:pPr>
              <w:jc w:val="right"/>
              <w:ind w:right="11"/>
              <w:spacing w:after="0" w:line="214" w:lineRule="exact"/>
              <w:rPr>
                <w:sz w:val="20"/>
                <w:szCs w:val="20"/>
                <w:color w:val="auto"/>
              </w:rPr>
            </w:pPr>
            <w:r>
              <w:rPr>
                <w:rFonts w:ascii="Arial" w:cs="Arial" w:eastAsia="Arial" w:hAnsi="Arial"/>
                <w:sz w:val="14"/>
                <w:szCs w:val="14"/>
                <w:color w:val="auto"/>
                <w:w w:val="97"/>
              </w:rPr>
              <w:t>384,375</w:t>
            </w:r>
            <w:r>
              <w:rPr>
                <w:rFonts w:ascii="Arial" w:cs="Arial" w:eastAsia="Arial" w:hAnsi="Arial"/>
                <w:sz w:val="21"/>
                <w:szCs w:val="21"/>
                <w:color w:val="auto"/>
                <w:w w:val="97"/>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115,875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502,125</w:t>
            </w:r>
          </w:p>
        </w:tc>
      </w:tr>
      <w:tr>
        <w:trPr>
          <w:trHeight w:val="182"/>
        </w:trPr>
        <w:tc>
          <w:tcPr>
            <w:tcW w:w="20" w:type="dxa"/>
            <w:vAlign w:val="bottom"/>
          </w:tcPr>
          <w:p>
            <w:pPr>
              <w:spacing w:after="0"/>
              <w:rPr>
                <w:sz w:val="15"/>
                <w:szCs w:val="15"/>
                <w:color w:val="auto"/>
              </w:rPr>
            </w:pPr>
          </w:p>
        </w:tc>
        <w:tc>
          <w:tcPr>
            <w:tcW w:w="1500" w:type="dxa"/>
            <w:vAlign w:val="bottom"/>
          </w:tcPr>
          <w:p>
            <w:pPr>
              <w:ind w:left="140"/>
              <w:spacing w:after="0"/>
              <w:rPr>
                <w:sz w:val="20"/>
                <w:szCs w:val="20"/>
                <w:color w:val="auto"/>
              </w:rPr>
            </w:pPr>
            <w:r>
              <w:rPr>
                <w:rFonts w:ascii="Arial" w:cs="Arial" w:eastAsia="Arial" w:hAnsi="Arial"/>
                <w:sz w:val="14"/>
                <w:szCs w:val="14"/>
                <w:i w:val="1"/>
                <w:iCs w:val="1"/>
                <w:color w:val="auto"/>
              </w:rPr>
              <w:t>President of R&amp;D</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5"/>
        </w:trPr>
        <w:tc>
          <w:tcPr>
            <w:tcW w:w="152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400" w:type="dxa"/>
            <w:vAlign w:val="bottom"/>
          </w:tcPr>
          <w:p>
            <w:pPr>
              <w:jc w:val="center"/>
              <w:spacing w:after="0"/>
              <w:rPr>
                <w:sz w:val="20"/>
                <w:szCs w:val="20"/>
                <w:color w:val="auto"/>
              </w:rPr>
            </w:pPr>
            <w:r>
              <w:rPr>
                <w:rFonts w:ascii="Arial" w:cs="Arial" w:eastAsia="Arial" w:hAnsi="Arial"/>
                <w:sz w:val="14"/>
                <w:szCs w:val="14"/>
                <w:color w:val="auto"/>
              </w:rPr>
              <w:t>2020</w:t>
            </w:r>
          </w:p>
        </w:tc>
        <w:tc>
          <w:tcPr>
            <w:tcW w:w="1920" w:type="dxa"/>
            <w:vAlign w:val="bottom"/>
            <w:gridSpan w:val="3"/>
          </w:tcPr>
          <w:p>
            <w:pPr>
              <w:jc w:val="right"/>
              <w:spacing w:after="0" w:line="236" w:lineRule="exact"/>
              <w:rPr>
                <w:sz w:val="20"/>
                <w:szCs w:val="20"/>
                <w:color w:val="auto"/>
              </w:rPr>
            </w:pPr>
            <w:r>
              <w:rPr>
                <w:rFonts w:ascii="Arial" w:cs="Arial" w:eastAsia="Arial" w:hAnsi="Arial"/>
                <w:sz w:val="14"/>
                <w:szCs w:val="14"/>
                <w:color w:val="auto"/>
              </w:rPr>
              <w:t>123,958 125,000</w:t>
            </w:r>
            <w:r>
              <w:rPr>
                <w:rFonts w:ascii="Arial" w:cs="Arial" w:eastAsia="Arial" w:hAnsi="Arial"/>
                <w:sz w:val="21"/>
                <w:szCs w:val="21"/>
                <w:color w:val="auto"/>
                <w:vertAlign w:val="superscript"/>
              </w:rPr>
              <w:t>(5)</w:t>
            </w:r>
            <w:r>
              <w:rPr>
                <w:rFonts w:ascii="Arial" w:cs="Arial" w:eastAsia="Arial" w:hAnsi="Arial"/>
                <w:sz w:val="14"/>
                <w:szCs w:val="14"/>
                <w:color w:val="auto"/>
              </w:rPr>
              <w:t xml:space="preserve"> 644,258</w:t>
            </w:r>
          </w:p>
        </w:tc>
        <w:tc>
          <w:tcPr>
            <w:tcW w:w="980" w:type="dxa"/>
            <w:vAlign w:val="bottom"/>
          </w:tcPr>
          <w:p>
            <w:pPr>
              <w:jc w:val="right"/>
              <w:spacing w:after="0"/>
              <w:rPr>
                <w:sz w:val="20"/>
                <w:szCs w:val="20"/>
                <w:color w:val="auto"/>
              </w:rPr>
            </w:pPr>
            <w:r>
              <w:rPr>
                <w:rFonts w:ascii="Arial" w:cs="Arial" w:eastAsia="Arial" w:hAnsi="Arial"/>
                <w:sz w:val="14"/>
                <w:szCs w:val="14"/>
                <w:color w:val="auto"/>
              </w:rPr>
              <w:t>49,583</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942,799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-134620</wp:posOffset>
            </wp:positionV>
            <wp:extent cx="4134485" cy="135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34485" cy="135890"/>
                    </a:xfrm>
                    <a:prstGeom prst="rect">
                      <a:avLst/>
                    </a:prstGeom>
                    <a:noFill/>
                  </pic:spPr>
                </pic:pic>
              </a:graphicData>
            </a:graphic>
          </wp:anchor>
        </w:drawing>
      </w:r>
    </w:p>
    <w:p>
      <w:pPr>
        <w:ind w:left="1400"/>
        <w:spacing w:after="0" w:line="207" w:lineRule="auto"/>
        <w:rPr>
          <w:sz w:val="20"/>
          <w:szCs w:val="20"/>
          <w:color w:val="auto"/>
        </w:rPr>
      </w:pPr>
      <w:r>
        <w:rPr>
          <w:rFonts w:ascii="Arial" w:cs="Arial" w:eastAsia="Arial" w:hAnsi="Arial"/>
          <w:sz w:val="14"/>
          <w:szCs w:val="14"/>
          <w:i w:val="1"/>
          <w:iCs w:val="1"/>
          <w:color w:val="auto"/>
        </w:rPr>
        <w:t>Chief Business</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1"/>
          <w:szCs w:val="21"/>
          <w:i w:val="1"/>
          <w:i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17145</wp:posOffset>
            </wp:positionV>
            <wp:extent cx="413448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spacing w:after="0" w:line="60" w:lineRule="exact"/>
        <w:rPr>
          <w:sz w:val="20"/>
          <w:szCs w:val="20"/>
          <w:color w:val="auto"/>
        </w:rPr>
      </w:pPr>
    </w:p>
    <w:p>
      <w:pPr>
        <w:ind w:left="1240" w:right="1319" w:firstLine="9"/>
        <w:spacing w:after="0" w:line="227" w:lineRule="auto"/>
        <w:tabs>
          <w:tab w:leader="none" w:pos="1476" w:val="left"/>
        </w:tabs>
        <w:numPr>
          <w:ilvl w:val="0"/>
          <w:numId w:val="87"/>
        </w:numPr>
        <w:rPr>
          <w:rFonts w:ascii="Arial" w:cs="Arial" w:eastAsia="Arial" w:hAnsi="Arial"/>
          <w:sz w:val="11"/>
          <w:szCs w:val="11"/>
          <w:color w:val="auto"/>
        </w:rPr>
      </w:pPr>
      <w:r>
        <w:rPr>
          <w:rFonts w:ascii="Arial" w:cs="Arial" w:eastAsia="Arial" w:hAnsi="Arial"/>
          <w:sz w:val="11"/>
          <w:szCs w:val="11"/>
          <w:color w:val="auto"/>
        </w:rPr>
        <w:t>Represents the aggregate grant date fair value of the stock options awarded to the NEO in fiscal year 2020. These values have been determined under the principles used to calculate the value of equity awards for purposes of our financial statements. For a discussion of the assumptions and methodologies used to calculate the amounts referred to above, please see the discussion of option awards contained in Note 14, Stock Based Compensation, to our financial statements included elsewhere in this prospectus. The amounts reported in this column reflect the accounting cost for these stock options and do not correspond to the actual economic value that may be received by the NEO upon exercise of the stock options.</w:t>
      </w:r>
    </w:p>
    <w:p>
      <w:pPr>
        <w:spacing w:after="0" w:line="53" w:lineRule="exact"/>
        <w:rPr>
          <w:rFonts w:ascii="Arial" w:cs="Arial" w:eastAsia="Arial" w:hAnsi="Arial"/>
          <w:sz w:val="11"/>
          <w:szCs w:val="11"/>
          <w:color w:val="auto"/>
        </w:rPr>
      </w:pPr>
    </w:p>
    <w:p>
      <w:pPr>
        <w:ind w:left="1480" w:hanging="231"/>
        <w:spacing w:after="0"/>
        <w:tabs>
          <w:tab w:leader="none" w:pos="1480" w:val="left"/>
        </w:tabs>
        <w:numPr>
          <w:ilvl w:val="0"/>
          <w:numId w:val="87"/>
        </w:numPr>
        <w:rPr>
          <w:rFonts w:ascii="Arial" w:cs="Arial" w:eastAsia="Arial" w:hAnsi="Arial"/>
          <w:sz w:val="11"/>
          <w:szCs w:val="11"/>
          <w:color w:val="auto"/>
        </w:rPr>
      </w:pPr>
      <w:r>
        <w:rPr>
          <w:rFonts w:ascii="Arial" w:cs="Arial" w:eastAsia="Arial" w:hAnsi="Arial"/>
          <w:sz w:val="11"/>
          <w:szCs w:val="11"/>
          <w:color w:val="auto"/>
        </w:rPr>
        <w:t>Amounts shown are cash incentive payments earned in respect of 2020 performance and paid in the first quarter of 2021.</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7"/>
        </w:numPr>
        <w:rPr>
          <w:rFonts w:ascii="Arial" w:cs="Arial" w:eastAsia="Arial" w:hAnsi="Arial"/>
          <w:sz w:val="11"/>
          <w:szCs w:val="11"/>
          <w:color w:val="auto"/>
        </w:rPr>
      </w:pPr>
      <w:r>
        <w:rPr>
          <w:rFonts w:ascii="Arial" w:cs="Arial" w:eastAsia="Arial" w:hAnsi="Arial"/>
          <w:sz w:val="11"/>
          <w:szCs w:val="11"/>
          <w:color w:val="auto"/>
        </w:rPr>
        <w:t>The salary paid to Dr. Levitsky in 2020 was based upon him working at a 75% schedule.</w:t>
      </w:r>
    </w:p>
    <w:p>
      <w:pPr>
        <w:spacing w:after="0" w:line="55" w:lineRule="exact"/>
        <w:rPr>
          <w:rFonts w:ascii="Arial" w:cs="Arial" w:eastAsia="Arial" w:hAnsi="Arial"/>
          <w:sz w:val="11"/>
          <w:szCs w:val="11"/>
          <w:color w:val="auto"/>
        </w:rPr>
      </w:pPr>
    </w:p>
    <w:p>
      <w:pPr>
        <w:ind w:left="1480" w:hanging="231"/>
        <w:spacing w:after="0"/>
        <w:tabs>
          <w:tab w:leader="none" w:pos="1480" w:val="left"/>
        </w:tabs>
        <w:numPr>
          <w:ilvl w:val="0"/>
          <w:numId w:val="87"/>
        </w:numPr>
        <w:rPr>
          <w:rFonts w:ascii="Arial" w:cs="Arial" w:eastAsia="Arial" w:hAnsi="Arial"/>
          <w:sz w:val="11"/>
          <w:szCs w:val="11"/>
          <w:color w:val="auto"/>
        </w:rPr>
      </w:pPr>
      <w:r>
        <w:rPr>
          <w:rFonts w:ascii="Arial" w:cs="Arial" w:eastAsia="Arial" w:hAnsi="Arial"/>
          <w:sz w:val="11"/>
          <w:szCs w:val="11"/>
          <w:color w:val="auto"/>
        </w:rPr>
        <w:t>Dr. Diem commenced employment with us in September 2020.</w:t>
      </w:r>
    </w:p>
    <w:p>
      <w:pPr>
        <w:spacing w:after="0" w:line="66" w:lineRule="exact"/>
        <w:rPr>
          <w:rFonts w:ascii="Arial" w:cs="Arial" w:eastAsia="Arial" w:hAnsi="Arial"/>
          <w:sz w:val="11"/>
          <w:szCs w:val="11"/>
          <w:color w:val="auto"/>
        </w:rPr>
      </w:pPr>
    </w:p>
    <w:p>
      <w:pPr>
        <w:ind w:left="1480" w:hanging="231"/>
        <w:spacing w:after="0"/>
        <w:tabs>
          <w:tab w:leader="none" w:pos="1480" w:val="left"/>
        </w:tabs>
        <w:numPr>
          <w:ilvl w:val="0"/>
          <w:numId w:val="87"/>
        </w:numPr>
        <w:rPr>
          <w:rFonts w:ascii="Arial" w:cs="Arial" w:eastAsia="Arial" w:hAnsi="Arial"/>
          <w:sz w:val="11"/>
          <w:szCs w:val="11"/>
          <w:color w:val="auto"/>
        </w:rPr>
      </w:pPr>
      <w:r>
        <w:rPr>
          <w:rFonts w:ascii="Arial" w:cs="Arial" w:eastAsia="Arial" w:hAnsi="Arial"/>
          <w:sz w:val="11"/>
          <w:szCs w:val="11"/>
          <w:color w:val="auto"/>
        </w:rPr>
        <w:t>Amount shown is a sign-on bonus paid to Dr. Diem upon his hire.</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Elements of compensation</w:t>
      </w:r>
    </w:p>
    <w:p>
      <w:pPr>
        <w:spacing w:after="0" w:line="133"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The compensation of our NEOs generally consists of base salary, annual cash bonus opportunities, long term incentive compensation in the form of equity awards, and other benefits, as described below.</w:t>
      </w:r>
    </w:p>
    <w:p>
      <w:pPr>
        <w:spacing w:after="0" w:line="298"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Base salary</w:t>
      </w:r>
    </w:p>
    <w:p>
      <w:pPr>
        <w:spacing w:after="0" w:line="13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The base salary payable to each NEO is intended to provide a fixed component of compensation reflecting the executive’s skill set, experience, role, responsibilities, and contributions. Each NEO’s initial base salary was specified in his offer letter or employment agreement, as described below, and is reviewed (and, if applicable, adjusted) from time to time by our board of directors or compensation committee.</w:t>
      </w:r>
    </w:p>
    <w:p>
      <w:pPr>
        <w:spacing w:after="0" w:line="9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NEOs’ current annual base salary rates are: $477,405 for Dr. Flores, $397,838 for</w:t>
      </w:r>
    </w:p>
    <w:p>
      <w:pPr>
        <w:spacing w:after="0" w:line="10"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Dr. Levitsky, and $437,750 for Dr. Diem. These amounts reflect 3% increases to the executives’ annual base salary rates in effect at the end of 2020. Upon completion of this offering and in accordance with the terms of their new employment agreements described below, the NEOs annual base salary rates will increase to $557,000 for Dr. Flores, $430,700 for Dr. Levitsky, and $437,800 for Dr. Diem.</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5" w:name="page176"/>
    <w:bookmarkEnd w:id="17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Annual non-equity incentives</w:t>
      </w:r>
    </w:p>
    <w:p>
      <w:pPr>
        <w:spacing w:after="0" w:line="131"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Each of our NEOs’ annual non-equity incentive opportunity is expressed as a percentage of base salary that can be earned based on the achievement of predetermined corporate and individual performance objectives. The 2020 target bonus opportunities for Dr. Flores, Dr. Levitsky, and Dr. Diem were 40%, 30%, and 40% of their respective base salaries.</w:t>
      </w:r>
    </w:p>
    <w:p>
      <w:pPr>
        <w:spacing w:after="0" w:line="105" w:lineRule="exact"/>
        <w:rPr>
          <w:sz w:val="20"/>
          <w:szCs w:val="20"/>
          <w:color w:val="auto"/>
        </w:rPr>
      </w:pPr>
    </w:p>
    <w:p>
      <w:pPr>
        <w:ind w:left="1240" w:right="1439"/>
        <w:spacing w:after="0" w:line="274" w:lineRule="auto"/>
        <w:rPr>
          <w:sz w:val="20"/>
          <w:szCs w:val="20"/>
          <w:color w:val="auto"/>
        </w:rPr>
      </w:pPr>
      <w:r>
        <w:rPr>
          <w:rFonts w:ascii="Arial" w:cs="Arial" w:eastAsia="Arial" w:hAnsi="Arial"/>
          <w:sz w:val="14"/>
          <w:szCs w:val="14"/>
          <w:color w:val="auto"/>
        </w:rPr>
        <w:t>The goals applicable to the NEOs’ 2020 annual non-equity incentives related to certain clinical milestones, pipeline, platform and manufacturing development, operations, financing, corporate development, human resources, scientific leadership, and intellectual property. Following a review of 2020 performance, our compensation committee approved 2020 non-equity incentive payments to Dr. Flores, Dr. Levitsky and Dr. Diem equal to 100% of their respective target amounts (pro-rated in the case of Dr. Diem, to account for his mid-year hire).</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Long term equity incentives</w:t>
      </w:r>
    </w:p>
    <w:p>
      <w:pPr>
        <w:spacing w:after="0" w:line="142"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Our equity-based incentive awards are designed to align our interests and the interests of our stockholders with those of our employees and consultants, including our NEOs. Our board of directors or compensation committee approves equity grants. Dr. Flores and Dr. Diem each received options to purchase shares of our common stock in 2020 and 2021. See “—Outstanding Equity Awards at Fiscal Year-End” for more information regarding equity awards made in 2020 to our NEOs.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Employment arrangements with our NEOs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Osvaldo Flores, Ph.D.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August 2018, we entered into an employment offer letter with Dr. Flores. The offer letter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Dr. Flores’ at-will employment and set forth his initial annual base salary of $450,000</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his initial target annual bonus opportunity at 30% of base salary. The offer letter also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the issuance of a restricted stock award to Dr. Flores, or the 2018 Restricted Shares,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and for an opportunity for Dr. Flores to receive certain stock options in the future, upon</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achievement of certain performance conditions. The 2018 Restricted Shares were granted to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Dr. Flores in September 2018. In lieu of the stock options discussed in the offer letter, we granted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stock options to Dr. Flores in October 2020. See “—Outstanding Equity Awards at Fiscal Year-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End” for additional details regarding the 2018 Restricted Shares and the 2020 stock options.</w:t>
      </w:r>
    </w:p>
    <w:p>
      <w:pPr>
        <w:spacing w:after="0" w:line="139"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40" w:right="1259" w:firstLine="9"/>
        <w:spacing w:after="0" w:line="274" w:lineRule="auto"/>
        <w:tabs>
          <w:tab w:leader="none" w:pos="1456" w:val="left"/>
        </w:tabs>
        <w:numPr>
          <w:ilvl w:val="0"/>
          <w:numId w:val="88"/>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88"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40" w:right="1259" w:firstLine="9"/>
        <w:spacing w:after="0" w:line="274" w:lineRule="auto"/>
        <w:tabs>
          <w:tab w:leader="none" w:pos="1456" w:val="left"/>
        </w:tabs>
        <w:numPr>
          <w:ilvl w:val="0"/>
          <w:numId w:val="89"/>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6" w:name="page177"/>
    <w:bookmarkEnd w:id="17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2" w:lineRule="exact"/>
        <w:rPr>
          <w:sz w:val="20"/>
          <w:szCs w:val="20"/>
          <w:color w:val="auto"/>
        </w:rPr>
      </w:pPr>
    </w:p>
    <w:p>
      <w:pPr>
        <w:ind w:left="1240" w:right="1279"/>
        <w:spacing w:after="0" w:line="290" w:lineRule="auto"/>
        <w:rPr>
          <w:rFonts w:ascii="Arial" w:cs="Arial" w:eastAsia="Arial" w:hAnsi="Arial"/>
          <w:sz w:val="14"/>
          <w:szCs w:val="14"/>
          <w:color w:val="auto"/>
        </w:rPr>
      </w:pPr>
      <w:r>
        <w:rPr>
          <w:rFonts w:ascii="Arial" w:cs="Arial" w:eastAsia="Arial" w:hAnsi="Arial"/>
          <w:sz w:val="14"/>
          <w:szCs w:val="14"/>
          <w:color w:val="auto"/>
        </w:rPr>
        <w:t xml:space="preserve">Dr. Flores, that will be effective upon closing of the offering, and replace his employment offer letter. The new employment agreement provides for Dr. Flores’ at-will employment and sets forth an annual base salary of $557,000, a target annual bonus opportunity at 50% of base salary, and eligibility to participate generally in our employee benefit plans. In addition, Dr. Flores has entered into a Proprietary Information and Assignment Agreement in connection with this offering, described below on page </w:t>
      </w:r>
      <w:hyperlink w:anchor="page177">
        <w:r>
          <w:rPr>
            <w:rFonts w:ascii="Arial" w:cs="Arial" w:eastAsia="Arial" w:hAnsi="Arial"/>
            <w:sz w:val="14"/>
            <w:szCs w:val="14"/>
            <w:u w:val="single" w:color="auto"/>
            <w:color w:val="0000EE"/>
          </w:rPr>
          <w:t>165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greater detail.</w:t>
      </w:r>
    </w:p>
    <w:p>
      <w:pPr>
        <w:spacing w:after="0" w:line="96" w:lineRule="exact"/>
        <w:rPr>
          <w:sz w:val="20"/>
          <w:szCs w:val="20"/>
          <w:color w:val="auto"/>
        </w:rPr>
      </w:pPr>
    </w:p>
    <w:p>
      <w:pPr>
        <w:ind w:left="1240" w:right="1319"/>
        <w:spacing w:after="0" w:line="288" w:lineRule="auto"/>
        <w:rPr>
          <w:sz w:val="20"/>
          <w:szCs w:val="20"/>
          <w:color w:val="auto"/>
        </w:rPr>
      </w:pPr>
      <w:r>
        <w:rPr>
          <w:rFonts w:ascii="Arial" w:cs="Arial" w:eastAsia="Arial" w:hAnsi="Arial"/>
          <w:sz w:val="14"/>
          <w:szCs w:val="14"/>
          <w:color w:val="auto"/>
        </w:rPr>
        <w:t>Dr. Flores’ new employment agreement provides for severance benefits upon a termination of his employment by us without cause, or his resignation for good reason, subject to Dr. Flores’ execution of a general release of claims. The severance benefits are: (i) payment of all accrued and unpaid base salary, (ii) payment of any otherwise earned but unpaid annual bonus for the prior year, (iii) payment of pro-rata bonus for the year of termination, and (iv) continuation of his base salary and COBRA premiums paid by us for twelve (12) months. In addition, if such termination without “cause” or for “good reason” occurs within the three (3) month period prior to or the twelve (12) month period immediately following a change in control, then Dr. Flores’ salary and COBRA continuation period will be extended from twelve (12) months to eighteen (18) months, and he will receive a lump sum payment in an amount equal to his target annual bonus, and all outstanding equity awards subject to vesting solely based on the passage of time and Dr. Flores’ continued employment will become vested on the later of Dr. Flores’ termination date and the change in control.</w:t>
      </w: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Hyam Levitsky, M.D.</w:t>
      </w:r>
    </w:p>
    <w:p>
      <w:pPr>
        <w:spacing w:after="0" w:line="144" w:lineRule="exact"/>
        <w:rPr>
          <w:sz w:val="20"/>
          <w:szCs w:val="20"/>
          <w:color w:val="auto"/>
        </w:rPr>
      </w:pPr>
    </w:p>
    <w:p>
      <w:pPr>
        <w:ind w:left="1240" w:right="1659"/>
        <w:spacing w:after="0" w:line="287" w:lineRule="auto"/>
        <w:rPr>
          <w:sz w:val="20"/>
          <w:szCs w:val="20"/>
          <w:color w:val="auto"/>
        </w:rPr>
      </w:pPr>
      <w:r>
        <w:rPr>
          <w:rFonts w:ascii="Arial" w:cs="Arial" w:eastAsia="Arial" w:hAnsi="Arial"/>
          <w:sz w:val="14"/>
          <w:szCs w:val="14"/>
          <w:color w:val="auto"/>
        </w:rPr>
        <w:t>In March 2019, we entered into an employment agreement with Dr. Levitsky. The agreement provided for Dr. Levitsky’s at-will employment and set forth his initial annual base salary of:</w:t>
      </w:r>
    </w:p>
    <w:p>
      <w:pPr>
        <w:ind w:left="1240" w:right="1279" w:firstLine="9"/>
        <w:spacing w:after="0" w:line="288" w:lineRule="auto"/>
        <w:tabs>
          <w:tab w:leader="none" w:pos="1421" w:val="left"/>
        </w:tabs>
        <w:numPr>
          <w:ilvl w:val="0"/>
          <w:numId w:val="90"/>
        </w:numPr>
        <w:rPr>
          <w:rFonts w:ascii="Arial" w:cs="Arial" w:eastAsia="Arial" w:hAnsi="Arial"/>
          <w:sz w:val="14"/>
          <w:szCs w:val="14"/>
          <w:color w:val="auto"/>
        </w:rPr>
      </w:pPr>
      <w:r>
        <w:rPr>
          <w:rFonts w:ascii="Arial" w:cs="Arial" w:eastAsia="Arial" w:hAnsi="Arial"/>
          <w:sz w:val="14"/>
          <w:szCs w:val="14"/>
          <w:color w:val="auto"/>
        </w:rPr>
        <w:t>$500,000 if working at full-time capacity, or (ii) $375,000 if working at a 75% schedule, which requires an average minimum of 120 hours per month. The agreement also provides for an initial target annual bonus opportunity of up to 30% of base salary, a sign-on bonus of $100,000, equity incentive awards in the form of stock options to purchase shares of our common stock and eligibility to participate in our employee benefit plans. In lieu of the stock options discussed in the employment agreement, the Company sold to Dr. Levitsky an equivalent number of restricted shares in July 2019 at a price equal to what the option exercise price otherwise would have been. See “—Outstanding Equity Awards at Fiscal Year-End” for additional details regarding this restricted stock award. Dr. Levitsky’s employment agreement provides for a severance benefit of three (3) months of salary continuation following a termination of his employment by us without cause, subject to his execution of a general release of claims.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2" w:lineRule="exact"/>
        <w:rPr>
          <w:sz w:val="20"/>
          <w:szCs w:val="20"/>
          <w:color w:val="auto"/>
        </w:rPr>
      </w:pPr>
    </w:p>
    <w:p>
      <w:pPr>
        <w:jc w:val="both"/>
        <w:ind w:left="1240" w:right="1399"/>
        <w:spacing w:after="0" w:line="287" w:lineRule="auto"/>
        <w:rPr>
          <w:sz w:val="20"/>
          <w:szCs w:val="20"/>
          <w:color w:val="auto"/>
        </w:rPr>
      </w:pPr>
      <w:r>
        <w:rPr>
          <w:rFonts w:ascii="Arial" w:cs="Arial" w:eastAsia="Arial" w:hAnsi="Arial"/>
          <w:sz w:val="14"/>
          <w:szCs w:val="14"/>
          <w:color w:val="auto"/>
        </w:rPr>
        <w:t>Dr. Levitsky, that will be effective upon closing of the offering and replace his prior employment agreement. The new employment agreement provides for Dr. Levitsky’s at-will employment and sets forth his annual base salary of $430,700, a target annual bonus opportunity at 40% of base salary, and eligibility to participate generally in our employee benefit plans. In addition, Dr.</w:t>
      </w:r>
    </w:p>
    <w:p>
      <w:pPr>
        <w:spacing w:after="0" w:line="1" w:lineRule="exact"/>
        <w:rPr>
          <w:sz w:val="20"/>
          <w:szCs w:val="20"/>
          <w:color w:val="auto"/>
        </w:rPr>
      </w:pPr>
    </w:p>
    <w:p>
      <w:pPr>
        <w:ind w:left="1240" w:right="1259"/>
        <w:spacing w:after="0" w:line="302" w:lineRule="auto"/>
        <w:rPr>
          <w:rFonts w:ascii="Arial" w:cs="Arial" w:eastAsia="Arial" w:hAnsi="Arial"/>
          <w:sz w:val="14"/>
          <w:szCs w:val="14"/>
          <w:color w:val="auto"/>
        </w:rPr>
      </w:pPr>
      <w:r>
        <w:rPr>
          <w:rFonts w:ascii="Arial" w:cs="Arial" w:eastAsia="Arial" w:hAnsi="Arial"/>
          <w:sz w:val="14"/>
          <w:szCs w:val="14"/>
          <w:color w:val="auto"/>
        </w:rPr>
        <w:t xml:space="preserve">Levitsky has entered into a new Proprietary Information and Assignment Agreement in connection with this offering, as described below on page </w:t>
      </w:r>
      <w:hyperlink w:anchor="page177">
        <w:r>
          <w:rPr>
            <w:rFonts w:ascii="Arial" w:cs="Arial" w:eastAsia="Arial" w:hAnsi="Arial"/>
            <w:sz w:val="14"/>
            <w:szCs w:val="14"/>
            <w:u w:val="single" w:color="auto"/>
            <w:color w:val="0000EE"/>
          </w:rPr>
          <w:t>165</w:t>
        </w:r>
      </w:hyperlink>
      <w:r>
        <w:rPr>
          <w:rFonts w:ascii="Arial" w:cs="Arial" w:eastAsia="Arial" w:hAnsi="Arial"/>
          <w:sz w:val="14"/>
          <w:szCs w:val="14"/>
          <w:color w:val="auto"/>
        </w:rPr>
        <w:t>.</w:t>
      </w:r>
    </w:p>
    <w:p>
      <w:pPr>
        <w:spacing w:after="0" w:line="87" w:lineRule="exact"/>
        <w:rPr>
          <w:sz w:val="20"/>
          <w:szCs w:val="20"/>
          <w:color w:val="auto"/>
        </w:rPr>
      </w:pPr>
    </w:p>
    <w:p>
      <w:pPr>
        <w:ind w:left="1240" w:right="1339"/>
        <w:spacing w:after="0" w:line="288" w:lineRule="auto"/>
        <w:rPr>
          <w:sz w:val="20"/>
          <w:szCs w:val="20"/>
          <w:color w:val="auto"/>
        </w:rPr>
      </w:pPr>
      <w:r>
        <w:rPr>
          <w:rFonts w:ascii="Arial" w:cs="Arial" w:eastAsia="Arial" w:hAnsi="Arial"/>
          <w:sz w:val="14"/>
          <w:szCs w:val="14"/>
          <w:color w:val="auto"/>
        </w:rPr>
        <w:t>Dr. Levitsky’s new employment agreement provides for severance benefits upon a termination of his employment by us without cause, or his resignation for good reason, subject to Dr. Levitsky’s execution of a general release of claims. The severance benefits are: (i) payment of all accrued and unpaid base salary, (ii) payment of any otherwise earned but unpaid annual bonus for the prior year, and (iii) payment of pro-rata bonus for the year of termination, and (iv) continuation of his base salary and COBRA premiums paid by us for nine (9) months. In addition, if such termination without “cause” or for “good reason” occurs within the three (3) month period prior to or twelve (12) month period immediately following a change in control, Dr. Levitsky’s salary and COBRA continuation period will be extended from nine (9) months to twelve (12) months, and he will receive a lump sum payment in an amount equal to his target annual bonus and all outstanding equity awards subject to vesting solely based on the passage of time and Dr. Levitsky’s continued employment will become vested on the later of Dr. Levitsky’s termination date and the change in control.</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7" w:name="page178"/>
    <w:bookmarkEnd w:id="17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Michael Diem, M.D.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 August 2020, we entered into an employment offer letter with Dr. Diem. The offer letter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provided for Dr. Diem’s at-will employment and set forth his initial annual base salary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$425,000, his initial target annual bonus opportunity of up to 40% of base salary (pro-rated for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any partial years of employment), and a sign-on bonus of $125,000; however, if terminated for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cause or if Dr. Diem resigns within 12 months of September 16, 2020, his start date, the sign-on</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bonus must be repaid in full (in the case of termination for cause) or on a pro-rata basis (in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case of resignation) within 30 days of his termination date. The offer letter also provided for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issuance of a stock option to purchase shares of our common stock and his eligibility to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participate in our employee benefit plans. See “—Outstanding Equity Awards at Fiscal Year-End”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for additional details regarding the stock option granted to Dr. Diem in connection with his hire.</w:t>
      </w:r>
    </w:p>
    <w:p>
      <w:pPr>
        <w:spacing w:after="0" w:line="139" w:lineRule="exact"/>
        <w:rPr>
          <w:sz w:val="20"/>
          <w:szCs w:val="20"/>
          <w:color w:val="auto"/>
        </w:rPr>
      </w:pPr>
    </w:p>
    <w:p>
      <w:pPr>
        <w:ind w:left="1240" w:right="1279"/>
        <w:spacing w:after="0" w:line="273" w:lineRule="auto"/>
        <w:rPr>
          <w:rFonts w:ascii="Arial" w:cs="Arial" w:eastAsia="Arial" w:hAnsi="Arial"/>
          <w:sz w:val="14"/>
          <w:szCs w:val="14"/>
          <w:color w:val="auto"/>
        </w:rPr>
      </w:pPr>
      <w:r>
        <w:rPr>
          <w:rFonts w:ascii="Arial" w:cs="Arial" w:eastAsia="Arial" w:hAnsi="Arial"/>
          <w:sz w:val="14"/>
          <w:szCs w:val="14"/>
          <w:color w:val="auto"/>
        </w:rPr>
        <w:t xml:space="preserve">In connection with this offering, we have entered into a new employment agreement with Dr. Diem, that will be effective upon closing of the offering and replace his employment offer letter. The new employment agreement provides for Dr. Diem’s at-will employment and sets forth an annual base salary of $437,800, a target annual bonus opportunity at 40% of base salary, and eligibility to participate generally in employee benefit plans. The new employment agreement also provides that, if Dr. Diem is terminated for cause or if Dr. Diem resigns prior to September 16, 2021 (the first anniversary of his start date), the sign-on bonus repayment obligation described in the preceding paragraph will apply. Dr. Diem’s new employment agreement provides for the same severance benefits as those provided under Dr. Levitsky’s new employment agreement, described on page </w:t>
      </w:r>
      <w:hyperlink w:anchor="page176">
        <w:r>
          <w:rPr>
            <w:rFonts w:ascii="Arial" w:cs="Arial" w:eastAsia="Arial" w:hAnsi="Arial"/>
            <w:sz w:val="14"/>
            <w:szCs w:val="14"/>
            <w:u w:val="single" w:color="auto"/>
            <w:color w:val="0000EE"/>
          </w:rPr>
          <w:t>164</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above. In addition, Dr. Diem has entered into a new Proprietary Information and Assignment Agreement in connection with this offering, as described immediately below.</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Proprietary information and assignment agreements</w:t>
      </w:r>
    </w:p>
    <w:p>
      <w:pPr>
        <w:spacing w:after="0" w:line="144"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Each of Dr. Levitsky and Dr. Diem has previously entered into a Proprietary Information and Assignment Agreement with us that includes customary provisions regarding confidentiality and ownership of intellectual property, and certain restrictive covenants that apply for a period of one year following any cessation of employment. In connection with this offering and our entry into new employment agreements with the NEOs, each NEO entered into a new Proprietary Information and Assignment Agreement. These new Proprietary Information and Assignment Agreements include customary prohibitions against competition with us and solicitation of our customers and employees, both during employment and for one year following any cessation of employment for Dr. Flores and for nine months following cessation of employment for each of Dr. Levitsky and Dr. Diem. The Proprietary Information and Assignment Agreement are incorporated by reference into the new employment agreements and payment of any severance benefits under each executive’s new employment agreement is conditioned on continued compliance with his Proprietary Information and Assignment Agreement.</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information regarding the outstanding equity awards held by our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NEOs as of December 31, 2020. All awards were granted pursuant to the 2018 Plan. See “—</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Equity Incentive Plans—2018 Plan”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8" w:name="page179"/>
    <w:bookmarkEnd w:id="17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419735</wp:posOffset>
            </wp:positionV>
            <wp:extent cx="5236210" cy="13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3621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1459"/>
        <w:spacing w:after="0"/>
        <w:tabs>
          <w:tab w:leader="none" w:pos="84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3"/>
          <w:szCs w:val="13"/>
          <w:b w:val="1"/>
          <w:bCs w:val="1"/>
          <w:color w:val="auto"/>
        </w:rPr>
        <w:t>Stock awards</w:t>
      </w:r>
    </w:p>
    <w:p>
      <w:pPr>
        <w:sectPr>
          <w:pgSz w:w="11900" w:h="16838" w:orient="portrait"/>
          <w:cols w:equalWidth="0" w:num="1">
            <w:col w:w="9019"/>
          </w:cols>
          <w:pgMar w:left="1440" w:top="134" w:right="1440" w:bottom="1440" w:gutter="0" w:footer="0" w:header="0"/>
        </w:sectPr>
      </w:pPr>
    </w:p>
    <w:p>
      <w:pPr>
        <w:spacing w:after="0" w:line="33"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Equity</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incentive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jc w:val="right"/>
              <w:ind w:right="36"/>
              <w:spacing w:after="0" w:line="139" w:lineRule="exact"/>
              <w:rPr>
                <w:sz w:val="20"/>
                <w:szCs w:val="20"/>
                <w:color w:val="auto"/>
              </w:rPr>
            </w:pPr>
            <w:r>
              <w:rPr>
                <w:rFonts w:ascii="Arial" w:cs="Arial" w:eastAsia="Arial" w:hAnsi="Arial"/>
                <w:sz w:val="13"/>
                <w:szCs w:val="13"/>
                <w:b w:val="1"/>
                <w:bCs w:val="1"/>
                <w:color w:val="auto"/>
              </w:rPr>
              <w:t>plan awards: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securities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securities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underlying</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or units of</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unexercised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unexercised</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Option</w:t>
            </w:r>
          </w:p>
        </w:tc>
        <w:tc>
          <w:tcPr>
            <w:tcW w:w="1980" w:type="dxa"/>
            <w:vAlign w:val="bottom"/>
            <w:gridSpan w:val="3"/>
          </w:tcPr>
          <w:p>
            <w:pPr>
              <w:jc w:val="right"/>
              <w:spacing w:after="0"/>
              <w:rPr>
                <w:sz w:val="20"/>
                <w:szCs w:val="20"/>
                <w:color w:val="auto"/>
              </w:rPr>
            </w:pPr>
            <w:r>
              <w:rPr>
                <w:rFonts w:ascii="Arial" w:cs="Arial" w:eastAsia="Arial" w:hAnsi="Arial"/>
                <w:sz w:val="13"/>
                <w:szCs w:val="13"/>
                <w:b w:val="1"/>
                <w:bCs w:val="1"/>
                <w:color w:val="auto"/>
              </w:rPr>
              <w:t>Option stock that stock that</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20"/>
                <w:szCs w:val="20"/>
                <w:color w:val="auto"/>
              </w:rPr>
            </w:pPr>
            <w:r>
              <w:rPr>
                <w:rFonts w:ascii="Arial" w:cs="Arial" w:eastAsia="Arial" w:hAnsi="Arial"/>
                <w:sz w:val="13"/>
                <w:szCs w:val="13"/>
                <w:b w:val="1"/>
                <w:bCs w:val="1"/>
                <w:color w:val="auto"/>
              </w:rPr>
              <w:t>Name and</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21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unearned exercise expiration</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3"/>
        </w:trPr>
        <w:tc>
          <w:tcPr>
            <w:tcW w:w="720" w:type="dxa"/>
            <w:vAlign w:val="bottom"/>
          </w:tcPr>
          <w:p>
            <w:pPr>
              <w:spacing w:after="0" w:line="143" w:lineRule="exact"/>
              <w:rPr>
                <w:sz w:val="20"/>
                <w:szCs w:val="20"/>
                <w:color w:val="auto"/>
              </w:rPr>
            </w:pPr>
            <w:r>
              <w:rPr>
                <w:rFonts w:ascii="Arial" w:cs="Arial" w:eastAsia="Arial" w:hAnsi="Arial"/>
                <w:sz w:val="13"/>
                <w:szCs w:val="13"/>
                <w:b w:val="1"/>
                <w:bCs w:val="1"/>
                <w:color w:val="auto"/>
              </w:rPr>
              <w:t>principal</w:t>
            </w:r>
          </w:p>
        </w:tc>
        <w:tc>
          <w:tcPr>
            <w:tcW w:w="186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rPr>
              <w:t>exercisable unexercisable</w:t>
            </w:r>
          </w:p>
        </w:tc>
        <w:tc>
          <w:tcPr>
            <w:tcW w:w="920" w:type="dxa"/>
            <w:vAlign w:val="bottom"/>
          </w:tcPr>
          <w:p>
            <w:pPr>
              <w:jc w:val="right"/>
              <w:ind w:right="36"/>
              <w:spacing w:after="0" w:line="143" w:lineRule="exact"/>
              <w:rPr>
                <w:sz w:val="20"/>
                <w:szCs w:val="20"/>
                <w:color w:val="auto"/>
              </w:rPr>
            </w:pPr>
            <w:r>
              <w:rPr>
                <w:rFonts w:ascii="Arial" w:cs="Arial" w:eastAsia="Arial" w:hAnsi="Arial"/>
                <w:sz w:val="13"/>
                <w:szCs w:val="13"/>
                <w:b w:val="1"/>
                <w:bCs w:val="1"/>
                <w:color w:val="auto"/>
              </w:rPr>
              <w:t>options</w:t>
            </w:r>
          </w:p>
        </w:tc>
        <w:tc>
          <w:tcPr>
            <w:tcW w:w="640" w:type="dxa"/>
            <w:vAlign w:val="bottom"/>
          </w:tcPr>
          <w:p>
            <w:pPr>
              <w:jc w:val="right"/>
              <w:ind w:right="76"/>
              <w:spacing w:after="0" w:line="143" w:lineRule="exact"/>
              <w:rPr>
                <w:sz w:val="20"/>
                <w:szCs w:val="20"/>
                <w:color w:val="auto"/>
              </w:rPr>
            </w:pPr>
            <w:r>
              <w:rPr>
                <w:rFonts w:ascii="Arial" w:cs="Arial" w:eastAsia="Arial" w:hAnsi="Arial"/>
                <w:sz w:val="13"/>
                <w:szCs w:val="13"/>
                <w:b w:val="1"/>
                <w:bCs w:val="1"/>
                <w:color w:val="auto"/>
              </w:rPr>
              <w:t>price</w:t>
            </w:r>
          </w:p>
        </w:tc>
        <w:tc>
          <w:tcPr>
            <w:tcW w:w="6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date</w:t>
            </w:r>
          </w:p>
        </w:tc>
        <w:tc>
          <w:tcPr>
            <w:tcW w:w="7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vested</w:t>
            </w:r>
          </w:p>
        </w:tc>
        <w:tc>
          <w:tcPr>
            <w:tcW w:w="66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6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70"/>
        </w:trPr>
        <w:tc>
          <w:tcPr>
            <w:tcW w:w="720" w:type="dxa"/>
            <w:vAlign w:val="bottom"/>
          </w:tcPr>
          <w:p>
            <w:pPr>
              <w:spacing w:after="0"/>
              <w:rPr>
                <w:sz w:val="20"/>
                <w:szCs w:val="20"/>
                <w:color w:val="auto"/>
              </w:rPr>
            </w:pPr>
            <w:r>
              <w:rPr>
                <w:rFonts w:ascii="Arial" w:cs="Arial" w:eastAsia="Arial" w:hAnsi="Arial"/>
                <w:sz w:val="13"/>
                <w:szCs w:val="13"/>
                <w:b w:val="1"/>
                <w:bCs w:val="1"/>
                <w:color w:val="auto"/>
              </w:rPr>
              <w:t>(a)</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(b)</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640" w:type="dxa"/>
            <w:vAlign w:val="bottom"/>
          </w:tcPr>
          <w:p>
            <w:pPr>
              <w:jc w:val="right"/>
              <w:ind w:right="56"/>
              <w:spacing w:after="0"/>
              <w:rPr>
                <w:sz w:val="20"/>
                <w:szCs w:val="20"/>
                <w:color w:val="auto"/>
              </w:rPr>
            </w:pPr>
            <w:r>
              <w:rPr>
                <w:rFonts w:ascii="Arial" w:cs="Arial" w:eastAsia="Arial" w:hAnsi="Arial"/>
                <w:sz w:val="13"/>
                <w:szCs w:val="13"/>
                <w:b w:val="1"/>
                <w:bCs w:val="1"/>
                <w:color w:val="auto"/>
              </w:rPr>
              <w:t>(e)</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(g)</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3175</wp:posOffset>
            </wp:positionV>
            <wp:extent cx="5236210" cy="3467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36210" cy="34671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-1057275</wp:posOffset>
            </wp:positionV>
            <wp:extent cx="472630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263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right"/>
        <w:ind w:left="180" w:right="179"/>
        <w:spacing w:after="0" w:line="247" w:lineRule="auto"/>
        <w:rPr>
          <w:sz w:val="20"/>
          <w:szCs w:val="20"/>
          <w:color w:val="auto"/>
        </w:rPr>
      </w:pPr>
      <w:r>
        <w:rPr>
          <w:rFonts w:ascii="Arial" w:cs="Arial" w:eastAsia="Arial" w:hAnsi="Arial"/>
          <w:sz w:val="13"/>
          <w:szCs w:val="13"/>
          <w:b w:val="1"/>
          <w:bCs w:val="1"/>
          <w:color w:val="auto"/>
        </w:rPr>
        <w:t>Equity         Equity incentive  incentive plan plan awards: awards: market number of or payout value</w:t>
      </w:r>
    </w:p>
    <w:p>
      <w:pPr>
        <w:jc w:val="both"/>
        <w:ind w:right="179" w:firstLine="404"/>
        <w:spacing w:after="0"/>
        <w:rPr>
          <w:sz w:val="20"/>
          <w:szCs w:val="20"/>
          <w:color w:val="auto"/>
        </w:rPr>
      </w:pPr>
      <w:r>
        <w:rPr>
          <w:rFonts w:ascii="Arial" w:cs="Arial" w:eastAsia="Arial" w:hAnsi="Arial"/>
          <w:sz w:val="13"/>
          <w:szCs w:val="13"/>
          <w:b w:val="1"/>
          <w:bCs w:val="1"/>
          <w:color w:val="auto"/>
        </w:rPr>
        <w:t>unearned of unearned shares, units or shares, units or</w:t>
      </w:r>
    </w:p>
    <w:tbl>
      <w:tblPr>
        <w:tblLayout w:type="fixed"/>
        <w:tblInd w:w="160" w:type="dxa"/>
        <w:tblCellMar>
          <w:top w:w="0" w:type="dxa"/>
          <w:left w:w="0" w:type="dxa"/>
          <w:bottom w:w="0" w:type="dxa"/>
          <w:right w:w="0" w:type="dxa"/>
        </w:tblCellMar>
      </w:tblPr>
      <w:tr>
        <w:trPr>
          <w:trHeight w:val="135"/>
        </w:trPr>
        <w:tc>
          <w:tcPr>
            <w:tcW w:w="980" w:type="dxa"/>
            <w:vAlign w:val="bottom"/>
          </w:tcPr>
          <w:p>
            <w:pPr>
              <w:jc w:val="right"/>
              <w:ind w:right="76"/>
              <w:spacing w:after="0" w:line="135" w:lineRule="exact"/>
              <w:rPr>
                <w:sz w:val="20"/>
                <w:szCs w:val="20"/>
                <w:color w:val="auto"/>
              </w:rPr>
            </w:pPr>
            <w:r>
              <w:rPr>
                <w:rFonts w:ascii="Arial" w:cs="Arial" w:eastAsia="Arial" w:hAnsi="Arial"/>
                <w:sz w:val="13"/>
                <w:szCs w:val="13"/>
                <w:b w:val="1"/>
                <w:bCs w:val="1"/>
                <w:color w:val="auto"/>
              </w:rPr>
              <w:t>other rights</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other rights</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that have not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that have not</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vested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r>
      <w:tr>
        <w:trPr>
          <w:trHeight w:val="150"/>
        </w:trPr>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0"/>
        </w:trPr>
        <w:tc>
          <w:tcPr>
            <w:tcW w:w="980" w:type="dxa"/>
            <w:vAlign w:val="bottom"/>
          </w:tcPr>
          <w:p>
            <w:pPr>
              <w:jc w:val="right"/>
              <w:ind w:right="36"/>
              <w:spacing w:after="0"/>
              <w:rPr>
                <w:sz w:val="20"/>
                <w:szCs w:val="20"/>
                <w:color w:val="auto"/>
              </w:rPr>
            </w:pPr>
            <w:r>
              <w:rPr>
                <w:rFonts w:ascii="Arial" w:cs="Arial" w:eastAsia="Arial" w:hAnsi="Arial"/>
                <w:sz w:val="13"/>
                <w:szCs w:val="13"/>
                <w:b w:val="1"/>
                <w:bCs w:val="1"/>
                <w:color w:val="auto"/>
              </w:rPr>
              <w:t>(i)</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(j)</w:t>
            </w:r>
          </w:p>
        </w:tc>
      </w:tr>
    </w:tbl>
    <w:p>
      <w:pPr>
        <w:spacing w:after="0" w:line="1" w:lineRule="exact"/>
        <w:rPr>
          <w:sz w:val="20"/>
          <w:szCs w:val="20"/>
          <w:color w:val="auto"/>
        </w:rPr>
      </w:pPr>
    </w:p>
    <w:p>
      <w:pPr>
        <w:sectPr>
          <w:pgSz w:w="11900" w:h="16838" w:orient="portrait"/>
          <w:cols w:equalWidth="0" w:num="2">
            <w:col w:w="6760" w:space="20"/>
            <w:col w:w="2239"/>
          </w:cols>
          <w:pgMar w:left="1440" w:top="134" w:right="1440" w:bottom="1440" w:gutter="0" w:footer="0" w:header="0"/>
          <w:type w:val="continuous"/>
        </w:sectPr>
      </w:pPr>
    </w:p>
    <w:tbl>
      <w:tblPr>
        <w:tblLayout w:type="fixed"/>
        <w:tblInd w:w="640" w:type="dxa"/>
        <w:tblCellMar>
          <w:top w:w="0" w:type="dxa"/>
          <w:left w:w="0" w:type="dxa"/>
          <w:bottom w:w="0" w:type="dxa"/>
          <w:right w:w="0" w:type="dxa"/>
        </w:tblCellMar>
      </w:tblPr>
      <w:tr>
        <w:trPr>
          <w:trHeight w:val="162"/>
        </w:trPr>
        <w:tc>
          <w:tcPr>
            <w:tcW w:w="1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Osvaldo</w:t>
            </w:r>
          </w:p>
        </w:tc>
        <w:tc>
          <w:tcPr>
            <w:tcW w:w="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ind w:left="140"/>
              <w:spacing w:after="0"/>
              <w:rPr>
                <w:sz w:val="20"/>
                <w:szCs w:val="20"/>
                <w:color w:val="auto"/>
              </w:rPr>
            </w:pPr>
            <w:r>
              <w:rPr>
                <w:rFonts w:ascii="Arial" w:cs="Arial" w:eastAsia="Arial" w:hAnsi="Arial"/>
                <w:sz w:val="13"/>
                <w:szCs w:val="13"/>
                <w:color w:val="auto"/>
              </w:rPr>
              <w:t>Flores,</w:t>
            </w:r>
          </w:p>
        </w:tc>
        <w:tc>
          <w:tcPr>
            <w:tcW w:w="680" w:type="dxa"/>
            <w:vAlign w:val="bottom"/>
          </w:tcPr>
          <w:p>
            <w:pPr>
              <w:spacing w:after="0"/>
              <w:rPr>
                <w:sz w:val="14"/>
                <w:szCs w:val="14"/>
                <w:color w:val="auto"/>
              </w:rPr>
            </w:pP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213,624</w:t>
            </w:r>
            <w:r>
              <w:rPr>
                <w:rFonts w:ascii="Arial" w:cs="Arial" w:eastAsia="Arial" w:hAnsi="Arial"/>
                <w:sz w:val="19"/>
                <w:szCs w:val="19"/>
                <w:color w:val="auto"/>
                <w:vertAlign w:val="superscript"/>
              </w:rPr>
              <w:t>(2)</w:t>
            </w: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60" w:type="dxa"/>
            <w:vAlign w:val="bottom"/>
          </w:tcPr>
          <w:p>
            <w:pPr>
              <w:ind w:left="140"/>
              <w:spacing w:after="0"/>
              <w:rPr>
                <w:sz w:val="20"/>
                <w:szCs w:val="20"/>
                <w:color w:val="auto"/>
              </w:rPr>
            </w:pPr>
            <w:r>
              <w:rPr>
                <w:rFonts w:ascii="Arial" w:cs="Arial" w:eastAsia="Arial" w:hAnsi="Arial"/>
                <w:sz w:val="13"/>
                <w:szCs w:val="13"/>
                <w:color w:val="auto"/>
              </w:rPr>
              <w:t>Ph.D.</w:t>
            </w:r>
          </w:p>
        </w:tc>
        <w:tc>
          <w:tcPr>
            <w:tcW w:w="680" w:type="dxa"/>
            <w:vAlign w:val="bottom"/>
          </w:tcPr>
          <w:p>
            <w:pPr>
              <w:ind w:left="360"/>
              <w:spacing w:after="0"/>
              <w:rPr>
                <w:sz w:val="20"/>
                <w:szCs w:val="20"/>
                <w:color w:val="auto"/>
              </w:rPr>
            </w:pPr>
            <w:r>
              <w:rPr>
                <w:rFonts w:ascii="Arial" w:cs="Arial" w:eastAsia="Arial" w:hAnsi="Arial"/>
                <w:sz w:val="13"/>
                <w:szCs w:val="13"/>
                <w:color w:val="auto"/>
              </w:rPr>
              <w:t>—</w:t>
            </w:r>
          </w:p>
        </w:tc>
        <w:tc>
          <w:tcPr>
            <w:tcW w:w="920" w:type="dxa"/>
            <w:vAlign w:val="bottom"/>
            <w:vMerge w:val="continue"/>
          </w:tcPr>
          <w:p>
            <w:pPr>
              <w:spacing w:after="0"/>
              <w:rPr>
                <w:sz w:val="17"/>
                <w:szCs w:val="17"/>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3"/>
                <w:szCs w:val="13"/>
                <w:color w:val="auto"/>
              </w:rPr>
              <w:t>213,624</w:t>
            </w:r>
            <w:r>
              <w:rPr>
                <w:rFonts w:ascii="Arial" w:cs="Arial" w:eastAsia="Arial" w:hAnsi="Arial"/>
                <w:sz w:val="19"/>
                <w:szCs w:val="19"/>
                <w:color w:val="auto"/>
                <w:vertAlign w:val="superscript"/>
              </w:rPr>
              <w:t>(3)</w:t>
            </w:r>
          </w:p>
        </w:tc>
        <w:tc>
          <w:tcPr>
            <w:tcW w:w="4600" w:type="dxa"/>
            <w:vAlign w:val="bottom"/>
          </w:tcPr>
          <w:p>
            <w:pPr>
              <w:jc w:val="right"/>
              <w:ind w:right="3496"/>
              <w:spacing w:after="0"/>
              <w:rPr>
                <w:sz w:val="20"/>
                <w:szCs w:val="20"/>
                <w:color w:val="auto"/>
              </w:rPr>
            </w:pPr>
            <w:r>
              <w:rPr>
                <w:rFonts w:ascii="Arial" w:cs="Arial" w:eastAsia="Arial" w:hAnsi="Arial"/>
                <w:sz w:val="13"/>
                <w:szCs w:val="13"/>
                <w:color w:val="auto"/>
              </w:rPr>
              <w:t>1.74 10/1/2030</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600" w:type="dxa"/>
            <w:vAlign w:val="bottom"/>
          </w:tcPr>
          <w:p>
            <w:pPr>
              <w:jc w:val="right"/>
              <w:ind w:right="3496"/>
              <w:spacing w:after="0"/>
              <w:rPr>
                <w:sz w:val="20"/>
                <w:szCs w:val="20"/>
                <w:color w:val="auto"/>
              </w:rPr>
            </w:pPr>
            <w:r>
              <w:rPr>
                <w:rFonts w:ascii="Arial" w:cs="Arial" w:eastAsia="Arial" w:hAnsi="Arial"/>
                <w:sz w:val="13"/>
                <w:szCs w:val="13"/>
                <w:color w:val="auto"/>
              </w:rPr>
              <w:t>1.74 10/1/2030</w:t>
            </w: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Arial" w:cs="Arial" w:eastAsia="Arial" w:hAnsi="Arial"/>
                <w:sz w:val="13"/>
                <w:szCs w:val="13"/>
                <w:color w:val="auto"/>
              </w:rPr>
              <w:t>Hyam</w:t>
            </w: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0" w:type="dxa"/>
            <w:vAlign w:val="bottom"/>
          </w:tcPr>
          <w:p>
            <w:pPr>
              <w:jc w:val="right"/>
              <w:ind w:right="2056"/>
              <w:spacing w:after="0"/>
              <w:rPr>
                <w:sz w:val="20"/>
                <w:szCs w:val="20"/>
                <w:color w:val="auto"/>
              </w:rPr>
            </w:pPr>
            <w:r>
              <w:rPr>
                <w:rFonts w:ascii="Arial" w:cs="Arial" w:eastAsia="Arial" w:hAnsi="Arial"/>
                <w:sz w:val="13"/>
                <w:szCs w:val="13"/>
                <w:color w:val="auto"/>
              </w:rPr>
              <w:t>484,791</w:t>
            </w:r>
            <w:r>
              <w:rPr>
                <w:rFonts w:ascii="Arial" w:cs="Arial" w:eastAsia="Arial" w:hAnsi="Arial"/>
                <w:sz w:val="19"/>
                <w:szCs w:val="19"/>
                <w:color w:val="auto"/>
                <w:vertAlign w:val="superscript"/>
              </w:rPr>
              <w:t>(4)</w:t>
            </w:r>
            <w:r>
              <w:rPr>
                <w:rFonts w:ascii="Arial" w:cs="Arial" w:eastAsia="Arial" w:hAnsi="Arial"/>
                <w:sz w:val="13"/>
                <w:szCs w:val="13"/>
                <w:color w:val="auto"/>
              </w:rPr>
              <w:t>841,651.66</w:t>
            </w:r>
          </w:p>
        </w:tc>
        <w:tc>
          <w:tcPr>
            <w:tcW w:w="0" w:type="dxa"/>
            <w:vAlign w:val="bottom"/>
          </w:tcPr>
          <w:p>
            <w:pPr>
              <w:spacing w:after="0"/>
              <w:rPr>
                <w:sz w:val="1"/>
                <w:szCs w:val="1"/>
                <w:color w:val="auto"/>
              </w:rPr>
            </w:pPr>
          </w:p>
        </w:tc>
      </w:tr>
      <w:tr>
        <w:trPr>
          <w:trHeight w:val="167"/>
        </w:trPr>
        <w:tc>
          <w:tcPr>
            <w:tcW w:w="11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ind w:left="140"/>
              <w:spacing w:after="0"/>
              <w:rPr>
                <w:sz w:val="20"/>
                <w:szCs w:val="20"/>
                <w:color w:val="auto"/>
              </w:rPr>
            </w:pPr>
            <w:r>
              <w:rPr>
                <w:rFonts w:ascii="Arial" w:cs="Arial" w:eastAsia="Arial" w:hAnsi="Arial"/>
                <w:sz w:val="13"/>
                <w:szCs w:val="13"/>
                <w:color w:val="auto"/>
              </w:rPr>
              <w:t>Levitsky,</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vMerge w:val="restart"/>
          </w:tcPr>
          <w:p>
            <w:pPr>
              <w:jc w:val="right"/>
              <w:ind w:right="2056"/>
              <w:spacing w:after="0"/>
              <w:rPr>
                <w:sz w:val="20"/>
                <w:szCs w:val="20"/>
                <w:color w:val="auto"/>
              </w:rPr>
            </w:pPr>
            <w:r>
              <w:rPr>
                <w:rFonts w:ascii="Arial" w:cs="Arial" w:eastAsia="Arial" w:hAnsi="Arial"/>
                <w:sz w:val="13"/>
                <w:szCs w:val="13"/>
                <w:color w:val="auto"/>
              </w:rPr>
              <w:t>324,162</w:t>
            </w:r>
            <w:r>
              <w:rPr>
                <w:rFonts w:ascii="Arial" w:cs="Arial" w:eastAsia="Arial" w:hAnsi="Arial"/>
                <w:sz w:val="19"/>
                <w:szCs w:val="19"/>
                <w:color w:val="auto"/>
                <w:vertAlign w:val="superscript"/>
              </w:rPr>
              <w:t>(5)</w:t>
            </w:r>
            <w:r>
              <w:rPr>
                <w:rFonts w:ascii="Arial" w:cs="Arial" w:eastAsia="Arial" w:hAnsi="Arial"/>
                <w:sz w:val="13"/>
                <w:szCs w:val="13"/>
                <w:color w:val="auto"/>
              </w:rPr>
              <w:t>562,781.25</w:t>
            </w:r>
          </w:p>
        </w:tc>
        <w:tc>
          <w:tcPr>
            <w:tcW w:w="0" w:type="dxa"/>
            <w:vAlign w:val="bottom"/>
          </w:tcPr>
          <w:p>
            <w:pPr>
              <w:spacing w:after="0"/>
              <w:rPr>
                <w:sz w:val="1"/>
                <w:szCs w:val="1"/>
                <w:color w:val="auto"/>
              </w:rPr>
            </w:pPr>
          </w:p>
        </w:tc>
      </w:tr>
      <w:tr>
        <w:trPr>
          <w:trHeight w:val="198"/>
        </w:trPr>
        <w:tc>
          <w:tcPr>
            <w:tcW w:w="1160" w:type="dxa"/>
            <w:vAlign w:val="bottom"/>
          </w:tcPr>
          <w:p>
            <w:pPr>
              <w:ind w:left="140"/>
              <w:spacing w:after="0"/>
              <w:rPr>
                <w:sz w:val="20"/>
                <w:szCs w:val="20"/>
                <w:color w:val="auto"/>
              </w:rPr>
            </w:pPr>
            <w:r>
              <w:rPr>
                <w:rFonts w:ascii="Arial" w:cs="Arial" w:eastAsia="Arial" w:hAnsi="Arial"/>
                <w:sz w:val="13"/>
                <w:szCs w:val="13"/>
                <w:color w:val="auto"/>
              </w:rPr>
              <w:t>M.D.</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spacing w:after="0"/>
              <w:rPr>
                <w:sz w:val="20"/>
                <w:szCs w:val="20"/>
                <w:color w:val="auto"/>
              </w:rPr>
            </w:pPr>
            <w:r>
              <w:rPr>
                <w:rFonts w:ascii="Arial" w:cs="Arial" w:eastAsia="Arial" w:hAnsi="Arial"/>
                <w:sz w:val="13"/>
                <w:szCs w:val="13"/>
                <w:color w:val="auto"/>
              </w:rPr>
              <w:t>Michael</w:t>
            </w:r>
          </w:p>
        </w:tc>
        <w:tc>
          <w:tcPr>
            <w:tcW w:w="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371,092</w:t>
            </w:r>
            <w:r>
              <w:rPr>
                <w:rFonts w:ascii="Arial" w:cs="Arial" w:eastAsia="Arial" w:hAnsi="Arial"/>
                <w:sz w:val="19"/>
                <w:szCs w:val="19"/>
                <w:color w:val="auto"/>
                <w:vertAlign w:val="superscript"/>
              </w:rPr>
              <w:t>(6)</w:t>
            </w:r>
          </w:p>
        </w:tc>
        <w:tc>
          <w:tcPr>
            <w:tcW w:w="4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Diem, M.D.</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600" w:type="dxa"/>
            <w:vAlign w:val="bottom"/>
            <w:tcBorders>
              <w:bottom w:val="single" w:sz="8" w:color="auto"/>
            </w:tcBorders>
            <w:shd w:val="clear" w:color="auto" w:fill="CCEEFF"/>
          </w:tcPr>
          <w:p>
            <w:pPr>
              <w:jc w:val="right"/>
              <w:ind w:right="3496"/>
              <w:spacing w:after="0"/>
              <w:rPr>
                <w:sz w:val="20"/>
                <w:szCs w:val="20"/>
                <w:color w:val="auto"/>
              </w:rPr>
            </w:pPr>
            <w:r>
              <w:rPr>
                <w:rFonts w:ascii="Arial" w:cs="Arial" w:eastAsia="Arial" w:hAnsi="Arial"/>
                <w:sz w:val="13"/>
                <w:szCs w:val="13"/>
                <w:color w:val="auto"/>
              </w:rPr>
              <w:t>1.74 9/30/2030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-720090</wp:posOffset>
            </wp:positionV>
            <wp:extent cx="5236210" cy="1225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36210" cy="122555"/>
                    </a:xfrm>
                    <a:prstGeom prst="rect">
                      <a:avLst/>
                    </a:prstGeom>
                    <a:noFill/>
                  </pic:spPr>
                </pic:pic>
              </a:graphicData>
            </a:graphic>
          </wp:anchor>
        </w:drawing>
      </w:r>
    </w:p>
    <w:p>
      <w:pPr>
        <w:spacing w:after="0" w:line="151" w:lineRule="exact"/>
        <w:rPr>
          <w:sz w:val="20"/>
          <w:szCs w:val="20"/>
          <w:color w:val="auto"/>
        </w:rPr>
      </w:pPr>
    </w:p>
    <w:p>
      <w:pPr>
        <w:ind w:left="1240" w:right="1439" w:firstLine="9"/>
        <w:spacing w:after="0" w:line="234" w:lineRule="auto"/>
        <w:tabs>
          <w:tab w:leader="none" w:pos="1476" w:val="left"/>
        </w:tabs>
        <w:numPr>
          <w:ilvl w:val="0"/>
          <w:numId w:val="91"/>
        </w:numPr>
        <w:rPr>
          <w:rFonts w:ascii="Arial" w:cs="Arial" w:eastAsia="Arial" w:hAnsi="Arial"/>
          <w:sz w:val="11"/>
          <w:szCs w:val="11"/>
          <w:color w:val="auto"/>
        </w:rPr>
      </w:pPr>
      <w:r>
        <w:rPr>
          <w:rFonts w:ascii="Arial" w:cs="Arial" w:eastAsia="Arial" w:hAnsi="Arial"/>
          <w:sz w:val="11"/>
          <w:szCs w:val="11"/>
          <w:color w:val="auto"/>
        </w:rPr>
        <w:t>For this purpose, the value of each share of Restricted Stock on December 31, 2020 was estimated to be $0.69, based on the most recent independent valuation of our common stock prior to that date.</w:t>
      </w:r>
    </w:p>
    <w:p>
      <w:pPr>
        <w:spacing w:after="0" w:line="42" w:lineRule="exact"/>
        <w:rPr>
          <w:rFonts w:ascii="Arial" w:cs="Arial" w:eastAsia="Arial" w:hAnsi="Arial"/>
          <w:sz w:val="11"/>
          <w:szCs w:val="11"/>
          <w:color w:val="auto"/>
        </w:rPr>
      </w:pPr>
    </w:p>
    <w:p>
      <w:pPr>
        <w:ind w:left="1240" w:right="1399" w:firstLine="9"/>
        <w:spacing w:after="0" w:line="228" w:lineRule="auto"/>
        <w:tabs>
          <w:tab w:leader="none" w:pos="1474"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This option was granted on October 20, 2020 and vests as follows: 25% on the first anniversary of the grant date and the remaining 75% in 36 equal monthly installments thereafter. Vesting of the award requires continued employment through the applicable vesting date, provided that vesting will accelerate upon a termination without cause within 12 months following a sale event.</w:t>
      </w:r>
    </w:p>
    <w:p>
      <w:pPr>
        <w:spacing w:after="0" w:line="35" w:lineRule="exact"/>
        <w:rPr>
          <w:rFonts w:ascii="Arial" w:cs="Arial" w:eastAsia="Arial" w:hAnsi="Arial"/>
          <w:sz w:val="11"/>
          <w:szCs w:val="11"/>
          <w:color w:val="auto"/>
        </w:rPr>
      </w:pPr>
    </w:p>
    <w:p>
      <w:pPr>
        <w:ind w:left="1480" w:hanging="231"/>
        <w:spacing w:after="0"/>
        <w:tabs>
          <w:tab w:leader="none" w:pos="1480"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This option will vest upon the first to occur of (a) our closing of a business development transaction prior to June 30, 2021 or</w:t>
      </w:r>
    </w:p>
    <w:p>
      <w:pPr>
        <w:ind w:left="1240" w:right="1299"/>
        <w:spacing w:after="0" w:line="227" w:lineRule="auto"/>
        <w:rPr>
          <w:rFonts w:ascii="Arial" w:cs="Arial" w:eastAsia="Arial" w:hAnsi="Arial"/>
          <w:sz w:val="11"/>
          <w:szCs w:val="11"/>
          <w:color w:val="auto"/>
        </w:rPr>
      </w:pPr>
      <w:r>
        <w:rPr>
          <w:rFonts w:ascii="Arial" w:cs="Arial" w:eastAsia="Arial" w:hAnsi="Arial"/>
          <w:sz w:val="11"/>
          <w:szCs w:val="11"/>
          <w:color w:val="auto"/>
        </w:rPr>
        <w:t>(b) our closing of an initial public offering prior to August 13, 2021, in each case provided that specified financial metrics are achieved in connection with the closing. Vesting of the award requires continued employment through the applicable vesting date, provided that vesting will accelerate upon a termination without cause within 12 months following a sale event. If this offering is completed prior to August 13, 2021 and Dr. Flores remains in service through that time, this option will then become fully vested and exercisable.</w:t>
      </w:r>
    </w:p>
    <w:p>
      <w:pPr>
        <w:spacing w:after="0" w:line="55" w:lineRule="exact"/>
        <w:rPr>
          <w:rFonts w:ascii="Arial" w:cs="Arial" w:eastAsia="Arial" w:hAnsi="Arial"/>
          <w:sz w:val="11"/>
          <w:szCs w:val="11"/>
          <w:color w:val="auto"/>
        </w:rPr>
      </w:pPr>
    </w:p>
    <w:p>
      <w:pPr>
        <w:ind w:left="1240" w:right="1299" w:firstLine="9"/>
        <w:spacing w:after="0" w:line="228" w:lineRule="auto"/>
        <w:tabs>
          <w:tab w:leader="none" w:pos="1474"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This restricted stock award was granted on September 10, 2018 and vests as follows: 25% on the first anniversary of the grant date and the remaining 75% in 36 equal monthly installments thereafter. Vesting of the award requires continued employment through the applicable vesting date, provided that vesting will accelerate in full upon a termination without cause or a resignation with good reason within 12 months following a change in control.</w:t>
      </w:r>
    </w:p>
    <w:p>
      <w:pPr>
        <w:spacing w:after="0" w:line="44" w:lineRule="exact"/>
        <w:rPr>
          <w:rFonts w:ascii="Arial" w:cs="Arial" w:eastAsia="Arial" w:hAnsi="Arial"/>
          <w:sz w:val="11"/>
          <w:szCs w:val="11"/>
          <w:color w:val="auto"/>
        </w:rPr>
      </w:pPr>
    </w:p>
    <w:p>
      <w:pPr>
        <w:ind w:left="1240" w:right="1279" w:firstLine="9"/>
        <w:spacing w:after="0" w:line="227" w:lineRule="auto"/>
        <w:tabs>
          <w:tab w:leader="none" w:pos="1474"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This restricted stock award was granted on July 18, 2019 and vests as follows: 25% on May 1, 2020 and the remaining 75% in 36 equal monthly installments thereafter. Vesting of the award requires continued employment through the applicable vesting date. The shares subject to this restricted stock award are held by a trust for the benefit of Dr. Levitsky’s family. We authorized the transfer to facilitate Dr. Levitsky’s estate planning and that the shares remain subject to all the same transfer restrictions and vesting conditions as would have applied in the absence of such transfer.</w:t>
      </w:r>
    </w:p>
    <w:p>
      <w:pPr>
        <w:spacing w:after="0" w:line="44" w:lineRule="exact"/>
        <w:rPr>
          <w:rFonts w:ascii="Arial" w:cs="Arial" w:eastAsia="Arial" w:hAnsi="Arial"/>
          <w:sz w:val="11"/>
          <w:szCs w:val="11"/>
          <w:color w:val="auto"/>
        </w:rPr>
      </w:pPr>
    </w:p>
    <w:p>
      <w:pPr>
        <w:ind w:left="1240" w:right="1339" w:firstLine="9"/>
        <w:spacing w:after="0"/>
        <w:tabs>
          <w:tab w:leader="none" w:pos="1474"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This option was granted on October 1, 2020 and vests as follows: 25% on September 16, 2021 and the remaining 75% in 36 equal monthly installments thereafter. Vesting of the award requires continued employment through the applicable vesting date. On February 24, 2021, Dr. Diem utilized the early exercise feature of his stock option to purchase 79,488 restricted shares of common stock subject to the same vesting schedule as the original option, leaving 291,604 options outstanding under this option award.</w:t>
      </w:r>
    </w:p>
    <w:p>
      <w:pPr>
        <w:spacing w:after="0" w:line="201"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In addition to the equity awards shown in the table above, we made stock option awards on April 14, 2021 to each of Dr. Flores, Dr. Levitsky and Dr. Diem with respect to 777,417, 19,872 and 127,180 shares of our common stock, respectively. The exercise price of each option is $7.27 per share. Each such stock option will vest 25% upon the one-year anniversary of the closing of this offering and 2.0833% per month for the following 36 months, subject to the optionee’s continued service through the applicable vesting date. Our compensation committee made these awards, with input from its independent compensation consultant, to align the NEOs total potential ownership interests with market data.</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Equity incentive plans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2021 Plan</w:t>
      </w:r>
    </w:p>
    <w:p>
      <w:pPr>
        <w:spacing w:after="0" w:line="133"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Our 2021 Plan will become effective upon the effectiveness of the Registration Statement of which this prospectus forms a part. Upon the effectiveness of the 2021 Plan, we will cease granting awards under our 2018 Plan. A summary of the material terms of the 2021 Plan follows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79" w:name="page180"/>
    <w:bookmarkEnd w:id="17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The 2021 Plan authorizes the award of both equity-based and cash-based incentive awards, including: (i) stock options (both incentive stock options and nonqualified stock options), (ii) stock appreciation rights, or SARs, (iii) restricted stock awards, or RSAs, (iv) restricted stock units, or RSUs, and (v) cash or other stock based awards. Incentive stock options may be granted only to employees. All other types of awards may be issued to employees, directors, consultants and other service providers.</w:t>
      </w:r>
    </w:p>
    <w:p>
      <w:pPr>
        <w:spacing w:after="0" w:line="263" w:lineRule="exact"/>
        <w:rPr>
          <w:sz w:val="20"/>
          <w:szCs w:val="20"/>
          <w:color w:val="auto"/>
        </w:rPr>
      </w:pPr>
    </w:p>
    <w:p>
      <w:pPr>
        <w:ind w:left="1240" w:right="1339"/>
        <w:spacing w:after="0" w:line="277" w:lineRule="auto"/>
        <w:rPr>
          <w:sz w:val="20"/>
          <w:szCs w:val="20"/>
          <w:color w:val="auto"/>
        </w:rPr>
      </w:pPr>
      <w:r>
        <w:rPr>
          <w:rFonts w:ascii="Arial" w:cs="Arial" w:eastAsia="Arial" w:hAnsi="Arial"/>
          <w:sz w:val="14"/>
          <w:szCs w:val="14"/>
          <w:i w:val="1"/>
          <w:iCs w:val="1"/>
          <w:color w:val="auto"/>
        </w:rPr>
        <w:t xml:space="preserve">Shares Subject to 2021 Plan. </w:t>
      </w:r>
      <w:r>
        <w:rPr>
          <w:rFonts w:ascii="Arial" w:cs="Arial" w:eastAsia="Arial" w:hAnsi="Arial"/>
          <w:sz w:val="14"/>
          <w:szCs w:val="14"/>
          <w:color w:val="auto"/>
        </w:rPr>
        <w:t>We will initially reserve 5,640,711 shares of our common stock for</w:t>
      </w:r>
      <w:r>
        <w:rPr>
          <w:rFonts w:ascii="Arial" w:cs="Arial" w:eastAsia="Arial" w:hAnsi="Arial"/>
          <w:sz w:val="14"/>
          <w:szCs w:val="14"/>
          <w:i w:val="1"/>
          <w:iCs w:val="1"/>
          <w:color w:val="auto"/>
        </w:rPr>
        <w:t xml:space="preserve"> </w:t>
      </w:r>
      <w:r>
        <w:rPr>
          <w:rFonts w:ascii="Arial" w:cs="Arial" w:eastAsia="Arial" w:hAnsi="Arial"/>
          <w:sz w:val="14"/>
          <w:szCs w:val="14"/>
          <w:color w:val="auto"/>
        </w:rPr>
        <w:t>issuance under our 2021 Plan. The number of shares reserved for issuance under our 2021 Plan will increase automatically on January 1, 2022 and each anniversary of such date prior to the termination of the 2021 Plan, equal to the lesser of (i) 5% of our shares of common stock issued and outstanding on the last day of the immediately preceding fiscal year and (ii) such smaller number of shares as determined by our board or compensation committee. No more than 16,922,133 shares of our common stock may be issued under the 2021 Plan through incentive stock options.</w:t>
      </w:r>
    </w:p>
    <w:p>
      <w:pPr>
        <w:spacing w:after="0" w:line="288"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shares will be added (or added back) to the shares available for issuance under the 2021 Plan:</w:t>
      </w:r>
    </w:p>
    <w:p>
      <w:pPr>
        <w:spacing w:after="0" w:line="66" w:lineRule="exact"/>
        <w:rPr>
          <w:sz w:val="20"/>
          <w:szCs w:val="20"/>
          <w:color w:val="auto"/>
        </w:rPr>
      </w:pPr>
    </w:p>
    <w:p>
      <w:pPr>
        <w:ind w:left="1360" w:right="1599" w:hanging="111"/>
        <w:spacing w:after="0" w:line="286" w:lineRule="auto"/>
        <w:tabs>
          <w:tab w:leader="none" w:pos="13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Shares subject to 2018 Plan or 2021 Plan awards that expire, terminate or are cancelled or forfeited for any reason after the effectiveness of the 2021 Plan;</w:t>
      </w:r>
    </w:p>
    <w:p>
      <w:pPr>
        <w:spacing w:after="0" w:line="66" w:lineRule="exact"/>
        <w:rPr>
          <w:rFonts w:ascii="Arial" w:cs="Arial" w:eastAsia="Arial" w:hAnsi="Arial"/>
          <w:sz w:val="14"/>
          <w:szCs w:val="14"/>
          <w:color w:val="auto"/>
        </w:rPr>
      </w:pPr>
    </w:p>
    <w:p>
      <w:pPr>
        <w:ind w:left="1360" w:right="1339" w:hanging="111"/>
        <w:spacing w:after="0" w:line="286" w:lineRule="auto"/>
        <w:tabs>
          <w:tab w:leader="none" w:pos="13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the exercise price of an option issued under our 2018 Plan or 2021 Plan; and</w:t>
      </w:r>
    </w:p>
    <w:p>
      <w:pPr>
        <w:spacing w:after="0" w:line="66" w:lineRule="exact"/>
        <w:rPr>
          <w:rFonts w:ascii="Arial" w:cs="Arial" w:eastAsia="Arial" w:hAnsi="Arial"/>
          <w:sz w:val="14"/>
          <w:szCs w:val="14"/>
          <w:color w:val="auto"/>
        </w:rPr>
      </w:pPr>
    </w:p>
    <w:p>
      <w:pPr>
        <w:ind w:left="1360" w:right="1699" w:hanging="111"/>
        <w:spacing w:after="0" w:line="286" w:lineRule="auto"/>
        <w:tabs>
          <w:tab w:leader="none" w:pos="13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tax withholding obligations related to any award under our 2018 Plan or 2021 Plan.</w:t>
      </w:r>
    </w:p>
    <w:p>
      <w:pPr>
        <w:spacing w:after="0" w:line="98"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However, the total number of shares underlying 2018 Plan awards that may be recycled into the 2021 Plan pursuant to the above-described rules will not exceed 9,305,283 shares.</w:t>
      </w:r>
    </w:p>
    <w:p>
      <w:pPr>
        <w:spacing w:after="0" w:line="98" w:lineRule="exact"/>
        <w:rPr>
          <w:sz w:val="20"/>
          <w:szCs w:val="20"/>
          <w:color w:val="auto"/>
        </w:rPr>
      </w:pPr>
    </w:p>
    <w:p>
      <w:pPr>
        <w:ind w:left="1240" w:right="1539"/>
        <w:spacing w:after="0" w:line="278" w:lineRule="auto"/>
        <w:rPr>
          <w:sz w:val="20"/>
          <w:szCs w:val="20"/>
          <w:color w:val="auto"/>
        </w:rPr>
      </w:pPr>
      <w:r>
        <w:rPr>
          <w:rFonts w:ascii="Arial" w:cs="Arial" w:eastAsia="Arial" w:hAnsi="Arial"/>
          <w:sz w:val="14"/>
          <w:szCs w:val="14"/>
          <w:color w:val="auto"/>
        </w:rPr>
        <w:t>Shares of our common stock issued by us through the assumption or substitution of awards in connection with a future acquisition of another entity will not reduce the shares available for issuance under the 2021 Plan.</w:t>
      </w:r>
    </w:p>
    <w:p>
      <w:pPr>
        <w:spacing w:after="0" w:line="80"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We expect that our 2021 Plan will be administered by our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The administrator of the plan will have the authority to, among other things, interpret the plan and award agreements, select grantees, determine the vesting, payment and other terms of awards, and modify or amend awards. Our compensation committee may delegate to one or more of our officers the authority to issue awards under the 2021 Plan to grantees who are not executive officers, subject to parameters established by the compensation committee.</w:t>
      </w:r>
    </w:p>
    <w:p>
      <w:pPr>
        <w:spacing w:after="0" w:line="91" w:lineRule="exact"/>
        <w:rPr>
          <w:sz w:val="20"/>
          <w:szCs w:val="20"/>
          <w:color w:val="auto"/>
        </w:rPr>
      </w:pPr>
    </w:p>
    <w:p>
      <w:pPr>
        <w:ind w:left="1240" w:right="1259"/>
        <w:spacing w:after="0" w:line="277"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certain corporate events or transactions (such as a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consolidation, reorganization, recapitalization, stock split, reverse stock split, spin-off, stock dividend, or similar transaction or change in our capital structure), our compensation committee will make adjustments or substitutions to the number and kind of shares that may be issued under the 2021 Plan, the number and kind of shares subject to outstanding awards, the exercise price or base price of outstanding awards, and/or any other affected terms and conditions of the 2021 Plan or outstanding awards, in each case as it deems appropriate and equitable.</w:t>
      </w:r>
    </w:p>
    <w:p>
      <w:pPr>
        <w:spacing w:after="0" w:line="91" w:lineRule="exact"/>
        <w:rPr>
          <w:sz w:val="20"/>
          <w:szCs w:val="20"/>
          <w:color w:val="auto"/>
        </w:rPr>
      </w:pPr>
    </w:p>
    <w:p>
      <w:pPr>
        <w:ind w:left="1240" w:right="1459"/>
        <w:spacing w:after="0" w:line="280"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2021 Plan provides for the grant of both incentive stock options and non-qualified stock options to purchase shares of our common stock at a stated exercise price. The exercise price of stock options granted under the 2021 Plan must be at least equal to the fair market value of our common stock on the date of grant. The maximum term of options granted under our 2021 Plan is ten years.</w:t>
      </w:r>
    </w:p>
    <w:p>
      <w:pPr>
        <w:spacing w:after="0" w:line="92" w:lineRule="exact"/>
        <w:rPr>
          <w:sz w:val="20"/>
          <w:szCs w:val="20"/>
          <w:color w:val="auto"/>
        </w:rPr>
      </w:pPr>
    </w:p>
    <w:p>
      <w:pPr>
        <w:jc w:val="both"/>
        <w:ind w:left="1240" w:right="1459"/>
        <w:spacing w:after="0" w:line="278" w:lineRule="auto"/>
        <w:rPr>
          <w:sz w:val="20"/>
          <w:szCs w:val="20"/>
          <w:color w:val="auto"/>
        </w:rPr>
      </w:pPr>
      <w:r>
        <w:rPr>
          <w:rFonts w:ascii="Arial" w:cs="Arial" w:eastAsia="Arial" w:hAnsi="Arial"/>
          <w:sz w:val="14"/>
          <w:szCs w:val="14"/>
          <w:color w:val="auto"/>
        </w:rPr>
        <w:t>Our compensation committee may provide in the terms of the applicable award agreement that the participant may exercise an unvested portion in exchange for restricted stock subject to the same vesting terms as the option.</w:t>
      </w:r>
    </w:p>
    <w:p>
      <w:pPr>
        <w:spacing w:after="0" w:line="91" w:lineRule="exact"/>
        <w:rPr>
          <w:sz w:val="20"/>
          <w:szCs w:val="20"/>
          <w:color w:val="auto"/>
        </w:rPr>
      </w:pPr>
    </w:p>
    <w:p>
      <w:pPr>
        <w:ind w:left="1240" w:right="1279"/>
        <w:spacing w:after="0" w:line="283"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An SAR provides for a payment, in cash or shares of our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or a combination of both, to the holder based upon the difference between the fair market value of our common stock on the date of exercise and a predetermined exercise price, multiplied by the number of shares. The base price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0" w:name="page181"/>
    <w:bookmarkEnd w:id="18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of a SAR must be at least the fair market value of a share of our common stock on the date of grant. SARs may not have a term that is longer than ten years from the date of grant.</w:t>
      </w:r>
    </w:p>
    <w:p>
      <w:pPr>
        <w:spacing w:after="0" w:line="7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i w:val="1"/>
          <w:iCs w:val="1"/>
          <w:color w:val="auto"/>
        </w:rPr>
        <w:t xml:space="preserve">Restricted stock awards. </w:t>
      </w:r>
      <w:r>
        <w:rPr>
          <w:rFonts w:ascii="Arial" w:cs="Arial" w:eastAsia="Arial" w:hAnsi="Arial"/>
          <w:sz w:val="14"/>
          <w:szCs w:val="14"/>
          <w:color w:val="auto"/>
        </w:rPr>
        <w:t>An RSA is an issuance of shares of our common stock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 restrictions that lapse based on the satisfaction of service and/or performance conditions. The price, if any, of each share subject to an RSA will be determined by the compensation committee. During the vesting period, a participant will have the right to vote and receive any dividends with respect to restricted stock, provided that our compensation committee may specify that any such dividends are subject to the same vesting schedule as the shares to which they relate.</w:t>
      </w:r>
    </w:p>
    <w:p>
      <w:pPr>
        <w:spacing w:after="0" w:line="263"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RSUs represent the right to receive shares of our common stock (or cash</w:t>
      </w:r>
      <w:r>
        <w:rPr>
          <w:rFonts w:ascii="Arial" w:cs="Arial" w:eastAsia="Arial" w:hAnsi="Arial"/>
          <w:sz w:val="14"/>
          <w:szCs w:val="14"/>
          <w:i w:val="1"/>
          <w:iCs w:val="1"/>
          <w:color w:val="auto"/>
        </w:rPr>
        <w:t xml:space="preserve"> </w:t>
      </w:r>
      <w:r>
        <w:rPr>
          <w:rFonts w:ascii="Arial" w:cs="Arial" w:eastAsia="Arial" w:hAnsi="Arial"/>
          <w:sz w:val="14"/>
          <w:szCs w:val="14"/>
          <w:color w:val="auto"/>
        </w:rPr>
        <w:t>equal to the value of such shares) at a specified time in the future, following the satisfaction of specified service and/or performance conditions.</w:t>
      </w:r>
    </w:p>
    <w:p>
      <w:pPr>
        <w:spacing w:after="0" w:line="82" w:lineRule="exact"/>
        <w:rPr>
          <w:sz w:val="20"/>
          <w:szCs w:val="20"/>
          <w:color w:val="auto"/>
        </w:rPr>
      </w:pPr>
    </w:p>
    <w:p>
      <w:pPr>
        <w:ind w:left="1240" w:right="1339"/>
        <w:spacing w:after="0" w:line="262" w:lineRule="auto"/>
        <w:rPr>
          <w:sz w:val="20"/>
          <w:szCs w:val="20"/>
          <w:color w:val="auto"/>
        </w:rPr>
      </w:pPr>
      <w:r>
        <w:rPr>
          <w:rFonts w:ascii="Arial" w:cs="Arial" w:eastAsia="Arial" w:hAnsi="Arial"/>
          <w:sz w:val="14"/>
          <w:szCs w:val="14"/>
          <w:i w:val="1"/>
          <w:iCs w:val="1"/>
          <w:color w:val="auto"/>
        </w:rPr>
        <w:t xml:space="preserve">Cash or other stock based awards. </w:t>
      </w:r>
      <w:r>
        <w:rPr>
          <w:rFonts w:ascii="Arial" w:cs="Arial" w:eastAsia="Arial" w:hAnsi="Arial"/>
          <w:sz w:val="14"/>
          <w:szCs w:val="14"/>
          <w:color w:val="auto"/>
        </w:rPr>
        <w:t>Cash or other stock based awards (including awards to</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unrestricted shares of our common stock or immediate cash payments) may be granted to participants. Our compensation committee will determine the terms and conditions of each such award, including, as applicable, the term, any exercise or purchase price, performance goals, vesting conditions, and other terms and conditions. Payment in respect of a cash or other stock based award may be made in cash, shares of our common stock, or a combination of both, at the discretion of our compensation committee.</w:t>
      </w:r>
    </w:p>
    <w:p>
      <w:pPr>
        <w:spacing w:after="0" w:line="252"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i w:val="1"/>
          <w:iCs w:val="1"/>
          <w:color w:val="auto"/>
        </w:rPr>
        <w:t xml:space="preserve">Change in control. </w:t>
      </w:r>
      <w:r>
        <w:rPr>
          <w:rFonts w:ascii="Arial" w:cs="Arial" w:eastAsia="Arial" w:hAnsi="Arial"/>
          <w:sz w:val="14"/>
          <w:szCs w:val="14"/>
          <w:color w:val="auto"/>
        </w:rPr>
        <w:t>Upon or in anticipation of a change in control (which includes certain merger,</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stock transactions, certain changes in our board composition and any other event deemed by our board of directors to constitute a change in control), our compensation committee may take such actions as it deems appropriate with respect to outstanding awards under the</w:t>
      </w:r>
    </w:p>
    <w:p>
      <w:pPr>
        <w:spacing w:after="0" w:line="2"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2021 Plan. Such actions may include (among other things) the acceleration of award vesting, the substitution of awards, the cancellation of unexercised or unvested awards and the redemption or cashout of awards. In the discretion of our compensation committee, any cash or other substitute consideration payable upon redemption or cashout of an award may be subjected to the same vesting terms that applied to the original award, or earn-out, escrow, holdback or similar arrangements comparable to those applicable to stockholders in connection with the change in control. The compensation committee need not treat all outstanding awards in an identical manner.</w:t>
      </w:r>
    </w:p>
    <w:p>
      <w:pPr>
        <w:spacing w:after="0" w:line="268" w:lineRule="exact"/>
        <w:rPr>
          <w:sz w:val="20"/>
          <w:szCs w:val="20"/>
          <w:color w:val="auto"/>
        </w:rPr>
      </w:pPr>
    </w:p>
    <w:p>
      <w:pPr>
        <w:ind w:left="1240" w:right="1259"/>
        <w:spacing w:after="0" w:line="262"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The compensation committee may in its discretion: (i) cancel options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rights outstanding under the 2021 Plan in exchange for new options or stock appreciation rights with a lower exercise or base price per share; (ii) cancel underwater options or stock appreciation rights outstanding under the 2021 Plan in exchange for consideration payable in our equity securities or cash; or (iii) otherwise directly reduce the exercise or base price of options or stock appreciation rights outstanding under the 2021 Plan.</w:t>
      </w:r>
    </w:p>
    <w:p>
      <w:pPr>
        <w:spacing w:after="0" w:line="9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i w:val="1"/>
          <w:iCs w:val="1"/>
          <w:color w:val="auto"/>
        </w:rPr>
        <w:t xml:space="preserve">Director Compensation Limits. </w:t>
      </w:r>
      <w:r>
        <w:rPr>
          <w:rFonts w:ascii="Arial" w:cs="Arial" w:eastAsia="Arial" w:hAnsi="Arial"/>
          <w:sz w:val="14"/>
          <w:szCs w:val="14"/>
          <w:color w:val="auto"/>
        </w:rPr>
        <w:t>Beginning with the 2022 calendar year, the aggregate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equity and cash compensation payable to a non-employee director with respect to a calendar year for his or her service as a director may not exceed $750,000 (or $1,000,000, in the case of a newly appointed or newly elected non-employee director’s first year of service with us. This director compensation limit will not apply to (i) compensation earned by a non-employee director solely in his or her capacity as chairman of the Board or lead independent director,</w:t>
      </w:r>
    </w:p>
    <w:p>
      <w:pPr>
        <w:spacing w:after="0" w:line="4" w:lineRule="exact"/>
        <w:rPr>
          <w:sz w:val="20"/>
          <w:szCs w:val="20"/>
          <w:color w:val="auto"/>
        </w:rPr>
      </w:pPr>
    </w:p>
    <w:p>
      <w:pPr>
        <w:ind w:left="1240" w:right="1339" w:firstLine="9"/>
        <w:spacing w:after="0" w:line="259" w:lineRule="auto"/>
        <w:tabs>
          <w:tab w:leader="none" w:pos="1456"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compensation earned by a non-employee director for services he or she performs outside of his or her role as a non-employee director (i.e. as an advisor or consultant), or (iii) compensation awarded by the Board to a non-employee director in extraordinary circumstances, as determined by the Board in its discretion, so long as, in each case, the non-employee director does not participate in the decision to award him- or herself the additional compensation.</w:t>
      </w:r>
    </w:p>
    <w:p>
      <w:pPr>
        <w:spacing w:after="0" w:line="81" w:lineRule="exact"/>
        <w:rPr>
          <w:sz w:val="20"/>
          <w:szCs w:val="20"/>
          <w:color w:val="auto"/>
        </w:rPr>
      </w:pPr>
    </w:p>
    <w:p>
      <w:pPr>
        <w:ind w:left="1240" w:right="1459"/>
        <w:spacing w:after="0" w:line="291"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under the 2021 Plan will be subject to clawback or recoupment pursuant to</w:t>
      </w:r>
      <w:r>
        <w:rPr>
          <w:rFonts w:ascii="Arial" w:cs="Arial" w:eastAsia="Arial" w:hAnsi="Arial"/>
          <w:sz w:val="14"/>
          <w:szCs w:val="14"/>
          <w:i w:val="1"/>
          <w:iCs w:val="1"/>
          <w:color w:val="auto"/>
        </w:rPr>
        <w:t xml:space="preserve"> </w:t>
      </w:r>
      <w:r>
        <w:rPr>
          <w:rFonts w:ascii="Arial" w:cs="Arial" w:eastAsia="Arial" w:hAnsi="Arial"/>
          <w:sz w:val="14"/>
          <w:szCs w:val="14"/>
          <w:color w:val="auto"/>
        </w:rPr>
        <w:t>any applicable policy, law or exchange listing requirement in effect from time to time.</w:t>
      </w:r>
    </w:p>
    <w:p>
      <w:pPr>
        <w:spacing w:after="0" w:line="70" w:lineRule="exact"/>
        <w:rPr>
          <w:sz w:val="20"/>
          <w:szCs w:val="20"/>
          <w:color w:val="auto"/>
        </w:rPr>
      </w:pPr>
    </w:p>
    <w:p>
      <w:pPr>
        <w:ind w:left="1240" w:right="1439"/>
        <w:spacing w:after="0" w:line="273"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Except for certain estate planning transfers authorized by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awards granted under the 2021 Plan are generally nontransferable except by will or by the laws of descent and distribution.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1" w:name="page182"/>
    <w:bookmarkEnd w:id="18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i w:val="1"/>
          <w:iCs w:val="1"/>
          <w:color w:val="auto"/>
        </w:rPr>
        <w:t xml:space="preserve">Amendment and termination. </w:t>
      </w:r>
      <w:r>
        <w:rPr>
          <w:rFonts w:ascii="Arial" w:cs="Arial" w:eastAsia="Arial" w:hAnsi="Arial"/>
          <w:sz w:val="14"/>
          <w:szCs w:val="14"/>
          <w:color w:val="auto"/>
        </w:rPr>
        <w:t>Our board of directors may amend our 2021 Plan at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stockholder approval if required by applicable law or exchange listing requirement. The 2021 Plan will terminate ten years after it becomes effective.</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2018 Plan</w:t>
      </w:r>
    </w:p>
    <w:p>
      <w:pPr>
        <w:spacing w:after="0" w:line="12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The 2018 Plan was originally adopted on June 1, 2018 to enable the issuance of stock options, restricted stock awards, unrestricted stock awards, restricted stock units, and other awards to our employees, officers, directors, and consultants.</w:t>
      </w:r>
    </w:p>
    <w:p>
      <w:pPr>
        <w:spacing w:after="0" w:line="10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As noted above, we will cease granting awards under the 2018 Plan immediately prior to this offering. Any outstanding awards will continue to be subject to the terms of the 2018 Plan and the applicable award agreements.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 summary of the material terms of the 2018 Plan follows below.</w:t>
      </w:r>
    </w:p>
    <w:p>
      <w:pPr>
        <w:spacing w:after="0" w:line="103" w:lineRule="exact"/>
        <w:rPr>
          <w:sz w:val="20"/>
          <w:szCs w:val="20"/>
          <w:color w:val="auto"/>
        </w:rPr>
      </w:pPr>
    </w:p>
    <w:p>
      <w:pPr>
        <w:ind w:left="1240" w:right="1259"/>
        <w:spacing w:after="0" w:line="261"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or a committee of our board of directors, is authorized to</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administer our 2018 Plan and is referred to as the ‘‘plan administrator’’ herein. Under our 2018 Plan, the plan administrator has the authority to determine award recipients, dates of grant, the numbers and types of awards to be granted, the applicable fair market value and the provisions of each award, including the period of their exercisability and the vesting schedule applicable to an award, among other powers under the 2018 Plan. We expect that our compensation committee will administer the 2018 Plan following the date of this offering.</w:t>
      </w:r>
    </w:p>
    <w:p>
      <w:pPr>
        <w:spacing w:after="0" w:line="92" w:lineRule="exact"/>
        <w:rPr>
          <w:sz w:val="20"/>
          <w:szCs w:val="20"/>
          <w:color w:val="auto"/>
        </w:rPr>
      </w:pPr>
    </w:p>
    <w:p>
      <w:pPr>
        <w:ind w:left="1240" w:right="1499"/>
        <w:spacing w:after="0" w:line="291" w:lineRule="auto"/>
        <w:rPr>
          <w:sz w:val="20"/>
          <w:szCs w:val="20"/>
          <w:color w:val="auto"/>
        </w:rPr>
      </w:pPr>
      <w:r>
        <w:rPr>
          <w:rFonts w:ascii="Arial" w:cs="Arial" w:eastAsia="Arial" w:hAnsi="Arial"/>
          <w:sz w:val="14"/>
          <w:szCs w:val="14"/>
          <w:i w:val="1"/>
          <w:iCs w:val="1"/>
          <w:color w:val="auto"/>
        </w:rPr>
        <w:t xml:space="preserve">Shares subject to 2018 Plan. </w:t>
      </w:r>
      <w:r>
        <w:rPr>
          <w:rFonts w:ascii="Arial" w:cs="Arial" w:eastAsia="Arial" w:hAnsi="Arial"/>
          <w:sz w:val="14"/>
          <w:szCs w:val="14"/>
          <w:color w:val="auto"/>
        </w:rPr>
        <w:t>The maximum number of shares that may be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2018 Plan is 9,339,366.</w:t>
      </w:r>
    </w:p>
    <w:p>
      <w:pPr>
        <w:spacing w:after="0" w:line="84" w:lineRule="exact"/>
        <w:rPr>
          <w:sz w:val="20"/>
          <w:szCs w:val="20"/>
          <w:color w:val="auto"/>
        </w:rPr>
      </w:pPr>
    </w:p>
    <w:p>
      <w:pPr>
        <w:ind w:left="1240" w:right="1479"/>
        <w:spacing w:after="0" w:line="260" w:lineRule="auto"/>
        <w:rPr>
          <w:sz w:val="20"/>
          <w:szCs w:val="20"/>
          <w:color w:val="auto"/>
        </w:rPr>
      </w:pPr>
      <w:r>
        <w:rPr>
          <w:rFonts w:ascii="Arial" w:cs="Arial" w:eastAsia="Arial" w:hAnsi="Arial"/>
          <w:sz w:val="14"/>
          <w:szCs w:val="14"/>
          <w:color w:val="auto"/>
        </w:rPr>
        <w:t>As of March 31, 2021, there were (i) 2,452,070 shares available for issuance in respect of new awards under the 2018 Plan, (ii) options outstanding under the 2018 Plan with respect to 3,419,208 shares of our common stock, and (iii) 1,855,221 shares of restricted common stock outstanding under the 2018 Plan (some of which were acquired upon early exercise of stock options).</w:t>
      </w:r>
    </w:p>
    <w:p>
      <w:pPr>
        <w:spacing w:after="0" w:line="252" w:lineRule="exact"/>
        <w:rPr>
          <w:sz w:val="20"/>
          <w:szCs w:val="20"/>
          <w:color w:val="auto"/>
        </w:rPr>
      </w:pPr>
    </w:p>
    <w:p>
      <w:pPr>
        <w:ind w:left="1240" w:right="1359"/>
        <w:spacing w:after="0" w:line="262" w:lineRule="auto"/>
        <w:rPr>
          <w:sz w:val="20"/>
          <w:szCs w:val="20"/>
          <w:color w:val="auto"/>
        </w:rPr>
      </w:pPr>
      <w:r>
        <w:rPr>
          <w:rFonts w:ascii="Arial" w:cs="Arial" w:eastAsia="Arial" w:hAnsi="Arial"/>
          <w:sz w:val="14"/>
          <w:szCs w:val="14"/>
          <w:i w:val="1"/>
          <w:iCs w:val="1"/>
          <w:color w:val="auto"/>
        </w:rPr>
        <w:t xml:space="preserve">Share recycling. </w:t>
      </w:r>
      <w:r>
        <w:rPr>
          <w:rFonts w:ascii="Arial" w:cs="Arial" w:eastAsia="Arial" w:hAnsi="Arial"/>
          <w:sz w:val="14"/>
          <w:szCs w:val="14"/>
          <w:color w:val="auto"/>
        </w:rPr>
        <w:t>Under the terms of the 2018 Plan, shares underlying awards that are forfeited,</w:t>
      </w:r>
      <w:r>
        <w:rPr>
          <w:rFonts w:ascii="Arial" w:cs="Arial" w:eastAsia="Arial" w:hAnsi="Arial"/>
          <w:sz w:val="14"/>
          <w:szCs w:val="14"/>
          <w:i w:val="1"/>
          <w:iCs w:val="1"/>
          <w:color w:val="auto"/>
        </w:rPr>
        <w:t xml:space="preserve"> </w:t>
      </w:r>
      <w:r>
        <w:rPr>
          <w:rFonts w:ascii="Arial" w:cs="Arial" w:eastAsia="Arial" w:hAnsi="Arial"/>
          <w:sz w:val="14"/>
          <w:szCs w:val="14"/>
          <w:color w:val="auto"/>
        </w:rPr>
        <w:t>canceled, reacquired by the company prior to vesting, satisfied in cash or otherwise terminated, and shares that are withheld in settlement of a tax withholding obligation associated with an award or in satisfaction of the exercise price of an award, will again become available for grant under the 2018 Plan. However, as noted above, following the effectiveness of the 2021 Plan, such shares will instead become available for grant under the 2021 Plan.</w:t>
      </w:r>
    </w:p>
    <w:p>
      <w:pPr>
        <w:spacing w:after="0" w:line="91" w:lineRule="exact"/>
        <w:rPr>
          <w:sz w:val="20"/>
          <w:szCs w:val="20"/>
          <w:color w:val="auto"/>
        </w:rPr>
      </w:pPr>
    </w:p>
    <w:p>
      <w:pPr>
        <w:ind w:left="1240" w:right="1299"/>
        <w:spacing w:after="0" w:line="266"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2018 Plan provides for the grant of both incentive stock options and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to purchase shares of our common stock at a stated exercise price. The exercise price of stock options granted under the 2018 Plan must be at least equal to the fair market value of our common stock on the date of grant. The maximum term of options granted under our 2018 Plan is ten years.</w:t>
      </w:r>
    </w:p>
    <w:p>
      <w:pPr>
        <w:spacing w:after="0" w:line="275" w:lineRule="exact"/>
        <w:rPr>
          <w:sz w:val="20"/>
          <w:szCs w:val="20"/>
          <w:color w:val="auto"/>
        </w:rPr>
      </w:pPr>
    </w:p>
    <w:p>
      <w:pPr>
        <w:ind w:left="1240" w:right="1259"/>
        <w:spacing w:after="0" w:line="263" w:lineRule="auto"/>
        <w:rPr>
          <w:sz w:val="20"/>
          <w:szCs w:val="20"/>
          <w:color w:val="auto"/>
        </w:rPr>
      </w:pPr>
      <w:r>
        <w:rPr>
          <w:rFonts w:ascii="Arial" w:cs="Arial" w:eastAsia="Arial" w:hAnsi="Arial"/>
          <w:sz w:val="14"/>
          <w:szCs w:val="14"/>
          <w:color w:val="auto"/>
        </w:rPr>
        <w:t>Certain stock options issued under the 2018 Plan allow for exercise prior to vesting in exchange for restricted shares of common stock subject to the same vesting schedule as the original option, and several optionees utilized this early exercise feature.</w:t>
      </w:r>
    </w:p>
    <w:p>
      <w:pPr>
        <w:spacing w:after="0" w:line="78" w:lineRule="exact"/>
        <w:rPr>
          <w:sz w:val="20"/>
          <w:szCs w:val="20"/>
          <w:color w:val="auto"/>
        </w:rPr>
      </w:pPr>
    </w:p>
    <w:p>
      <w:pPr>
        <w:ind w:left="1240" w:right="1279"/>
        <w:spacing w:after="0" w:line="264"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2018 Plan also allows for the grant or sale of RSAs. The price, if any,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share subject to an RSA will be determined by the plan administrator. During the vesting period, a participant will have the right to vote and receive any dividends with respect to restricted stock, provided that the plan administrator may specify that any such dividends are subject to the same vesting schedule as the shares to which they relate.</w:t>
      </w:r>
    </w:p>
    <w:p>
      <w:pPr>
        <w:spacing w:after="0" w:line="89" w:lineRule="exact"/>
        <w:rPr>
          <w:sz w:val="20"/>
          <w:szCs w:val="20"/>
          <w:color w:val="auto"/>
        </w:rPr>
      </w:pPr>
    </w:p>
    <w:p>
      <w:pPr>
        <w:ind w:left="1240" w:right="1279"/>
        <w:spacing w:after="0" w:line="267" w:lineRule="auto"/>
        <w:rPr>
          <w:sz w:val="20"/>
          <w:szCs w:val="20"/>
          <w:color w:val="auto"/>
        </w:rPr>
      </w:pPr>
      <w:r>
        <w:rPr>
          <w:rFonts w:ascii="Arial" w:cs="Arial" w:eastAsia="Arial" w:hAnsi="Arial"/>
          <w:sz w:val="14"/>
          <w:szCs w:val="14"/>
          <w:i w:val="1"/>
          <w:iCs w:val="1"/>
          <w:color w:val="auto"/>
        </w:rPr>
        <w:t xml:space="preserve">Stock appreciation rights, restricted stock units, unrestricted stock awards. </w:t>
      </w:r>
      <w:r>
        <w:rPr>
          <w:rFonts w:ascii="Arial" w:cs="Arial" w:eastAsia="Arial" w:hAnsi="Arial"/>
          <w:sz w:val="14"/>
          <w:szCs w:val="14"/>
          <w:color w:val="auto"/>
        </w:rPr>
        <w:t>In addition, the 2018</w:t>
      </w:r>
      <w:r>
        <w:rPr>
          <w:rFonts w:ascii="Arial" w:cs="Arial" w:eastAsia="Arial" w:hAnsi="Arial"/>
          <w:sz w:val="14"/>
          <w:szCs w:val="14"/>
          <w:i w:val="1"/>
          <w:iCs w:val="1"/>
          <w:color w:val="auto"/>
        </w:rPr>
        <w:t xml:space="preserve"> </w:t>
      </w:r>
      <w:r>
        <w:rPr>
          <w:rFonts w:ascii="Arial" w:cs="Arial" w:eastAsia="Arial" w:hAnsi="Arial"/>
          <w:sz w:val="14"/>
          <w:szCs w:val="14"/>
          <w:color w:val="auto"/>
        </w:rPr>
        <w:t>Plan allows for the grant of SARs, RSUs and unrestricted stock awards, with terms as determined by the board in accordance with the 2018 Plan. However, as noted above, we have not granted any SARs, RSUs or unrestricted stock awards under the 2018 Plan.</w:t>
      </w:r>
    </w:p>
    <w:p>
      <w:pPr>
        <w:spacing w:after="0" w:line="87" w:lineRule="exact"/>
        <w:rPr>
          <w:sz w:val="20"/>
          <w:szCs w:val="20"/>
          <w:color w:val="auto"/>
        </w:rPr>
      </w:pPr>
    </w:p>
    <w:p>
      <w:pPr>
        <w:ind w:left="1240" w:right="1499"/>
        <w:spacing w:after="0" w:line="273" w:lineRule="auto"/>
        <w:rPr>
          <w:sz w:val="20"/>
          <w:szCs w:val="20"/>
          <w:color w:val="auto"/>
        </w:rPr>
      </w:pPr>
      <w:r>
        <w:rPr>
          <w:rFonts w:ascii="Arial" w:cs="Arial" w:eastAsia="Arial" w:hAnsi="Arial"/>
          <w:sz w:val="14"/>
          <w:szCs w:val="14"/>
          <w:i w:val="1"/>
          <w:iCs w:val="1"/>
          <w:color w:val="auto"/>
        </w:rPr>
        <w:t xml:space="preserve">Sale event. </w:t>
      </w:r>
      <w:r>
        <w:rPr>
          <w:rFonts w:ascii="Arial" w:cs="Arial" w:eastAsia="Arial" w:hAnsi="Arial"/>
          <w:sz w:val="14"/>
          <w:szCs w:val="14"/>
          <w:color w:val="auto"/>
        </w:rPr>
        <w:t>If we are subject to a “sale event” (including certain dissolution, liquidation, asset</w:t>
      </w:r>
      <w:r>
        <w:rPr>
          <w:rFonts w:ascii="Arial" w:cs="Arial" w:eastAsia="Arial" w:hAnsi="Arial"/>
          <w:sz w:val="14"/>
          <w:szCs w:val="14"/>
          <w:i w:val="1"/>
          <w:iCs w:val="1"/>
          <w:color w:val="auto"/>
        </w:rPr>
        <w:t xml:space="preserve"> </w:t>
      </w:r>
      <w:r>
        <w:rPr>
          <w:rFonts w:ascii="Arial" w:cs="Arial" w:eastAsia="Arial" w:hAnsi="Arial"/>
          <w:sz w:val="14"/>
          <w:szCs w:val="14"/>
          <w:color w:val="auto"/>
        </w:rPr>
        <w:t>sale or merger transactions), the plan administrator will determine how to treat outstanding awards under our 2018 Plan. This</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2" w:name="page183"/>
    <w:bookmarkEnd w:id="18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99"/>
        <w:spacing w:after="0" w:line="255" w:lineRule="auto"/>
        <w:rPr>
          <w:sz w:val="20"/>
          <w:szCs w:val="20"/>
          <w:color w:val="auto"/>
        </w:rPr>
      </w:pPr>
      <w:r>
        <w:rPr>
          <w:rFonts w:ascii="Arial" w:cs="Arial" w:eastAsia="Arial" w:hAnsi="Arial"/>
          <w:sz w:val="14"/>
          <w:szCs w:val="14"/>
          <w:color w:val="auto"/>
        </w:rPr>
        <w:t>may include: (i) the cancellation and/or forfeiture of outstanding awards, unless exercised prior to the sale event or assumed, substituted or continued by the surviving entity or its parent; or</w:t>
      </w:r>
    </w:p>
    <w:p>
      <w:pPr>
        <w:spacing w:after="0" w:line="1" w:lineRule="exact"/>
        <w:rPr>
          <w:sz w:val="20"/>
          <w:szCs w:val="20"/>
          <w:color w:val="auto"/>
        </w:rPr>
      </w:pPr>
    </w:p>
    <w:p>
      <w:pPr>
        <w:ind w:left="1240" w:right="1799" w:firstLine="9"/>
        <w:spacing w:after="0" w:line="270" w:lineRule="auto"/>
        <w:tabs>
          <w:tab w:leader="none" w:pos="1456" w:val="left"/>
        </w:tabs>
        <w:numPr>
          <w:ilvl w:val="0"/>
          <w:numId w:val="94"/>
        </w:numPr>
        <w:rPr>
          <w:rFonts w:ascii="Arial" w:cs="Arial" w:eastAsia="Arial" w:hAnsi="Arial"/>
          <w:sz w:val="14"/>
          <w:szCs w:val="14"/>
          <w:color w:val="auto"/>
        </w:rPr>
      </w:pPr>
      <w:r>
        <w:rPr>
          <w:rFonts w:ascii="Arial" w:cs="Arial" w:eastAsia="Arial" w:hAnsi="Arial"/>
          <w:sz w:val="14"/>
          <w:szCs w:val="14"/>
          <w:color w:val="auto"/>
        </w:rPr>
        <w:t>cashout or redemption of outstanding awards. The plan administrator need not treat all outstanding awards in an identical manner.</w:t>
      </w:r>
    </w:p>
    <w:p>
      <w:pPr>
        <w:spacing w:after="0" w:line="74"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a stock dividend, reorganization, recapitalization,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reverse stock split, subdivision, combination, reclassification, merger, asset sale, or other similar event or transaction affecting our common stock, proportional adjustments will be made to the number of shares reserved for issuance under our 2018 Plan; the number and class of shares subject to outstanding awards; and the exercise or repurchase price applicable to outstanding awards.</w:t>
      </w:r>
    </w:p>
    <w:p>
      <w:pPr>
        <w:spacing w:after="0" w:line="264" w:lineRule="exact"/>
        <w:rPr>
          <w:sz w:val="20"/>
          <w:szCs w:val="20"/>
          <w:color w:val="auto"/>
        </w:rPr>
      </w:pPr>
    </w:p>
    <w:p>
      <w:pPr>
        <w:ind w:left="1240" w:right="1599"/>
        <w:spacing w:after="0" w:line="273"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Without approval of stockholders, the plan administrator may reprice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under the 2018 Plan by reducing the exercise price of such options or cancelling such options in exchange for new awards.</w:t>
      </w:r>
    </w:p>
    <w:p>
      <w:pPr>
        <w:spacing w:after="0" w:line="82" w:lineRule="exact"/>
        <w:rPr>
          <w:sz w:val="20"/>
          <w:szCs w:val="20"/>
          <w:color w:val="auto"/>
        </w:rPr>
      </w:pPr>
    </w:p>
    <w:p>
      <w:pPr>
        <w:jc w:val="both"/>
        <w:ind w:left="1240" w:right="1439"/>
        <w:spacing w:after="0" w:line="267"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Unless otherwise determined by the plan administrator and/or specified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award agreement, 2018 Plan awards generally may not be sold, pledged, assigned, hypothecated, transferred, or disposed of in any manner other than by will, the laws of descent, and distribution.</w:t>
      </w:r>
    </w:p>
    <w:p>
      <w:pPr>
        <w:spacing w:after="0" w:line="76" w:lineRule="exact"/>
        <w:rPr>
          <w:sz w:val="20"/>
          <w:szCs w:val="20"/>
          <w:color w:val="auto"/>
        </w:rPr>
      </w:pPr>
    </w:p>
    <w:p>
      <w:pPr>
        <w:ind w:left="1240" w:right="1359"/>
        <w:spacing w:after="0" w:line="262"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Our board of directors may amend or terminate our 2018 Plan at</w:t>
      </w:r>
      <w:r>
        <w:rPr>
          <w:rFonts w:ascii="Arial" w:cs="Arial" w:eastAsia="Arial" w:hAnsi="Arial"/>
          <w:sz w:val="14"/>
          <w:szCs w:val="14"/>
          <w:i w:val="1"/>
          <w:iCs w:val="1"/>
          <w:color w:val="auto"/>
        </w:rPr>
        <w:t xml:space="preserve"> </w:t>
      </w:r>
      <w:r>
        <w:rPr>
          <w:rFonts w:ascii="Arial" w:cs="Arial" w:eastAsia="Arial" w:hAnsi="Arial"/>
          <w:sz w:val="14"/>
          <w:szCs w:val="14"/>
          <w:color w:val="auto"/>
        </w:rPr>
        <w:t>any time; provided, however, our committee may condition any other amendment or modification on the approval of stockholders for any reason, including by reason of such approval being necessary or deemed advisable to satisfy any other tax, securities or other applicable laws, policies or regulations. As noted above, we will cease granting awards under the 2018 Plan immediately prior to this offering, although outstanding 2018 Plan awards will remain in effect in accordance with their terms.</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ESPP</w:t>
      </w:r>
    </w:p>
    <w:p>
      <w:pPr>
        <w:spacing w:after="0" w:line="133" w:lineRule="exact"/>
        <w:rPr>
          <w:sz w:val="20"/>
          <w:szCs w:val="20"/>
          <w:color w:val="auto"/>
        </w:rPr>
      </w:pPr>
    </w:p>
    <w:p>
      <w:pPr>
        <w:ind w:left="1240" w:right="1539"/>
        <w:spacing w:after="0" w:line="257" w:lineRule="auto"/>
        <w:rPr>
          <w:sz w:val="20"/>
          <w:szCs w:val="20"/>
          <w:color w:val="auto"/>
        </w:rPr>
      </w:pPr>
      <w:r>
        <w:rPr>
          <w:rFonts w:ascii="Arial" w:cs="Arial" w:eastAsia="Arial" w:hAnsi="Arial"/>
          <w:sz w:val="14"/>
          <w:szCs w:val="14"/>
          <w:color w:val="auto"/>
        </w:rPr>
        <w:t>Our board of directors intends to adopt the Employee Stock Purchase Plan, or ESPP, prior to closing of this offering, under which we may provide our employees and employees of our participating subsidiaries with an opportunity to purchase shares of our common stock at a discounted purchase price. The ESPP will first become effective upon the effectiveness of the Registration Statement of which this prospectus forms a part, although our compensation committee has not yet determined when the first purchase period under the ESPP will commence. The material terms of the ESPP are summarized below. The ESPP is intended to qualify as an “employee stock purchase plan” meeting the requirements of Section 423 of the Code.</w:t>
      </w:r>
    </w:p>
    <w:p>
      <w:pPr>
        <w:spacing w:after="0" w:line="267" w:lineRule="exact"/>
        <w:rPr>
          <w:sz w:val="20"/>
          <w:szCs w:val="20"/>
          <w:color w:val="auto"/>
        </w:rPr>
      </w:pPr>
    </w:p>
    <w:p>
      <w:pPr>
        <w:ind w:left="1240" w:right="1319"/>
        <w:spacing w:after="0" w:line="266"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Subject to the express provisions of the ESPP, our compensation committee will</w:t>
      </w:r>
      <w:r>
        <w:rPr>
          <w:rFonts w:ascii="Arial" w:cs="Arial" w:eastAsia="Arial" w:hAnsi="Arial"/>
          <w:sz w:val="14"/>
          <w:szCs w:val="14"/>
          <w:i w:val="1"/>
          <w:iCs w:val="1"/>
          <w:color w:val="auto"/>
        </w:rPr>
        <w:t xml:space="preserve"> </w:t>
      </w:r>
      <w:r>
        <w:rPr>
          <w:rFonts w:ascii="Arial" w:cs="Arial" w:eastAsia="Arial" w:hAnsi="Arial"/>
          <w:sz w:val="14"/>
          <w:szCs w:val="14"/>
          <w:color w:val="auto"/>
        </w:rPr>
        <w:t>have the authority to construe and interpret the ESPP, prescribe, amend, and rescind rules relating to the ESPP’s administration and take any other actions necessary or desirable for the administration of the ESPP and to facilitate compliance with Section 423 of the Code and other applicable law.</w:t>
      </w:r>
    </w:p>
    <w:p>
      <w:pPr>
        <w:spacing w:after="0" w:line="250"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i w:val="1"/>
          <w:iCs w:val="1"/>
          <w:color w:val="auto"/>
        </w:rPr>
        <w:t xml:space="preserve">Stock Subject to the ESPP. </w:t>
      </w:r>
      <w:r>
        <w:rPr>
          <w:rFonts w:ascii="Arial" w:cs="Arial" w:eastAsia="Arial" w:hAnsi="Arial"/>
          <w:sz w:val="14"/>
          <w:szCs w:val="14"/>
          <w:color w:val="auto"/>
        </w:rPr>
        <w:t>Subject to adjustment as provided in the ESPP, a total of 564,071</w:t>
      </w:r>
      <w:r>
        <w:rPr>
          <w:rFonts w:ascii="Arial" w:cs="Arial" w:eastAsia="Arial" w:hAnsi="Arial"/>
          <w:sz w:val="14"/>
          <w:szCs w:val="14"/>
          <w:i w:val="1"/>
          <w:iCs w:val="1"/>
          <w:color w:val="auto"/>
        </w:rPr>
        <w:t xml:space="preserve"> </w:t>
      </w:r>
      <w:r>
        <w:rPr>
          <w:rFonts w:ascii="Arial" w:cs="Arial" w:eastAsia="Arial" w:hAnsi="Arial"/>
          <w:sz w:val="14"/>
          <w:szCs w:val="14"/>
          <w:color w:val="auto"/>
        </w:rPr>
        <w:t>will be authorized and reserved for issuance under the ESPP. In addition, subject to prior approval by our board of directors in each instance, on or about January 1, 2022 and each anniversary of such date thereafter prior to the termination of the ESPP, the number of shares of our common stock authorized and reserved for issuance under the ESPP will be increased by a number of shares of our common stock equal to the least of (i) 1,128,142 shares of our common stock, (ii) 1% of the shares of our common stock outstanding on the final day of the immediately preceding calendar year, and (iii) such smaller number of shares of our common stock as determined by our board of directors. Such shares of our common stock may be newly issued shares, treasury shares or shares acquired on the open market. In the event that any dividend or other distribution (whether in the form of cash, our common stock, or other property), recapitalization, stock split, reverse stock split, reorganization, merger, consolidation, split-up, spin-off, or exchange of our common stock or our other securities, or other change in our structure affecting our common stock occurs, then in order to prevent dilution or enlargement of the benefits or potential benefits intended to be made available under the ESPP, our compensation committee will, in such manner as it deems equitable, adjust the number of shares and class of common stock that may be delivered under the ESPP, the purchase price per share and the number of shares covered by each outstanding option under the ESPP, and the numerical limits described above.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3" w:name="page184"/>
    <w:bookmarkEnd w:id="18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Generally, our employees and employees of our participating subsidiaries who</w:t>
      </w:r>
      <w:r>
        <w:rPr>
          <w:rFonts w:ascii="Arial" w:cs="Arial" w:eastAsia="Arial" w:hAnsi="Arial"/>
          <w:sz w:val="14"/>
          <w:szCs w:val="14"/>
          <w:i w:val="1"/>
          <w:iCs w:val="1"/>
          <w:color w:val="auto"/>
        </w:rPr>
        <w:t xml:space="preserve"> </w:t>
      </w:r>
      <w:r>
        <w:rPr>
          <w:rFonts w:ascii="Arial" w:cs="Arial" w:eastAsia="Arial" w:hAnsi="Arial"/>
          <w:sz w:val="14"/>
          <w:szCs w:val="14"/>
          <w:color w:val="auto"/>
        </w:rPr>
        <w:t>customarily are employed for at least twenty (20) hours per week will be eligible to participate in the ESPP. Notwithstanding the foregoing, our compensation committee may exclude from participation in the ESPP or any offering period employees who are (i) “highly compensated employees” within the meaning of Section 414(q) of the Code, or (ii) citizens or residents of a foreign jurisdiction where the grant of an option under the ESPP to such employee would be prohibited under the laws of such foreign jurisdiction or the grant of an option under the ESPP to such employee in compliance with the laws of such foreign jurisdiction would cause the ESPP to violate the requirements of Section 423 of the Code. No employee may be granted options to purchase shares of our common stock under the ESPP if such employee (x) immediately after the grant would own capital stock possessing 5% or more of the total combined voting power or value of all classes of our capital stock, or (y) holds rights to purchase shares of our common stock under all of our employee stock purchase plans (in accordance with Section 423(b)(8) of the Code) that accrue at a rate exceeding $25,000 (determined as of the option grant date) for each calendar year in which such rights are outstanding.</w:t>
      </w:r>
    </w:p>
    <w:p>
      <w:pPr>
        <w:spacing w:after="0" w:line="254" w:lineRule="exact"/>
        <w:rPr>
          <w:sz w:val="20"/>
          <w:szCs w:val="20"/>
          <w:color w:val="auto"/>
        </w:rPr>
      </w:pPr>
    </w:p>
    <w:p>
      <w:pPr>
        <w:ind w:left="1240" w:right="1319"/>
        <w:spacing w:after="0" w:line="262" w:lineRule="auto"/>
        <w:rPr>
          <w:sz w:val="20"/>
          <w:szCs w:val="20"/>
          <w:color w:val="auto"/>
        </w:rPr>
      </w:pPr>
      <w:r>
        <w:rPr>
          <w:rFonts w:ascii="Arial" w:cs="Arial" w:eastAsia="Arial" w:hAnsi="Arial"/>
          <w:sz w:val="14"/>
          <w:szCs w:val="14"/>
          <w:i w:val="1"/>
          <w:iCs w:val="1"/>
          <w:color w:val="auto"/>
        </w:rPr>
        <w:t xml:space="preserve">Grant and exercise of options. </w:t>
      </w:r>
      <w:r>
        <w:rPr>
          <w:rFonts w:ascii="Arial" w:cs="Arial" w:eastAsia="Arial" w:hAnsi="Arial"/>
          <w:sz w:val="14"/>
          <w:szCs w:val="14"/>
          <w:color w:val="auto"/>
        </w:rPr>
        <w:t>The ESPP provides for six (6) month offering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commencing on January 1st and July 1st of each year, unless specified otherwise by our compensation committee. Eligible employees may elect to become a participant in the ESPP by submitting an enrollment form, pursuant to which an employee may elect to enroll in the ESPP, authorize a new level of payroll deductions, or stop payroll deductions and withdraw from an offering period. However, a participant may not purchase more than 5,000 shares of our common stock during each offering period.</w:t>
      </w:r>
    </w:p>
    <w:p>
      <w:pPr>
        <w:spacing w:after="0" w:line="277"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During each offering period for which a participant has enrolled, the participant may contribute through payroll deductions in an amount equal to (i) between 1% and 15%, in whole percentages, of his or her compensation, or (ii) a fixed dollar amount, in each case, on each pay day occurring during such offering period. A participant’s compensation for purposes of the ESPP includes base salary and base wages (including overtime). No interest shall accrue on or be payable with respect to the payroll deductions of a participant in the ESPP. Payroll deductions would be made before deduction for any salary deferral contributions made by the employee to any tax-qualified or nonqualified deferred compensation plan, cafeteria plan, or similar arrangement.</w:t>
      </w:r>
    </w:p>
    <w:p>
      <w:pPr>
        <w:spacing w:after="0" w:line="109" w:lineRule="exact"/>
        <w:rPr>
          <w:sz w:val="20"/>
          <w:szCs w:val="20"/>
          <w:color w:val="auto"/>
        </w:rPr>
      </w:pPr>
    </w:p>
    <w:p>
      <w:pPr>
        <w:ind w:left="1240" w:right="1359"/>
        <w:spacing w:after="0" w:line="255" w:lineRule="auto"/>
        <w:rPr>
          <w:sz w:val="20"/>
          <w:szCs w:val="20"/>
          <w:color w:val="auto"/>
        </w:rPr>
      </w:pPr>
      <w:r>
        <w:rPr>
          <w:rFonts w:ascii="Arial" w:cs="Arial" w:eastAsia="Arial" w:hAnsi="Arial"/>
          <w:sz w:val="14"/>
          <w:szCs w:val="14"/>
          <w:color w:val="auto"/>
        </w:rPr>
        <w:t>On the last trading day of each offering period, a participant’s option to purchase shares of our common stock will be exercised automatically. The per-share purchase price will be the lesser of</w:t>
      </w:r>
    </w:p>
    <w:p>
      <w:pPr>
        <w:spacing w:after="0" w:line="1" w:lineRule="exact"/>
        <w:rPr>
          <w:sz w:val="20"/>
          <w:szCs w:val="20"/>
          <w:color w:val="auto"/>
        </w:rPr>
      </w:pPr>
    </w:p>
    <w:p>
      <w:pPr>
        <w:ind w:left="1240" w:right="1259" w:firstLine="9"/>
        <w:spacing w:after="0" w:line="257" w:lineRule="auto"/>
        <w:tabs>
          <w:tab w:leader="none" w:pos="1421" w:val="left"/>
        </w:tabs>
        <w:numPr>
          <w:ilvl w:val="0"/>
          <w:numId w:val="95"/>
        </w:numPr>
        <w:rPr>
          <w:rFonts w:ascii="Arial" w:cs="Arial" w:eastAsia="Arial" w:hAnsi="Arial"/>
          <w:sz w:val="14"/>
          <w:szCs w:val="14"/>
          <w:color w:val="auto"/>
        </w:rPr>
      </w:pPr>
      <w:r>
        <w:rPr>
          <w:rFonts w:ascii="Arial" w:cs="Arial" w:eastAsia="Arial" w:hAnsi="Arial"/>
          <w:sz w:val="14"/>
          <w:szCs w:val="14"/>
          <w:color w:val="auto"/>
        </w:rPr>
        <w:t>eighty-five percent (85%) of the fair market value of one share of our common stock on the first trading day of the applicable offering period and (ii) eighty-five percent (85%) of the fair market value of one share of our common stock on the last trading day of the applicable offering period. As soon as reasonably practicable after the last day of each offering period, we will arrange for the delivery to each participant of the shares of our common stock purchased upon exercise of his or her option. We may require that the shares of our common stock be deposited and/or retained for a specified period of time with a financial services firm or other agent it designates as broker. Neither payroll deductions nor rights with respect to the exercise of an option or to receive shares of our common stock are transferable, other than by will, by the laws of descent and distribution, or by written designation of a beneficiary with our compensation committee.</w:t>
      </w:r>
    </w:p>
    <w:p>
      <w:pPr>
        <w:spacing w:after="0" w:line="83"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i w:val="1"/>
          <w:iCs w:val="1"/>
          <w:color w:val="auto"/>
        </w:rPr>
        <w:t xml:space="preserve">Termination of Employment and Withdrawal from the ESPP. </w:t>
      </w:r>
      <w:r>
        <w:rPr>
          <w:rFonts w:ascii="Arial" w:cs="Arial" w:eastAsia="Arial" w:hAnsi="Arial"/>
          <w:sz w:val="14"/>
          <w:szCs w:val="14"/>
          <w:color w:val="auto"/>
        </w:rPr>
        <w:t>Participants may elect to withdraw</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ESPP at any time and receive back any of their contributions, without interest, not used to purchase shares of our common stock; provided that if a participant wishes to withdraw his or her funds prior to purchase, he or she must submit a revised enrollment form to our compensation committee at least fifteen (15) days prior to the end of the then-current offering period. Participants who terminate employment before the end of an offering period will be deemed to have withdrawn from the ESPP and the payroll deductions in the participant’s notional account that have not been used to purchase shares of our common stock will be returned to the participant.</w:t>
      </w:r>
    </w:p>
    <w:p>
      <w:pPr>
        <w:spacing w:after="0" w:line="265" w:lineRule="exact"/>
        <w:rPr>
          <w:sz w:val="20"/>
          <w:szCs w:val="20"/>
          <w:color w:val="auto"/>
        </w:rPr>
      </w:pPr>
    </w:p>
    <w:p>
      <w:pPr>
        <w:ind w:left="1240" w:right="1439"/>
        <w:spacing w:after="0" w:line="262" w:lineRule="auto"/>
        <w:rPr>
          <w:sz w:val="20"/>
          <w:szCs w:val="20"/>
          <w:color w:val="auto"/>
        </w:rPr>
      </w:pPr>
      <w:r>
        <w:rPr>
          <w:rFonts w:ascii="Arial" w:cs="Arial" w:eastAsia="Arial" w:hAnsi="Arial"/>
          <w:sz w:val="14"/>
          <w:szCs w:val="14"/>
          <w:i w:val="1"/>
          <w:iCs w:val="1"/>
          <w:color w:val="auto"/>
        </w:rPr>
        <w:t xml:space="preserve">Amendment and Termination of the ESPP. </w:t>
      </w:r>
      <w:r>
        <w:rPr>
          <w:rFonts w:ascii="Arial" w:cs="Arial" w:eastAsia="Arial" w:hAnsi="Arial"/>
          <w:sz w:val="14"/>
          <w:szCs w:val="14"/>
          <w:color w:val="auto"/>
        </w:rPr>
        <w:t>Our compensation committee may amend or</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 the ESPP at any time for any reason. If the ESPP is terminated, our compensation committee may elect to terminate the outstanding offering period either immediately, or after shares of our common stock have been purchased on the last trading day of the offering period (which may, in the discretion of our compensation committee, be accelerated) and all amounts that have not been used to purchase shares of our common stock will then be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4" w:name="page185"/>
    <w:bookmarkEnd w:id="18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returned to participants as soon as administratively practicable. In the event of a merger, consolidation, acquisition of property or stock, separation, reorganization, or other corporate event described in Section 424 of the Code,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that occurs before the date of the applicable transaction. Unless terminated earlier pursuant to the terms of the ESPP, the ESPP will have a term of 10 years following the ESPP’s effective date.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Other benefits</w:t>
      </w:r>
    </w:p>
    <w:p>
      <w:pPr>
        <w:spacing w:after="0" w:line="129" w:lineRule="exact"/>
        <w:rPr>
          <w:sz w:val="20"/>
          <w:szCs w:val="20"/>
          <w:color w:val="auto"/>
        </w:rPr>
      </w:pPr>
    </w:p>
    <w:p>
      <w:pPr>
        <w:ind w:left="1240" w:right="1599"/>
        <w:spacing w:after="0" w:line="286" w:lineRule="auto"/>
        <w:rPr>
          <w:sz w:val="20"/>
          <w:szCs w:val="20"/>
          <w:color w:val="auto"/>
        </w:rPr>
      </w:pPr>
      <w:r>
        <w:rPr>
          <w:rFonts w:ascii="Arial" w:cs="Arial" w:eastAsia="Arial" w:hAnsi="Arial"/>
          <w:sz w:val="14"/>
          <w:szCs w:val="14"/>
          <w:color w:val="auto"/>
        </w:rPr>
        <w:t>We currently provide welfare benefits that are available to all of our employees, including our NEOs, including health, dental, life, vision, and disability insurance.</w:t>
      </w:r>
    </w:p>
    <w:p>
      <w:pPr>
        <w:spacing w:after="0" w:line="98" w:lineRule="exact"/>
        <w:rPr>
          <w:sz w:val="20"/>
          <w:szCs w:val="20"/>
          <w:color w:val="auto"/>
        </w:rPr>
      </w:pPr>
    </w:p>
    <w:p>
      <w:pPr>
        <w:ind w:left="1240" w:right="1419"/>
        <w:spacing w:after="0" w:line="273" w:lineRule="auto"/>
        <w:rPr>
          <w:sz w:val="20"/>
          <w:szCs w:val="20"/>
          <w:color w:val="auto"/>
        </w:rPr>
      </w:pPr>
      <w:r>
        <w:rPr>
          <w:rFonts w:ascii="Arial" w:cs="Arial" w:eastAsia="Arial" w:hAnsi="Arial"/>
          <w:sz w:val="14"/>
          <w:szCs w:val="14"/>
          <w:color w:val="auto"/>
        </w:rPr>
        <w:t>In addition, we maintain, and the NEOs participate in, a 401(k) plan that provides eligible employees with an opportunity to save for retirement on a tax advantage basis and under which we make safe harbor matching employer contributions. We match 100% of the first 3% of the participating employee’s contributions and 50% of the next 2% of the participating employee’s contributions, and participants are always fully vested in their safe harbor matching employer contributions. Employees’ pre-tax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09" w:lineRule="exact"/>
        <w:rPr>
          <w:sz w:val="20"/>
          <w:szCs w:val="20"/>
          <w:color w:val="auto"/>
        </w:rPr>
      </w:pPr>
    </w:p>
    <w:p>
      <w:pPr>
        <w:ind w:left="1240" w:right="1579"/>
        <w:spacing w:after="0" w:line="263" w:lineRule="auto"/>
        <w:rPr>
          <w:sz w:val="20"/>
          <w:szCs w:val="20"/>
          <w:color w:val="auto"/>
        </w:rPr>
      </w:pPr>
      <w:r>
        <w:rPr>
          <w:rFonts w:ascii="Arial" w:cs="Arial" w:eastAsia="Arial" w:hAnsi="Arial"/>
          <w:sz w:val="14"/>
          <w:szCs w:val="14"/>
          <w:color w:val="auto"/>
        </w:rPr>
        <w:t>We do not maintain any defined benefit pension plans or nonqualified deferred compensation plans.</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10b5-1 sales plans</w:t>
      </w:r>
    </w:p>
    <w:p>
      <w:pPr>
        <w:spacing w:after="0" w:line="129" w:lineRule="exact"/>
        <w:rPr>
          <w:sz w:val="20"/>
          <w:szCs w:val="20"/>
          <w:color w:val="auto"/>
        </w:rPr>
      </w:pPr>
    </w:p>
    <w:p>
      <w:pPr>
        <w:ind w:left="1240" w:right="1319"/>
        <w:spacing w:after="0" w:line="271" w:lineRule="auto"/>
        <w:rPr>
          <w:sz w:val="20"/>
          <w:szCs w:val="20"/>
          <w:color w:val="auto"/>
        </w:rPr>
      </w:pPr>
      <w:r>
        <w:rPr>
          <w:rFonts w:ascii="Arial" w:cs="Arial" w:eastAsia="Arial" w:hAnsi="Arial"/>
          <w:sz w:val="14"/>
          <w:szCs w:val="14"/>
          <w:color w:val="auto"/>
        </w:rPr>
        <w:t>Our directors and executive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 The director or officer may amend or terminate a Rule 10b5-1 plan subject to compliance with our insider trading policy. Our directors and executive officers also may buy or sell additional shares outside of a</w:t>
      </w:r>
    </w:p>
    <w:p>
      <w:pPr>
        <w:spacing w:after="0" w:line="2"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Rule 10b5-1 plan when they are not in possession of material nonpublic information subject to compliance with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5" w:name="page186"/>
    <w:bookmarkEnd w:id="18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Certain relationships and related party transactions</w:t>
      </w:r>
    </w:p>
    <w:p>
      <w:pPr>
        <w:spacing w:after="0" w:line="119" w:lineRule="exact"/>
        <w:rPr>
          <w:sz w:val="20"/>
          <w:szCs w:val="20"/>
          <w:color w:val="auto"/>
        </w:rPr>
      </w:pPr>
    </w:p>
    <w:p>
      <w:pPr>
        <w:ind w:left="1240" w:right="1439"/>
        <w:spacing w:after="0" w:line="257" w:lineRule="auto"/>
        <w:rPr>
          <w:sz w:val="20"/>
          <w:szCs w:val="20"/>
          <w:color w:val="auto"/>
        </w:rPr>
      </w:pPr>
      <w:r>
        <w:rPr>
          <w:rFonts w:ascii="Arial" w:cs="Arial" w:eastAsia="Arial" w:hAnsi="Arial"/>
          <w:sz w:val="14"/>
          <w:szCs w:val="14"/>
          <w:color w:val="auto"/>
        </w:rPr>
        <w:t>The following includes a summary of transactions since January 1, 2019 and any currently proposed transactions to which we were or are expected to be a participant in which (1) the amount involved exceeded or will exceed the lesser of $120,000 or one percent of our average total assets at year end for the last two completed fiscal years,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 and “Management—Non-employee director compensation.”</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Bayer HealthCare LLC</w:t>
      </w:r>
    </w:p>
    <w:p>
      <w:pPr>
        <w:spacing w:after="0" w:line="129"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Bayer is a holder of greater than 5% of our securities. Below is a summary of the transactions entered into between Bayer and us since January 1, 2019.</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Commitment agreement and option agreement</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June 2019, we entered into a Commitment Agreement by and among Prior Century, Bayer and us, or the Commitment Agreement, pursuant to which Bayer agreed to make an aggregate capital contribution of up to $215 million, upon the achievement of certain milestones. In June 2019, Bayer invested $75 million in consideration for 26,143,709 units in Century Therapeutics, LLC. Bayer invested an additional $70 million in 2020 and 2021, for no additional consideration. The Commitment Agreement terminated on February 25, 2021 in connection with the Series C Financing and Bayer has no continuing obligation to invest any additional amounts under the Commitment Agreement.</w:t>
      </w:r>
    </w:p>
    <w:p>
      <w:pPr>
        <w:spacing w:after="0" w:line="271"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In June 2019, we entered into an Option Agreement by and among Prior Century, Bayer and us, which, following the 2021 Reorganization, was subsequently amended and restated in February 2021, or the Option Agreement. For a description of the Option Agreement, see “Business—Licensing, Partnerships and Collaborations—Bayer Option Agreement.” No payments were made under the Option Agreement in 2019 or 2020.</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Series C Financing</w:t>
      </w:r>
    </w:p>
    <w:p>
      <w:pPr>
        <w:spacing w:after="0" w:line="133" w:lineRule="exact"/>
        <w:rPr>
          <w:sz w:val="20"/>
          <w:szCs w:val="20"/>
          <w:color w:val="auto"/>
        </w:rPr>
      </w:pPr>
    </w:p>
    <w:p>
      <w:pPr>
        <w:ind w:left="1240" w:right="1399"/>
        <w:spacing w:after="0" w:line="270" w:lineRule="auto"/>
        <w:rPr>
          <w:sz w:val="20"/>
          <w:szCs w:val="20"/>
          <w:color w:val="auto"/>
        </w:rPr>
      </w:pPr>
      <w:r>
        <w:rPr>
          <w:rFonts w:ascii="Arial" w:cs="Arial" w:eastAsia="Arial" w:hAnsi="Arial"/>
          <w:sz w:val="14"/>
          <w:szCs w:val="14"/>
          <w:color w:val="auto"/>
        </w:rPr>
        <w:t>Bayer participated in our Series C Financing in February 2021. For a description of the Series C Financing and Bayer’s participation therein, see “—Series C Financing.”</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FUJIFILM Cellular Dynamics, Inc.</w:t>
      </w:r>
    </w:p>
    <w:p>
      <w:pPr>
        <w:spacing w:after="0" w:line="129" w:lineRule="exact"/>
        <w:rPr>
          <w:sz w:val="20"/>
          <w:szCs w:val="20"/>
          <w:color w:val="auto"/>
        </w:rPr>
      </w:pPr>
    </w:p>
    <w:p>
      <w:pPr>
        <w:ind w:left="1240" w:right="1599"/>
        <w:spacing w:after="0" w:line="270" w:lineRule="auto"/>
        <w:rPr>
          <w:sz w:val="20"/>
          <w:szCs w:val="20"/>
          <w:color w:val="auto"/>
        </w:rPr>
      </w:pPr>
      <w:r>
        <w:rPr>
          <w:rFonts w:ascii="Arial" w:cs="Arial" w:eastAsia="Arial" w:hAnsi="Arial"/>
          <w:sz w:val="14"/>
          <w:szCs w:val="14"/>
          <w:color w:val="auto"/>
        </w:rPr>
        <w:t>FCDI is a holder of greater than 5% of our securities. Below are the transactions entered into between FCDI and us since January 1, 2019.</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Reprogramming license agreement</w:t>
      </w:r>
    </w:p>
    <w:p>
      <w:pPr>
        <w:spacing w:after="0" w:line="123"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In September 2018, we entered into a License Agreement, or the Reprogramming License, with FCDI pursuant to which FCDI granted us a non-exclusive, sublicensable, worldwide (excluding Japan) license under certain patents and know-how related to the reprogramming of human cells to iPSCs. For a description of the Reprogramming License, see “Business—Licensing, Partnerships and Collaborations—FUJIFILM Cellular Dynamics.” No payments were made under the Reprogramming License in 2019 or 2020.</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Differentiation license agreement</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In September 2018, we entered into a License Agreement, or the Differentiation License, with FCDI pursuant to which FCDI granted us an exclusive, sublicensable, worldwide (excluding Japan) license under certain patents and know-how for the research, development and commercialization of certain cancer immunotherapy products consisting of cells that are, or are modifications of, NK cells, T cells, dendritic cells, and macrophages derived from human iPSCs for cancer immunotherapeutic use. As consideration for the Differentiation License, Prior Century issued FCDI 2,980,803 shares of its common stock, which converted into 2,980,803 shares of our common stock</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6" w:name="page187"/>
    <w:bookmarkEnd w:id="18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699"/>
        <w:spacing w:after="0" w:line="278" w:lineRule="auto"/>
        <w:rPr>
          <w:sz w:val="20"/>
          <w:szCs w:val="20"/>
          <w:color w:val="auto"/>
        </w:rPr>
      </w:pPr>
      <w:r>
        <w:rPr>
          <w:rFonts w:ascii="Arial" w:cs="Arial" w:eastAsia="Arial" w:hAnsi="Arial"/>
          <w:sz w:val="14"/>
          <w:szCs w:val="14"/>
          <w:color w:val="auto"/>
        </w:rPr>
        <w:t>in the 2021 Reorganization. For a description of the Differentiation License Agreement, see “Business—Licensing, Partnerships and Collaborations—FUJIFILM Cellular Dynamics.” No payments were made under the Differentiation License in 2019 or 2020.</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Master collaboration agreement</w:t>
      </w:r>
    </w:p>
    <w:p>
      <w:pPr>
        <w:spacing w:after="0" w:line="13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October 2019, we entered into a Master Collaboration Agreement, or the Collaboration Agreement, with FCDI pursuant to which FCDI agreed to provide certain development, testing, and manufacturing services to us with respect to our sale of certain licensed products pursuant to the Reprogramming License and Differentiation License. For a description of the Master Collaboration Agreement, see “Business—Licensing, Partnerships and Collaborations—FUJIFILM Cellular Dynamics.” We have made payments to FCDI under the Master Collaboration Agreement totaling $4.8 million in 2019 and $5.3 million in 2020.</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Manufacturing agreement</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For a description of the Manufacturing Agreement, see “Business— Licensing, Partnerships and Collaborations—FUJIFILM Cellular Dynamics.”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Series C Financing</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Following the 2021 Reorganization, on February 25, 2021, we completed the Series C Financing.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Certain holders of more than 5% of our capital stock (or their affiliates) participated in the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Financing. Versant Vantage II, L.P. invested $10 million for a total of 1,545,125 shares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preferred stock and Bayer invested $25 million for a total of 3,862,813 shares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Series C preferred stock, each at a price of approximately $6.472 per share.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Investors’ rights agreement</w:t>
      </w:r>
    </w:p>
    <w:p>
      <w:pPr>
        <w:spacing w:after="0" w:line="133" w:lineRule="exact"/>
        <w:rPr>
          <w:sz w:val="20"/>
          <w:szCs w:val="20"/>
          <w:color w:val="auto"/>
        </w:rPr>
      </w:pPr>
    </w:p>
    <w:p>
      <w:pPr>
        <w:ind w:left="1240" w:right="1319"/>
        <w:spacing w:after="0" w:line="272" w:lineRule="auto"/>
        <w:rPr>
          <w:sz w:val="20"/>
          <w:szCs w:val="20"/>
          <w:color w:val="auto"/>
        </w:rPr>
      </w:pPr>
      <w:r>
        <w:rPr>
          <w:rFonts w:ascii="Arial" w:cs="Arial" w:eastAsia="Arial" w:hAnsi="Arial"/>
          <w:sz w:val="14"/>
          <w:szCs w:val="14"/>
          <w:color w:val="auto"/>
        </w:rPr>
        <w:t>In connection with the Series C Financing, we entered into an investors’ rights agreement, or the investors’ rights agreement, with certain holders of our common stock and each holder of our preferred stock, which includes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 See the section titled “Description of capital stock— Registration Rights” for additional information. Certain provisions of the investors’ rights agreement, including our affirmative obligations and the right of first offer rights will terminate immediately prior to the closing of this offering, while the registration rights set forth in the investors’ rights agreement will continue in effect after the closing of this offering until they expire in accordance with their terms.</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Voting agreement</w:t>
      </w:r>
    </w:p>
    <w:p>
      <w:pPr>
        <w:spacing w:after="0" w:line="144"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In connection with the Series C Financing, we entered into a voting agreement with certain holders of our common stock and each holder of our preferred stock, which includes each holder of more than 5% of our capital stock. The voting agreement, including all rights thereunder, will automatically terminate upon the closing of this offering.</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Right of first refusal and co-sale agreement</w:t>
      </w:r>
    </w:p>
    <w:p>
      <w:pPr>
        <w:spacing w:after="0" w:line="144" w:lineRule="exact"/>
        <w:rPr>
          <w:sz w:val="20"/>
          <w:szCs w:val="20"/>
          <w:color w:val="auto"/>
        </w:rPr>
      </w:pPr>
    </w:p>
    <w:p>
      <w:pPr>
        <w:jc w:val="both"/>
        <w:ind w:left="1240" w:right="1639"/>
        <w:spacing w:after="0" w:line="278" w:lineRule="auto"/>
        <w:rPr>
          <w:sz w:val="20"/>
          <w:szCs w:val="20"/>
          <w:color w:val="auto"/>
        </w:rPr>
      </w:pPr>
      <w:r>
        <w:rPr>
          <w:rFonts w:ascii="Arial" w:cs="Arial" w:eastAsia="Arial" w:hAnsi="Arial"/>
          <w:sz w:val="14"/>
          <w:szCs w:val="14"/>
          <w:color w:val="auto"/>
        </w:rPr>
        <w:t>In connection with the Series C Financing, we entered into a right of first refusal and co-sale agreement with certain holders of our common stock and each holder of our preferred stock, which includes each holder of more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7" w:name="page188"/>
    <w:bookmarkEnd w:id="18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than 5% of our capital stock. The right of first refusal and co-sale agreement, including all rights thereunder, will automatically terminate immediately prior to the closing of this offering.</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129"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Please see “Executive compensation” and “Management—Non-employee director compensation” for information regarding the compensation of our directors and executive officers.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Employment agreements</w:t>
      </w:r>
    </w:p>
    <w:p>
      <w:pPr>
        <w:spacing w:after="0" w:line="140" w:lineRule="exact"/>
        <w:rPr>
          <w:sz w:val="20"/>
          <w:szCs w:val="20"/>
          <w:color w:val="auto"/>
        </w:rPr>
      </w:pPr>
    </w:p>
    <w:p>
      <w:pPr>
        <w:ind w:left="1240" w:right="1499"/>
        <w:spacing w:after="0" w:line="277" w:lineRule="auto"/>
        <w:rPr>
          <w:sz w:val="20"/>
          <w:szCs w:val="20"/>
          <w:color w:val="auto"/>
        </w:rPr>
      </w:pPr>
      <w:r>
        <w:rPr>
          <w:rFonts w:ascii="Arial" w:cs="Arial" w:eastAsia="Arial" w:hAnsi="Arial"/>
          <w:sz w:val="14"/>
          <w:szCs w:val="14"/>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Arrangements with our NEOs.”</w:t>
      </w:r>
    </w:p>
    <w:p>
      <w:pPr>
        <w:spacing w:after="0" w:line="30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Indemnification agreements</w:t>
      </w:r>
    </w:p>
    <w:p>
      <w:pPr>
        <w:spacing w:after="0" w:line="14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We have entered and intend to continue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For more information regarding these indemnification agreements, see “Management—Limitation on liability and indemnification matters.”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Our board of directors will adopt a written related party transaction policy, which became effective upon the effectiveness of the Registration Statement, setting forth the policies and procedures for the review and approval or ratification of related-party transactions. This policy will cover any transaction, arrangement or relationship, or any series of similar transactions, arrangements or relationships, in which we were or are to be a participant and a related party had or will have a direct or indirect material interest, as determined by the audit committee of our board of directors, including, without limitation, purchases of goods or services by or from the related party or entities in which the related party has a material interest, and indebtedness, guarantees of indebtedness or employment by us of a related party.</w:t>
      </w:r>
    </w:p>
    <w:p>
      <w:pPr>
        <w:spacing w:after="0" w:line="291" w:lineRule="exact"/>
        <w:rPr>
          <w:sz w:val="20"/>
          <w:szCs w:val="20"/>
          <w:color w:val="auto"/>
        </w:rPr>
      </w:pPr>
    </w:p>
    <w:p>
      <w:pPr>
        <w:ind w:left="1240" w:right="1279"/>
        <w:spacing w:after="0" w:line="278" w:lineRule="auto"/>
        <w:rPr>
          <w:sz w:val="20"/>
          <w:szCs w:val="20"/>
          <w:color w:val="auto"/>
        </w:rPr>
      </w:pPr>
      <w:r>
        <w:rPr>
          <w:rFonts w:ascii="Arial" w:cs="Arial" w:eastAsia="Arial" w:hAnsi="Arial"/>
          <w:sz w:val="14"/>
          <w:szCs w:val="14"/>
          <w:color w:val="auto"/>
        </w:rPr>
        <w:t>All related party transactions described in this section occurred prior to adoption of this policy and as such, these transactions were not subject to the approval and review procedures set forth in the policy. However, these transactions were reviewed and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8" w:name="page189"/>
    <w:bookmarkEnd w:id="18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Principal stockholders</w:t>
      </w:r>
    </w:p>
    <w:p>
      <w:pPr>
        <w:spacing w:after="0" w:line="130" w:lineRule="exact"/>
        <w:rPr>
          <w:sz w:val="20"/>
          <w:szCs w:val="20"/>
          <w:color w:val="auto"/>
        </w:rPr>
      </w:pPr>
    </w:p>
    <w:p>
      <w:pPr>
        <w:ind w:left="1240" w:right="1359"/>
        <w:spacing w:after="0" w:line="302" w:lineRule="auto"/>
        <w:rPr>
          <w:sz w:val="20"/>
          <w:szCs w:val="20"/>
          <w:color w:val="auto"/>
        </w:rPr>
      </w:pPr>
      <w:r>
        <w:rPr>
          <w:rFonts w:ascii="Arial" w:cs="Arial" w:eastAsia="Arial" w:hAnsi="Arial"/>
          <w:sz w:val="14"/>
          <w:szCs w:val="14"/>
          <w:color w:val="auto"/>
        </w:rPr>
        <w:t>The following table sets forth, as of June 11, 2021, information regarding beneficial ownership of our capital stock by:</w:t>
      </w:r>
    </w:p>
    <w:p>
      <w:pPr>
        <w:spacing w:after="0" w:line="87" w:lineRule="exact"/>
        <w:rPr>
          <w:sz w:val="20"/>
          <w:szCs w:val="20"/>
          <w:color w:val="auto"/>
        </w:rPr>
      </w:pPr>
    </w:p>
    <w:p>
      <w:pPr>
        <w:ind w:left="1360" w:right="1499" w:hanging="111"/>
        <w:spacing w:after="0" w:line="286" w:lineRule="auto"/>
        <w:tabs>
          <w:tab w:leader="none" w:pos="13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each person, or group of affiliated persons, known by us to beneficially own more than 5% of our common stock;</w:t>
      </w:r>
    </w:p>
    <w:p>
      <w:pPr>
        <w:spacing w:after="0" w:line="76" w:lineRule="exact"/>
        <w:rPr>
          <w:rFonts w:ascii="Arial" w:cs="Arial" w:eastAsia="Arial" w:hAnsi="Arial"/>
          <w:sz w:val="14"/>
          <w:szCs w:val="14"/>
          <w:color w:val="auto"/>
        </w:rPr>
      </w:pPr>
    </w:p>
    <w:p>
      <w:pPr>
        <w:ind w:left="1360" w:hanging="111"/>
        <w:spacing w:after="0"/>
        <w:tabs>
          <w:tab w:leader="none" w:pos="13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each of our NEOs;</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28" w:lineRule="exact"/>
        <w:rPr>
          <w:rFonts w:ascii="Arial" w:cs="Arial" w:eastAsia="Arial" w:hAnsi="Arial"/>
          <w:sz w:val="14"/>
          <w:szCs w:val="14"/>
          <w:color w:val="auto"/>
        </w:rPr>
      </w:pPr>
    </w:p>
    <w:p>
      <w:pPr>
        <w:ind w:left="1360" w:hanging="111"/>
        <w:spacing w:after="0"/>
        <w:tabs>
          <w:tab w:leader="none" w:pos="13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of our June 11, 2021 executive officers and directors as a group.</w:t>
      </w:r>
    </w:p>
    <w:p>
      <w:pPr>
        <w:spacing w:after="0" w:line="128" w:lineRule="exact"/>
        <w:rPr>
          <w:sz w:val="20"/>
          <w:szCs w:val="20"/>
          <w:color w:val="auto"/>
        </w:rPr>
      </w:pPr>
    </w:p>
    <w:p>
      <w:pPr>
        <w:ind w:left="1240" w:right="1379"/>
        <w:spacing w:after="0" w:line="287" w:lineRule="auto"/>
        <w:rPr>
          <w:sz w:val="20"/>
          <w:szCs w:val="20"/>
          <w:color w:val="auto"/>
        </w:rPr>
      </w:pPr>
      <w:r>
        <w:rPr>
          <w:rFonts w:ascii="Arial" w:cs="Arial" w:eastAsia="Arial" w:hAnsi="Arial"/>
          <w:sz w:val="14"/>
          <w:szCs w:val="14"/>
          <w:color w:val="auto"/>
        </w:rPr>
        <w:t>The percentage ownership information under the column titled “Beneficial ownership prior to this offering” is based on 44,274,608 shares of common stock outstanding as of June 11, 2021, assuming the automatic conversion of all outstanding shares of our convertible preferred stock into an aggregate of 34,126,528 shares of common stock upon the closing of this offering.</w:t>
      </w:r>
    </w:p>
    <w:p>
      <w:pPr>
        <w:spacing w:after="0" w:line="1" w:lineRule="exact"/>
        <w:rPr>
          <w:sz w:val="20"/>
          <w:szCs w:val="20"/>
          <w:color w:val="auto"/>
        </w:rPr>
      </w:pPr>
    </w:p>
    <w:p>
      <w:pPr>
        <w:ind w:left="1240" w:right="1539"/>
        <w:spacing w:after="0" w:line="294" w:lineRule="auto"/>
        <w:rPr>
          <w:sz w:val="20"/>
          <w:szCs w:val="20"/>
          <w:color w:val="auto"/>
        </w:rPr>
      </w:pPr>
      <w:r>
        <w:rPr>
          <w:rFonts w:ascii="Arial" w:cs="Arial" w:eastAsia="Arial" w:hAnsi="Arial"/>
          <w:sz w:val="14"/>
          <w:szCs w:val="14"/>
          <w:color w:val="auto"/>
        </w:rPr>
        <w:t>The percentage ownership information under the column titled “After Offering” is based on the sale of 10,550,000 shares of common stock in this offering. The percentage ownership information assumes no exercise of the underwriters’ option to purchase additional shares.</w:t>
      </w:r>
    </w:p>
    <w:p>
      <w:pPr>
        <w:spacing w:after="0" w:line="104" w:lineRule="exact"/>
        <w:rPr>
          <w:sz w:val="20"/>
          <w:szCs w:val="20"/>
          <w:color w:val="auto"/>
        </w:rPr>
      </w:pPr>
    </w:p>
    <w:p>
      <w:pPr>
        <w:ind w:left="1240" w:right="1339"/>
        <w:spacing w:after="0" w:line="289" w:lineRule="auto"/>
        <w:rPr>
          <w:sz w:val="20"/>
          <w:szCs w:val="20"/>
          <w:color w:val="auto"/>
        </w:rPr>
      </w:pPr>
      <w:r>
        <w:rPr>
          <w:rFonts w:ascii="Arial" w:cs="Arial" w:eastAsia="Arial" w:hAnsi="Arial"/>
          <w:sz w:val="14"/>
          <w:szCs w:val="14"/>
          <w:color w:val="auto"/>
        </w:rPr>
        <w:t>Beneficial ownership is determined according to the rules of the SEC and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June 11, 2021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298" w:lineRule="exact"/>
        <w:rPr>
          <w:sz w:val="20"/>
          <w:szCs w:val="20"/>
          <w:color w:val="auto"/>
        </w:rPr>
      </w:pPr>
    </w:p>
    <w:p>
      <w:pPr>
        <w:ind w:left="1240" w:right="1419"/>
        <w:spacing w:after="0" w:line="302" w:lineRule="auto"/>
        <w:rPr>
          <w:sz w:val="20"/>
          <w:szCs w:val="20"/>
          <w:color w:val="auto"/>
        </w:rPr>
      </w:pPr>
      <w:r>
        <w:rPr>
          <w:rFonts w:ascii="Arial" w:cs="Arial" w:eastAsia="Arial" w:hAnsi="Arial"/>
          <w:sz w:val="14"/>
          <w:szCs w:val="14"/>
          <w:color w:val="auto"/>
        </w:rPr>
        <w:t>Unless otherwise noted below, the address for each beneficial owner listed in the table below is c/o Century Therapeutics, Inc., 3675 Market Street,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9" w:name="page190"/>
    <w:bookmarkEnd w:id="18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Beneficial ownership prior to Beneficial ownership after</w:t>
            </w:r>
          </w:p>
        </w:tc>
        <w:tc>
          <w:tcPr>
            <w:tcW w:w="1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rPr>
              <w:t>this offering</w:t>
            </w:r>
          </w:p>
        </w:tc>
        <w:tc>
          <w:tcPr>
            <w:tcW w:w="6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this offering</w:t>
            </w: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0" w:type="dxa"/>
            <w:vAlign w:val="bottom"/>
            <w:tcBorders>
              <w:top w:val="single" w:sz="8" w:color="auto"/>
            </w:tcBorders>
          </w:tcPr>
          <w:p>
            <w:pPr>
              <w:jc w:val="right"/>
              <w:ind w:right="110"/>
              <w:spacing w:after="0" w:line="136" w:lineRule="exact"/>
              <w:rPr>
                <w:sz w:val="20"/>
                <w:szCs w:val="20"/>
                <w:color w:val="auto"/>
              </w:rPr>
            </w:pPr>
            <w:r>
              <w:rPr>
                <w:rFonts w:ascii="Arial" w:cs="Arial" w:eastAsia="Arial" w:hAnsi="Arial"/>
                <w:sz w:val="13"/>
                <w:szCs w:val="13"/>
                <w:b w:val="1"/>
                <w:bCs w:val="1"/>
                <w:color w:val="auto"/>
              </w:rPr>
              <w:t>Number of</w:t>
            </w:r>
          </w:p>
        </w:tc>
        <w:tc>
          <w:tcPr>
            <w:tcW w:w="1780" w:type="dxa"/>
            <w:vAlign w:val="bottom"/>
            <w:tcBorders>
              <w:top w:val="single" w:sz="8" w:color="auto"/>
            </w:tcBorders>
            <w:gridSpan w:val="2"/>
          </w:tcPr>
          <w:p>
            <w:pPr>
              <w:jc w:val="right"/>
              <w:ind w:right="50"/>
              <w:spacing w:after="0" w:line="136" w:lineRule="exact"/>
              <w:rPr>
                <w:sz w:val="20"/>
                <w:szCs w:val="20"/>
                <w:color w:val="auto"/>
              </w:rPr>
            </w:pPr>
            <w:r>
              <w:rPr>
                <w:rFonts w:ascii="Arial" w:cs="Arial" w:eastAsia="Arial" w:hAnsi="Arial"/>
                <w:sz w:val="13"/>
                <w:szCs w:val="13"/>
                <w:b w:val="1"/>
                <w:bCs w:val="1"/>
                <w:color w:val="auto"/>
              </w:rPr>
              <w:t>Percentage  Number of</w:t>
            </w:r>
          </w:p>
        </w:tc>
        <w:tc>
          <w:tcPr>
            <w:tcW w:w="8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Percentage</w:t>
            </w:r>
          </w:p>
        </w:tc>
        <w:tc>
          <w:tcPr>
            <w:tcW w:w="12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1120" w:type="dxa"/>
            <w:vAlign w:val="bottom"/>
          </w:tcPr>
          <w:p>
            <w:pPr>
              <w:jc w:val="right"/>
              <w:ind w:right="190"/>
              <w:spacing w:after="0"/>
              <w:rPr>
                <w:sz w:val="20"/>
                <w:szCs w:val="20"/>
                <w:color w:val="auto"/>
              </w:rPr>
            </w:pPr>
            <w:r>
              <w:rPr>
                <w:rFonts w:ascii="Arial" w:cs="Arial" w:eastAsia="Arial" w:hAnsi="Arial"/>
                <w:sz w:val="13"/>
                <w:szCs w:val="13"/>
                <w:b w:val="1"/>
                <w:bCs w:val="1"/>
                <w:color w:val="auto"/>
              </w:rPr>
              <w:t>of</w:t>
            </w:r>
          </w:p>
        </w:tc>
        <w:tc>
          <w:tcPr>
            <w:tcW w:w="660" w:type="dxa"/>
            <w:vAlign w:val="bottom"/>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of</w:t>
            </w: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beneficially</w:t>
            </w:r>
          </w:p>
        </w:tc>
        <w:tc>
          <w:tcPr>
            <w:tcW w:w="178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beneficial beneficially</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beneficial</w:t>
            </w:r>
          </w:p>
        </w:tc>
      </w:tr>
      <w:tr>
        <w:trPr>
          <w:trHeight w:val="177"/>
        </w:trPr>
        <w:tc>
          <w:tcPr>
            <w:tcW w:w="362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000" w:type="dxa"/>
            <w:vAlign w:val="bottom"/>
          </w:tcPr>
          <w:p>
            <w:pPr>
              <w:jc w:val="right"/>
              <w:ind w:right="70"/>
              <w:spacing w:after="0"/>
              <w:rPr>
                <w:sz w:val="20"/>
                <w:szCs w:val="20"/>
                <w:color w:val="auto"/>
              </w:rPr>
            </w:pPr>
            <w:r>
              <w:rPr>
                <w:rFonts w:ascii="Arial" w:cs="Arial" w:eastAsia="Arial" w:hAnsi="Arial"/>
                <w:sz w:val="13"/>
                <w:szCs w:val="13"/>
                <w:b w:val="1"/>
                <w:bCs w:val="1"/>
                <w:color w:val="auto"/>
              </w:rPr>
              <w:t>owned</w:t>
            </w:r>
          </w:p>
        </w:tc>
        <w:tc>
          <w:tcPr>
            <w:tcW w:w="1120" w:type="dxa"/>
            <w:vAlign w:val="bottom"/>
          </w:tcPr>
          <w:p>
            <w:pPr>
              <w:jc w:val="right"/>
              <w:ind w:right="150"/>
              <w:spacing w:after="0"/>
              <w:rPr>
                <w:sz w:val="20"/>
                <w:szCs w:val="20"/>
                <w:color w:val="auto"/>
              </w:rPr>
            </w:pPr>
            <w:r>
              <w:rPr>
                <w:rFonts w:ascii="Arial" w:cs="Arial" w:eastAsia="Arial" w:hAnsi="Arial"/>
                <w:sz w:val="13"/>
                <w:szCs w:val="13"/>
                <w:b w:val="1"/>
                <w:bCs w:val="1"/>
                <w:color w:val="auto"/>
              </w:rPr>
              <w:t>ownership</w:t>
            </w: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owned</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ownership</w:t>
            </w:r>
          </w:p>
        </w:tc>
      </w:tr>
      <w:tr>
        <w:trPr>
          <w:trHeight w:val="193"/>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5% and Greater Stockholders:</w:t>
            </w:r>
          </w:p>
        </w:tc>
        <w:tc>
          <w:tcPr>
            <w:tcW w:w="10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line="193" w:lineRule="exact"/>
              <w:rPr>
                <w:sz w:val="20"/>
                <w:szCs w:val="20"/>
                <w:color w:val="auto"/>
              </w:rPr>
            </w:pPr>
            <w:r>
              <w:rPr>
                <w:rFonts w:ascii="Arial" w:cs="Arial" w:eastAsia="Arial" w:hAnsi="Arial"/>
                <w:sz w:val="14"/>
                <w:szCs w:val="14"/>
                <w:color w:val="auto"/>
              </w:rPr>
              <w:t>Versant Entities</w:t>
            </w:r>
            <w:r>
              <w:rPr>
                <w:rFonts w:ascii="Arial" w:cs="Arial" w:eastAsia="Arial" w:hAnsi="Arial"/>
                <w:sz w:val="21"/>
                <w:szCs w:val="21"/>
                <w:color w:val="auto"/>
                <w:vertAlign w:val="superscript"/>
              </w:rPr>
              <w:t>(1)</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13,530,909</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30.6%13,530,909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24.7%</w:t>
            </w: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FUJIFILM Cellular Dynamics, Inc.</w:t>
            </w:r>
            <w:r>
              <w:rPr>
                <w:rFonts w:ascii="Arial" w:cs="Arial" w:eastAsia="Arial" w:hAnsi="Arial"/>
                <w:sz w:val="21"/>
                <w:szCs w:val="21"/>
                <w:color w:val="auto"/>
                <w:vertAlign w:val="superscript"/>
              </w:rPr>
              <w:t>(2)</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6,955,207</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15.7% 6,955,207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w:t>
            </w: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Bayer World Investments B.V.</w:t>
            </w:r>
            <w:r>
              <w:rPr>
                <w:rFonts w:ascii="Arial" w:cs="Arial" w:eastAsia="Arial" w:hAnsi="Arial"/>
                <w:sz w:val="21"/>
                <w:szCs w:val="21"/>
                <w:color w:val="auto"/>
                <w:vertAlign w:val="superscript"/>
              </w:rPr>
              <w:t>(3)</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11,925,838</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26.9%11,925,838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21.8%</w:t>
            </w:r>
          </w:p>
        </w:tc>
      </w:tr>
      <w:tr>
        <w:trPr>
          <w:trHeight w:val="236"/>
        </w:trPr>
        <w:tc>
          <w:tcPr>
            <w:tcW w:w="20" w:type="dxa"/>
            <w:vAlign w:val="bottom"/>
          </w:tcPr>
          <w:p>
            <w:pPr>
              <w:spacing w:after="0"/>
              <w:rPr>
                <w:sz w:val="20"/>
                <w:szCs w:val="20"/>
                <w:color w:val="auto"/>
              </w:rPr>
            </w:pPr>
          </w:p>
        </w:tc>
        <w:tc>
          <w:tcPr>
            <w:tcW w:w="3600" w:type="dxa"/>
            <w:vAlign w:val="bottom"/>
          </w:tcPr>
          <w:p>
            <w:pPr>
              <w:spacing w:after="0" w:line="236" w:lineRule="exact"/>
              <w:rPr>
                <w:sz w:val="20"/>
                <w:szCs w:val="20"/>
                <w:color w:val="auto"/>
              </w:rPr>
            </w:pPr>
            <w:r>
              <w:rPr>
                <w:rFonts w:ascii="Arial" w:cs="Arial" w:eastAsia="Arial" w:hAnsi="Arial"/>
                <w:sz w:val="14"/>
                <w:szCs w:val="14"/>
                <w:color w:val="auto"/>
              </w:rPr>
              <w:t>Casdin Entities</w:t>
            </w:r>
            <w:r>
              <w:rPr>
                <w:rFonts w:ascii="Arial" w:cs="Arial" w:eastAsia="Arial" w:hAnsi="Arial"/>
                <w:sz w:val="21"/>
                <w:szCs w:val="21"/>
                <w:color w:val="auto"/>
                <w:vertAlign w:val="superscript"/>
              </w:rPr>
              <w:t>(4)</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2,456,380</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5.5% 2,456,380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82"/>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Osvaldo Flores, Ph.D.</w:t>
            </w:r>
            <w:r>
              <w:rPr>
                <w:rFonts w:ascii="Arial" w:cs="Arial" w:eastAsia="Arial" w:hAnsi="Arial"/>
                <w:sz w:val="21"/>
                <w:szCs w:val="21"/>
                <w:color w:val="auto"/>
                <w:vertAlign w:val="superscript"/>
              </w:rPr>
              <w:t>(5)</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1,535,343</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3.5% 1,535,343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w:t>
            </w:r>
          </w:p>
        </w:tc>
      </w:tr>
      <w:tr>
        <w:trPr>
          <w:trHeight w:val="236"/>
        </w:trPr>
        <w:tc>
          <w:tcPr>
            <w:tcW w:w="20" w:type="dxa"/>
            <w:vAlign w:val="bottom"/>
          </w:tcPr>
          <w:p>
            <w:pPr>
              <w:spacing w:after="0"/>
              <w:rPr>
                <w:sz w:val="20"/>
                <w:szCs w:val="20"/>
                <w:color w:val="auto"/>
              </w:rPr>
            </w:pPr>
          </w:p>
        </w:tc>
        <w:tc>
          <w:tcPr>
            <w:tcW w:w="3600" w:type="dxa"/>
            <w:vAlign w:val="bottom"/>
          </w:tcPr>
          <w:p>
            <w:pPr>
              <w:spacing w:after="0" w:line="236" w:lineRule="exact"/>
              <w:rPr>
                <w:sz w:val="20"/>
                <w:szCs w:val="20"/>
                <w:color w:val="auto"/>
              </w:rPr>
            </w:pPr>
            <w:r>
              <w:rPr>
                <w:rFonts w:ascii="Arial" w:cs="Arial" w:eastAsia="Arial" w:hAnsi="Arial"/>
                <w:sz w:val="14"/>
                <w:szCs w:val="14"/>
                <w:color w:val="auto"/>
              </w:rPr>
              <w:t>Michael Diem, M.D.</w:t>
            </w:r>
            <w:r>
              <w:rPr>
                <w:rFonts w:ascii="Arial" w:cs="Arial" w:eastAsia="Arial" w:hAnsi="Arial"/>
                <w:sz w:val="21"/>
                <w:szCs w:val="21"/>
                <w:color w:val="auto"/>
                <w:vertAlign w:val="superscript"/>
              </w:rPr>
              <w:t>(6)</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371,092</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371,092</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360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Hyam Levitsky, M.D.</w:t>
            </w:r>
            <w:r>
              <w:rPr>
                <w:rFonts w:ascii="Arial" w:cs="Arial" w:eastAsia="Arial" w:hAnsi="Arial"/>
                <w:sz w:val="21"/>
                <w:szCs w:val="21"/>
                <w:color w:val="auto"/>
                <w:vertAlign w:val="superscript"/>
              </w:rPr>
              <w:t>(7)</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536,544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536,544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Joseph Jimenez</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494,346</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494,346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Juergen Eckhart, M.D.</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line="214"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(4)</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2,456,380</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5.5% 2,456,380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4.4%</w:t>
            </w: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Cynthia Butitta</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81"/>
        </w:trPr>
        <w:tc>
          <w:tcPr>
            <w:tcW w:w="3620" w:type="dxa"/>
            <w:vAlign w:val="bottom"/>
            <w:gridSpan w:val="2"/>
          </w:tcPr>
          <w:p>
            <w:pPr>
              <w:spacing w:after="0"/>
              <w:rPr>
                <w:sz w:val="20"/>
                <w:szCs w:val="20"/>
                <w:color w:val="auto"/>
              </w:rPr>
            </w:pPr>
            <w:r>
              <w:rPr>
                <w:rFonts w:ascii="Arial" w:cs="Arial" w:eastAsia="Arial" w:hAnsi="Arial"/>
                <w:sz w:val="14"/>
                <w:szCs w:val="14"/>
                <w:color w:val="auto"/>
              </w:rPr>
              <w:t>Kimberly Blackwell, M.D.</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Alessandro Riva, M.D.</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All current directors and executive officers as a group</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600" w:type="dxa"/>
            <w:vAlign w:val="bottom"/>
          </w:tcPr>
          <w:p>
            <w:pPr>
              <w:ind w:left="140"/>
              <w:spacing w:after="0"/>
              <w:rPr>
                <w:sz w:val="20"/>
                <w:szCs w:val="20"/>
                <w:color w:val="auto"/>
              </w:rPr>
            </w:pPr>
            <w:r>
              <w:rPr>
                <w:rFonts w:ascii="Arial" w:cs="Arial" w:eastAsia="Arial" w:hAnsi="Arial"/>
                <w:sz w:val="14"/>
                <w:szCs w:val="14"/>
                <w:color w:val="auto"/>
              </w:rPr>
              <w:t>(14 persons)</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6,869,212</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color w:val="auto"/>
              </w:rPr>
              <w:t>14.0% 6,869,212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-2202180</wp:posOffset>
            </wp:positionV>
            <wp:extent cx="4610735" cy="135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-1930400</wp:posOffset>
            </wp:positionV>
            <wp:extent cx="4610735" cy="135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-1664970</wp:posOffset>
            </wp:positionV>
            <wp:extent cx="4610735" cy="135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610735" cy="135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34290</wp:posOffset>
            </wp:positionV>
            <wp:extent cx="4610735" cy="133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610735" cy="13335"/>
                    </a:xfrm>
                    <a:prstGeom prst="rect">
                      <a:avLst/>
                    </a:prstGeom>
                    <a:noFill/>
                  </pic:spPr>
                </pic:pic>
              </a:graphicData>
            </a:graphic>
          </wp:anchor>
        </w:drawing>
      </w:r>
    </w:p>
    <w:p>
      <w:pPr>
        <w:spacing w:after="0" w:line="98" w:lineRule="exact"/>
        <w:rPr>
          <w:sz w:val="20"/>
          <w:szCs w:val="20"/>
          <w:color w:val="auto"/>
        </w:rPr>
      </w:pPr>
    </w:p>
    <w:p>
      <w:pPr>
        <w:ind w:left="1240" w:right="1299" w:firstLine="9"/>
        <w:spacing w:after="0" w:line="224" w:lineRule="auto"/>
        <w:tabs>
          <w:tab w:leader="none" w:pos="1476" w:val="left"/>
        </w:tabs>
        <w:numPr>
          <w:ilvl w:val="0"/>
          <w:numId w:val="97"/>
        </w:numPr>
        <w:rPr>
          <w:rFonts w:ascii="Arial" w:cs="Arial" w:eastAsia="Arial" w:hAnsi="Arial"/>
          <w:sz w:val="11"/>
          <w:szCs w:val="11"/>
          <w:color w:val="auto"/>
        </w:rPr>
      </w:pPr>
      <w:r>
        <w:rPr>
          <w:rFonts w:ascii="Arial" w:cs="Arial" w:eastAsia="Arial" w:hAnsi="Arial"/>
          <w:sz w:val="11"/>
          <w:szCs w:val="11"/>
          <w:color w:val="auto"/>
        </w:rPr>
        <w:t>Consists of (i) 9,936,011 shares of common stock issuable upon conversion of 25,000,000 shares of Series A preferred stock upon the closing of this offering held by Versant Venture Capital VI, L.P., or Versant VI, (ii) 2,980,803 shares of common stock held by Versant VI and (iii) 614,095 shares of common stock issuable upon conversion of 1,545,125 shares of Series C preferred stock upon the closing of this offering held by Versant Vantage II, L.P.,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49" w:lineRule="exact"/>
        <w:rPr>
          <w:rFonts w:ascii="Arial" w:cs="Arial" w:eastAsia="Arial" w:hAnsi="Arial"/>
          <w:sz w:val="11"/>
          <w:szCs w:val="11"/>
          <w:color w:val="auto"/>
        </w:rPr>
      </w:pPr>
    </w:p>
    <w:p>
      <w:pPr>
        <w:ind w:left="1240" w:right="1299" w:firstLine="9"/>
        <w:spacing w:after="0" w:line="228" w:lineRule="auto"/>
        <w:tabs>
          <w:tab w:leader="none" w:pos="1476" w:val="left"/>
        </w:tabs>
        <w:numPr>
          <w:ilvl w:val="0"/>
          <w:numId w:val="97"/>
        </w:numPr>
        <w:rPr>
          <w:rFonts w:ascii="Arial" w:cs="Arial" w:eastAsia="Arial" w:hAnsi="Arial"/>
          <w:sz w:val="11"/>
          <w:szCs w:val="11"/>
          <w:color w:val="auto"/>
        </w:rPr>
      </w:pPr>
      <w:r>
        <w:rPr>
          <w:rFonts w:ascii="Arial" w:cs="Arial" w:eastAsia="Arial" w:hAnsi="Arial"/>
          <w:sz w:val="11"/>
          <w:szCs w:val="11"/>
          <w:color w:val="auto"/>
        </w:rPr>
        <w:t>Consists of (i) 3,974,404 shares of common stock issuable upon the conversion of 10,000,000 shares of Series A preferred stock upon the closing of this offering held by FCDI and (ii) 2,980,803 shares of common stock held by FCDI. FCDI is an indirect, wholly owned subsidiary of FUJIFILM Holdings Corporation, which has sole voting and investment power over the Century shares held by FCDI. The address for FUJIFILM Holdings Corporation is 7-3, Akasaka 9-chome, Minato-ku, Tokyo 107-0052, Japan.</w:t>
      </w:r>
    </w:p>
    <w:p>
      <w:pPr>
        <w:spacing w:after="0" w:line="54" w:lineRule="exact"/>
        <w:rPr>
          <w:rFonts w:ascii="Arial" w:cs="Arial" w:eastAsia="Arial" w:hAnsi="Arial"/>
          <w:sz w:val="11"/>
          <w:szCs w:val="11"/>
          <w:color w:val="auto"/>
        </w:rPr>
      </w:pPr>
    </w:p>
    <w:p>
      <w:pPr>
        <w:ind w:left="1240" w:right="1299" w:firstLine="9"/>
        <w:spacing w:after="0" w:line="226" w:lineRule="auto"/>
        <w:tabs>
          <w:tab w:leader="none" w:pos="1509" w:val="left"/>
        </w:tabs>
        <w:numPr>
          <w:ilvl w:val="0"/>
          <w:numId w:val="97"/>
        </w:numPr>
        <w:rPr>
          <w:rFonts w:ascii="Arial" w:cs="Arial" w:eastAsia="Arial" w:hAnsi="Arial"/>
          <w:sz w:val="11"/>
          <w:szCs w:val="11"/>
          <w:color w:val="auto"/>
        </w:rPr>
      </w:pPr>
      <w:r>
        <w:rPr>
          <w:rFonts w:ascii="Arial" w:cs="Arial" w:eastAsia="Arial" w:hAnsi="Arial"/>
          <w:sz w:val="11"/>
          <w:szCs w:val="11"/>
          <w:color w:val="auto"/>
        </w:rPr>
        <w:t>Consists of (i) 10,390,600 shares of common stock issuable upon the conversion of 26,143,790 shares of Series B preferred stock upon the closing of this offering, and (ii) 1,535,238 shares of common stock issuable upon the conversion of 3,862,813 shares of Series C preferred stock upon the closing of this offering held by Bayer World Investments B.V.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43" w:lineRule="exact"/>
        <w:rPr>
          <w:rFonts w:ascii="Arial" w:cs="Arial" w:eastAsia="Arial" w:hAnsi="Arial"/>
          <w:sz w:val="11"/>
          <w:szCs w:val="11"/>
          <w:color w:val="auto"/>
        </w:rPr>
      </w:pPr>
    </w:p>
    <w:p>
      <w:pPr>
        <w:ind w:left="1240" w:right="1279" w:firstLine="9"/>
        <w:spacing w:after="0" w:line="225" w:lineRule="auto"/>
        <w:tabs>
          <w:tab w:leader="none" w:pos="1476" w:val="left"/>
        </w:tabs>
        <w:numPr>
          <w:ilvl w:val="0"/>
          <w:numId w:val="97"/>
        </w:numPr>
        <w:rPr>
          <w:rFonts w:ascii="Arial" w:cs="Arial" w:eastAsia="Arial" w:hAnsi="Arial"/>
          <w:sz w:val="11"/>
          <w:szCs w:val="11"/>
          <w:color w:val="auto"/>
        </w:rPr>
      </w:pPr>
      <w:r>
        <w:rPr>
          <w:rFonts w:ascii="Arial" w:cs="Arial" w:eastAsia="Arial" w:hAnsi="Arial"/>
          <w:sz w:val="11"/>
          <w:szCs w:val="11"/>
          <w:color w:val="auto"/>
        </w:rPr>
        <w:t>Consists of (i) 1,228,190 shares of common stock issuable upon the conversion of 3,090,250 shares of Series C preferred stock upon the closing of this offering held by Casdin Partners Master Fund, L.P., or Casdin PMF, and (ii) 1,228,190 shares of common stock issuable upon the conversion of 3,090,250 shares of Series C preferred stock upon the closing of this offering held by Casdin Private Growth Equity Fund, L.P., or Casdin PGEF. Casdin Capital, LLC is the investment adviser to each of Casdin PMF and Casdin PGEF. Casdin Partners GP, LLC, or Casdin GP, is the general partner of Casdin PMF and Casdin Private Growth Equity Fund GP, LLC, or Casdin PGEF GP, is the general partner of Casdin PGEF. Mr. Casdin is the managing member of Casdin Capital, LLC and Casdin Partners GP, LLC. As such, each of Casdin Capital, LLC, Casdin Partners GP, LLC, and Mr. Casdin may be deemed to beneficially own the securities held by Casdin PMF by virtue of their shared voting and investment control over Casdin PMF and each of Casdin Capital, LLC, Casdin PGEF GP, and Mr. Casdin may be deemed to beneficially own the securities held by Casdin PGEF by virtue of their shared voting and investment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0" w:name="page191"/>
    <w:bookmarkEnd w:id="19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59"/>
        <w:spacing w:after="0" w:line="228" w:lineRule="auto"/>
        <w:rPr>
          <w:sz w:val="20"/>
          <w:szCs w:val="20"/>
          <w:color w:val="auto"/>
        </w:rPr>
      </w:pPr>
      <w:r>
        <w:rPr>
          <w:rFonts w:ascii="Arial" w:cs="Arial" w:eastAsia="Arial" w:hAnsi="Arial"/>
          <w:sz w:val="11"/>
          <w:szCs w:val="11"/>
          <w:color w:val="auto"/>
        </w:rPr>
        <w:t>control over Casdin PGEF. Each of Casdin Capital, LLC, Casdin Partners GP, Casdin PGEF GP, and Mr. Casdin disclaims beneficial ownership of such securities except to the extent of their respective pecuniary interest therein. The address of each of Casdin PMF, Casdin PGEF, Casdin Capital, LLC, Casdin GP, Casdin PGEF GP, and Mr. Casdin is 1350 Avenue of the Americas, Suite 2600, New York, New York 10019.</w:t>
      </w:r>
    </w:p>
    <w:p>
      <w:pPr>
        <w:spacing w:after="0" w:line="44" w:lineRule="exact"/>
        <w:rPr>
          <w:sz w:val="20"/>
          <w:szCs w:val="20"/>
          <w:color w:val="auto"/>
        </w:rPr>
      </w:pPr>
    </w:p>
    <w:p>
      <w:pPr>
        <w:ind w:left="1240" w:right="1359" w:firstLine="9"/>
        <w:spacing w:after="0"/>
        <w:tabs>
          <w:tab w:leader="none" w:pos="1476" w:val="left"/>
        </w:tabs>
        <w:numPr>
          <w:ilvl w:val="0"/>
          <w:numId w:val="98"/>
        </w:numPr>
        <w:rPr>
          <w:rFonts w:ascii="Arial" w:cs="Arial" w:eastAsia="Arial" w:hAnsi="Arial"/>
          <w:sz w:val="11"/>
          <w:szCs w:val="11"/>
          <w:color w:val="auto"/>
        </w:rPr>
      </w:pPr>
      <w:r>
        <w:rPr>
          <w:rFonts w:ascii="Arial" w:cs="Arial" w:eastAsia="Arial" w:hAnsi="Arial"/>
          <w:sz w:val="11"/>
          <w:szCs w:val="11"/>
          <w:color w:val="auto"/>
        </w:rPr>
        <w:t>Consists of (i) 526,839 shares of common stock; and (ii) 213,624 shares of common stock issuable pursuant to options that are exercisable within 60 days of June 11, 2021 assuming the achievement of the milestones applicable to the Performance Option by virtue of this offering held by Dr. Flores, 397,440 shares of common stock held by the NS Irrevocable Trust for Gabriel O. Flores dated April 30, 2021, or the NS Trust, and 397,440 shares of common stock held by the Flores Family Trust for Gabriel O. Flores dated October 27, 2016, or the Flores Trust. Dr. Flores is trustee of the NS Trust and Nancy Stone, Dr. Flores' wife, is trustee of the Flores Trust. Dr. Flores disclaims beneficial ownership of the shares held by each of the NS Trust and the Flores Trust.</w:t>
      </w:r>
    </w:p>
    <w:p>
      <w:pPr>
        <w:spacing w:after="0" w:line="119" w:lineRule="exact"/>
        <w:rPr>
          <w:rFonts w:ascii="Arial" w:cs="Arial" w:eastAsia="Arial" w:hAnsi="Arial"/>
          <w:sz w:val="11"/>
          <w:szCs w:val="11"/>
          <w:color w:val="auto"/>
        </w:rPr>
      </w:pPr>
    </w:p>
    <w:p>
      <w:pPr>
        <w:ind w:left="1240" w:right="1599" w:firstLine="9"/>
        <w:spacing w:after="0" w:line="234" w:lineRule="auto"/>
        <w:tabs>
          <w:tab w:leader="none" w:pos="1476" w:val="left"/>
        </w:tabs>
        <w:numPr>
          <w:ilvl w:val="0"/>
          <w:numId w:val="98"/>
        </w:numPr>
        <w:rPr>
          <w:rFonts w:ascii="Arial" w:cs="Arial" w:eastAsia="Arial" w:hAnsi="Arial"/>
          <w:sz w:val="11"/>
          <w:szCs w:val="11"/>
          <w:color w:val="auto"/>
        </w:rPr>
      </w:pPr>
      <w:r>
        <w:rPr>
          <w:rFonts w:ascii="Arial" w:cs="Arial" w:eastAsia="Arial" w:hAnsi="Arial"/>
          <w:sz w:val="11"/>
          <w:szCs w:val="11"/>
          <w:color w:val="auto"/>
        </w:rPr>
        <w:t>Consists of (i) 79,488 shares of common stock; and (ii) 291,604 shares of common stock that are issuable as shares of restricted stock pursuant to options that are exercisable within 60 days of June 11, 2021.</w:t>
      </w:r>
    </w:p>
    <w:p>
      <w:pPr>
        <w:spacing w:after="0" w:line="53" w:lineRule="exact"/>
        <w:rPr>
          <w:rFonts w:ascii="Arial" w:cs="Arial" w:eastAsia="Arial" w:hAnsi="Arial"/>
          <w:sz w:val="11"/>
          <w:szCs w:val="11"/>
          <w:color w:val="auto"/>
        </w:rPr>
      </w:pPr>
    </w:p>
    <w:p>
      <w:pPr>
        <w:ind w:left="1240" w:right="1399" w:firstLine="9"/>
        <w:spacing w:after="0" w:line="230" w:lineRule="auto"/>
        <w:tabs>
          <w:tab w:leader="none" w:pos="1476" w:val="left"/>
        </w:tabs>
        <w:numPr>
          <w:ilvl w:val="0"/>
          <w:numId w:val="98"/>
        </w:numPr>
        <w:rPr>
          <w:rFonts w:ascii="Arial" w:cs="Arial" w:eastAsia="Arial" w:hAnsi="Arial"/>
          <w:sz w:val="11"/>
          <w:szCs w:val="11"/>
          <w:color w:val="auto"/>
        </w:rPr>
      </w:pPr>
      <w:r>
        <w:rPr>
          <w:rFonts w:ascii="Arial" w:cs="Arial" w:eastAsia="Arial" w:hAnsi="Arial"/>
          <w:sz w:val="11"/>
          <w:szCs w:val="11"/>
          <w:color w:val="auto"/>
        </w:rPr>
        <w:t>Consists of 536,544 shares of common stock held by the Irrevocable Spousal Trust for Rhonda L. Zuckerman dated December 22, 2020, or the Trust. Dr. Levitsky’s daughter, Abby Miller, serves as Trustee of the Trust and the shares are held by the Trust for the benefit of Dr. Levitsky’s family. Dr. Levitsky disclaims beneficial ownership over the shares held by the Trust.</w:t>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Description of capital stock</w:t>
      </w:r>
    </w:p>
    <w:p>
      <w:pPr>
        <w:spacing w:after="0" w:line="158" w:lineRule="exact"/>
        <w:rPr>
          <w:sz w:val="20"/>
          <w:szCs w:val="20"/>
          <w:color w:val="auto"/>
        </w:rPr>
      </w:pPr>
    </w:p>
    <w:p>
      <w:pPr>
        <w:ind w:left="1240" w:right="1319"/>
        <w:spacing w:after="0" w:line="231" w:lineRule="auto"/>
        <w:rPr>
          <w:sz w:val="20"/>
          <w:szCs w:val="20"/>
          <w:color w:val="auto"/>
        </w:rPr>
      </w:pPr>
      <w:r>
        <w:rPr>
          <w:rFonts w:ascii="Arial" w:cs="Arial" w:eastAsia="Arial" w:hAnsi="Arial"/>
          <w:sz w:val="14"/>
          <w:szCs w:val="14"/>
          <w:i w:val="1"/>
          <w:iCs w:val="1"/>
          <w:color w:val="auto"/>
        </w:rPr>
        <w:t>The following descriptions are summaries of the material terms of our second amended and restated certificate of incorporation, amended and restated bylaws, the investor rights agreement to which we and certain of our stockholders are parties and of the DGCL. Because the following is only a summary, it does not contain all of the information that may be important to you. For a complete description, you should refer to our form of second amended and restated certificate of incorporation, form of amended and restated bylaws, and investors’ rights agreement, copies of which have been filed as exhibits to the registration statement of which this prospectus is part.</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General</w:t>
      </w:r>
    </w:p>
    <w:p>
      <w:pPr>
        <w:spacing w:after="0" w:line="129"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Upon the closing of this offering and the filing of our second amended and restated certificate of incorporation, our authorized capital stock will consist of 300,000,000 shares of common stock, par value $0.0001 per share, and 10,000,000 shares of preferred stock, par value $0.0001 per share. All of our outstanding shares of common stock are, and the shares of common stock to be issued in this offering will be, fully paid and nonassessable.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Common stock</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Outstanding shares</w:t>
      </w:r>
    </w:p>
    <w:p>
      <w:pPr>
        <w:spacing w:after="0" w:line="123"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As of June 11, 2021, there would have been 44,274,608 shares of common stock outstanding, held by stockholders of record, after giving effect to the automatic conversion of all our preferred stock outstanding into an aggregate of 34,126,528 shares of our common stock immediately upon the closing of this offering.</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Voting rights</w:t>
      </w:r>
    </w:p>
    <w:p>
      <w:pPr>
        <w:spacing w:after="0" w:line="133" w:lineRule="exact"/>
        <w:rPr>
          <w:sz w:val="20"/>
          <w:szCs w:val="20"/>
          <w:color w:val="auto"/>
        </w:rPr>
      </w:pPr>
    </w:p>
    <w:p>
      <w:pPr>
        <w:ind w:left="1240" w:right="1419"/>
        <w:spacing w:after="0" w:line="247" w:lineRule="auto"/>
        <w:rPr>
          <w:sz w:val="20"/>
          <w:szCs w:val="20"/>
          <w:color w:val="auto"/>
        </w:rPr>
      </w:pPr>
      <w:r>
        <w:rPr>
          <w:rFonts w:ascii="Arial" w:cs="Arial" w:eastAsia="Arial" w:hAnsi="Arial"/>
          <w:sz w:val="14"/>
          <w:szCs w:val="14"/>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w:t>
      </w:r>
      <w:r>
        <w:rPr>
          <w:rFonts w:ascii="Arial" w:cs="Arial" w:eastAsia="Arial" w:hAnsi="Arial"/>
          <w:sz w:val="19"/>
          <w:szCs w:val="19"/>
          <w:color w:val="auto"/>
          <w:vertAlign w:val="superscript"/>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voting stock will be required to take certain actions, including amending certain provisions of our second amended and restated certificate of incorporation, such as the provisions relating to amending our amended and restated bylaws, procedures for our stockholder meetings, the classified board, director liability, and exclusive forum for proceedings.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Dividends</w:t>
      </w:r>
    </w:p>
    <w:p>
      <w:pPr>
        <w:spacing w:after="0" w:line="133" w:lineRule="exact"/>
        <w:rPr>
          <w:sz w:val="20"/>
          <w:szCs w:val="20"/>
          <w:color w:val="auto"/>
        </w:rPr>
      </w:pPr>
    </w:p>
    <w:p>
      <w:pPr>
        <w:jc w:val="both"/>
        <w:ind w:left="1240" w:right="1319"/>
        <w:spacing w:after="0" w:line="263" w:lineRule="auto"/>
        <w:rPr>
          <w:sz w:val="20"/>
          <w:szCs w:val="20"/>
          <w:color w:val="auto"/>
        </w:rPr>
      </w:pPr>
      <w:r>
        <w:rPr>
          <w:rFonts w:ascii="Arial" w:cs="Arial" w:eastAsia="Arial" w:hAnsi="Arial"/>
          <w:sz w:val="14"/>
          <w:szCs w:val="14"/>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Liquidation</w:t>
      </w:r>
    </w:p>
    <w:p>
      <w:pPr>
        <w:spacing w:after="0" w:line="123"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In the event of our liquidation, dissolution or winding up, holders of our common stock will be entitled to share ratably in the net assets legally available for distribution to stockholders after the payment of all of our debts and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1" w:name="page192"/>
    <w:bookmarkEnd w:id="19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59"/>
        <w:spacing w:after="0" w:line="270" w:lineRule="auto"/>
        <w:rPr>
          <w:sz w:val="20"/>
          <w:szCs w:val="20"/>
          <w:color w:val="auto"/>
        </w:rPr>
      </w:pPr>
      <w:r>
        <w:rPr>
          <w:rFonts w:ascii="Arial" w:cs="Arial" w:eastAsia="Arial" w:hAnsi="Arial"/>
          <w:sz w:val="14"/>
          <w:szCs w:val="14"/>
          <w:color w:val="auto"/>
        </w:rPr>
        <w:t>other liabilities and the satisfaction of any liquidation preference granted to the holders of any then outstanding shares of preferred stock.</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Rights and preferences</w:t>
      </w:r>
    </w:p>
    <w:p>
      <w:pPr>
        <w:spacing w:after="0" w:line="123"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Preferred stock</w:t>
      </w:r>
    </w:p>
    <w:p>
      <w:pPr>
        <w:spacing w:after="0" w:line="12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Upon the closing of this offering, all outstanding shares of our preferred stock will be automatically converted into an aggregate of 34,126,528 shares of common stock. Under the terms of our second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82"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Warrants</w:t>
      </w:r>
    </w:p>
    <w:p>
      <w:pPr>
        <w:spacing w:after="0" w:line="118"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Pursuant to our warrant agreement between us and Hercules Technology Management Co II, Inc., or Hercules, as of May 31, 2021, Hercules held warrants to purchase an aggregate of 16,112 shares of our common stock at an exercise price of $13.96 per share, subject to customary adjustments provided in the warrant agreement. These warrants may be exercised at any time and from time to time, in whole or in part, prior to September 14, 2030.</w:t>
      </w:r>
    </w:p>
    <w:p>
      <w:pPr>
        <w:spacing w:after="0" w:line="106" w:lineRule="exact"/>
        <w:rPr>
          <w:sz w:val="20"/>
          <w:szCs w:val="20"/>
          <w:color w:val="auto"/>
        </w:rPr>
      </w:pPr>
    </w:p>
    <w:p>
      <w:pPr>
        <w:ind w:left="1240" w:right="1439"/>
        <w:spacing w:after="0" w:line="263" w:lineRule="auto"/>
        <w:rPr>
          <w:sz w:val="20"/>
          <w:szCs w:val="20"/>
          <w:color w:val="auto"/>
        </w:rPr>
      </w:pPr>
      <w:r>
        <w:rPr>
          <w:rFonts w:ascii="Arial" w:cs="Arial" w:eastAsia="Arial" w:hAnsi="Arial"/>
          <w:sz w:val="14"/>
          <w:szCs w:val="14"/>
          <w:color w:val="auto"/>
        </w:rPr>
        <w:t>On May 27, 2021 we issued Danforth Advisors, LLC, or Danforth, a warrant to purchase 15,897 shares of our common stock at an exercise price of $7.27 per share. The warrant held by Danforth is immediately exercisable and will expire on May 27, 2031.</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Stock options and grant plan shares</w:t>
      </w:r>
    </w:p>
    <w:p>
      <w:pPr>
        <w:spacing w:after="0" w:line="129"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 of June 11, 2021, 5,389,519 shares of our common stock were issuable upon the exercise of stock options at a weighted-average exercise price of $3.74 per share. For additional information regarding terms of our equity incentive plans, see the section titled “Executive compensation— Equity incentive plans.”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Registration rights</w:t>
      </w:r>
    </w:p>
    <w:p>
      <w:pPr>
        <w:spacing w:after="0" w:line="118"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The investors’ rights agreement grants certain of the holders of our capital stock party thereto certain registration rights in respect of the “registrable securities” held by them, which securities include (1) the shares of our common stock issued upon the conversion of shares of our preferred stock, (2) the shares of common stock issued upon the conversion of any other security,</w:t>
      </w:r>
    </w:p>
    <w:p>
      <w:pPr>
        <w:spacing w:after="0" w:line="1" w:lineRule="exact"/>
        <w:rPr>
          <w:sz w:val="20"/>
          <w:szCs w:val="20"/>
          <w:color w:val="auto"/>
        </w:rPr>
      </w:pPr>
    </w:p>
    <w:p>
      <w:pPr>
        <w:jc w:val="both"/>
        <w:ind w:left="1240" w:right="1379" w:firstLine="9"/>
        <w:spacing w:after="0" w:line="255" w:lineRule="auto"/>
        <w:tabs>
          <w:tab w:leader="none" w:pos="1468" w:val="left"/>
        </w:tabs>
        <w:numPr>
          <w:ilvl w:val="0"/>
          <w:numId w:val="99"/>
        </w:numPr>
        <w:rPr>
          <w:rFonts w:ascii="Arial" w:cs="Arial" w:eastAsia="Arial" w:hAnsi="Arial"/>
          <w:sz w:val="14"/>
          <w:szCs w:val="14"/>
          <w:color w:val="auto"/>
        </w:rPr>
      </w:pPr>
      <w:r>
        <w:rPr>
          <w:rFonts w:ascii="Arial" w:cs="Arial" w:eastAsia="Arial" w:hAnsi="Arial"/>
          <w:sz w:val="14"/>
          <w:szCs w:val="14"/>
          <w:color w:val="auto"/>
        </w:rPr>
        <w:t>shares of common stock held by certain of the holders of our capital stock party thereto as of the date of the investors’ rights agreement, and (4) any shares of our common stock issued as a dividend or other distribution with respect to the shares described in the foregoing clause (1),</w:t>
      </w:r>
    </w:p>
    <w:p>
      <w:pPr>
        <w:ind w:left="1240" w:right="1439" w:firstLine="9"/>
        <w:spacing w:after="0" w:line="263" w:lineRule="auto"/>
        <w:tabs>
          <w:tab w:leader="none" w:pos="1425"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and (3). The registration of shares of our common stock pursuant to the exercise of these registration rights would enable the holders thereof to sell such shares without restriction under the Securities Act when the applicable registration statement is declared effective.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2" w:name="page193"/>
    <w:bookmarkEnd w:id="19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939"/>
        <w:spacing w:after="0" w:line="278" w:lineRule="auto"/>
        <w:rPr>
          <w:sz w:val="20"/>
          <w:szCs w:val="20"/>
          <w:color w:val="auto"/>
        </w:rPr>
      </w:pPr>
      <w:r>
        <w:rPr>
          <w:rFonts w:ascii="Arial" w:cs="Arial" w:eastAsia="Arial" w:hAnsi="Arial"/>
          <w:sz w:val="14"/>
          <w:szCs w:val="14"/>
          <w:color w:val="auto"/>
        </w:rPr>
        <w:t>Holders of 40,088,134 shares of our common stock (including shares issuable upon the conversion of our preferred stock) are entitled to such registration rights pursuant to the investors’ rights agreement.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Expenses of registration</w:t>
      </w:r>
    </w:p>
    <w:p>
      <w:pPr>
        <w:spacing w:after="0" w:line="133"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Subject to specified conditions and limitations, we are required to pay all expenses, other than underwriting discounts and commissions and stock transfer taxes incurred in connection with any exercise of these registration rights.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Expiration of registration rights</w:t>
      </w:r>
    </w:p>
    <w:p>
      <w:pPr>
        <w:spacing w:after="0" w:line="144" w:lineRule="exact"/>
        <w:rPr>
          <w:sz w:val="20"/>
          <w:szCs w:val="20"/>
          <w:color w:val="auto"/>
        </w:rPr>
      </w:pPr>
    </w:p>
    <w:p>
      <w:pPr>
        <w:ind w:left="1240" w:right="1379"/>
        <w:spacing w:after="0" w:line="281" w:lineRule="auto"/>
        <w:rPr>
          <w:sz w:val="20"/>
          <w:szCs w:val="20"/>
          <w:color w:val="auto"/>
        </w:rPr>
      </w:pPr>
      <w:r>
        <w:rPr>
          <w:rFonts w:ascii="Arial" w:cs="Arial" w:eastAsia="Arial" w:hAnsi="Arial"/>
          <w:sz w:val="14"/>
          <w:szCs w:val="14"/>
          <w:color w:val="auto"/>
        </w:rPr>
        <w:t>These registration rights will expire on the earlier to occur of (1) such time after the consummation of this offering in which all of such holders registrable shares can be sold without limitation during a three-month period without registration, and (2) the third anniversary of the closing of this offering.</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144"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At any time beginning six months after the closing of this offering, the holders of a majority of the common stock issued or issuable upon conversion of our preferred stock then outstanding may, on not more than two occasions, request that we prepare, file, and maintain a registration statement on Form S-1 to register the sale of their registrable securities, provided such registrable securities represent at least 40% of all registrable securities then outstanding. Once we are eligible to use a registration statement on Form S-3, the stockholders party to the investors’ rights agreement representing at least 30% of the registrable securities then outstanding may, not more than twice in any twelve-month period, request that we prepare, file, and maintain a registration statement on Form S-3 covering the sale of their registrable securities, but only if the anticipated offering price, net of underwriting discounts and commissions, would exceed $5.0 million.</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Piggyback registration rights</w:t>
      </w:r>
    </w:p>
    <w:p>
      <w:pPr>
        <w:spacing w:after="0" w:line="133"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S-8, these holders will be entitled to notice of the registration and will have the right to include their registrable securities in the registration subject to certain limitations.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Indemnification</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The investors’ rights agreement contains customary cross-indemnification provisions, pursuant to which we are obligated to indemnify the selling holders of registrable securities in the event of either material misstatements or omissions in the applicable registration statement attributable to us or our violation of the Securities Act, and the selling stockholders are obligated to indemnify us for material misstatements or omission in the registration statement attributable to them, subject to certain limitations.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Anti-Takeover Provisions of Delaware law and our charter documents</w:t>
      </w:r>
    </w:p>
    <w:p>
      <w:pPr>
        <w:spacing w:after="0" w:line="140"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Some provisions of Delaware law and our second amended and restated certificate of incorporation and our amended and restated bylaws that will become effective immediately prior to the closing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3" w:name="page194"/>
    <w:bookmarkEnd w:id="19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Section 203 of the Delaware General Corporation Law</w:t>
      </w:r>
    </w:p>
    <w:p>
      <w:pPr>
        <w:spacing w:after="0" w:line="133" w:lineRule="exact"/>
        <w:rPr>
          <w:sz w:val="20"/>
          <w:szCs w:val="20"/>
          <w:color w:val="auto"/>
        </w:rPr>
      </w:pPr>
    </w:p>
    <w:p>
      <w:pPr>
        <w:ind w:left="1240" w:right="1359"/>
        <w:spacing w:after="0" w:line="272" w:lineRule="auto"/>
        <w:rPr>
          <w:sz w:val="20"/>
          <w:szCs w:val="20"/>
          <w:color w:val="auto"/>
        </w:rPr>
      </w:pPr>
      <w:r>
        <w:rPr>
          <w:rFonts w:ascii="Arial" w:cs="Arial" w:eastAsia="Arial" w:hAnsi="Arial"/>
          <w:sz w:val="14"/>
          <w:szCs w:val="14"/>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Elimination of stockholder action by written consent</w:t>
      </w:r>
    </w:p>
    <w:p>
      <w:pPr>
        <w:spacing w:after="0" w:line="144"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Our second amended and restated certificate of incorporation, which will be in effect immediately prior to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Undesignated preferred stock</w:t>
      </w:r>
    </w:p>
    <w:p>
      <w:pPr>
        <w:spacing w:after="0" w:line="144"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Amendment of charter provisions</w:t>
      </w:r>
    </w:p>
    <w:p>
      <w:pPr>
        <w:spacing w:after="0" w:line="133"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Our second amended and restated certificate of incorporation will further provide that the affirmative vote of holders of at least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shares of voting stock, voting as a single class, will be required to amend certain provisions of our second amended and restated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9"/>
          <w:szCs w:val="9"/>
          <w:color w:val="auto"/>
        </w:rPr>
        <w:t>2</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 of a majority of the voting power of all of the then outstanding shares of voting stock, voting as a single class. Additionally, our amended and restated bylaws may be amended by a simple majority vote of our board of directors.</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Classified board; election and removal of directors</w:t>
      </w:r>
    </w:p>
    <w:p>
      <w:pPr>
        <w:spacing w:after="0" w:line="144"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Our second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4" w:name="page195"/>
    <w:bookmarkEnd w:id="19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Choice of forum</w:t>
      </w:r>
    </w:p>
    <w:p>
      <w:pPr>
        <w:spacing w:after="0" w:line="133"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Our second amended and restated certificate of incorporation will provide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second amended and restated certificate of incorporation or our amended and restated bylaws (in each case, as may be amended from time to time), (iv) any action asserting a claim governed by the internal affairs doctrine of the State of Delaware, or</w:t>
      </w:r>
    </w:p>
    <w:p>
      <w:pPr>
        <w:spacing w:after="0" w:line="3" w:lineRule="exact"/>
        <w:rPr>
          <w:sz w:val="20"/>
          <w:szCs w:val="20"/>
          <w:color w:val="auto"/>
        </w:rPr>
      </w:pPr>
    </w:p>
    <w:p>
      <w:pPr>
        <w:ind w:left="1240" w:right="1359" w:firstLine="9"/>
        <w:spacing w:after="0" w:line="278" w:lineRule="auto"/>
        <w:tabs>
          <w:tab w:leader="none" w:pos="14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any other action asserting an “internal corporate claim,” as defined in Section 115 of the DGCL, in all cases subject to the court having personal jurisdiction over all indispensable parties named as defendants.</w:t>
      </w:r>
    </w:p>
    <w:p>
      <w:pPr>
        <w:spacing w:after="0" w:line="105"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In addition, our second amended and restated certificate of incorporation will further provide that, unless we consent in writing to the selection of an alternative forum (which consent may be given at any time, including during the pendency of litigation), the federal district courts of the United States of America shall be the sole and exclusive forum for the resolution of any complaint asserting a cause of action arising under the Securities Act. Any person or entity purchasing or otherwise acquiring or holding any interest in any of our securities will be deemed to have notice of and consented to this provision.</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140"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For a discussion of liability and indemnification, see “Management—Limitation on Liability and Indemnification Matters.”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Listing</w:t>
      </w:r>
    </w:p>
    <w:p>
      <w:pPr>
        <w:spacing w:after="0" w:line="129" w:lineRule="exact"/>
        <w:rPr>
          <w:sz w:val="20"/>
          <w:szCs w:val="20"/>
          <w:color w:val="auto"/>
        </w:rPr>
      </w:pPr>
    </w:p>
    <w:p>
      <w:pPr>
        <w:ind w:left="1240" w:right="1359"/>
        <w:spacing w:after="0" w:line="286" w:lineRule="auto"/>
        <w:rPr>
          <w:sz w:val="20"/>
          <w:szCs w:val="20"/>
          <w:color w:val="auto"/>
        </w:rPr>
      </w:pPr>
      <w:r>
        <w:rPr>
          <w:rFonts w:ascii="Arial" w:cs="Arial" w:eastAsia="Arial" w:hAnsi="Arial"/>
          <w:sz w:val="14"/>
          <w:szCs w:val="14"/>
          <w:color w:val="auto"/>
        </w:rPr>
        <w:t>Our common stock has been approved for listing on The Nasdaq Global Select Market under the trading symbol “IPSC.”</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Transfer agent and registrar</w:t>
      </w:r>
    </w:p>
    <w:p>
      <w:pPr>
        <w:spacing w:after="0" w:line="140" w:lineRule="exact"/>
        <w:rPr>
          <w:sz w:val="20"/>
          <w:szCs w:val="20"/>
          <w:color w:val="auto"/>
        </w:rPr>
      </w:pPr>
    </w:p>
    <w:p>
      <w:pPr>
        <w:ind w:left="1240" w:right="1799"/>
        <w:spacing w:after="0" w:line="286" w:lineRule="auto"/>
        <w:rPr>
          <w:sz w:val="20"/>
          <w:szCs w:val="20"/>
          <w:color w:val="auto"/>
        </w:rPr>
      </w:pPr>
      <w:r>
        <w:rPr>
          <w:rFonts w:ascii="Arial" w:cs="Arial" w:eastAsia="Arial" w:hAnsi="Arial"/>
          <w:sz w:val="14"/>
          <w:szCs w:val="14"/>
          <w:color w:val="auto"/>
        </w:rPr>
        <w:t>The transfer agent and registrar for our common stock is American Stock Transfer &amp;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5" w:name="page196"/>
    <w:bookmarkEnd w:id="19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Shares eligible for future sale</w:t>
      </w:r>
    </w:p>
    <w:p>
      <w:pPr>
        <w:spacing w:after="0" w:line="119"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closing of this offering, or the perception that those sales may occur, could adversely affect the prevailing market price for our common stock from time to time or impair our ability to raise equity capital in the future.</w:t>
      </w:r>
    </w:p>
    <w:p>
      <w:pPr>
        <w:spacing w:after="0" w:line="107"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Based on the number of shares of common stock outstanding as of June 11, 2021, upon the closing of this offering and assuming (i) the automatic conversion of all our preferred stock outstanding as of June 11, 2021 into an aggregate of 34,126,528 shares of our common stock upon the closing of this offering, (ii) no exercise of the underwriters’ option to purchase additional shares of common stock, and (iii) no exercise of outstanding options or warrants, we will have outstanding an aggregate of approximately 54,824,608 shares of common stock. All of the shares sold in this offering will be freely tradable unless purchased by our “affiliates” as such term is defined in Rule 144 or purchased by existing stockholders and their affiliated entities that are subject to lock-up agreements. All remaining shares of common stock held by existing stockholders immediately prior to the consummation of this offering will be “restricted securities,” as such term is defined in Rule 144. These restricted securities were issued and sold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8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As a result of the lock-up agreements referred to below and the provisions of Rule 144 and</w:t>
      </w:r>
    </w:p>
    <w:p>
      <w:pPr>
        <w:spacing w:after="0" w:line="10"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Rule 701, based on the number of shares of our common stock outstanding as of June 11, 2021, the remaining shares of our common stock will generally become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85725</wp:posOffset>
            </wp:positionV>
            <wp:extent cx="4460875" cy="133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60875" cy="13335"/>
                    </a:xfrm>
                    <a:prstGeom prst="rect">
                      <a:avLst/>
                    </a:prstGeom>
                    <a:noFill/>
                  </pic:spPr>
                </pic:pic>
              </a:graphicData>
            </a:graphic>
          </wp:anchor>
        </w:drawing>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Approximate number of sharesFirst date available for sale on the public markets</w:t>
      </w:r>
    </w:p>
    <w:p>
      <w:pPr>
        <w:spacing w:after="0" w:line="21"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40,088,134 shares</w:t>
            </w:r>
          </w:p>
        </w:tc>
        <w:tc>
          <w:tcPr>
            <w:tcW w:w="54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181 days after the date of this prospectus, upon expiration of the lock-up</w:t>
            </w:r>
          </w:p>
        </w:tc>
      </w:tr>
      <w:tr>
        <w:trPr>
          <w:trHeight w:val="171"/>
        </w:trPr>
        <w:tc>
          <w:tcPr>
            <w:tcW w:w="2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agreements referred to below, subject in some cases to applicable volume,</w:t>
            </w:r>
          </w:p>
        </w:tc>
      </w:tr>
      <w:tr>
        <w:trPr>
          <w:trHeight w:val="184"/>
        </w:trPr>
        <w:tc>
          <w:tcPr>
            <w:tcW w:w="20" w:type="dxa"/>
            <w:vAlign w:val="bottom"/>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manner of sale and other limitations under Rule 144 and Rule 701.</w:t>
            </w: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ind w:left="1240" w:right="1339"/>
        <w:spacing w:after="0" w:line="286" w:lineRule="auto"/>
        <w:rPr>
          <w:sz w:val="20"/>
          <w:szCs w:val="20"/>
          <w:color w:val="auto"/>
        </w:rPr>
      </w:pPr>
      <w:r>
        <w:rPr>
          <w:rFonts w:ascii="Arial" w:cs="Arial" w:eastAsia="Arial" w:hAnsi="Arial"/>
          <w:sz w:val="14"/>
          <w:szCs w:val="14"/>
          <w:color w:val="auto"/>
        </w:rPr>
        <w:t>We may issue shares of common stock from time to time as consideration for future acquisitions, investments, or other corporate purposes.</w:t>
      </w:r>
    </w:p>
    <w:p>
      <w:pPr>
        <w:spacing w:after="0" w:line="98"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5" w:lineRule="exact"/>
        <w:rPr>
          <w:sz w:val="20"/>
          <w:szCs w:val="20"/>
          <w:color w:val="auto"/>
        </w:rPr>
      </w:pPr>
    </w:p>
    <w:p>
      <w:pPr>
        <w:ind w:left="1240" w:right="1419"/>
        <w:spacing w:after="0" w:line="276" w:lineRule="auto"/>
        <w:rPr>
          <w:sz w:val="20"/>
          <w:szCs w:val="20"/>
          <w:color w:val="auto"/>
        </w:rPr>
      </w:pPr>
      <w:r>
        <w:rPr>
          <w:rFonts w:ascii="Arial" w:cs="Arial" w:eastAsia="Arial" w:hAnsi="Arial"/>
          <w:sz w:val="14"/>
          <w:szCs w:val="14"/>
          <w:color w:val="auto"/>
        </w:rPr>
        <w:t>In addition, the shares of common stock reserved for future issuance under the 2018 Plan and 2021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144</w:t>
      </w:r>
    </w:p>
    <w:p>
      <w:pPr>
        <w:spacing w:after="0" w:line="129"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6" w:name="page197"/>
    <w:bookmarkEnd w:id="19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419"/>
        <w:spacing w:after="0" w:line="270" w:lineRule="auto"/>
        <w:rPr>
          <w:sz w:val="20"/>
          <w:szCs w:val="20"/>
          <w:color w:val="auto"/>
        </w:rPr>
      </w:pPr>
      <w:r>
        <w:rPr>
          <w:rFonts w:ascii="Arial" w:cs="Arial" w:eastAsia="Arial" w:hAnsi="Arial"/>
          <w:sz w:val="14"/>
          <w:szCs w:val="14"/>
          <w:color w:val="auto"/>
        </w:rPr>
        <w:t>shares in the public market without complying with any of the requirements of Rule 144 (subject to the lock-up agreement referred to below, if applicable).</w:t>
      </w:r>
    </w:p>
    <w:p>
      <w:pPr>
        <w:spacing w:after="0" w:line="88" w:lineRule="exact"/>
        <w:rPr>
          <w:sz w:val="20"/>
          <w:szCs w:val="20"/>
          <w:color w:val="auto"/>
        </w:rPr>
      </w:pPr>
    </w:p>
    <w:p>
      <w:pPr>
        <w:ind w:left="1240" w:right="1439"/>
        <w:spacing w:after="0" w:line="258"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86" w:lineRule="exact"/>
        <w:rPr>
          <w:sz w:val="20"/>
          <w:szCs w:val="20"/>
          <w:color w:val="auto"/>
        </w:rPr>
      </w:pPr>
    </w:p>
    <w:p>
      <w:pPr>
        <w:ind w:left="1360" w:right="1279" w:hanging="111"/>
        <w:spacing w:after="0" w:line="275" w:lineRule="auto"/>
        <w:tabs>
          <w:tab w:leader="none" w:pos="13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1% of the number of shares of common stock then outstanding, which will equal approximately 548,246 shares of common stock immediately upon the closing of this offering (calculated as of June 11, 2021 on the basis of the assumptions described above and assuming no exercise of the underwriter’s option to purchase additional shares and no exercise of outstanding options or warrants subsequent to June 11, 2021); or</w:t>
      </w:r>
    </w:p>
    <w:p>
      <w:pPr>
        <w:spacing w:after="0" w:line="73" w:lineRule="exact"/>
        <w:rPr>
          <w:rFonts w:ascii="Arial" w:cs="Arial" w:eastAsia="Arial" w:hAnsi="Arial"/>
          <w:sz w:val="14"/>
          <w:szCs w:val="14"/>
          <w:color w:val="auto"/>
        </w:rPr>
      </w:pPr>
    </w:p>
    <w:p>
      <w:pPr>
        <w:ind w:left="1360" w:right="1799" w:hanging="111"/>
        <w:spacing w:after="0" w:line="286" w:lineRule="auto"/>
        <w:tabs>
          <w:tab w:leader="none" w:pos="13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such sale.</w:t>
      </w:r>
    </w:p>
    <w:p>
      <w:pPr>
        <w:spacing w:after="0" w:line="77"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Such sales under Rule 144 by our “affiliates” or persons selling shares on behalf of our “affiliates” are also subject to certain manner of sale provisions, notice requirements and requirements related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Rule 701</w:t>
      </w:r>
    </w:p>
    <w:p>
      <w:pPr>
        <w:spacing w:after="0" w:line="129" w:lineRule="exact"/>
        <w:rPr>
          <w:sz w:val="20"/>
          <w:szCs w:val="20"/>
          <w:color w:val="auto"/>
        </w:rPr>
      </w:pPr>
    </w:p>
    <w:p>
      <w:pPr>
        <w:ind w:left="1240" w:right="1319"/>
        <w:spacing w:after="0" w:line="255" w:lineRule="auto"/>
        <w:rPr>
          <w:sz w:val="20"/>
          <w:szCs w:val="20"/>
          <w:color w:val="auto"/>
        </w:rPr>
      </w:pPr>
      <w:r>
        <w:rPr>
          <w:rFonts w:ascii="Arial" w:cs="Arial" w:eastAsia="Arial" w:hAnsi="Arial"/>
          <w:sz w:val="14"/>
          <w:szCs w:val="14"/>
          <w:color w:val="auto"/>
        </w:rPr>
        <w:t>In general, under Rule 701,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w:t>
      </w:r>
    </w:p>
    <w:p>
      <w:pPr>
        <w:spacing w:after="0" w:line="2"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color w:val="auto"/>
        </w:rPr>
        <w:t>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Lock-up agreements</w:t>
      </w:r>
    </w:p>
    <w:p>
      <w:pPr>
        <w:spacing w:after="0" w:line="129"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connection with this offering, we, our directors, our executive officers, and the holders of substantially all of our common stock, stock options, and other securities convertible into, exercisable or exchangeable for our common stock, have agreed, subject to certain exceptions, with the underwriters not to directly or indirectly offer, pledge, sell, contract to sell, sell any option or contract to purchase, purchase any option or contract to sell, grant any option, right or warrant to purchase, lend, or otherwise transfer or dispose of, directly or indirectly, or enter into any hedging, swap or other agreement or transaction that transfers any of the economic consequences of ownership of shares of our common stock, or any options to purchase shares of our common stock, or any securities convertible into or exchangeable for shares of common stock, during the period from the date of this prospectus continuing through the date 180 days after the date of this prospectus, except with the prior written consent of the representatives of the underwriters, and certain other limited exceptions. These agreements are described in the section titled “Underwriting.”</w:t>
      </w:r>
    </w:p>
    <w:p>
      <w:pPr>
        <w:spacing w:after="0" w:line="274" w:lineRule="exact"/>
        <w:rPr>
          <w:sz w:val="20"/>
          <w:szCs w:val="20"/>
          <w:color w:val="auto"/>
        </w:rPr>
      </w:pPr>
    </w:p>
    <w:p>
      <w:pPr>
        <w:ind w:left="1240" w:right="1499"/>
        <w:spacing w:after="0" w:line="259" w:lineRule="auto"/>
        <w:rPr>
          <w:sz w:val="20"/>
          <w:szCs w:val="20"/>
          <w:color w:val="auto"/>
        </w:rPr>
      </w:pPr>
      <w:r>
        <w:rPr>
          <w:rFonts w:ascii="Arial" w:cs="Arial" w:eastAsia="Arial" w:hAnsi="Arial"/>
          <w:sz w:val="14"/>
          <w:szCs w:val="14"/>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 restricted stock purchase agreement, that contain market stand-off provisions or incorporate market stand-off</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198120</wp:posOffset>
            </wp:positionV>
            <wp:extent cx="5417820"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7" w:name="page198"/>
    <w:bookmarkEnd w:id="19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provisions from our equity incentive plan imposing restrictions on the ability of such security holders to offer, sell, or transfer our equity securities for a period of 180 days following the date of this prospectus.</w:t>
      </w:r>
    </w:p>
    <w:p>
      <w:pPr>
        <w:spacing w:after="0" w:line="263"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Registration rights</w:t>
      </w:r>
    </w:p>
    <w:p>
      <w:pPr>
        <w:spacing w:after="0" w:line="14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Upon the closing of this offering, the holders of up to approximately 40,088,134 million shares of our common stock (which includes all of the shares of common stock issuable upon the automatic conversion of our preferred stock upon the closing of this offering), or their transferees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immediately upon the effectiveness of the registration statement registering such shares, except for shares purchased by affiliates.</w:t>
      </w:r>
    </w:p>
    <w:p>
      <w:pPr>
        <w:spacing w:after="0" w:line="109" w:lineRule="exact"/>
        <w:rPr>
          <w:sz w:val="20"/>
          <w:szCs w:val="20"/>
          <w:color w:val="auto"/>
        </w:rPr>
      </w:pPr>
    </w:p>
    <w:p>
      <w:pPr>
        <w:ind w:left="1240" w:right="1399"/>
        <w:spacing w:after="0" w:line="277" w:lineRule="auto"/>
        <w:rPr>
          <w:sz w:val="20"/>
          <w:szCs w:val="20"/>
          <w:color w:val="auto"/>
        </w:rPr>
      </w:pPr>
      <w:r>
        <w:rPr>
          <w:rFonts w:ascii="Arial" w:cs="Arial" w:eastAsia="Arial" w:hAnsi="Arial"/>
          <w:sz w:val="14"/>
          <w:szCs w:val="14"/>
          <w:color w:val="auto"/>
        </w:rPr>
        <w:t>Following the closing of our initial public offering, we intend to enter into a registration rights agreement with Hercules Capital, Inc. granting Hercules Capital, Inc. rights with respect to the registration of their shares under the Securities Act in connection with the common stock issued in connection with the exercise of warrants to purchase shares of our common stock held by Hercules Capital, Inc.</w:t>
      </w:r>
    </w:p>
    <w:p>
      <w:pPr>
        <w:spacing w:after="0" w:line="274" w:lineRule="exact"/>
        <w:rPr>
          <w:sz w:val="20"/>
          <w:szCs w:val="20"/>
          <w:color w:val="auto"/>
        </w:rPr>
      </w:pPr>
    </w:p>
    <w:p>
      <w:pPr>
        <w:jc w:val="both"/>
        <w:ind w:left="1240" w:right="1299"/>
        <w:spacing w:after="0" w:line="281" w:lineRule="auto"/>
        <w:rPr>
          <w:sz w:val="20"/>
          <w:szCs w:val="20"/>
          <w:color w:val="auto"/>
        </w:rPr>
      </w:pPr>
      <w:r>
        <w:rPr>
          <w:rFonts w:ascii="Arial" w:cs="Arial" w:eastAsia="Arial" w:hAnsi="Arial"/>
          <w:sz w:val="14"/>
          <w:szCs w:val="14"/>
          <w:color w:val="auto"/>
        </w:rPr>
        <w:t>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w:t>
      </w:r>
    </w:p>
    <w:p>
      <w:pPr>
        <w:spacing w:after="0" w:line="281" w:lineRule="exact"/>
        <w:rPr>
          <w:sz w:val="20"/>
          <w:szCs w:val="20"/>
          <w:color w:val="auto"/>
        </w:rPr>
      </w:pPr>
    </w:p>
    <w:p>
      <w:pPr>
        <w:jc w:val="both"/>
        <w:ind w:left="1240" w:right="1319"/>
        <w:spacing w:after="0" w:line="278" w:lineRule="auto"/>
        <w:rPr>
          <w:sz w:val="20"/>
          <w:szCs w:val="20"/>
          <w:color w:val="auto"/>
        </w:rPr>
      </w:pPr>
      <w:r>
        <w:rPr>
          <w:rFonts w:ascii="Arial" w:cs="Arial" w:eastAsia="Arial" w:hAnsi="Arial"/>
          <w:sz w:val="14"/>
          <w:szCs w:val="14"/>
          <w:color w:val="auto"/>
        </w:rPr>
        <w:t>See the section titled “Description of capital stock—Registration rights” for additional information. Shares covered by a registration statement will be eligible for sale on the public market upon the expiration or release from the terms of any applicable lock-up agreement.</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Equity incentive plans</w:t>
      </w:r>
    </w:p>
    <w:p>
      <w:pPr>
        <w:spacing w:after="0" w:line="14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We intend to file with the SEC a registration statement on Form S-8 under the Securities Act covering the shares of common stock reserved for issuance under the 2018 Plan, the 2021 Plan, and the ESPP.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8" w:name="page199"/>
    <w:bookmarkEnd w:id="19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519"/>
        <w:spacing w:after="0" w:line="248" w:lineRule="auto"/>
        <w:rPr>
          <w:sz w:val="20"/>
          <w:szCs w:val="20"/>
          <w:color w:val="auto"/>
        </w:rPr>
      </w:pPr>
      <w:r>
        <w:rPr>
          <w:rFonts w:ascii="Arial" w:cs="Arial" w:eastAsia="Arial" w:hAnsi="Arial"/>
          <w:sz w:val="23"/>
          <w:szCs w:val="23"/>
          <w:b w:val="1"/>
          <w:bCs w:val="1"/>
          <w:color w:val="auto"/>
        </w:rPr>
        <w:t>Material U.S. federal income tax consequences to Non-U.S. holders</w:t>
      </w:r>
    </w:p>
    <w:p>
      <w:pPr>
        <w:spacing w:after="0" w:line="73" w:lineRule="exact"/>
        <w:rPr>
          <w:sz w:val="20"/>
          <w:szCs w:val="20"/>
          <w:color w:val="auto"/>
        </w:rPr>
      </w:pPr>
    </w:p>
    <w:p>
      <w:pPr>
        <w:ind w:left="1240" w:right="1339"/>
        <w:spacing w:after="0" w:line="256"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84"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In addition, it does not address consequences relevant to Non-U.S. Holders subject to special rules, including, without limitation:</w:t>
      </w:r>
    </w:p>
    <w:p>
      <w:pPr>
        <w:spacing w:after="0" w:line="86" w:lineRule="exact"/>
        <w:rPr>
          <w:sz w:val="20"/>
          <w:szCs w:val="20"/>
          <w:color w:val="auto"/>
        </w:rPr>
      </w:pPr>
    </w:p>
    <w:p>
      <w:pPr>
        <w:ind w:left="1360" w:hanging="111"/>
        <w:spacing w:after="0"/>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persons subject to the alternative minimum tax;</w:t>
      </w:r>
    </w:p>
    <w:p>
      <w:pPr>
        <w:spacing w:after="0" w:line="10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persons holding our common stock as part of a hedge, straddle or other risk reduction strategy or as part of a conversion transaction, or other integrated investment;</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9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66" w:lineRule="exact"/>
        <w:rPr>
          <w:rFonts w:ascii="Arial" w:cs="Arial" w:eastAsia="Arial" w:hAnsi="Arial"/>
          <w:sz w:val="14"/>
          <w:szCs w:val="14"/>
          <w:color w:val="auto"/>
        </w:rPr>
      </w:pPr>
    </w:p>
    <w:p>
      <w:pPr>
        <w:ind w:left="1360" w:right="1279" w:hanging="111"/>
        <w:spacing w:after="0" w:line="286" w:lineRule="auto"/>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partnerships, other entities, or arrangements treated as partnerships for U.S. federal income tax purposes (and investors therein);</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persons deemed to sell our common stock under the constructive sale provisions of the Code;</w:t>
      </w:r>
    </w:p>
    <w:p>
      <w:pPr>
        <w:spacing w:after="0" w:line="106" w:lineRule="exact"/>
        <w:rPr>
          <w:rFonts w:ascii="Arial" w:cs="Arial" w:eastAsia="Arial" w:hAnsi="Arial"/>
          <w:sz w:val="14"/>
          <w:szCs w:val="14"/>
          <w:color w:val="auto"/>
        </w:rPr>
      </w:pPr>
    </w:p>
    <w:p>
      <w:pPr>
        <w:ind w:left="1360" w:right="1319" w:hanging="111"/>
        <w:spacing w:after="0" w:line="286" w:lineRule="auto"/>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persons who hold or receive our common stock pursuant to the exercise of any employee stock option or otherwise as compensation;</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tax-qualified retirement plans;</w:t>
      </w:r>
    </w:p>
    <w:p>
      <w:pPr>
        <w:spacing w:after="0" w:line="106" w:lineRule="exact"/>
        <w:rPr>
          <w:rFonts w:ascii="Arial" w:cs="Arial" w:eastAsia="Arial" w:hAnsi="Arial"/>
          <w:sz w:val="14"/>
          <w:szCs w:val="14"/>
          <w:color w:val="auto"/>
        </w:rPr>
      </w:pPr>
    </w:p>
    <w:p>
      <w:pPr>
        <w:ind w:left="1360" w:right="1419" w:hanging="111"/>
        <w:spacing w:after="0" w:line="286" w:lineRule="auto"/>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“qualified foreign pension funds” and entities, all of the interests of which are held by qualified foreign pension funds; and</w:t>
      </w:r>
    </w:p>
    <w:p>
      <w:pPr>
        <w:spacing w:after="0" w:line="66" w:lineRule="exact"/>
        <w:rPr>
          <w:rFonts w:ascii="Arial" w:cs="Arial" w:eastAsia="Arial" w:hAnsi="Arial"/>
          <w:sz w:val="14"/>
          <w:szCs w:val="14"/>
          <w:color w:val="auto"/>
        </w:rPr>
      </w:pPr>
    </w:p>
    <w:p>
      <w:pPr>
        <w:jc w:val="both"/>
        <w:ind w:left="1360" w:right="1599" w:hanging="111"/>
        <w:spacing w:after="0" w:line="286" w:lineRule="auto"/>
        <w:tabs>
          <w:tab w:leader="none" w:pos="13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our common stock being taken into account in an applicable financial statement.</w:t>
      </w:r>
    </w:p>
    <w:p>
      <w:pPr>
        <w:spacing w:after="0" w:line="87"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77" w:lineRule="exact"/>
        <w:rPr>
          <w:sz w:val="20"/>
          <w:szCs w:val="20"/>
          <w:color w:val="auto"/>
        </w:rPr>
      </w:pPr>
    </w:p>
    <w:p>
      <w:pPr>
        <w:ind w:left="1240" w:right="1459"/>
        <w:spacing w:after="0" w:line="276"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9" w:name="page200"/>
    <w:bookmarkEnd w:id="19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right="1419"/>
        <w:spacing w:after="0" w:line="301" w:lineRule="auto"/>
        <w:rPr>
          <w:sz w:val="20"/>
          <w:szCs w:val="20"/>
          <w:color w:val="auto"/>
        </w:rPr>
      </w:pPr>
      <w:r>
        <w:rPr>
          <w:rFonts w:ascii="Arial" w:cs="Arial" w:eastAsia="Arial" w:hAnsi="Arial"/>
          <w:sz w:val="14"/>
          <w:szCs w:val="14"/>
          <w:b w:val="1"/>
          <w:bCs w:val="1"/>
          <w:color w:val="auto"/>
        </w:rPr>
        <w:t>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Definition of a Non-U.S. holder</w:t>
      </w:r>
    </w:p>
    <w:p>
      <w:pPr>
        <w:spacing w:after="0" w:line="129" w:lineRule="exact"/>
        <w:rPr>
          <w:sz w:val="20"/>
          <w:szCs w:val="20"/>
          <w:color w:val="auto"/>
        </w:rPr>
      </w:pPr>
    </w:p>
    <w:p>
      <w:pPr>
        <w:ind w:left="1240" w:right="1279"/>
        <w:spacing w:after="0" w:line="292"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4" w:lineRule="exact"/>
        <w:rPr>
          <w:sz w:val="20"/>
          <w:szCs w:val="20"/>
          <w:color w:val="auto"/>
        </w:rPr>
      </w:pPr>
    </w:p>
    <w:p>
      <w:pPr>
        <w:ind w:left="1360" w:hanging="111"/>
        <w:spacing w:after="0"/>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17" w:lineRule="exact"/>
        <w:rPr>
          <w:rFonts w:ascii="Arial" w:cs="Arial" w:eastAsia="Arial" w:hAnsi="Arial"/>
          <w:sz w:val="14"/>
          <w:szCs w:val="14"/>
          <w:color w:val="auto"/>
        </w:rPr>
      </w:pPr>
    </w:p>
    <w:p>
      <w:pPr>
        <w:ind w:left="1360" w:right="1499" w:hanging="111"/>
        <w:spacing w:after="0" w:line="286" w:lineRule="auto"/>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 corporation or entity treated as a corporation that is created or organized under the laws of the United States, any state thereof, or the District of Columbia;</w:t>
      </w:r>
    </w:p>
    <w:p>
      <w:pPr>
        <w:spacing w:after="0" w:line="66" w:lineRule="exact"/>
        <w:rPr>
          <w:rFonts w:ascii="Arial" w:cs="Arial" w:eastAsia="Arial" w:hAnsi="Arial"/>
          <w:sz w:val="14"/>
          <w:szCs w:val="14"/>
          <w:color w:val="auto"/>
        </w:rPr>
      </w:pPr>
    </w:p>
    <w:p>
      <w:pPr>
        <w:ind w:left="1360" w:hanging="111"/>
        <w:spacing w:after="0"/>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17" w:lineRule="exact"/>
        <w:rPr>
          <w:rFonts w:ascii="Arial" w:cs="Arial" w:eastAsia="Arial" w:hAnsi="Arial"/>
          <w:sz w:val="14"/>
          <w:szCs w:val="14"/>
          <w:color w:val="auto"/>
        </w:rPr>
      </w:pPr>
    </w:p>
    <w:p>
      <w:pPr>
        <w:ind w:left="1360" w:right="1619" w:hanging="111"/>
        <w:spacing w:after="0" w:line="271" w:lineRule="auto"/>
        <w:tabs>
          <w:tab w:leader="none" w:pos="13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 trust that (i) is subject to the primary supervision of a U.S. court and the control of one or more “United States persons” (within the meaning of Section 7701(a)(30) of the Code), or</w:t>
      </w:r>
    </w:p>
    <w:p>
      <w:pPr>
        <w:ind w:left="1360" w:right="1339"/>
        <w:spacing w:after="0" w:line="286" w:lineRule="auto"/>
        <w:rPr>
          <w:rFonts w:ascii="Arial" w:cs="Arial" w:eastAsia="Arial" w:hAnsi="Arial"/>
          <w:sz w:val="14"/>
          <w:szCs w:val="14"/>
          <w:color w:val="auto"/>
        </w:rPr>
      </w:pPr>
      <w:r>
        <w:rPr>
          <w:rFonts w:ascii="Arial" w:cs="Arial" w:eastAsia="Arial" w:hAnsi="Arial"/>
          <w:sz w:val="14"/>
          <w:szCs w:val="14"/>
          <w:color w:val="auto"/>
        </w:rPr>
        <w:t>(ii) has a valid election in effect to be treated as a United States person for U.S. federal income tax purposes.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Distributions</w:t>
      </w:r>
    </w:p>
    <w:p>
      <w:pPr>
        <w:spacing w:after="0" w:line="140" w:lineRule="exact"/>
        <w:rPr>
          <w:sz w:val="20"/>
          <w:szCs w:val="20"/>
          <w:color w:val="auto"/>
        </w:rPr>
      </w:pPr>
    </w:p>
    <w:p>
      <w:pPr>
        <w:ind w:left="1240" w:right="1279"/>
        <w:spacing w:after="0" w:line="290" w:lineRule="auto"/>
        <w:rPr>
          <w:sz w:val="20"/>
          <w:szCs w:val="20"/>
          <w:color w:val="auto"/>
        </w:rPr>
      </w:pPr>
      <w:r>
        <w:rPr>
          <w:rFonts w:ascii="Arial" w:cs="Arial" w:eastAsia="Arial" w:hAnsi="Arial"/>
          <w:sz w:val="14"/>
          <w:szCs w:val="14"/>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86"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Subject to the discussions below on effectively connected income, backup withholding and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90"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88"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Any such effectively connected dividends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0" w:name="page201"/>
    <w:bookmarkEnd w:id="20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Sale or other taxable disposition</w:t>
      </w:r>
    </w:p>
    <w:p>
      <w:pPr>
        <w:spacing w:after="0" w:line="129" w:lineRule="exact"/>
        <w:rPr>
          <w:sz w:val="20"/>
          <w:szCs w:val="20"/>
          <w:color w:val="auto"/>
        </w:rPr>
      </w:pPr>
    </w:p>
    <w:p>
      <w:pPr>
        <w:ind w:left="1240" w:right="1379"/>
        <w:spacing w:after="0" w:line="278" w:lineRule="auto"/>
        <w:rPr>
          <w:sz w:val="20"/>
          <w:szCs w:val="20"/>
          <w:color w:val="auto"/>
        </w:rPr>
      </w:pPr>
      <w:r>
        <w:rPr>
          <w:rFonts w:ascii="Arial" w:cs="Arial" w:eastAsia="Arial" w:hAnsi="Arial"/>
          <w:sz w:val="14"/>
          <w:szCs w:val="14"/>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72" w:lineRule="exact"/>
        <w:rPr>
          <w:sz w:val="20"/>
          <w:szCs w:val="20"/>
          <w:color w:val="auto"/>
        </w:rPr>
      </w:pPr>
    </w:p>
    <w:p>
      <w:pPr>
        <w:ind w:left="1360" w:right="1459" w:hanging="111"/>
        <w:spacing w:after="0" w:line="27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84" w:lineRule="exact"/>
        <w:rPr>
          <w:rFonts w:ascii="Arial" w:cs="Arial" w:eastAsia="Arial" w:hAnsi="Arial"/>
          <w:sz w:val="14"/>
          <w:szCs w:val="14"/>
          <w:color w:val="auto"/>
        </w:rPr>
      </w:pPr>
    </w:p>
    <w:p>
      <w:pPr>
        <w:ind w:left="1360" w:right="137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66" w:lineRule="exact"/>
        <w:rPr>
          <w:rFonts w:ascii="Arial" w:cs="Arial" w:eastAsia="Arial" w:hAnsi="Arial"/>
          <w:sz w:val="14"/>
          <w:szCs w:val="14"/>
          <w:color w:val="auto"/>
        </w:rPr>
      </w:pPr>
    </w:p>
    <w:p>
      <w:pPr>
        <w:ind w:left="1360" w:right="1359" w:hanging="111"/>
        <w:spacing w:after="0" w:line="286" w:lineRule="auto"/>
        <w:tabs>
          <w:tab w:leader="none" w:pos="13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our common stock constitutes a U.S. real property interest, or USRPI, by reason of our status as a U.S. real property holding corporation, or USRPHC, for U.S. federal income tax purposes.</w:t>
      </w:r>
    </w:p>
    <w:p>
      <w:pPr>
        <w:spacing w:after="0" w:line="87"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285"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283"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Non-U.S. Holders should consult their tax advisors regarding any applicable income tax treaties that may provide for different rules.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40"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Payments of dividends on our common stock will not be subject to backup withholding, provided the holder either certifies its non-U.S. status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1" w:name="page202"/>
    <w:bookmarkEnd w:id="20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Copies of information returns that are filed with the IRS also may be made available under the provisions of an applicable treaty or agreement to the tax authorities of the country in which the Non-U.S. Holder resides or is established.</w:t>
      </w:r>
    </w:p>
    <w:p>
      <w:pPr>
        <w:spacing w:after="0" w:line="94" w:lineRule="exact"/>
        <w:rPr>
          <w:sz w:val="20"/>
          <w:szCs w:val="20"/>
          <w:color w:val="auto"/>
        </w:rPr>
      </w:pPr>
    </w:p>
    <w:p>
      <w:pPr>
        <w:jc w:val="both"/>
        <w:ind w:left="1240" w:right="1319"/>
        <w:spacing w:after="0" w:line="278"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40"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Withholding taxes may be imposed under Sections 1471 to 1474 of the Code (commonly referred to as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93" w:lineRule="exact"/>
        <w:rPr>
          <w:sz w:val="20"/>
          <w:szCs w:val="20"/>
          <w:color w:val="auto"/>
        </w:rPr>
      </w:pPr>
    </w:p>
    <w:p>
      <w:pPr>
        <w:ind w:left="1240" w:right="1419"/>
        <w:spacing w:after="0" w:line="274"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currently to payments of dividends on our common stock. While withholding under FATCA would have applied also to payments of gross proceeds from the sale or other disposition of our common stock on or after January 1, 2021, proposed Treasury Regulations eliminate FATCA withholding on payments of gross proceeds entirely. Taxpayers generally may rely on these proposed Treasury Regulations until final Treasury Regulations are issued.</w:t>
      </w:r>
    </w:p>
    <w:p>
      <w:pPr>
        <w:spacing w:after="0" w:line="279" w:lineRule="exact"/>
        <w:rPr>
          <w:sz w:val="20"/>
          <w:szCs w:val="20"/>
          <w:color w:val="auto"/>
        </w:rPr>
      </w:pPr>
    </w:p>
    <w:p>
      <w:pPr>
        <w:ind w:left="1240" w:right="1679"/>
        <w:spacing w:after="0" w:line="286" w:lineRule="auto"/>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2" w:name="page203"/>
    <w:bookmarkEnd w:id="20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Underwriting</w:t>
      </w:r>
    </w:p>
    <w:p>
      <w:pPr>
        <w:spacing w:after="0" w:line="119"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We are offering the shares of common stock described in this prospectus through a number of underwriters. J.P. Morgan Securities LLC, BofA Securities, Inc., SVB Leerink LLC, and Piper Sandler &amp; Co. are acting as joint book-running managers of the offering and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33"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4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Number of</w:t>
            </w:r>
          </w:p>
        </w:tc>
      </w:tr>
      <w:tr>
        <w:trPr>
          <w:trHeight w:val="15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r>
      <w:tr>
        <w:trPr>
          <w:trHeight w:val="178"/>
        </w:trPr>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common stock</w:t>
            </w:r>
          </w:p>
        </w:tc>
      </w:tr>
      <w:tr>
        <w:trPr>
          <w:trHeight w:val="171"/>
        </w:trPr>
        <w:tc>
          <w:tcPr>
            <w:tcW w:w="20" w:type="dxa"/>
            <w:vAlign w:val="bottom"/>
          </w:tcPr>
          <w:p>
            <w:pPr>
              <w:spacing w:after="0"/>
              <w:rPr>
                <w:sz w:val="14"/>
                <w:szCs w:val="14"/>
                <w:color w:val="auto"/>
              </w:rPr>
            </w:pPr>
          </w:p>
        </w:tc>
        <w:tc>
          <w:tcPr>
            <w:tcW w:w="54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J.P. Morgan Securities LLC</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3,428,750</w:t>
            </w:r>
          </w:p>
        </w:tc>
      </w:tr>
      <w:tr>
        <w:trPr>
          <w:trHeight w:val="181"/>
        </w:trPr>
        <w:tc>
          <w:tcPr>
            <w:tcW w:w="5480" w:type="dxa"/>
            <w:vAlign w:val="bottom"/>
            <w:gridSpan w:val="2"/>
          </w:tcPr>
          <w:p>
            <w:pPr>
              <w:spacing w:after="0"/>
              <w:rPr>
                <w:sz w:val="20"/>
                <w:szCs w:val="20"/>
                <w:color w:val="auto"/>
              </w:rPr>
            </w:pPr>
            <w:r>
              <w:rPr>
                <w:rFonts w:ascii="Arial" w:cs="Arial" w:eastAsia="Arial" w:hAnsi="Arial"/>
                <w:sz w:val="14"/>
                <w:szCs w:val="14"/>
                <w:color w:val="auto"/>
              </w:rPr>
              <w:t>BofA Securities, Inc.</w:t>
            </w:r>
          </w:p>
        </w:tc>
        <w:tc>
          <w:tcPr>
            <w:tcW w:w="1040" w:type="dxa"/>
            <w:vAlign w:val="bottom"/>
          </w:tcPr>
          <w:p>
            <w:pPr>
              <w:jc w:val="right"/>
              <w:spacing w:after="0"/>
              <w:rPr>
                <w:sz w:val="20"/>
                <w:szCs w:val="20"/>
                <w:color w:val="auto"/>
              </w:rPr>
            </w:pPr>
            <w:r>
              <w:rPr>
                <w:rFonts w:ascii="Arial" w:cs="Arial" w:eastAsia="Arial" w:hAnsi="Arial"/>
                <w:sz w:val="14"/>
                <w:szCs w:val="14"/>
                <w:color w:val="auto"/>
              </w:rPr>
              <w:t>3,428,750</w:t>
            </w:r>
          </w:p>
        </w:tc>
      </w:tr>
      <w:tr>
        <w:trPr>
          <w:trHeight w:val="22"/>
        </w:trPr>
        <w:tc>
          <w:tcPr>
            <w:tcW w:w="5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SVB Leerink LLC</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2,110,000</w:t>
            </w:r>
          </w:p>
        </w:tc>
      </w:tr>
      <w:tr>
        <w:trPr>
          <w:trHeight w:val="187"/>
        </w:trPr>
        <w:tc>
          <w:tcPr>
            <w:tcW w:w="5480" w:type="dxa"/>
            <w:vAlign w:val="bottom"/>
            <w:gridSpan w:val="2"/>
          </w:tcPr>
          <w:p>
            <w:pPr>
              <w:spacing w:after="0"/>
              <w:rPr>
                <w:sz w:val="20"/>
                <w:szCs w:val="20"/>
                <w:color w:val="auto"/>
              </w:rPr>
            </w:pPr>
            <w:r>
              <w:rPr>
                <w:rFonts w:ascii="Arial" w:cs="Arial" w:eastAsia="Arial" w:hAnsi="Arial"/>
                <w:sz w:val="14"/>
                <w:szCs w:val="14"/>
                <w:color w:val="auto"/>
              </w:rPr>
              <w:t>Piper Sandler &amp; Co.</w:t>
            </w:r>
          </w:p>
        </w:tc>
        <w:tc>
          <w:tcPr>
            <w:tcW w:w="1040" w:type="dxa"/>
            <w:vAlign w:val="bottom"/>
          </w:tcPr>
          <w:p>
            <w:pPr>
              <w:jc w:val="right"/>
              <w:spacing w:after="0"/>
              <w:rPr>
                <w:sz w:val="20"/>
                <w:szCs w:val="20"/>
                <w:color w:val="auto"/>
              </w:rPr>
            </w:pPr>
            <w:r>
              <w:rPr>
                <w:rFonts w:ascii="Arial" w:cs="Arial" w:eastAsia="Arial" w:hAnsi="Arial"/>
                <w:sz w:val="14"/>
                <w:szCs w:val="14"/>
                <w:color w:val="auto"/>
              </w:rPr>
              <w:t>1,582,500</w:t>
            </w:r>
          </w:p>
        </w:tc>
      </w:tr>
      <w:tr>
        <w:trPr>
          <w:trHeight w:val="180"/>
        </w:trPr>
        <w:tc>
          <w:tcPr>
            <w:tcW w:w="20" w:type="dxa"/>
            <w:vAlign w:val="bottom"/>
          </w:tcPr>
          <w:p>
            <w:pPr>
              <w:spacing w:after="0"/>
              <w:rPr>
                <w:sz w:val="15"/>
                <w:szCs w:val="15"/>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10,550,000</w:t>
            </w: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47472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74720" cy="6985"/>
                    </a:xfrm>
                    <a:prstGeom prst="rect">
                      <a:avLst/>
                    </a:prstGeom>
                    <a:noFill/>
                  </pic:spPr>
                </pic:pic>
              </a:graphicData>
            </a:graphic>
          </wp:anchor>
        </w:drawing>
      </w:r>
    </w:p>
    <w:p>
      <w:pPr>
        <w:spacing w:after="0" w:line="86"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The underwriters propose to offer the shares of common stock directly to the public at the initial public offering price set forth on the cover page of this prospectus and to certain dealers at that price less a concession not in excess of $0.84 per share. After the initial offering of the shares of common stock to the public, if all of the shares of common stock are not sold at the initial public offering price, the underwriters may change the offering price and the other selling terms. Sales of any shares of common stock made outside of the United States may be made by affiliates of the underwriters.</w:t>
      </w:r>
    </w:p>
    <w:p>
      <w:pPr>
        <w:spacing w:after="0" w:line="279"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The underwriters have an option to buy up to 1,582,500 additional shares of common stock from us to cover sales of shares of common stock by the underwriters which exceed the number of shares of common stock specified in the table above. The underwriters have 30 days from the date of this prospectus to exercise this option to purchase additional shares of common stock. If any shares of common stock are purchased with this option to purchase additional shares of common stock, the underwriters will purchase shares of common stock in approximately the same proportion as shown in the table above. If any additional shares of common stock are purchased, the underwriters will offer the additional shares of common stock on the same terms as those on which the shares of common stock are being offered.</w:t>
      </w:r>
    </w:p>
    <w:p>
      <w:pPr>
        <w:spacing w:after="0" w:line="119"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underwriting fee is equal to the public offering price per common share less the amount paid by the underwriters to us per common share. The underwriting fee is $1.40 per share. The following table shows the per share and total underwriting discounts and commissions to be paid to the underwriters assuming both no exercise and full exercise of the underwriters’ option to purchase additional shares of common stock.</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Without</w:t>
            </w: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With full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74"/>
              <w:spacing w:after="0"/>
              <w:rPr>
                <w:sz w:val="20"/>
                <w:szCs w:val="20"/>
                <w:color w:val="auto"/>
              </w:rPr>
            </w:pPr>
            <w:r>
              <w:rPr>
                <w:rFonts w:ascii="Arial" w:cs="Arial" w:eastAsia="Arial" w:hAnsi="Arial"/>
                <w:sz w:val="13"/>
                <w:szCs w:val="13"/>
                <w:b w:val="1"/>
                <w:bCs w:val="1"/>
                <w:color w:val="auto"/>
              </w:rPr>
              <w:t>option to</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option to</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74"/>
              <w:spacing w:after="0"/>
              <w:rPr>
                <w:sz w:val="20"/>
                <w:szCs w:val="20"/>
                <w:color w:val="auto"/>
              </w:rPr>
            </w:pPr>
            <w:r>
              <w:rPr>
                <w:rFonts w:ascii="Arial" w:cs="Arial" w:eastAsia="Arial" w:hAnsi="Arial"/>
                <w:sz w:val="13"/>
                <w:szCs w:val="13"/>
                <w:b w:val="1"/>
                <w:bCs w:val="1"/>
                <w:color w:val="auto"/>
              </w:rPr>
              <w:t>purchase</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purchase</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74"/>
              <w:spacing w:after="0"/>
              <w:rPr>
                <w:sz w:val="20"/>
                <w:szCs w:val="20"/>
                <w:color w:val="auto"/>
              </w:rPr>
            </w:pPr>
            <w:r>
              <w:rPr>
                <w:rFonts w:ascii="Arial" w:cs="Arial" w:eastAsia="Arial" w:hAnsi="Arial"/>
                <w:sz w:val="13"/>
                <w:szCs w:val="13"/>
                <w:b w:val="1"/>
                <w:bCs w:val="1"/>
                <w:color w:val="auto"/>
              </w:rPr>
              <w:t>additional</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74"/>
              <w:spacing w:after="0"/>
              <w:rPr>
                <w:sz w:val="20"/>
                <w:szCs w:val="20"/>
                <w:color w:val="auto"/>
              </w:rPr>
            </w:pPr>
            <w:r>
              <w:rPr>
                <w:rFonts w:ascii="Arial" w:cs="Arial" w:eastAsia="Arial" w:hAnsi="Arial"/>
                <w:sz w:val="13"/>
                <w:szCs w:val="13"/>
                <w:b w:val="1"/>
                <w:bCs w:val="1"/>
                <w:color w:val="auto"/>
              </w:rPr>
              <w:t>shares of</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6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common stock</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Pr>
          <w:p>
            <w:pPr>
              <w:spacing w:after="0"/>
              <w:rPr>
                <w:sz w:val="13"/>
                <w:szCs w:val="13"/>
                <w:color w:val="auto"/>
              </w:rPr>
            </w:pPr>
          </w:p>
        </w:tc>
      </w:tr>
      <w:tr>
        <w:trPr>
          <w:trHeight w:val="177"/>
        </w:trPr>
        <w:tc>
          <w:tcPr>
            <w:tcW w:w="1000" w:type="dxa"/>
            <w:vAlign w:val="bottom"/>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exercise</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1.40</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Total</w:t>
            </w:r>
          </w:p>
        </w:tc>
        <w:tc>
          <w:tcPr>
            <w:tcW w:w="234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
              <w:spacing w:after="0"/>
              <w:rPr>
                <w:sz w:val="20"/>
                <w:szCs w:val="20"/>
                <w:color w:val="auto"/>
              </w:rPr>
            </w:pPr>
            <w:r>
              <w:rPr>
                <w:rFonts w:ascii="Arial" w:cs="Arial" w:eastAsia="Arial" w:hAnsi="Arial"/>
                <w:sz w:val="14"/>
                <w:szCs w:val="14"/>
                <w:color w:val="auto"/>
              </w:rPr>
              <w:t>14,770,000</w:t>
            </w:r>
          </w:p>
        </w:tc>
        <w:tc>
          <w:tcPr>
            <w:tcW w:w="2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16,985,500</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60" w:type="dxa"/>
            <w:vAlign w:val="bottom"/>
          </w:tcPr>
          <w:p>
            <w:pPr>
              <w:jc w:val="right"/>
              <w:ind w:right="849"/>
              <w:spacing w:after="0"/>
              <w:rPr>
                <w:sz w:val="20"/>
                <w:szCs w:val="20"/>
                <w:color w:val="auto"/>
              </w:rPr>
            </w:pPr>
            <w:r>
              <w:rPr>
                <w:rFonts w:ascii="Arial" w:cs="Arial" w:eastAsia="Arial" w:hAnsi="Arial"/>
                <w:sz w:val="14"/>
                <w:szCs w:val="14"/>
                <w:color w:val="auto"/>
              </w:rPr>
              <w:t>190</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10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-795020</wp:posOffset>
            </wp:positionV>
            <wp:extent cx="270637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70637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3" w:name="page204"/>
    <w:bookmarkEnd w:id="20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240" w:right="1419"/>
        <w:spacing w:after="0" w:line="263"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 commissions, will be approximately $4.0 million.</w:t>
      </w:r>
    </w:p>
    <w:p>
      <w:pPr>
        <w:spacing w:after="0" w:line="92" w:lineRule="exact"/>
        <w:rPr>
          <w:sz w:val="20"/>
          <w:szCs w:val="20"/>
          <w:color w:val="auto"/>
        </w:rPr>
      </w:pPr>
    </w:p>
    <w:p>
      <w:pPr>
        <w:ind w:left="1240" w:right="1259"/>
        <w:spacing w:after="0" w:line="257"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of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also agreed to reimburse the underwriters for certain of their expenses in an amount of up to $40,000.</w:t>
      </w:r>
    </w:p>
    <w:p>
      <w:pPr>
        <w:spacing w:after="0" w:line="110"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Our directors and executive officers, and substantially all of our stockholders (such persons, “lock-up parties”) will enter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BofA Securities, Inc., SVB Leerink LLC, and Piper Sandler &amp; Co., (i)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(including without limitation,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(and, for the avoidance of doubt, the lock-up party has waived any and all notice requirements and rights with respect to the registration of any securities pursuant to any agreement, instrument, understanding or otherwise, including any stockholders or registration rights agreement or similar agreement, to which the lock-up party is a party or under which the lock-up party is entitled to any right or benefit; provided, however, that such waiver shall apply only to this offering).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Each lock-up party will further confirm that it will furnish the representatives with the details of any transaction the lock-up party, or any of its affiliates, is a party to as of the date hereof, which transaction would have been restricted by the lock-up agreement if it had been entered into by the lock-up party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40" w:right="1259"/>
        <w:spacing w:after="0" w:line="255"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to be entered into between the underwriters and the lock-up parties do not apply, subject in certain cases to various conditions, to certain transactions, including (a) transfer the lock-up party’s Lock-Up Securities: (i) as a bona fide gift or gifts, or for bona fide estate planning purposes, (ii) by will, other testamentary document or intestacy, (iii) to an immediate family member (as defined in the lock-up agreement) of the lock-up party or any trust for the direct or indirect benefit of the lock-up party or the immediate family of the lock-up party, or if the lock-up party is a trust, to a trustor or beneficiary of the trust or to the estate of a beneficiary of such trust,</w:t>
      </w:r>
    </w:p>
    <w:p>
      <w:pPr>
        <w:spacing w:after="0" w:line="2" w:lineRule="exact"/>
        <w:rPr>
          <w:sz w:val="20"/>
          <w:szCs w:val="20"/>
          <w:color w:val="auto"/>
        </w:rPr>
      </w:pPr>
    </w:p>
    <w:p>
      <w:pPr>
        <w:ind w:left="1240" w:right="1259" w:firstLine="9"/>
        <w:spacing w:after="0" w:line="260" w:lineRule="auto"/>
        <w:tabs>
          <w:tab w:leader="none" w:pos="149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to a partnership, limited liability company, or other entity of which the lock-up party and/or the immediate family of the lock-up party are the legal and beneficial owner of all of the outstanding equity securities or similar interests, (v) to a nominee or custodian of a person or entity to whom a disposition or transfer would be permissible under clauses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4" w:name="page205"/>
    <w:bookmarkEnd w:id="20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firstLine="9"/>
        <w:spacing w:after="0" w:line="256" w:lineRule="auto"/>
        <w:tabs>
          <w:tab w:leader="none" w:pos="142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partners, stockholders, or other equity holders of the lock-up party, (vii) by operation of law, such as pursuant to a qualified domestic order, divorce settlement, divorce decree, separation agreement, or other court order, (viii) to the Company from an employee or other service provider of the Company upon death, disability or termination of employment or service, in each case, of such employee or service provider, (ix) in connection with a sale of the lock-up party’s Lock-Up Securities after the closing date of this offering acquired (A) in open market transactions after the closing date of this offering or (B) from the underwriters in this offering; (x) to the Company in connection with the vesting, settlement, or exercise of restricted stock units, options, warrants, or other rights to purchase shares of common stock (including, in each case, by way of “net” or “cashless” exercise), including for the payment of exercise price and tax withholdings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or</w:t>
      </w:r>
    </w:p>
    <w:p>
      <w:pPr>
        <w:spacing w:after="0" w:line="162" w:lineRule="exact"/>
        <w:rPr>
          <w:rFonts w:ascii="Arial" w:cs="Arial" w:eastAsia="Arial" w:hAnsi="Arial"/>
          <w:sz w:val="14"/>
          <w:szCs w:val="14"/>
          <w:color w:val="auto"/>
        </w:rPr>
      </w:pPr>
    </w:p>
    <w:p>
      <w:pPr>
        <w:ind w:left="1240" w:right="1279" w:firstLine="9"/>
        <w:spacing w:after="0" w:line="255" w:lineRule="auto"/>
        <w:tabs>
          <w:tab w:leader="none" w:pos="149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 provided that (A) in the case of any transfer, distribution, or other distribution pursuant to clause (a)(i), (ii), (iii), (iv), (v), (vi) , and (vii), such transfer shall not involve a disposition for value and each donee, devisee, transferee, or distributee shall execute and deliver to the representatives a lock-up letter in the form of the lock-up agreement, (B) in the case of any transfer or distribution pursuant to clause (a) (i), (ii), (iii), (iv), (v), and (vi),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(viii), (ix) ,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(b) exercise options, settled restricted stock units, or other equity awards or exercise warrants pursuant to plans described in this prospectus; provided that any Lock-Up Securities received upon such exercise, vesting, or settlement shall be subject to the terms of the lock-up agreement; (c)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the lock-up agreement; and</w:t>
      </w:r>
    </w:p>
    <w:p>
      <w:pPr>
        <w:spacing w:after="0" w:line="200" w:lineRule="exact"/>
        <w:rPr>
          <w:sz w:val="20"/>
          <w:szCs w:val="20"/>
          <w:color w:val="auto"/>
        </w:rPr>
      </w:pPr>
    </w:p>
    <w:p>
      <w:pPr>
        <w:spacing w:after="0" w:line="258" w:lineRule="exact"/>
        <w:rPr>
          <w:sz w:val="20"/>
          <w:szCs w:val="20"/>
          <w:color w:val="auto"/>
        </w:rPr>
      </w:pPr>
    </w:p>
    <w:p>
      <w:pPr>
        <w:ind w:left="1240" w:right="1499" w:firstLine="9"/>
        <w:spacing w:after="0" w:line="259" w:lineRule="auto"/>
        <w:tabs>
          <w:tab w:leader="none" w:pos="146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establish trading plans pursuant to Rule 10b5-1 under the Exchange Act for the transfer or disposition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5" w:name="page206"/>
    <w:bookmarkEnd w:id="20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40" w:right="1319"/>
        <w:spacing w:after="0" w:line="263" w:lineRule="auto"/>
        <w:rPr>
          <w:sz w:val="20"/>
          <w:szCs w:val="20"/>
          <w:color w:val="auto"/>
        </w:rPr>
      </w:pPr>
      <w:r>
        <w:rPr>
          <w:rFonts w:ascii="Arial" w:cs="Arial" w:eastAsia="Arial" w:hAnsi="Arial"/>
          <w:sz w:val="14"/>
          <w:szCs w:val="14"/>
          <w:color w:val="auto"/>
        </w:rPr>
        <w:t>J.P. Morgan Securities LLC, BofA Securities, Inc., SVB Leerink LLC, and Piper Sandler &amp; Co., in their sole discretion, may release the securities subject to any of the lock-up agreements with the underwriters described above, in whole or in part at any time.</w:t>
      </w:r>
    </w:p>
    <w:p>
      <w:pPr>
        <w:spacing w:after="0" w:line="92" w:lineRule="exact"/>
        <w:rPr>
          <w:sz w:val="20"/>
          <w:szCs w:val="20"/>
          <w:color w:val="auto"/>
        </w:rPr>
      </w:pPr>
    </w:p>
    <w:p>
      <w:pPr>
        <w:jc w:val="both"/>
        <w:ind w:left="1240" w:right="1319"/>
        <w:spacing w:after="0" w:line="270"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09" w:lineRule="exact"/>
        <w:rPr>
          <w:sz w:val="20"/>
          <w:szCs w:val="20"/>
          <w:color w:val="auto"/>
        </w:rPr>
      </w:pPr>
    </w:p>
    <w:p>
      <w:pPr>
        <w:ind w:left="1240" w:right="1439"/>
        <w:spacing w:after="0" w:line="286" w:lineRule="auto"/>
        <w:rPr>
          <w:sz w:val="20"/>
          <w:szCs w:val="20"/>
          <w:color w:val="auto"/>
        </w:rPr>
      </w:pPr>
      <w:r>
        <w:rPr>
          <w:rFonts w:ascii="Arial" w:cs="Arial" w:eastAsia="Arial" w:hAnsi="Arial"/>
          <w:sz w:val="14"/>
          <w:szCs w:val="14"/>
          <w:color w:val="auto"/>
        </w:rPr>
        <w:t>We have applied to have our shares of common stock approved for listing on Nasdaq under the symbol “IPSC”.</w:t>
      </w:r>
    </w:p>
    <w:p>
      <w:pPr>
        <w:spacing w:after="0" w:line="87"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shares of common stock while this offering is in progress. These stabilizing transactions may include making short sales of shares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of common stock, in whole or in part, or by purchasing shares of common stock in the open market. In making this determination, the underwriters will consider, among other things, the price of shares of common stock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shares of common stock in the open market that could adversely affect investors who purchase in this offering. To the extent that the underwriters create a naked short position, they will purchase shares of common stock in the open market to cover the position.</w:t>
      </w:r>
    </w:p>
    <w:p>
      <w:pPr>
        <w:spacing w:after="0" w:line="271"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The underwriters have advised us that, pursuant to Regulation M of the Securities Act, they may also engage in other activities that stabilize, maintain, or otherwise affect the price of the shares of common stock, including the imposition of penalty bids. This means that if the representatives of the underwriters purchase shares of common stock in the open market in stabilizing transactions or to cover short sales, the representatives can require the underwriters that sold those shares of common stock as part of this offering to repay the underwriting discount received by them.</w:t>
      </w:r>
    </w:p>
    <w:p>
      <w:pPr>
        <w:spacing w:after="0" w:line="279"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These activities may have the effect of raising or maintaining the market price of the shares of common stock or preventing or retarding a decline in the market price of the shares of common stock, and, as a result, the price of the shares of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0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Prior to this offering, there has been no public market for our shares of common stock. The initial public offering price was determined by negotiations between us and the representatives of the underwriters. In determining the initial public offering price, we and the representatives of the underwriters considered a number of factors including:</w:t>
      </w:r>
    </w:p>
    <w:p>
      <w:pPr>
        <w:spacing w:after="0" w:line="73" w:lineRule="exact"/>
        <w:rPr>
          <w:sz w:val="20"/>
          <w:szCs w:val="20"/>
          <w:color w:val="auto"/>
        </w:rPr>
      </w:pPr>
    </w:p>
    <w:p>
      <w:pPr>
        <w:ind w:left="1360" w:hanging="111"/>
        <w:spacing w:after="0"/>
        <w:tabs>
          <w:tab w:leader="none" w:pos="1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information set forth in this prospectus and otherwise available to the representatives;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our prospects and the history and prospects for the industry in which we compete;</w:t>
      </w:r>
    </w:p>
    <w:p>
      <w:pPr>
        <w:spacing w:after="0" w:line="106" w:lineRule="exact"/>
        <w:rPr>
          <w:rFonts w:ascii="Arial" w:cs="Arial" w:eastAsia="Arial" w:hAnsi="Arial"/>
          <w:sz w:val="14"/>
          <w:szCs w:val="14"/>
          <w:color w:val="auto"/>
        </w:rPr>
      </w:pPr>
    </w:p>
    <w:p>
      <w:pPr>
        <w:ind w:left="1360" w:hanging="111"/>
        <w:spacing w:after="0"/>
        <w:tabs>
          <w:tab w:leader="none" w:pos="1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our prospects for future earnings;</w:t>
      </w:r>
    </w:p>
    <w:p>
      <w:pPr>
        <w:spacing w:after="0" w:line="96" w:lineRule="exact"/>
        <w:rPr>
          <w:rFonts w:ascii="Arial" w:cs="Arial" w:eastAsia="Arial" w:hAnsi="Arial"/>
          <w:sz w:val="14"/>
          <w:szCs w:val="14"/>
          <w:color w:val="auto"/>
        </w:rPr>
      </w:pPr>
    </w:p>
    <w:p>
      <w:pPr>
        <w:ind w:left="1360" w:hanging="111"/>
        <w:spacing w:after="0"/>
        <w:tabs>
          <w:tab w:leader="none" w:pos="1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06" w:lineRule="exact"/>
        <w:rPr>
          <w:rFonts w:ascii="Arial" w:cs="Arial" w:eastAsia="Arial" w:hAnsi="Arial"/>
          <w:sz w:val="14"/>
          <w:szCs w:val="14"/>
          <w:color w:val="auto"/>
        </w:rPr>
      </w:pPr>
    </w:p>
    <w:p>
      <w:pPr>
        <w:ind w:left="1360" w:right="1859" w:hanging="111"/>
        <w:spacing w:after="0" w:line="286" w:lineRule="auto"/>
        <w:tabs>
          <w:tab w:leader="none" w:pos="1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recent market prices of, and demand for, publicly traded common stock of generally comparable companies; and</w:t>
      </w:r>
    </w:p>
    <w:p>
      <w:pPr>
        <w:spacing w:after="0" w:line="55" w:lineRule="exact"/>
        <w:rPr>
          <w:rFonts w:ascii="Arial" w:cs="Arial" w:eastAsia="Arial" w:hAnsi="Arial"/>
          <w:sz w:val="14"/>
          <w:szCs w:val="14"/>
          <w:color w:val="auto"/>
        </w:rPr>
      </w:pPr>
    </w:p>
    <w:p>
      <w:pPr>
        <w:ind w:left="1360" w:hanging="111"/>
        <w:spacing w:after="0"/>
        <w:tabs>
          <w:tab w:leader="none" w:pos="1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other factors deemed relevant by the underwriters and us.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6" w:name="page207"/>
    <w:bookmarkEnd w:id="20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Neither we nor the underwriters can assure investors that an active trading market will develop for our shares of common stock, or that the shares of common stock will trade in the public market at or above the initial public offering price.</w:t>
      </w:r>
    </w:p>
    <w:p>
      <w:pPr>
        <w:spacing w:after="0" w:line="9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9" w:lineRule="exact"/>
        <w:rPr>
          <w:sz w:val="20"/>
          <w:szCs w:val="20"/>
          <w:color w:val="auto"/>
        </w:rPr>
      </w:pPr>
    </w:p>
    <w:p>
      <w:pPr>
        <w:ind w:left="1240" w:right="1479"/>
        <w:spacing w:after="0" w:line="274"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40"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77" w:lineRule="exact"/>
        <w:rPr>
          <w:sz w:val="20"/>
          <w:szCs w:val="20"/>
          <w:color w:val="auto"/>
        </w:rPr>
      </w:pPr>
    </w:p>
    <w:p>
      <w:pPr>
        <w:ind w:left="1420" w:hanging="171"/>
        <w:spacing w:after="0"/>
        <w:tabs>
          <w:tab w:leader="none" w:pos="14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Prospectus Regulation;</w:t>
      </w:r>
    </w:p>
    <w:p>
      <w:pPr>
        <w:spacing w:after="0" w:line="138" w:lineRule="exact"/>
        <w:rPr>
          <w:rFonts w:ascii="Arial" w:cs="Arial" w:eastAsia="Arial" w:hAnsi="Arial"/>
          <w:sz w:val="14"/>
          <w:szCs w:val="14"/>
          <w:color w:val="auto"/>
        </w:rPr>
      </w:pPr>
    </w:p>
    <w:p>
      <w:pPr>
        <w:ind w:left="1240" w:right="1379" w:firstLine="9"/>
        <w:spacing w:after="0" w:line="291" w:lineRule="auto"/>
        <w:tabs>
          <w:tab w:leader="none" w:pos="141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Prospectus Regulation), subject to obtaining the prior consent of the underwriters for any such offer; or</w:t>
      </w:r>
    </w:p>
    <w:p>
      <w:pPr>
        <w:spacing w:after="0" w:line="273" w:lineRule="exact"/>
        <w:rPr>
          <w:rFonts w:ascii="Arial" w:cs="Arial" w:eastAsia="Arial" w:hAnsi="Arial"/>
          <w:sz w:val="14"/>
          <w:szCs w:val="14"/>
          <w:color w:val="auto"/>
        </w:rPr>
      </w:pPr>
    </w:p>
    <w:p>
      <w:pPr>
        <w:ind w:left="1420" w:hanging="171"/>
        <w:spacing w:after="0"/>
        <w:tabs>
          <w:tab w:leader="none" w:pos="14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28"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105" w:lineRule="exact"/>
        <w:rPr>
          <w:sz w:val="20"/>
          <w:szCs w:val="20"/>
          <w:color w:val="auto"/>
        </w:rPr>
      </w:pPr>
    </w:p>
    <w:p>
      <w:pPr>
        <w:ind w:left="1240" w:right="1319"/>
        <w:spacing w:after="0" w:line="281" w:lineRule="auto"/>
        <w:rPr>
          <w:sz w:val="20"/>
          <w:szCs w:val="20"/>
          <w:color w:val="auto"/>
        </w:rPr>
      </w:pPr>
      <w:r>
        <w:rPr>
          <w:rFonts w:ascii="Arial" w:cs="Arial" w:eastAsia="Arial" w:hAnsi="Arial"/>
          <w:sz w:val="14"/>
          <w:szCs w:val="14"/>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281"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7" w:name="page208"/>
    <w:bookmarkEnd w:id="207"/>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8"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29"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In relation to the United Kingdom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18" w:lineRule="exact"/>
        <w:rPr>
          <w:sz w:val="20"/>
          <w:szCs w:val="20"/>
          <w:color w:val="auto"/>
        </w:rPr>
      </w:pPr>
    </w:p>
    <w:p>
      <w:pPr>
        <w:ind w:left="1420" w:hanging="171"/>
        <w:spacing w:after="0"/>
        <w:tabs>
          <w:tab w:leader="none" w:pos="1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UK Prospectus Regulation;</w:t>
      </w:r>
    </w:p>
    <w:p>
      <w:pPr>
        <w:spacing w:after="0" w:line="117" w:lineRule="exact"/>
        <w:rPr>
          <w:rFonts w:ascii="Arial" w:cs="Arial" w:eastAsia="Arial" w:hAnsi="Arial"/>
          <w:sz w:val="14"/>
          <w:szCs w:val="14"/>
          <w:color w:val="auto"/>
        </w:rPr>
      </w:pPr>
    </w:p>
    <w:p>
      <w:pPr>
        <w:ind w:left="1240" w:right="1379" w:firstLine="9"/>
        <w:spacing w:after="0" w:line="270" w:lineRule="auto"/>
        <w:tabs>
          <w:tab w:leader="none" w:pos="1417"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UK Prospectus Regulation), subject to obtaining the prior consent of the underwriters for any such offer; or</w:t>
      </w:r>
    </w:p>
    <w:p>
      <w:pPr>
        <w:spacing w:after="0" w:line="280" w:lineRule="exact"/>
        <w:rPr>
          <w:rFonts w:ascii="Arial" w:cs="Arial" w:eastAsia="Arial" w:hAnsi="Arial"/>
          <w:sz w:val="14"/>
          <w:szCs w:val="14"/>
          <w:color w:val="auto"/>
        </w:rPr>
      </w:pPr>
    </w:p>
    <w:p>
      <w:pPr>
        <w:ind w:left="1420" w:hanging="171"/>
        <w:spacing w:after="0"/>
        <w:tabs>
          <w:tab w:leader="none" w:pos="1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at any time in other circumstances falling within section 86 of the FSMA,</w:t>
      </w:r>
    </w:p>
    <w:p>
      <w:pPr>
        <w:spacing w:after="0" w:line="128"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92" w:lineRule="exact"/>
        <w:rPr>
          <w:sz w:val="20"/>
          <w:szCs w:val="20"/>
          <w:color w:val="auto"/>
        </w:rPr>
      </w:pPr>
    </w:p>
    <w:p>
      <w:pPr>
        <w:ind w:left="1240" w:right="1319"/>
        <w:spacing w:after="0" w:line="263" w:lineRule="auto"/>
        <w:rPr>
          <w:sz w:val="20"/>
          <w:szCs w:val="20"/>
          <w:color w:val="auto"/>
        </w:rPr>
      </w:pPr>
      <w:r>
        <w:rPr>
          <w:rFonts w:ascii="Arial" w:cs="Arial" w:eastAsia="Arial" w:hAnsi="Arial"/>
          <w:sz w:val="14"/>
          <w:szCs w:val="14"/>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274"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282"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8"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10" w:lineRule="exact"/>
        <w:rPr>
          <w:sz w:val="20"/>
          <w:szCs w:val="20"/>
          <w:color w:val="auto"/>
        </w:rPr>
      </w:pPr>
    </w:p>
    <w:p>
      <w:pPr>
        <w:ind w:left="1240" w:right="1379"/>
        <w:spacing w:after="0" w:line="255" w:lineRule="auto"/>
        <w:rPr>
          <w:sz w:val="20"/>
          <w:szCs w:val="20"/>
          <w:color w:val="auto"/>
        </w:rPr>
      </w:pPr>
      <w:r>
        <w:rPr>
          <w:rFonts w:ascii="Arial" w:cs="Arial" w:eastAsia="Arial" w:hAnsi="Arial"/>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w:t>
      </w:r>
    </w:p>
    <w:p>
      <w:pPr>
        <w:spacing w:after="0" w:line="1" w:lineRule="exact"/>
        <w:rPr>
          <w:sz w:val="20"/>
          <w:szCs w:val="20"/>
          <w:color w:val="auto"/>
        </w:rPr>
      </w:pPr>
    </w:p>
    <w:p>
      <w:pPr>
        <w:ind w:left="1240" w:right="1519" w:firstLine="9"/>
        <w:spacing w:after="0" w:line="259" w:lineRule="auto"/>
        <w:tabs>
          <w:tab w:leader="none" w:pos="1468" w:val="left"/>
        </w:tabs>
        <w:numPr>
          <w:ilvl w:val="0"/>
          <w:numId w:val="113"/>
        </w:numPr>
        <w:rPr>
          <w:rFonts w:ascii="Arial" w:cs="Arial" w:eastAsia="Arial" w:hAnsi="Arial"/>
          <w:sz w:val="14"/>
          <w:szCs w:val="14"/>
          <w:color w:val="auto"/>
        </w:rPr>
      </w:pPr>
      <w:r>
        <w:rPr>
          <w:rFonts w:ascii="Arial" w:cs="Arial" w:eastAsia="Arial" w:hAnsi="Arial"/>
          <w:sz w:val="14"/>
          <w:szCs w:val="14"/>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8" w:name="page209"/>
    <w:bookmarkEnd w:id="208"/>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18" w:lineRule="exact"/>
        <w:rPr>
          <w:sz w:val="20"/>
          <w:szCs w:val="20"/>
          <w:color w:val="auto"/>
        </w:rPr>
      </w:pPr>
    </w:p>
    <w:p>
      <w:pPr>
        <w:ind w:left="1240" w:right="1439"/>
        <w:spacing w:after="0" w:line="257" w:lineRule="auto"/>
        <w:rPr>
          <w:sz w:val="20"/>
          <w:szCs w:val="20"/>
          <w:color w:val="auto"/>
        </w:rPr>
      </w:pPr>
      <w:r>
        <w:rPr>
          <w:rFonts w:ascii="Arial" w:cs="Arial" w:eastAsia="Arial" w:hAnsi="Arial"/>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10" w:lineRule="exact"/>
        <w:rPr>
          <w:sz w:val="20"/>
          <w:szCs w:val="20"/>
          <w:color w:val="auto"/>
        </w:rPr>
      </w:pPr>
    </w:p>
    <w:p>
      <w:pPr>
        <w:ind w:left="1240" w:right="1259"/>
        <w:spacing w:after="0" w:line="258"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1240" w:right="1399"/>
        <w:spacing w:after="0" w:line="263"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1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shares of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291"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4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shares of common stock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9" w:name="page210"/>
    <w:bookmarkEnd w:id="209"/>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19"/>
        <w:spacing w:after="0" w:line="276" w:lineRule="auto"/>
        <w:rPr>
          <w:sz w:val="20"/>
          <w:szCs w:val="20"/>
          <w:color w:val="auto"/>
        </w:rPr>
      </w:pPr>
      <w:r>
        <w:rPr>
          <w:rFonts w:ascii="Arial" w:cs="Arial" w:eastAsia="Arial" w:hAnsi="Arial"/>
          <w:sz w:val="14"/>
          <w:szCs w:val="14"/>
          <w:color w:val="auto"/>
        </w:rPr>
        <w:t>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2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08" w:lineRule="exact"/>
        <w:rPr>
          <w:sz w:val="20"/>
          <w:szCs w:val="20"/>
          <w:color w:val="auto"/>
        </w:rPr>
      </w:pPr>
    </w:p>
    <w:p>
      <w:pPr>
        <w:ind w:left="1240" w:right="1439" w:firstLine="9"/>
        <w:spacing w:after="0" w:line="278" w:lineRule="auto"/>
        <w:tabs>
          <w:tab w:leader="none" w:pos="146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or the SFA) pursuant to Section 274 of the SFA;</w:t>
      </w:r>
    </w:p>
    <w:p>
      <w:pPr>
        <w:spacing w:after="0" w:line="104" w:lineRule="exact"/>
        <w:rPr>
          <w:rFonts w:ascii="Arial" w:cs="Arial" w:eastAsia="Arial" w:hAnsi="Arial"/>
          <w:sz w:val="14"/>
          <w:szCs w:val="14"/>
          <w:color w:val="auto"/>
        </w:rPr>
      </w:pPr>
    </w:p>
    <w:p>
      <w:pPr>
        <w:ind w:left="1240" w:right="1459" w:firstLine="9"/>
        <w:spacing w:after="0" w:line="278" w:lineRule="auto"/>
        <w:tabs>
          <w:tab w:leader="none" w:pos="146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3" w:lineRule="exact"/>
        <w:rPr>
          <w:rFonts w:ascii="Arial" w:cs="Arial" w:eastAsia="Arial" w:hAnsi="Arial"/>
          <w:sz w:val="14"/>
          <w:szCs w:val="14"/>
          <w:color w:val="auto"/>
        </w:rPr>
      </w:pPr>
    </w:p>
    <w:p>
      <w:pPr>
        <w:ind w:left="1240" w:right="1259" w:firstLine="9"/>
        <w:spacing w:after="0" w:line="286" w:lineRule="auto"/>
        <w:tabs>
          <w:tab w:leader="none" w:pos="14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98" w:lineRule="exact"/>
        <w:rPr>
          <w:sz w:val="20"/>
          <w:szCs w:val="20"/>
          <w:color w:val="auto"/>
        </w:rPr>
      </w:pPr>
    </w:p>
    <w:p>
      <w:pPr>
        <w:ind w:left="1240" w:right="1459"/>
        <w:spacing w:after="0" w:line="286" w:lineRule="auto"/>
        <w:rPr>
          <w:sz w:val="20"/>
          <w:szCs w:val="20"/>
          <w:color w:val="auto"/>
        </w:rPr>
      </w:pPr>
      <w:r>
        <w:rPr>
          <w:rFonts w:ascii="Arial" w:cs="Arial" w:eastAsia="Arial" w:hAnsi="Arial"/>
          <w:sz w:val="14"/>
          <w:szCs w:val="14"/>
          <w:color w:val="auto"/>
        </w:rPr>
        <w:t>Where the shares of common stock are subscribed or purchased under Section 275 of the SFA by a relevant person which is:</w:t>
      </w:r>
    </w:p>
    <w:p>
      <w:pPr>
        <w:spacing w:after="0" w:line="98" w:lineRule="exact"/>
        <w:rPr>
          <w:sz w:val="20"/>
          <w:szCs w:val="20"/>
          <w:color w:val="auto"/>
        </w:rPr>
      </w:pPr>
    </w:p>
    <w:p>
      <w:pPr>
        <w:jc w:val="both"/>
        <w:ind w:left="1240" w:right="1439" w:firstLine="9"/>
        <w:spacing w:after="0" w:line="278" w:lineRule="auto"/>
        <w:tabs>
          <w:tab w:leader="none" w:pos="146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3" w:lineRule="exact"/>
        <w:rPr>
          <w:rFonts w:ascii="Arial" w:cs="Arial" w:eastAsia="Arial" w:hAnsi="Arial"/>
          <w:sz w:val="14"/>
          <w:szCs w:val="14"/>
          <w:color w:val="auto"/>
        </w:rPr>
      </w:pPr>
    </w:p>
    <w:p>
      <w:pPr>
        <w:ind w:left="1240" w:right="1299" w:firstLine="9"/>
        <w:spacing w:after="0" w:line="274" w:lineRule="auto"/>
        <w:tabs>
          <w:tab w:leader="none" w:pos="146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7" w:lineRule="exact"/>
        <w:rPr>
          <w:rFonts w:ascii="Arial" w:cs="Arial" w:eastAsia="Arial" w:hAnsi="Arial"/>
          <w:sz w:val="14"/>
          <w:szCs w:val="14"/>
          <w:color w:val="auto"/>
        </w:rPr>
      </w:pPr>
    </w:p>
    <w:p>
      <w:pPr>
        <w:ind w:left="1500" w:right="1519" w:firstLine="6"/>
        <w:spacing w:after="0" w:line="286" w:lineRule="auto"/>
        <w:tabs>
          <w:tab w:leader="none" w:pos="1681"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276(4)(i)(B) of the SFA;</w:t>
      </w:r>
    </w:p>
    <w:p>
      <w:pPr>
        <w:spacing w:after="0" w:line="98" w:lineRule="exact"/>
        <w:rPr>
          <w:rFonts w:ascii="Arial" w:cs="Arial" w:eastAsia="Arial" w:hAnsi="Arial"/>
          <w:sz w:val="14"/>
          <w:szCs w:val="14"/>
          <w:color w:val="auto"/>
        </w:rPr>
      </w:pPr>
    </w:p>
    <w:p>
      <w:pPr>
        <w:ind w:left="1720" w:hanging="214"/>
        <w:spacing w:after="0"/>
        <w:tabs>
          <w:tab w:leader="none" w:pos="17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28" w:lineRule="exact"/>
        <w:rPr>
          <w:rFonts w:ascii="Arial" w:cs="Arial" w:eastAsia="Arial" w:hAnsi="Arial"/>
          <w:sz w:val="14"/>
          <w:szCs w:val="14"/>
          <w:color w:val="auto"/>
        </w:rPr>
      </w:pPr>
    </w:p>
    <w:p>
      <w:pPr>
        <w:ind w:left="1760" w:hanging="254"/>
        <w:spacing w:after="0"/>
        <w:tabs>
          <w:tab w:leader="none" w:pos="176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38" w:lineRule="exact"/>
        <w:rPr>
          <w:rFonts w:ascii="Arial" w:cs="Arial" w:eastAsia="Arial" w:hAnsi="Arial"/>
          <w:sz w:val="14"/>
          <w:szCs w:val="14"/>
          <w:color w:val="auto"/>
        </w:rPr>
      </w:pPr>
    </w:p>
    <w:p>
      <w:pPr>
        <w:ind w:left="1760" w:hanging="254"/>
        <w:spacing w:after="0"/>
        <w:tabs>
          <w:tab w:leader="none" w:pos="176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38" w:lineRule="exact"/>
        <w:rPr>
          <w:rFonts w:ascii="Arial" w:cs="Arial" w:eastAsia="Arial" w:hAnsi="Arial"/>
          <w:sz w:val="14"/>
          <w:szCs w:val="14"/>
          <w:color w:val="auto"/>
        </w:rPr>
      </w:pPr>
    </w:p>
    <w:p>
      <w:pPr>
        <w:ind w:left="1500" w:right="1719" w:firstLine="6"/>
        <w:spacing w:after="0" w:line="286" w:lineRule="auto"/>
        <w:tabs>
          <w:tab w:leader="none" w:pos="17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8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0" w:name="page211"/>
    <w:bookmarkEnd w:id="210"/>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9"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the United Arab Emirates</w:t>
      </w:r>
    </w:p>
    <w:p>
      <w:pPr>
        <w:spacing w:after="0" w:line="140" w:lineRule="exact"/>
        <w:rPr>
          <w:sz w:val="20"/>
          <w:szCs w:val="20"/>
          <w:color w:val="auto"/>
        </w:rPr>
      </w:pPr>
    </w:p>
    <w:p>
      <w:pPr>
        <w:ind w:left="1240" w:right="1379"/>
        <w:spacing w:after="0" w:line="273" w:lineRule="auto"/>
        <w:rPr>
          <w:sz w:val="20"/>
          <w:szCs w:val="20"/>
          <w:color w:val="auto"/>
        </w:rPr>
      </w:pPr>
      <w:r>
        <w:rPr>
          <w:rFonts w:ascii="Arial" w:cs="Arial" w:eastAsia="Arial" w:hAnsi="Arial"/>
          <w:sz w:val="14"/>
          <w:szCs w:val="14"/>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2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Israel</w:t>
      </w:r>
    </w:p>
    <w:p>
      <w:pPr>
        <w:spacing w:after="0" w:line="140" w:lineRule="exact"/>
        <w:rPr>
          <w:sz w:val="20"/>
          <w:szCs w:val="20"/>
          <w:color w:val="auto"/>
        </w:rPr>
      </w:pPr>
    </w:p>
    <w:p>
      <w:pPr>
        <w:ind w:left="1240" w:right="1439"/>
        <w:spacing w:after="0" w:line="271" w:lineRule="auto"/>
        <w:rPr>
          <w:sz w:val="20"/>
          <w:szCs w:val="20"/>
          <w:color w:val="auto"/>
        </w:rPr>
      </w:pPr>
      <w:r>
        <w:rPr>
          <w:rFonts w:ascii="Arial" w:cs="Arial" w:eastAsia="Arial" w:hAnsi="Arial"/>
          <w:sz w:val="14"/>
          <w:szCs w:val="14"/>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w:t>
      </w:r>
    </w:p>
    <w:p>
      <w:pPr>
        <w:spacing w:after="0" w:line="1" w:lineRule="exact"/>
        <w:rPr>
          <w:sz w:val="20"/>
          <w:szCs w:val="20"/>
          <w:color w:val="auto"/>
        </w:rPr>
      </w:pPr>
    </w:p>
    <w:p>
      <w:pPr>
        <w:ind w:left="1240" w:right="1279" w:firstLine="9"/>
        <w:spacing w:after="0" w:line="273" w:lineRule="auto"/>
        <w:tabs>
          <w:tab w:leader="none" w:pos="1421"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96" w:lineRule="exact"/>
        <w:rPr>
          <w:sz w:val="20"/>
          <w:szCs w:val="20"/>
          <w:color w:val="auto"/>
        </w:rPr>
      </w:pPr>
    </w:p>
    <w:p>
      <w:pPr>
        <w:ind w:left="1240" w:right="1299"/>
        <w:spacing w:after="0" w:line="272" w:lineRule="auto"/>
        <w:rPr>
          <w:sz w:val="20"/>
          <w:szCs w:val="20"/>
          <w:color w:val="auto"/>
        </w:rPr>
      </w:pPr>
      <w:r>
        <w:rPr>
          <w:rFonts w:ascii="Arial" w:cs="Arial" w:eastAsia="Arial" w:hAnsi="Arial"/>
          <w:sz w:val="14"/>
          <w:szCs w:val="14"/>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1" w:name="page212"/>
    <w:bookmarkEnd w:id="211"/>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This prospectus:</w:t>
      </w:r>
    </w:p>
    <w:p>
      <w:pPr>
        <w:spacing w:after="0" w:line="117" w:lineRule="exact"/>
        <w:rPr>
          <w:sz w:val="20"/>
          <w:szCs w:val="20"/>
          <w:color w:val="auto"/>
        </w:rPr>
      </w:pPr>
    </w:p>
    <w:p>
      <w:pPr>
        <w:ind w:left="1240" w:right="1919" w:firstLine="9"/>
        <w:spacing w:after="0" w:line="270" w:lineRule="auto"/>
        <w:tabs>
          <w:tab w:leader="none" w:pos="1421"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or the Corporations Act;</w:t>
      </w:r>
    </w:p>
    <w:p>
      <w:pPr>
        <w:spacing w:after="0" w:line="98" w:lineRule="exact"/>
        <w:rPr>
          <w:rFonts w:ascii="Arial" w:cs="Arial" w:eastAsia="Arial" w:hAnsi="Arial"/>
          <w:sz w:val="14"/>
          <w:szCs w:val="14"/>
          <w:color w:val="auto"/>
        </w:rPr>
      </w:pPr>
    </w:p>
    <w:p>
      <w:pPr>
        <w:ind w:left="1240" w:right="1339" w:firstLine="9"/>
        <w:spacing w:after="0" w:line="263" w:lineRule="auto"/>
        <w:tabs>
          <w:tab w:leader="none" w:pos="1421" w:val="left"/>
        </w:tabs>
        <w:numPr>
          <w:ilvl w:val="0"/>
          <w:numId w:val="117"/>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273" w:lineRule="exact"/>
        <w:rPr>
          <w:rFonts w:ascii="Arial" w:cs="Arial" w:eastAsia="Arial" w:hAnsi="Arial"/>
          <w:sz w:val="14"/>
          <w:szCs w:val="14"/>
          <w:color w:val="auto"/>
        </w:rPr>
      </w:pPr>
    </w:p>
    <w:p>
      <w:pPr>
        <w:jc w:val="both"/>
        <w:ind w:left="1240" w:right="1259" w:firstLine="9"/>
        <w:spacing w:after="0" w:line="263" w:lineRule="auto"/>
        <w:tabs>
          <w:tab w:leader="none" w:pos="1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92"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110" w:lineRule="exact"/>
        <w:rPr>
          <w:sz w:val="20"/>
          <w:szCs w:val="20"/>
          <w:color w:val="auto"/>
        </w:rPr>
      </w:pPr>
    </w:p>
    <w:p>
      <w:pPr>
        <w:ind w:left="1240" w:right="1379"/>
        <w:spacing w:after="0" w:line="257" w:lineRule="auto"/>
        <w:rPr>
          <w:sz w:val="20"/>
          <w:szCs w:val="20"/>
          <w:color w:val="auto"/>
        </w:rPr>
      </w:pPr>
      <w:r>
        <w:rPr>
          <w:rFonts w:ascii="Arial" w:cs="Arial" w:eastAsia="Arial" w:hAnsi="Arial"/>
          <w:sz w:val="14"/>
          <w:szCs w:val="14"/>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China</w:t>
      </w:r>
    </w:p>
    <w:p>
      <w:pPr>
        <w:spacing w:after="0" w:line="118" w:lineRule="exact"/>
        <w:rPr>
          <w:sz w:val="20"/>
          <w:szCs w:val="20"/>
          <w:color w:val="auto"/>
        </w:rPr>
      </w:pPr>
    </w:p>
    <w:p>
      <w:pPr>
        <w:ind w:left="1240" w:right="1399"/>
        <w:spacing w:after="0" w:line="258" w:lineRule="auto"/>
        <w:rPr>
          <w:sz w:val="20"/>
          <w:szCs w:val="20"/>
          <w:color w:val="auto"/>
        </w:rPr>
      </w:pPr>
      <w:r>
        <w:rPr>
          <w:rFonts w:ascii="Arial" w:cs="Arial" w:eastAsia="Arial" w:hAnsi="Arial"/>
          <w:sz w:val="14"/>
          <w:szCs w:val="14"/>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Korea</w:t>
      </w:r>
    </w:p>
    <w:p>
      <w:pPr>
        <w:spacing w:after="0" w:line="118"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Saudi Arabia</w:t>
      </w:r>
    </w:p>
    <w:p>
      <w:pPr>
        <w:spacing w:after="0" w:line="118"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2" w:name="page213"/>
    <w:bookmarkEnd w:id="212"/>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9" w:lineRule="exact"/>
        <w:rPr>
          <w:sz w:val="20"/>
          <w:szCs w:val="20"/>
          <w:color w:val="auto"/>
        </w:rPr>
      </w:pPr>
    </w:p>
    <w:p>
      <w:pPr>
        <w:ind w:left="1240" w:right="1419"/>
        <w:spacing w:after="0" w:line="259" w:lineRule="auto"/>
        <w:rPr>
          <w:sz w:val="20"/>
          <w:szCs w:val="20"/>
          <w:color w:val="auto"/>
        </w:rPr>
      </w:pPr>
      <w:r>
        <w:rPr>
          <w:rFonts w:ascii="Arial" w:cs="Arial" w:eastAsia="Arial" w:hAnsi="Arial"/>
          <w:sz w:val="17"/>
          <w:szCs w:val="17"/>
          <w:b w:val="1"/>
          <w:bCs w:val="1"/>
          <w:color w:val="auto"/>
        </w:rPr>
        <w:t>Notice to prospective investors in the Dubai International Financial Centre (DIFC)</w:t>
      </w:r>
    </w:p>
    <w:p>
      <w:pPr>
        <w:spacing w:after="0" w:line="84"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w:t>
      </w:r>
    </w:p>
    <w:p>
      <w:pPr>
        <w:spacing w:after="0" w:line="107"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5"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Notice to prospective investors in Bermuda</w:t>
      </w:r>
    </w:p>
    <w:p>
      <w:pPr>
        <w:spacing w:after="0" w:line="129" w:lineRule="exact"/>
        <w:rPr>
          <w:sz w:val="20"/>
          <w:szCs w:val="20"/>
          <w:color w:val="auto"/>
        </w:rPr>
      </w:pPr>
    </w:p>
    <w:p>
      <w:pPr>
        <w:ind w:left="1240" w:right="1339"/>
        <w:spacing w:after="0" w:line="277" w:lineRule="auto"/>
        <w:rPr>
          <w:sz w:val="20"/>
          <w:szCs w:val="20"/>
          <w:color w:val="auto"/>
        </w:rPr>
      </w:pPr>
      <w:r>
        <w:rPr>
          <w:rFonts w:ascii="Arial" w:cs="Arial" w:eastAsia="Arial" w:hAnsi="Arial"/>
          <w:sz w:val="14"/>
          <w:szCs w:val="14"/>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3" w:name="page214"/>
    <w:bookmarkEnd w:id="213"/>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Legal matters</w:t>
      </w:r>
    </w:p>
    <w:p>
      <w:pPr>
        <w:spacing w:after="0" w:line="130" w:lineRule="exact"/>
        <w:rPr>
          <w:sz w:val="20"/>
          <w:szCs w:val="20"/>
          <w:color w:val="auto"/>
        </w:rPr>
      </w:pPr>
    </w:p>
    <w:p>
      <w:pPr>
        <w:jc w:val="both"/>
        <w:ind w:left="1240" w:right="1419"/>
        <w:spacing w:after="0" w:line="278" w:lineRule="auto"/>
        <w:rPr>
          <w:sz w:val="20"/>
          <w:szCs w:val="20"/>
          <w:color w:val="auto"/>
        </w:rPr>
      </w:pPr>
      <w:r>
        <w:rPr>
          <w:rFonts w:ascii="Arial" w:cs="Arial" w:eastAsia="Arial" w:hAnsi="Arial"/>
          <w:sz w:val="14"/>
          <w:szCs w:val="14"/>
          <w:color w:val="auto"/>
        </w:rPr>
        <w:t>The validity of the issuance of our common stock offered in this prospectus will be passed upon for us by Troutman Pepper Hamilton Sanders LLP. Certain legal matters in connection with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4" w:name="page215"/>
    <w:bookmarkEnd w:id="214"/>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Experts</w:t>
      </w:r>
    </w:p>
    <w:p>
      <w:pPr>
        <w:spacing w:after="0" w:line="130"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The consolidated financial statements of Century Therapeutics, Inc. and subsidiary at December 31, 2020 and 2019 (Successor), and for the year ended December 31, 2020 (Successor), the period June 21, 2019 through December 31, 2019 (Predecessor), and January 1, 2019 through June 20, 2019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5" w:name="page216"/>
    <w:bookmarkEnd w:id="215"/>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Where you can find additional information</w:t>
      </w:r>
    </w:p>
    <w:p>
      <w:pPr>
        <w:spacing w:after="0" w:line="130"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We have filed with the SEC this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08" w:lineRule="exact"/>
        <w:rPr>
          <w:sz w:val="20"/>
          <w:szCs w:val="20"/>
          <w:color w:val="auto"/>
        </w:rPr>
      </w:pPr>
    </w:p>
    <w:p>
      <w:pPr>
        <w:ind w:left="1240" w:right="1259"/>
        <w:spacing w:after="0" w:line="272" w:lineRule="auto"/>
        <w:rPr>
          <w:sz w:val="20"/>
          <w:szCs w:val="20"/>
          <w:color w:val="auto"/>
        </w:rPr>
      </w:pPr>
      <w:r>
        <w:rPr>
          <w:rFonts w:ascii="Arial" w:cs="Arial" w:eastAsia="Arial" w:hAnsi="Arial"/>
          <w:sz w:val="14"/>
          <w:szCs w:val="14"/>
          <w:color w:val="auto"/>
        </w:rPr>
        <w:t>You may read our SEC filings, including this Registration Statement, over the Internet at the SEC’s website at www.sec.gov. Upon the closing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www.centurytx.com,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 You should not consider the contents of our website in making an investment decision with respect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6" w:name="page217"/>
    <w:bookmarkEnd w:id="216"/>
    <w:p>
      <w:pPr>
        <w:ind w:left="260"/>
        <w:spacing w:after="0"/>
        <w:rPr>
          <w:rFonts w:ascii="Arial" w:cs="Arial" w:eastAsia="Arial" w:hAnsi="Arial"/>
          <w:sz w:val="11"/>
          <w:szCs w:val="11"/>
          <w:color w:val="003366"/>
        </w:rPr>
      </w:pPr>
      <w:hyperlink w:anchor="page1">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26" w:lineRule="auto"/>
        <w:rPr>
          <w:sz w:val="20"/>
          <w:szCs w:val="20"/>
          <w:color w:val="auto"/>
        </w:rPr>
      </w:pPr>
      <w:r>
        <w:rPr>
          <w:rFonts w:ascii="Arial" w:cs="Arial" w:eastAsia="Arial" w:hAnsi="Arial"/>
          <w:sz w:val="23"/>
          <w:szCs w:val="23"/>
          <w:b w:val="1"/>
          <w:bCs w:val="1"/>
          <w:color w:val="auto"/>
        </w:rPr>
        <w:t>Century Therapeutics, Inc. and Subsidiary Table of Contents</w:t>
      </w:r>
    </w:p>
    <w:p>
      <w:pPr>
        <w:spacing w:after="0" w:line="1" w:lineRule="exact"/>
        <w:rPr>
          <w:sz w:val="20"/>
          <w:szCs w:val="20"/>
          <w:color w:val="auto"/>
        </w:rPr>
      </w:pPr>
    </w:p>
    <w:p>
      <w:pPr>
        <w:ind w:left="1240" w:right="1679"/>
        <w:spacing w:after="0" w:line="231" w:lineRule="auto"/>
        <w:rPr>
          <w:sz w:val="20"/>
          <w:szCs w:val="20"/>
          <w:color w:val="auto"/>
        </w:rPr>
      </w:pPr>
      <w:r>
        <w:rPr>
          <w:rFonts w:ascii="Arial" w:cs="Arial" w:eastAsia="Arial" w:hAnsi="Arial"/>
          <w:sz w:val="23"/>
          <w:szCs w:val="23"/>
          <w:b w:val="1"/>
          <w:bCs w:val="1"/>
          <w:color w:val="auto"/>
        </w:rPr>
        <w:t>As of and for the years ended December 31, 2020 and 2019</w:t>
      </w:r>
    </w:p>
    <w:p>
      <w:pPr>
        <w:spacing w:after="0" w:line="8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Borders>
              <w:bottom w:val="single" w:sz="8" w:color="0000EE"/>
            </w:tcBorders>
          </w:tcPr>
          <w:p>
            <w:pPr>
              <w:spacing w:after="0"/>
              <w:rPr>
                <w:sz w:val="14"/>
                <w:szCs w:val="14"/>
                <w:color w:val="auto"/>
              </w:rPr>
            </w:pPr>
          </w:p>
        </w:tc>
        <w:tc>
          <w:tcPr>
            <w:tcW w:w="6720" w:type="dxa"/>
            <w:vAlign w:val="bottom"/>
            <w:tcBorders>
              <w:bottom w:val="single" w:sz="8" w:color="0000EE"/>
            </w:tcBorders>
            <w:gridSpan w:val="7"/>
            <w:shd w:val="clear" w:color="auto" w:fill="CCEEFF"/>
          </w:tcPr>
          <w:p>
            <w:pPr>
              <w:spacing w:after="0"/>
              <w:rPr>
                <w:rFonts w:ascii="Arial" w:cs="Arial" w:eastAsia="Arial" w:hAnsi="Arial"/>
                <w:sz w:val="14"/>
                <w:szCs w:val="14"/>
                <w:color w:val="0000EE"/>
              </w:rPr>
            </w:pPr>
            <w:hyperlink w:anchor="page217">
              <w:r>
                <w:rPr>
                  <w:rFonts w:ascii="Arial" w:cs="Arial" w:eastAsia="Arial" w:hAnsi="Arial"/>
                  <w:sz w:val="14"/>
                  <w:szCs w:val="14"/>
                  <w:color w:val="0000EE"/>
                </w:rPr>
                <w:t>Report of Independent Registered Public Accounting Firm on consolidated financial statements as of</w:t>
              </w:r>
            </w:hyperlink>
          </w:p>
        </w:tc>
        <w:tc>
          <w:tcPr>
            <w:tcW w:w="280" w:type="dxa"/>
            <w:vAlign w:val="bottom"/>
            <w:tcBorders>
              <w:bottom w:val="single" w:sz="8" w:color="CCEEFF"/>
              <w:right w:val="single" w:sz="8" w:color="CCEEFF"/>
            </w:tcBorders>
            <w:gridSpan w:val="6"/>
            <w:shd w:val="clear" w:color="auto" w:fill="CCEEFF"/>
          </w:tcPr>
          <w:p>
            <w:pPr>
              <w:spacing w:after="0"/>
              <w:rPr>
                <w:sz w:val="14"/>
                <w:szCs w:val="14"/>
                <w:color w:val="auto"/>
              </w:rPr>
            </w:pPr>
          </w:p>
        </w:tc>
        <w:tc>
          <w:tcPr>
            <w:tcW w:w="240" w:type="dxa"/>
            <w:vAlign w:val="bottom"/>
            <w:tcBorders>
              <w:bottom w:val="single" w:sz="8" w:color="CCEEFF"/>
              <w:right w:val="single" w:sz="8" w:color="CCEEFF"/>
            </w:tcBorders>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60" w:type="dxa"/>
            <w:vAlign w:val="bottom"/>
            <w:tcBorders>
              <w:bottom w:val="single" w:sz="8" w:color="0000EE"/>
              <w:right w:val="single" w:sz="8" w:color="CCEEFF"/>
            </w:tcBorders>
            <w:gridSpan w:val="12"/>
            <w:shd w:val="clear" w:color="auto" w:fill="CCEEFF"/>
          </w:tcPr>
          <w:p>
            <w:pPr>
              <w:spacing w:after="0" w:line="151" w:lineRule="exact"/>
              <w:rPr>
                <w:rFonts w:ascii="Arial" w:cs="Arial" w:eastAsia="Arial" w:hAnsi="Arial"/>
                <w:sz w:val="14"/>
                <w:szCs w:val="14"/>
                <w:color w:val="0000EE"/>
              </w:rPr>
            </w:pPr>
            <w:hyperlink w:anchor="page217">
              <w:r>
                <w:rPr>
                  <w:rFonts w:ascii="Arial" w:cs="Arial" w:eastAsia="Arial" w:hAnsi="Arial"/>
                  <w:sz w:val="14"/>
                  <w:szCs w:val="14"/>
                  <w:color w:val="0000EE"/>
                </w:rPr>
                <w:t>December 31, 2020 and 2019 (successor), for the year ended December 31, 2020 (successor), for the</w:t>
              </w:r>
            </w:hyperlink>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60" w:type="dxa"/>
            <w:vAlign w:val="bottom"/>
            <w:tcBorders>
              <w:bottom w:val="single" w:sz="8" w:color="0000EE"/>
              <w:right w:val="single" w:sz="8" w:color="CCEEFF"/>
            </w:tcBorders>
            <w:gridSpan w:val="12"/>
            <w:shd w:val="clear" w:color="auto" w:fill="CCEEFF"/>
          </w:tcPr>
          <w:p>
            <w:pPr>
              <w:spacing w:after="0" w:line="151" w:lineRule="exact"/>
              <w:rPr>
                <w:rFonts w:ascii="Arial" w:cs="Arial" w:eastAsia="Arial" w:hAnsi="Arial"/>
                <w:sz w:val="14"/>
                <w:szCs w:val="14"/>
                <w:color w:val="0000EE"/>
              </w:rPr>
            </w:pPr>
            <w:hyperlink w:anchor="page217">
              <w:r>
                <w:rPr>
                  <w:rFonts w:ascii="Arial" w:cs="Arial" w:eastAsia="Arial" w:hAnsi="Arial"/>
                  <w:sz w:val="14"/>
                  <w:szCs w:val="14"/>
                  <w:color w:val="0000EE"/>
                </w:rPr>
                <w:t>period from June 21, 2019 through December 31, 2019 (successor) and for the period from January 1,</w:t>
              </w:r>
            </w:hyperlink>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40" w:type="dxa"/>
            <w:vAlign w:val="bottom"/>
            <w:gridSpan w:val="3"/>
            <w:shd w:val="clear" w:color="auto" w:fill="CCEEFF"/>
          </w:tcPr>
          <w:p>
            <w:pPr>
              <w:spacing w:after="0" w:line="151" w:lineRule="exact"/>
              <w:rPr>
                <w:rFonts w:ascii="Arial" w:cs="Arial" w:eastAsia="Arial" w:hAnsi="Arial"/>
                <w:sz w:val="14"/>
                <w:szCs w:val="14"/>
                <w:color w:val="0000EE"/>
              </w:rPr>
            </w:pPr>
            <w:hyperlink w:anchor="page217">
              <w:r>
                <w:rPr>
                  <w:rFonts w:ascii="Arial" w:cs="Arial" w:eastAsia="Arial" w:hAnsi="Arial"/>
                  <w:sz w:val="14"/>
                  <w:szCs w:val="14"/>
                  <w:color w:val="0000EE"/>
                </w:rPr>
                <w:t>2019 through June 20, 2019 (predecessor)</w:t>
              </w:r>
            </w:hyperlink>
          </w:p>
        </w:tc>
        <w:tc>
          <w:tcPr>
            <w:tcW w:w="4020" w:type="dxa"/>
            <w:vAlign w:val="bottom"/>
            <w:tcBorders>
              <w:right w:val="single" w:sz="8" w:color="CCEEFF"/>
            </w:tcBorders>
            <w:gridSpan w:val="9"/>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line="151" w:lineRule="exact"/>
              <w:rPr>
                <w:rFonts w:ascii="Arial" w:cs="Arial" w:eastAsia="Arial" w:hAnsi="Arial"/>
                <w:sz w:val="14"/>
                <w:szCs w:val="14"/>
                <w:color w:val="0000EE"/>
                <w:w w:val="94"/>
              </w:rPr>
            </w:pPr>
            <w:hyperlink w:anchor="page217">
              <w:r>
                <w:rPr>
                  <w:rFonts w:ascii="Arial" w:cs="Arial" w:eastAsia="Arial" w:hAnsi="Arial"/>
                  <w:sz w:val="14"/>
                  <w:szCs w:val="14"/>
                  <w:color w:val="0000EE"/>
                  <w:w w:val="94"/>
                </w:rPr>
                <w:t>F-2</w:t>
              </w:r>
            </w:hyperlink>
          </w:p>
        </w:tc>
      </w:tr>
      <w:tr>
        <w:trPr>
          <w:trHeight w:val="32"/>
        </w:trPr>
        <w:tc>
          <w:tcPr>
            <w:tcW w:w="2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0000EE"/>
          </w:tcPr>
          <w:p>
            <w:pPr>
              <w:spacing w:after="0"/>
              <w:rPr>
                <w:sz w:val="2"/>
                <w:szCs w:val="2"/>
                <w:color w:val="auto"/>
              </w:rPr>
            </w:pPr>
          </w:p>
        </w:tc>
      </w:tr>
      <w:tr>
        <w:trPr>
          <w:trHeight w:val="203"/>
        </w:trPr>
        <w:tc>
          <w:tcPr>
            <w:tcW w:w="7020" w:type="dxa"/>
            <w:vAlign w:val="bottom"/>
            <w:gridSpan w:val="14"/>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24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6900" w:type="dxa"/>
            <w:vAlign w:val="bottom"/>
            <w:gridSpan w:val="12"/>
            <w:shd w:val="clear" w:color="auto" w:fill="CCEEFF"/>
          </w:tcPr>
          <w:p>
            <w:pPr>
              <w:spacing w:after="0"/>
              <w:rPr>
                <w:rFonts w:ascii="Arial" w:cs="Arial" w:eastAsia="Arial" w:hAnsi="Arial"/>
                <w:sz w:val="14"/>
                <w:szCs w:val="14"/>
                <w:color w:val="0000EE"/>
                <w:shd w:val="clear" w:color="auto" w:fill="CCEEFF"/>
              </w:rPr>
            </w:pPr>
            <w:hyperlink w:anchor="page218">
              <w:r>
                <w:rPr>
                  <w:rFonts w:ascii="Arial" w:cs="Arial" w:eastAsia="Arial" w:hAnsi="Arial"/>
                  <w:sz w:val="14"/>
                  <w:szCs w:val="14"/>
                  <w:color w:val="0000EE"/>
                  <w:shd w:val="clear" w:color="auto" w:fill="CCEEFF"/>
                </w:rPr>
                <w:t>Consolidated balance sheets as of December 31, 2020 (successor) and December 31, 2019(successor)</w:t>
              </w:r>
            </w:hyperlink>
          </w:p>
        </w:tc>
        <w:tc>
          <w:tcPr>
            <w:tcW w:w="10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rFonts w:ascii="Arial" w:cs="Arial" w:eastAsia="Arial" w:hAnsi="Arial"/>
                <w:sz w:val="14"/>
                <w:szCs w:val="14"/>
                <w:color w:val="0000EE"/>
                <w:w w:val="94"/>
                <w:shd w:val="clear" w:color="auto" w:fill="CCEEFF"/>
              </w:rPr>
            </w:pPr>
            <w:hyperlink w:anchor="page218">
              <w:r>
                <w:rPr>
                  <w:rFonts w:ascii="Arial" w:cs="Arial" w:eastAsia="Arial" w:hAnsi="Arial"/>
                  <w:sz w:val="14"/>
                  <w:szCs w:val="14"/>
                  <w:color w:val="0000EE"/>
                  <w:w w:val="94"/>
                  <w:shd w:val="clear" w:color="auto" w:fill="CCEEFF"/>
                </w:rPr>
                <w:t>F-3</w:t>
              </w:r>
            </w:hyperlink>
          </w:p>
        </w:tc>
      </w:tr>
      <w:tr>
        <w:trPr>
          <w:trHeight w:val="171"/>
        </w:trPr>
        <w:tc>
          <w:tcPr>
            <w:tcW w:w="6880" w:type="dxa"/>
            <w:vAlign w:val="bottom"/>
            <w:tcBorders>
              <w:top w:val="single" w:sz="8" w:color="0000EE"/>
              <w:bottom w:val="single" w:sz="8" w:color="0000EE"/>
            </w:tcBorders>
            <w:gridSpan w:val="12"/>
          </w:tcPr>
          <w:p>
            <w:pPr>
              <w:spacing w:after="0"/>
              <w:rPr>
                <w:rFonts w:ascii="Arial" w:cs="Arial" w:eastAsia="Arial" w:hAnsi="Arial"/>
                <w:sz w:val="14"/>
                <w:szCs w:val="14"/>
                <w:color w:val="0000EE"/>
              </w:rPr>
            </w:pPr>
            <w:hyperlink w:anchor="page219">
              <w:r>
                <w:rPr>
                  <w:rFonts w:ascii="Arial" w:cs="Arial" w:eastAsia="Arial" w:hAnsi="Arial"/>
                  <w:sz w:val="14"/>
                  <w:szCs w:val="14"/>
                  <w:color w:val="0000EE"/>
                </w:rPr>
                <w:t>Consolidated statements of operations and comprehensive loss for the year ended December 31, 2020</w:t>
              </w:r>
            </w:hyperlink>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60" w:type="dxa"/>
            <w:vAlign w:val="bottom"/>
            <w:tcBorders>
              <w:bottom w:val="single" w:sz="8" w:color="0000EE"/>
            </w:tcBorders>
            <w:gridSpan w:val="8"/>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(successor), and the periods June 21, 2019 through December 31, 2019 (successor) and January 1,</w:t>
              </w:r>
            </w:hyperlink>
          </w:p>
        </w:tc>
        <w:tc>
          <w:tcPr>
            <w:tcW w:w="20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60" w:type="dxa"/>
            <w:vAlign w:val="bottom"/>
            <w:gridSpan w:val="12"/>
          </w:tcPr>
          <w:p>
            <w:pPr>
              <w:spacing w:after="0" w:line="151" w:lineRule="exact"/>
              <w:rPr>
                <w:rFonts w:ascii="Arial" w:cs="Arial" w:eastAsia="Arial" w:hAnsi="Arial"/>
                <w:sz w:val="14"/>
                <w:szCs w:val="14"/>
                <w:color w:val="0000EE"/>
              </w:rPr>
            </w:pPr>
            <w:hyperlink w:anchor="page219">
              <w:r>
                <w:rPr>
                  <w:rFonts w:ascii="Arial" w:cs="Arial" w:eastAsia="Arial" w:hAnsi="Arial"/>
                  <w:sz w:val="14"/>
                  <w:szCs w:val="14"/>
                  <w:color w:val="0000EE"/>
                </w:rPr>
                <w:t>2019 through June 20, 2019 (predecessor)</w:t>
              </w:r>
            </w:hyperlink>
          </w:p>
        </w:tc>
        <w:tc>
          <w:tcPr>
            <w:tcW w:w="240" w:type="dxa"/>
            <w:vAlign w:val="bottom"/>
          </w:tcPr>
          <w:p>
            <w:pPr>
              <w:spacing w:after="0" w:line="151" w:lineRule="exact"/>
              <w:rPr>
                <w:rFonts w:ascii="Arial" w:cs="Arial" w:eastAsia="Arial" w:hAnsi="Arial"/>
                <w:sz w:val="14"/>
                <w:szCs w:val="14"/>
                <w:color w:val="0000EE"/>
                <w:w w:val="94"/>
              </w:rPr>
            </w:pPr>
            <w:hyperlink w:anchor="page219">
              <w:r>
                <w:rPr>
                  <w:rFonts w:ascii="Arial" w:cs="Arial" w:eastAsia="Arial" w:hAnsi="Arial"/>
                  <w:sz w:val="14"/>
                  <w:szCs w:val="14"/>
                  <w:color w:val="0000EE"/>
                  <w:w w:val="94"/>
                </w:rPr>
                <w:t>F-4</w:t>
              </w:r>
            </w:hyperlink>
          </w:p>
        </w:tc>
      </w:tr>
      <w:tr>
        <w:trPr>
          <w:trHeight w:val="23"/>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right w:val="single" w:sz="8" w:color="CCEEFF"/>
            </w:tcBorders>
            <w:gridSpan w:val="13"/>
            <w:shd w:val="clear" w:color="auto" w:fill="CCEEFF"/>
          </w:tcPr>
          <w:p>
            <w:pPr>
              <w:spacing w:after="0"/>
              <w:rPr>
                <w:rFonts w:ascii="Arial" w:cs="Arial" w:eastAsia="Arial" w:hAnsi="Arial"/>
                <w:sz w:val="14"/>
                <w:szCs w:val="14"/>
                <w:color w:val="0000EE"/>
              </w:rPr>
            </w:pPr>
            <w:hyperlink w:anchor="page220">
              <w:r>
                <w:rPr>
                  <w:rFonts w:ascii="Arial" w:cs="Arial" w:eastAsia="Arial" w:hAnsi="Arial"/>
                  <w:sz w:val="14"/>
                  <w:szCs w:val="14"/>
                  <w:color w:val="0000EE"/>
                </w:rPr>
                <w:t>Consolidated statements of changes in convertible preferred stock and stockholders’ deficit for the year</w:t>
              </w:r>
            </w:hyperlink>
          </w:p>
        </w:tc>
        <w:tc>
          <w:tcPr>
            <w:tcW w:w="240" w:type="dxa"/>
            <w:vAlign w:val="bottom"/>
            <w:tcBorders>
              <w:right w:val="single" w:sz="8" w:color="CCEEFF"/>
            </w:tcBorders>
            <w:shd w:val="clear" w:color="auto" w:fill="CCEEFF"/>
          </w:tcPr>
          <w:p>
            <w:pPr>
              <w:spacing w:after="0"/>
              <w:rPr>
                <w:sz w:val="14"/>
                <w:szCs w:val="14"/>
                <w:color w:val="auto"/>
              </w:rPr>
            </w:pPr>
          </w:p>
        </w:tc>
      </w:tr>
      <w:tr>
        <w:trPr>
          <w:trHeight w:val="151"/>
        </w:trPr>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bottom w:val="single" w:sz="8" w:color="CCEEFF"/>
            </w:tcBorders>
            <w:shd w:val="clear" w:color="auto" w:fill="CCEEFF"/>
          </w:tcPr>
          <w:p>
            <w:pPr>
              <w:spacing w:after="0"/>
              <w:rPr>
                <w:sz w:val="13"/>
                <w:szCs w:val="13"/>
                <w:color w:val="auto"/>
              </w:rPr>
            </w:pPr>
          </w:p>
        </w:tc>
        <w:tc>
          <w:tcPr>
            <w:tcW w:w="6320" w:type="dxa"/>
            <w:vAlign w:val="bottom"/>
            <w:tcBorders>
              <w:top w:val="single" w:sz="8" w:color="0000EE"/>
              <w:bottom w:val="single" w:sz="8" w:color="0000EE"/>
            </w:tcBorders>
            <w:gridSpan w:val="5"/>
            <w:shd w:val="clear" w:color="auto" w:fill="CCEEFF"/>
          </w:tcPr>
          <w:p>
            <w:pPr>
              <w:spacing w:after="0" w:line="151" w:lineRule="exact"/>
              <w:rPr>
                <w:rFonts w:ascii="Arial" w:cs="Arial" w:eastAsia="Arial" w:hAnsi="Arial"/>
                <w:sz w:val="14"/>
                <w:szCs w:val="14"/>
                <w:color w:val="0000EE"/>
              </w:rPr>
            </w:pPr>
            <w:hyperlink w:anchor="page220">
              <w:r>
                <w:rPr>
                  <w:rFonts w:ascii="Arial" w:cs="Arial" w:eastAsia="Arial" w:hAnsi="Arial"/>
                  <w:sz w:val="14"/>
                  <w:szCs w:val="14"/>
                  <w:color w:val="0000EE"/>
                </w:rPr>
                <w:t>ended December 31, 2020 (successor), the periods June 21, 2019 through December 31, 2019</w:t>
              </w:r>
            </w:hyperlink>
          </w:p>
        </w:tc>
        <w:tc>
          <w:tcPr>
            <w:tcW w:w="40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00" w:type="dxa"/>
            <w:vAlign w:val="bottom"/>
            <w:gridSpan w:val="4"/>
            <w:shd w:val="clear" w:color="auto" w:fill="CCEEFF"/>
          </w:tcPr>
          <w:p>
            <w:pPr>
              <w:spacing w:after="0" w:line="151" w:lineRule="exact"/>
              <w:rPr>
                <w:rFonts w:ascii="Arial" w:cs="Arial" w:eastAsia="Arial" w:hAnsi="Arial"/>
                <w:sz w:val="14"/>
                <w:szCs w:val="14"/>
                <w:color w:val="0000EE"/>
              </w:rPr>
            </w:pPr>
            <w:hyperlink w:anchor="page220">
              <w:r>
                <w:rPr>
                  <w:rFonts w:ascii="Arial" w:cs="Arial" w:eastAsia="Arial" w:hAnsi="Arial"/>
                  <w:sz w:val="14"/>
                  <w:szCs w:val="14"/>
                  <w:color w:val="0000EE"/>
                </w:rPr>
                <w:t>(successor) and January 1, 2019 through June 20, 2019 (predecessor)</w:t>
              </w:r>
            </w:hyperlink>
          </w:p>
        </w:tc>
        <w:tc>
          <w:tcPr>
            <w:tcW w:w="2160" w:type="dxa"/>
            <w:vAlign w:val="bottom"/>
            <w:tcBorders>
              <w:right w:val="single" w:sz="8" w:color="CCEEFF"/>
            </w:tcBorders>
            <w:gridSpan w:val="8"/>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line="151" w:lineRule="exact"/>
              <w:rPr>
                <w:rFonts w:ascii="Arial" w:cs="Arial" w:eastAsia="Arial" w:hAnsi="Arial"/>
                <w:sz w:val="14"/>
                <w:szCs w:val="14"/>
                <w:color w:val="0000EE"/>
                <w:w w:val="94"/>
              </w:rPr>
            </w:pPr>
            <w:hyperlink w:anchor="page220">
              <w:r>
                <w:rPr>
                  <w:rFonts w:ascii="Arial" w:cs="Arial" w:eastAsia="Arial" w:hAnsi="Arial"/>
                  <w:sz w:val="14"/>
                  <w:szCs w:val="14"/>
                  <w:color w:val="0000EE"/>
                  <w:w w:val="94"/>
                </w:rPr>
                <w:t>F-5</w:t>
              </w:r>
            </w:hyperlink>
          </w:p>
        </w:tc>
      </w:tr>
      <w:tr>
        <w:trPr>
          <w:trHeight w:val="23"/>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r>
      <w:tr>
        <w:trPr>
          <w:trHeight w:val="171"/>
        </w:trPr>
        <w:tc>
          <w:tcPr>
            <w:tcW w:w="6860" w:type="dxa"/>
            <w:vAlign w:val="bottom"/>
            <w:tcBorders>
              <w:bottom w:val="single" w:sz="8" w:color="0000EE"/>
            </w:tcBorders>
            <w:gridSpan w:val="11"/>
          </w:tcPr>
          <w:p>
            <w:pPr>
              <w:spacing w:after="0"/>
              <w:rPr>
                <w:rFonts w:ascii="Arial" w:cs="Arial" w:eastAsia="Arial" w:hAnsi="Arial"/>
                <w:sz w:val="14"/>
                <w:szCs w:val="14"/>
                <w:color w:val="0000EE"/>
              </w:rPr>
            </w:pPr>
            <w:hyperlink w:anchor="page221">
              <w:r>
                <w:rPr>
                  <w:rFonts w:ascii="Arial" w:cs="Arial" w:eastAsia="Arial" w:hAnsi="Arial"/>
                  <w:sz w:val="14"/>
                  <w:szCs w:val="14"/>
                  <w:color w:val="0000EE"/>
                </w:rPr>
                <w:t>Consolidated statements of cash flows for the year ended December 31, 2020 (successor), the periods</w:t>
              </w:r>
            </w:hyperlink>
          </w:p>
        </w:tc>
        <w:tc>
          <w:tcPr>
            <w:tcW w:w="16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40" w:type="dxa"/>
            <w:vAlign w:val="bottom"/>
            <w:tcBorders>
              <w:bottom w:val="single" w:sz="8" w:color="0000EE"/>
            </w:tcBorders>
            <w:gridSpan w:val="7"/>
          </w:tcPr>
          <w:p>
            <w:pPr>
              <w:spacing w:after="0" w:line="151" w:lineRule="exact"/>
              <w:rPr>
                <w:rFonts w:ascii="Arial" w:cs="Arial" w:eastAsia="Arial" w:hAnsi="Arial"/>
                <w:sz w:val="14"/>
                <w:szCs w:val="14"/>
                <w:color w:val="0000EE"/>
              </w:rPr>
            </w:pPr>
            <w:hyperlink w:anchor="page221">
              <w:r>
                <w:rPr>
                  <w:rFonts w:ascii="Arial" w:cs="Arial" w:eastAsia="Arial" w:hAnsi="Arial"/>
                  <w:sz w:val="14"/>
                  <w:szCs w:val="14"/>
                  <w:color w:val="0000EE"/>
                </w:rPr>
                <w:t>June 21, 2019 through December 31, 2019 (successor) and January 1, 2019 through June 20, 2019</w:t>
              </w:r>
            </w:hyperlink>
          </w:p>
        </w:tc>
        <w:tc>
          <w:tcPr>
            <w:tcW w:w="220" w:type="dxa"/>
            <w:vAlign w:val="bottom"/>
            <w:gridSpan w:val="5"/>
          </w:tcPr>
          <w:p>
            <w:pPr>
              <w:spacing w:after="0"/>
              <w:rPr>
                <w:sz w:val="13"/>
                <w:szCs w:val="13"/>
                <w:color w:val="auto"/>
              </w:rPr>
            </w:pPr>
          </w:p>
        </w:tc>
        <w:tc>
          <w:tcPr>
            <w:tcW w:w="2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60" w:type="dxa"/>
            <w:vAlign w:val="bottom"/>
            <w:gridSpan w:val="12"/>
          </w:tcPr>
          <w:p>
            <w:pPr>
              <w:spacing w:after="0" w:line="151" w:lineRule="exact"/>
              <w:rPr>
                <w:rFonts w:ascii="Arial" w:cs="Arial" w:eastAsia="Arial" w:hAnsi="Arial"/>
                <w:sz w:val="14"/>
                <w:szCs w:val="14"/>
                <w:color w:val="0000EE"/>
              </w:rPr>
            </w:pPr>
            <w:hyperlink w:anchor="page221">
              <w:r>
                <w:rPr>
                  <w:rFonts w:ascii="Arial" w:cs="Arial" w:eastAsia="Arial" w:hAnsi="Arial"/>
                  <w:sz w:val="14"/>
                  <w:szCs w:val="14"/>
                  <w:color w:val="0000EE"/>
                </w:rPr>
                <w:t>(predecessor)</w:t>
              </w:r>
            </w:hyperlink>
          </w:p>
        </w:tc>
        <w:tc>
          <w:tcPr>
            <w:tcW w:w="240" w:type="dxa"/>
            <w:vAlign w:val="bottom"/>
          </w:tcPr>
          <w:p>
            <w:pPr>
              <w:spacing w:after="0" w:line="151" w:lineRule="exact"/>
              <w:rPr>
                <w:rFonts w:ascii="Arial" w:cs="Arial" w:eastAsia="Arial" w:hAnsi="Arial"/>
                <w:sz w:val="14"/>
                <w:szCs w:val="14"/>
                <w:color w:val="0000EE"/>
                <w:w w:val="94"/>
              </w:rPr>
            </w:pPr>
            <w:hyperlink w:anchor="page221">
              <w:r>
                <w:rPr>
                  <w:rFonts w:ascii="Arial" w:cs="Arial" w:eastAsia="Arial" w:hAnsi="Arial"/>
                  <w:sz w:val="14"/>
                  <w:szCs w:val="14"/>
                  <w:color w:val="0000EE"/>
                  <w:w w:val="94"/>
                </w:rPr>
                <w:t>F-6</w:t>
              </w:r>
            </w:hyperlink>
          </w:p>
        </w:tc>
      </w:tr>
      <w:tr>
        <w:trPr>
          <w:trHeight w:val="23"/>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gridSpan w:val="3"/>
            <w:shd w:val="clear" w:color="auto" w:fill="CCEEFF"/>
          </w:tcPr>
          <w:p>
            <w:pPr>
              <w:spacing w:after="0"/>
              <w:rPr>
                <w:rFonts w:ascii="Arial" w:cs="Arial" w:eastAsia="Arial" w:hAnsi="Arial"/>
                <w:sz w:val="14"/>
                <w:szCs w:val="14"/>
                <w:color w:val="0000EE"/>
              </w:rPr>
            </w:pPr>
            <w:hyperlink w:anchor="page222">
              <w:r>
                <w:rPr>
                  <w:rFonts w:ascii="Arial" w:cs="Arial" w:eastAsia="Arial" w:hAnsi="Arial"/>
                  <w:sz w:val="14"/>
                  <w:szCs w:val="14"/>
                  <w:color w:val="0000EE"/>
                </w:rPr>
                <w:t>Notes to consolidated financial statements</w:t>
              </w:r>
            </w:hyperlink>
          </w:p>
        </w:tc>
        <w:tc>
          <w:tcPr>
            <w:tcW w:w="4180" w:type="dxa"/>
            <w:vAlign w:val="bottom"/>
            <w:tcBorders>
              <w:right w:val="single" w:sz="8" w:color="CCEEFF"/>
            </w:tcBorders>
            <w:gridSpan w:val="10"/>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rFonts w:ascii="Arial" w:cs="Arial" w:eastAsia="Arial" w:hAnsi="Arial"/>
                <w:sz w:val="14"/>
                <w:szCs w:val="14"/>
                <w:color w:val="0000EE"/>
                <w:w w:val="94"/>
              </w:rPr>
            </w:pPr>
            <w:hyperlink w:anchor="page222">
              <w:r>
                <w:rPr>
                  <w:rFonts w:ascii="Arial" w:cs="Arial" w:eastAsia="Arial" w:hAnsi="Arial"/>
                  <w:sz w:val="14"/>
                  <w:szCs w:val="14"/>
                  <w:color w:val="0000EE"/>
                  <w:w w:val="94"/>
                </w:rPr>
                <w:t>F-7</w:t>
              </w:r>
            </w:hyperlink>
          </w:p>
        </w:tc>
      </w:tr>
      <w:tr>
        <w:trPr>
          <w:trHeight w:val="21"/>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7" w:name="page218"/>
    <w:bookmarkEnd w:id="217"/>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13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 the Stockholders and the Board of Directors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Century Therapeutics, Inc.</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0"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We have audited the accompanying consolidated balance sheets of Century Therapeutics, Inc. and subsidiary (the Company) as of December 31, 2020 and 2019 (Successor), the related consolidated statements of operations and comprehensive loss, changes in convertible preferred stock and stockholders’ deficit and cash flows for the year ended December 31, 2020 (Successor), the period June 21, 2019 through December 31, 2019 (Successor) and the period January 1, 2019 through June 20, 2019 (Predecessor), and the related notes (collectively referred to as the “consolidated financial statements”). In our opinion, the consolidated financial statements present fairly, in all material respects, the financial position of the Company at December 31, 2020 and 2019 (Successor), and the results of its operations and its cash flows for the year ended December 31, 2020 (Successor), the period June 21, 2019 through December 31, 2019 (Successor) and the period January 1, 2019 through June 20, 2019 (Predecessor), in conformity with U.S. generally accepted accounting principles.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Adoption of new accounting standard</w:t>
      </w:r>
    </w:p>
    <w:p>
      <w:pPr>
        <w:spacing w:after="0" w:line="140"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As discussed in Note 2 to the consolidated financial statements, the Company changed its method of accounting for leases in 2020 due to the adoption of Accounting Standards Update (ASU) No. 2016-02, Leases (Topic 842), and related amendments.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Basis for opinion</w:t>
      </w:r>
    </w:p>
    <w:p>
      <w:pPr>
        <w:spacing w:after="0" w:line="129"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88"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 Ernst &amp; Young LLP</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We have served as the Company’s auditor since 2019.</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Philadelphia, Pennsylvania</w:t>
      </w:r>
    </w:p>
    <w:p>
      <w:pPr>
        <w:spacing w:after="0" w:line="21" w:lineRule="exact"/>
        <w:rPr>
          <w:sz w:val="20"/>
          <w:szCs w:val="20"/>
          <w:color w:val="auto"/>
        </w:rPr>
      </w:pPr>
    </w:p>
    <w:p>
      <w:pPr>
        <w:ind w:left="1240" w:right="2259"/>
        <w:spacing w:after="0" w:line="286" w:lineRule="auto"/>
        <w:rPr>
          <w:sz w:val="20"/>
          <w:szCs w:val="20"/>
          <w:color w:val="auto"/>
        </w:rPr>
      </w:pPr>
      <w:r>
        <w:rPr>
          <w:rFonts w:ascii="Arial" w:cs="Arial" w:eastAsia="Arial" w:hAnsi="Arial"/>
          <w:sz w:val="14"/>
          <w:szCs w:val="14"/>
          <w:color w:val="auto"/>
        </w:rPr>
        <w:t>May 5, 2021, except for the reverse stock split described in Note 2, as to which the date is June 14, 2021</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8" w:name="page219"/>
    <w:bookmarkEnd w:id="218"/>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6"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ind w:left="124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78740</wp:posOffset>
            </wp:positionV>
            <wp:extent cx="4460875" cy="133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460875" cy="13335"/>
                    </a:xfrm>
                    <a:prstGeom prst="rect">
                      <a:avLst/>
                    </a:prstGeom>
                    <a:noFill/>
                  </pic:spPr>
                </pic:pic>
              </a:graphicData>
            </a:graphic>
          </wp:anchor>
        </w:drawing>
      </w:r>
    </w:p>
    <w:p>
      <w:pPr>
        <w:spacing w:after="0" w:line="133" w:lineRule="exact"/>
        <w:rPr>
          <w:sz w:val="20"/>
          <w:szCs w:val="20"/>
          <w:color w:val="auto"/>
        </w:rPr>
      </w:pPr>
    </w:p>
    <w:p>
      <w:pPr>
        <w:jc w:val="center"/>
        <w:ind w:left="5080"/>
        <w:spacing w:after="0"/>
        <w:rPr>
          <w:sz w:val="20"/>
          <w:szCs w:val="20"/>
          <w:color w:val="auto"/>
        </w:rPr>
      </w:pPr>
      <w:r>
        <w:rPr>
          <w:rFonts w:ascii="Arial" w:cs="Arial" w:eastAsia="Arial" w:hAnsi="Arial"/>
          <w:sz w:val="13"/>
          <w:szCs w:val="13"/>
          <w:b w:val="1"/>
          <w:bCs w:val="1"/>
          <w:color w:val="auto"/>
        </w:rPr>
        <w:t>Successor</w:t>
      </w:r>
    </w:p>
    <w:p>
      <w:pPr>
        <w:spacing w:after="0" w:line="22" w:lineRule="exact"/>
        <w:rPr>
          <w:sz w:val="20"/>
          <w:szCs w:val="20"/>
          <w:color w:val="auto"/>
        </w:rPr>
      </w:pPr>
    </w:p>
    <w:p>
      <w:pPr>
        <w:jc w:val="center"/>
        <w:ind w:left="5080"/>
        <w:spacing w:after="0"/>
        <w:rPr>
          <w:sz w:val="20"/>
          <w:szCs w:val="20"/>
          <w:color w:val="auto"/>
        </w:rPr>
      </w:pPr>
      <w:r>
        <w:rPr>
          <w:rFonts w:ascii="Arial" w:cs="Arial" w:eastAsia="Arial" w:hAnsi="Arial"/>
          <w:sz w:val="13"/>
          <w:szCs w:val="13"/>
          <w:b w:val="1"/>
          <w:bCs w:val="1"/>
          <w:color w:val="auto"/>
        </w:rPr>
        <w:t>December 31, 2020December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-92075</wp:posOffset>
            </wp:positionV>
            <wp:extent cx="155067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5067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-98425</wp:posOffset>
            </wp:positionV>
            <wp:extent cx="4460875"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Current assets: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Short-term investments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Escrow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right="1560" w:firstLine="143"/>
        <w:spacing w:after="0" w:line="279" w:lineRule="auto"/>
        <w:rPr>
          <w:sz w:val="20"/>
          <w:szCs w:val="20"/>
          <w:color w:val="auto"/>
        </w:rPr>
      </w:pPr>
      <w:r>
        <w:rPr>
          <w:rFonts w:ascii="Arial" w:cs="Arial" w:eastAsia="Arial" w:hAnsi="Arial"/>
          <w:sz w:val="14"/>
          <w:szCs w:val="14"/>
          <w:color w:val="auto"/>
        </w:rPr>
        <w:t>Prepaid expenses and other current assets 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-127635</wp:posOffset>
            </wp:positionV>
            <wp:extent cx="4460875"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Property and equipment, net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Operating lease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Restricted cash</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Escrow deposits,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Long-term investments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assets</w:t>
      </w:r>
    </w:p>
    <w:p>
      <w:pPr>
        <w:spacing w:after="0" w:line="28"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-93980</wp:posOffset>
            </wp:positionV>
            <wp:extent cx="4460875" cy="1155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Current liabilities:</w:t>
      </w:r>
    </w:p>
    <w:p>
      <w:pPr>
        <w:spacing w:after="0" w:line="3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446087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60875" cy="128905"/>
                    </a:xfrm>
                    <a:prstGeom prst="rect">
                      <a:avLst/>
                    </a:prstGeom>
                    <a:noFill/>
                  </pic:spPr>
                </pic:pic>
              </a:graphicData>
            </a:graphic>
          </wp:anchor>
        </w:drawing>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current liabilities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Operating lease liability, long-term</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13970</wp:posOffset>
            </wp:positionV>
            <wp:extent cx="4460875" cy="1225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Commitments and contingencies (Note 11)</w:t>
      </w:r>
    </w:p>
    <w:p>
      <w:pPr>
        <w:spacing w:after="0" w:line="21" w:lineRule="exact"/>
        <w:rPr>
          <w:sz w:val="20"/>
          <w:szCs w:val="20"/>
          <w:color w:val="auto"/>
        </w:rPr>
      </w:pPr>
    </w:p>
    <w:p>
      <w:pPr>
        <w:jc w:val="both"/>
        <w:ind w:left="1400" w:right="160" w:hanging="142"/>
        <w:spacing w:after="0" w:line="260" w:lineRule="auto"/>
        <w:rPr>
          <w:sz w:val="20"/>
          <w:szCs w:val="20"/>
          <w:color w:val="auto"/>
        </w:rPr>
      </w:pPr>
      <w:r>
        <w:rPr>
          <w:rFonts w:ascii="Arial" w:cs="Arial" w:eastAsia="Arial" w:hAnsi="Arial"/>
          <w:sz w:val="14"/>
          <w:szCs w:val="14"/>
          <w:color w:val="auto"/>
        </w:rPr>
        <w:t>Non-cumulative convertible preferred stock, Series A, $0.0001 par value, 35,000,000 shares authorized, issued and outstanding at December 31, 2020 and 2019</w:t>
      </w:r>
    </w:p>
    <w:p>
      <w:pPr>
        <w:spacing w:after="0" w:line="2" w:lineRule="exact"/>
        <w:rPr>
          <w:sz w:val="20"/>
          <w:szCs w:val="20"/>
          <w:color w:val="auto"/>
        </w:rPr>
      </w:pPr>
    </w:p>
    <w:p>
      <w:pPr>
        <w:jc w:val="both"/>
        <w:ind w:left="1400" w:right="160" w:hanging="142"/>
        <w:spacing w:after="0" w:line="263" w:lineRule="auto"/>
        <w:rPr>
          <w:sz w:val="20"/>
          <w:szCs w:val="20"/>
          <w:color w:val="auto"/>
        </w:rPr>
      </w:pPr>
      <w:r>
        <w:rPr>
          <w:rFonts w:ascii="Arial" w:cs="Arial" w:eastAsia="Arial" w:hAnsi="Arial"/>
          <w:sz w:val="14"/>
          <w:szCs w:val="14"/>
          <w:color w:val="auto"/>
        </w:rPr>
        <w:t>Non-cumulative convertible preferred stock, Series B, $0.0001 par value, 26,143,790 shares authorized,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-335280</wp:posOffset>
            </wp:positionV>
            <wp:extent cx="4460875" cy="339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60875" cy="33972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Stockholders' deficit</w:t>
      </w:r>
    </w:p>
    <w:p>
      <w:pPr>
        <w:spacing w:after="0" w:line="21" w:lineRule="exact"/>
        <w:rPr>
          <w:sz w:val="20"/>
          <w:szCs w:val="20"/>
          <w:color w:val="auto"/>
        </w:rPr>
      </w:pPr>
    </w:p>
    <w:p>
      <w:pPr>
        <w:jc w:val="both"/>
        <w:ind w:left="1400" w:right="80" w:hanging="142"/>
        <w:spacing w:after="0" w:line="263" w:lineRule="auto"/>
        <w:rPr>
          <w:sz w:val="20"/>
          <w:szCs w:val="20"/>
          <w:color w:val="auto"/>
        </w:rPr>
      </w:pPr>
      <w:r>
        <w:rPr>
          <w:rFonts w:ascii="Arial" w:cs="Arial" w:eastAsia="Arial" w:hAnsi="Arial"/>
          <w:sz w:val="14"/>
          <w:szCs w:val="14"/>
          <w:color w:val="auto"/>
        </w:rPr>
        <w:t>Common stock, $0.0001 par value, 125,236,190 shares authorized; 7,481,861 shares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-335280</wp:posOffset>
            </wp:positionV>
            <wp:extent cx="4460875" cy="339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60875" cy="33972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color w:val="auto"/>
        </w:rPr>
        <w:t>Additional paid-in capital</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225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60875" cy="122555"/>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Accumulated deficit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4460875" cy="1155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460875" cy="11557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4"/>
          <w:szCs w:val="14"/>
          <w:b w:val="1"/>
          <w:bCs w:val="1"/>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4460875" cy="2654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60875" cy="265430"/>
                    </a:xfrm>
                    <a:prstGeom prst="rect">
                      <a:avLst/>
                    </a:prstGeom>
                    <a:noFill/>
                  </pic:spPr>
                </pic:pic>
              </a:graphicData>
            </a:graphic>
          </wp:anchor>
        </w:drawing>
      </w:r>
    </w:p>
    <w:p>
      <w:pPr>
        <w:spacing w:after="0" w:line="1" w:lineRule="exact"/>
        <w:rPr>
          <w:sz w:val="20"/>
          <w:szCs w:val="20"/>
          <w:color w:val="auto"/>
        </w:rPr>
      </w:pPr>
    </w:p>
    <w:p>
      <w:pPr>
        <w:ind w:left="1400" w:right="180" w:hanging="142"/>
        <w:spacing w:after="0" w:line="270" w:lineRule="auto"/>
        <w:rPr>
          <w:sz w:val="20"/>
          <w:szCs w:val="20"/>
          <w:color w:val="auto"/>
        </w:rPr>
      </w:pPr>
      <w:r>
        <w:rPr>
          <w:rFonts w:ascii="Arial" w:cs="Arial" w:eastAsia="Arial" w:hAnsi="Arial"/>
          <w:sz w:val="14"/>
          <w:szCs w:val="14"/>
          <w:b w:val="1"/>
          <w:bCs w:val="1"/>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29210</wp:posOffset>
            </wp:positionV>
            <wp:extent cx="446087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608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171"/>
        </w:trPr>
        <w:tc>
          <w:tcPr>
            <w:tcW w:w="980" w:type="dxa"/>
            <w:vAlign w:val="bottom"/>
          </w:tcPr>
          <w:p>
            <w:pPr>
              <w:jc w:val="right"/>
              <w:ind w:right="169"/>
              <w:spacing w:after="0"/>
              <w:rPr>
                <w:sz w:val="20"/>
                <w:szCs w:val="20"/>
                <w:color w:val="auto"/>
              </w:rPr>
            </w:pPr>
            <w:r>
              <w:rPr>
                <w:rFonts w:ascii="Arial" w:cs="Arial" w:eastAsia="Arial" w:hAnsi="Arial"/>
                <w:sz w:val="14"/>
                <w:szCs w:val="14"/>
                <w:color w:val="auto"/>
              </w:rPr>
              <w:t>$   27,211</w:t>
            </w:r>
          </w:p>
        </w:tc>
        <w:tc>
          <w:tcPr>
            <w:tcW w:w="980" w:type="dxa"/>
            <w:vAlign w:val="bottom"/>
          </w:tcPr>
          <w:p>
            <w:pPr>
              <w:jc w:val="right"/>
              <w:spacing w:after="0"/>
              <w:rPr>
                <w:sz w:val="20"/>
                <w:szCs w:val="20"/>
                <w:color w:val="auto"/>
              </w:rPr>
            </w:pPr>
            <w:r>
              <w:rPr>
                <w:rFonts w:ascii="Arial" w:cs="Arial" w:eastAsia="Arial" w:hAnsi="Arial"/>
                <w:sz w:val="14"/>
                <w:szCs w:val="14"/>
                <w:color w:val="auto"/>
              </w:rPr>
              <w:t>$   44,064</w:t>
            </w:r>
          </w:p>
        </w:tc>
      </w:tr>
      <w:tr>
        <w:trPr>
          <w:trHeight w:val="193"/>
        </w:trPr>
        <w:tc>
          <w:tcPr>
            <w:tcW w:w="980" w:type="dxa"/>
            <w:vAlign w:val="bottom"/>
          </w:tcPr>
          <w:p>
            <w:pPr>
              <w:jc w:val="right"/>
              <w:ind w:right="169"/>
              <w:spacing w:after="0"/>
              <w:rPr>
                <w:sz w:val="20"/>
                <w:szCs w:val="20"/>
                <w:color w:val="auto"/>
              </w:rPr>
            </w:pPr>
            <w:r>
              <w:rPr>
                <w:rFonts w:ascii="Arial" w:cs="Arial" w:eastAsia="Arial" w:hAnsi="Arial"/>
                <w:sz w:val="14"/>
                <w:szCs w:val="14"/>
                <w:color w:val="auto"/>
              </w:rPr>
              <w:t>48,542</w:t>
            </w:r>
          </w:p>
        </w:tc>
        <w:tc>
          <w:tcPr>
            <w:tcW w:w="980" w:type="dxa"/>
            <w:vAlign w:val="bottom"/>
          </w:tcPr>
          <w:p>
            <w:pPr>
              <w:jc w:val="right"/>
              <w:spacing w:after="0"/>
              <w:rPr>
                <w:sz w:val="20"/>
                <w:szCs w:val="20"/>
                <w:color w:val="auto"/>
              </w:rPr>
            </w:pPr>
            <w:r>
              <w:rPr>
                <w:rFonts w:ascii="Arial" w:cs="Arial" w:eastAsia="Arial" w:hAnsi="Arial"/>
                <w:sz w:val="14"/>
                <w:szCs w:val="14"/>
                <w:color w:val="auto"/>
              </w:rPr>
              <w:t>37,475</w:t>
            </w:r>
          </w:p>
        </w:tc>
      </w:tr>
    </w:tbl>
    <w:p>
      <w:pPr>
        <w:spacing w:after="0" w:line="22" w:lineRule="exact"/>
        <w:rPr>
          <w:sz w:val="20"/>
          <w:szCs w:val="20"/>
          <w:color w:val="auto"/>
        </w:rPr>
      </w:pPr>
    </w:p>
    <w:p>
      <w:pPr>
        <w:ind w:left="2300" w:hanging="1325"/>
        <w:spacing w:after="0"/>
        <w:tabs>
          <w:tab w:leader="none" w:pos="23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t>
      </w:r>
    </w:p>
    <w:p>
      <w:pPr>
        <w:spacing w:after="0" w:line="3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2,2612,583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78,797</w:t>
            </w: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84,122</w:t>
            </w:r>
          </w:p>
        </w:tc>
        <w:tc>
          <w:tcPr>
            <w:tcW w:w="40" w:type="dxa"/>
            <w:vAlign w:val="bottom"/>
          </w:tcPr>
          <w:p>
            <w:pPr>
              <w:spacing w:after="0"/>
              <w:rPr>
                <w:sz w:val="14"/>
                <w:szCs w:val="14"/>
                <w:color w:val="auto"/>
              </w:rPr>
            </w:pPr>
          </w:p>
        </w:tc>
      </w:tr>
      <w:tr>
        <w:trPr>
          <w:trHeight w:val="184"/>
        </w:trPr>
        <w:tc>
          <w:tcPr>
            <w:tcW w:w="600" w:type="dxa"/>
            <w:vAlign w:val="bottom"/>
          </w:tcPr>
          <w:p>
            <w:pPr>
              <w:spacing w:after="0"/>
              <w:rPr>
                <w:sz w:val="15"/>
                <w:szCs w:val="15"/>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15,385</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w:t>
            </w:r>
          </w:p>
        </w:tc>
        <w:tc>
          <w:tcPr>
            <w:tcW w:w="40" w:type="dxa"/>
            <w:vAlign w:val="bottom"/>
          </w:tcPr>
          <w:p>
            <w:pPr>
              <w:spacing w:after="0"/>
              <w:rPr>
                <w:sz w:val="15"/>
                <w:szCs w:val="15"/>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9,392</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517</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723</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1,053</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4,080</w:t>
            </w:r>
          </w:p>
        </w:tc>
        <w:tc>
          <w:tcPr>
            <w:tcW w:w="40" w:type="dxa"/>
            <w:vAlign w:val="bottom"/>
          </w:tcPr>
          <w:p>
            <w:pPr>
              <w:spacing w:after="0"/>
              <w:rPr>
                <w:sz w:val="16"/>
                <w:szCs w:val="16"/>
                <w:color w:val="auto"/>
              </w:rPr>
            </w:pPr>
          </w:p>
        </w:tc>
      </w:tr>
      <w:tr>
        <w:trPr>
          <w:trHeight w:val="193"/>
        </w:trPr>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909</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40" w:type="dxa"/>
            <w:vAlign w:val="bottom"/>
          </w:tcPr>
          <w:p>
            <w:pPr>
              <w:spacing w:after="0"/>
              <w:rPr>
                <w:sz w:val="16"/>
                <w:szCs w:val="16"/>
                <w:color w:val="auto"/>
              </w:rPr>
            </w:pPr>
          </w:p>
        </w:tc>
      </w:tr>
      <w:tr>
        <w:trPr>
          <w:trHeight w:val="162"/>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106,776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90,896</w:t>
            </w:r>
          </w:p>
        </w:tc>
        <w:tc>
          <w:tcPr>
            <w:tcW w:w="40" w:type="dxa"/>
            <w:vAlign w:val="bottom"/>
          </w:tcPr>
          <w:p>
            <w:pPr>
              <w:spacing w:after="0"/>
              <w:rPr>
                <w:sz w:val="14"/>
                <w:szCs w:val="14"/>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7"/>
        </w:trPr>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8,082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1,548</w:t>
            </w:r>
          </w:p>
        </w:tc>
        <w:tc>
          <w:tcPr>
            <w:tcW w:w="40" w:type="dxa"/>
            <w:vAlign w:val="bottom"/>
          </w:tcPr>
          <w:p>
            <w:pPr>
              <w:spacing w:after="0"/>
              <w:rPr>
                <w:sz w:val="24"/>
                <w:szCs w:val="24"/>
                <w:color w:val="auto"/>
              </w:rPr>
            </w:pPr>
          </w:p>
        </w:tc>
      </w:tr>
      <w:tr>
        <w:trPr>
          <w:trHeight w:val="193"/>
        </w:trPr>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4,030</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w:t>
            </w:r>
          </w:p>
        </w:tc>
        <w:tc>
          <w:tcPr>
            <w:tcW w:w="40" w:type="dxa"/>
            <w:vAlign w:val="bottom"/>
          </w:tcPr>
          <w:p>
            <w:pPr>
              <w:spacing w:after="0"/>
              <w:rPr>
                <w:sz w:val="16"/>
                <w:szCs w:val="16"/>
                <w:color w:val="auto"/>
              </w:rPr>
            </w:pPr>
          </w:p>
        </w:tc>
      </w:tr>
      <w:tr>
        <w:trPr>
          <w:trHeight w:val="165"/>
        </w:trPr>
        <w:tc>
          <w:tcPr>
            <w:tcW w:w="60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b w:val="1"/>
                <w:bCs w:val="1"/>
                <w:color w:val="auto"/>
              </w:rPr>
              <w:t>12,112</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2,994</w:t>
            </w:r>
          </w:p>
        </w:tc>
        <w:tc>
          <w:tcPr>
            <w:tcW w:w="40" w:type="dxa"/>
            <w:vAlign w:val="bottom"/>
          </w:tcPr>
          <w:p>
            <w:pPr>
              <w:spacing w:after="0"/>
              <w:rPr>
                <w:sz w:val="14"/>
                <w:szCs w:val="14"/>
                <w:color w:val="auto"/>
              </w:rPr>
            </w:pPr>
          </w:p>
        </w:tc>
      </w:tr>
      <w:tr>
        <w:trPr>
          <w:trHeight w:val="189"/>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11,679</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9,636</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62"/>
        </w:trPr>
        <w:tc>
          <w:tcPr>
            <w:tcW w:w="6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33,427</w:t>
            </w:r>
          </w:p>
        </w:tc>
        <w:tc>
          <w:tcPr>
            <w:tcW w:w="3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2,994</w:t>
            </w:r>
          </w:p>
        </w:tc>
        <w:tc>
          <w:tcPr>
            <w:tcW w:w="40" w:type="dxa"/>
            <w:vAlign w:val="bottom"/>
          </w:tcPr>
          <w:p>
            <w:pPr>
              <w:spacing w:after="0"/>
              <w:rPr>
                <w:sz w:val="14"/>
                <w:szCs w:val="14"/>
                <w:color w:val="auto"/>
              </w:rPr>
            </w:pPr>
          </w:p>
        </w:tc>
      </w:tr>
      <w:tr>
        <w:trPr>
          <w:trHeight w:val="686"/>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34,922</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24"/>
                <w:szCs w:val="24"/>
                <w:color w:val="auto"/>
              </w:rPr>
            </w:pPr>
          </w:p>
        </w:tc>
      </w:tr>
      <w:tr>
        <w:trPr>
          <w:trHeight w:val="525"/>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144,839</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24"/>
                <w:szCs w:val="24"/>
                <w:color w:val="auto"/>
              </w:rPr>
            </w:pPr>
          </w:p>
        </w:tc>
      </w:tr>
      <w:tr>
        <w:trPr>
          <w:trHeight w:val="718"/>
        </w:trPr>
        <w:tc>
          <w:tcPr>
            <w:tcW w:w="600" w:type="dxa"/>
            <w:vAlign w:val="bottom"/>
          </w:tcPr>
          <w:p>
            <w:pPr>
              <w:spacing w:after="0"/>
              <w:rPr>
                <w:sz w:val="24"/>
                <w:szCs w:val="24"/>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217,832</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216,910</w:t>
            </w:r>
          </w:p>
        </w:tc>
        <w:tc>
          <w:tcPr>
            <w:tcW w:w="4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(31,900)</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(70,000)</w:t>
            </w:r>
          </w:p>
        </w:tc>
      </w:tr>
      <w:tr>
        <w:trPr>
          <w:trHeight w:val="193"/>
        </w:trPr>
        <w:tc>
          <w:tcPr>
            <w:tcW w:w="600" w:type="dxa"/>
            <w:vAlign w:val="bottom"/>
          </w:tcPr>
          <w:p>
            <w:pPr>
              <w:spacing w:after="0"/>
              <w:rPr>
                <w:sz w:val="16"/>
                <w:szCs w:val="16"/>
                <w:color w:val="auto"/>
              </w:rPr>
            </w:pP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(292,342)</w:t>
            </w:r>
          </w:p>
        </w:tc>
        <w:tc>
          <w:tcPr>
            <w:tcW w:w="3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(238,767)</w:t>
            </w:r>
          </w:p>
        </w:tc>
      </w:tr>
    </w:tbl>
    <w:p>
      <w:pPr>
        <w:spacing w:after="0" w:line="22" w:lineRule="exact"/>
        <w:rPr>
          <w:sz w:val="20"/>
          <w:szCs w:val="20"/>
          <w:color w:val="auto"/>
        </w:rPr>
      </w:pPr>
    </w:p>
    <w:p>
      <w:pPr>
        <w:ind w:left="2300" w:hanging="1214"/>
        <w:spacing w:after="0"/>
        <w:tabs>
          <w:tab w:leader="none" w:pos="23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(3)</w:t>
      </w:r>
    </w:p>
    <w:p>
      <w:pPr>
        <w:spacing w:after="0" w:line="10"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4"/>
          <w:szCs w:val="14"/>
          <w:b w:val="1"/>
          <w:bCs w:val="1"/>
          <w:color w:val="auto"/>
        </w:rPr>
        <w:t>(106,412)(91,859)</w:t>
      </w:r>
    </w:p>
    <w:p>
      <w:pPr>
        <w:spacing w:after="0" w:line="175" w:lineRule="exact"/>
        <w:rPr>
          <w:sz w:val="20"/>
          <w:szCs w:val="20"/>
          <w:color w:val="auto"/>
        </w:rPr>
      </w:pPr>
    </w:p>
    <w:p>
      <w:pPr>
        <w:ind w:left="480"/>
        <w:spacing w:after="0"/>
        <w:tabs>
          <w:tab w:leader="none" w:pos="680" w:val="left"/>
          <w:tab w:leader="none" w:pos="1680" w:val="left"/>
          <w:tab w:leader="none" w:pos="1980" w:val="left"/>
        </w:tabs>
        <w:rPr>
          <w:sz w:val="20"/>
          <w:szCs w:val="20"/>
          <w:color w:val="auto"/>
        </w:rPr>
      </w:pPr>
      <w:r>
        <w:rPr>
          <w:rFonts w:ascii="Arial" w:cs="Arial" w:eastAsia="Arial" w:hAnsi="Arial"/>
          <w:sz w:val="14"/>
          <w:szCs w:val="14"/>
          <w:b w:val="1"/>
          <w:bCs w:val="1"/>
          <w:color w:val="auto"/>
        </w:rPr>
        <w:t>$</w:t>
        <w:tab/>
        <w:t>106,776</w:t>
      </w:r>
      <w:r>
        <w:rPr>
          <w:sz w:val="20"/>
          <w:szCs w:val="20"/>
          <w:color w:val="auto"/>
        </w:rPr>
        <w:tab/>
      </w:r>
      <w:r>
        <w:rPr>
          <w:rFonts w:ascii="Arial" w:cs="Arial" w:eastAsia="Arial" w:hAnsi="Arial"/>
          <w:sz w:val="14"/>
          <w:szCs w:val="14"/>
          <w:b w:val="1"/>
          <w:bCs w:val="1"/>
          <w:color w:val="auto"/>
        </w:rPr>
        <w:t>$</w:t>
        <w:tab/>
        <w:t>90,896</w:t>
      </w:r>
    </w:p>
    <w:p>
      <w:pPr>
        <w:spacing w:after="0" w:line="247" w:lineRule="exact"/>
        <w:rPr>
          <w:sz w:val="20"/>
          <w:szCs w:val="20"/>
          <w:color w:val="auto"/>
        </w:rPr>
      </w:pPr>
    </w:p>
    <w:p>
      <w:pPr>
        <w:sectPr>
          <w:pgSz w:w="11900" w:h="16838" w:orient="portrait"/>
          <w:cols w:equalWidth="0" w:num="2">
            <w:col w:w="5820" w:space="20"/>
            <w:col w:w="3179"/>
          </w:cols>
          <w:pgMar w:left="1440" w:top="134" w:right="1440" w:bottom="1440" w:gutter="0" w:footer="0" w:header="0"/>
          <w:type w:val="continuous"/>
        </w:sectPr>
      </w:pPr>
    </w:p>
    <w:p>
      <w:pPr>
        <w:spacing w:after="0" w:line="135" w:lineRule="exact"/>
        <w:rPr>
          <w:sz w:val="20"/>
          <w:szCs w:val="20"/>
          <w:color w:val="auto"/>
        </w:rPr>
      </w:pPr>
    </w:p>
    <w:p>
      <w:pPr>
        <w:jc w:val="right"/>
        <w:ind w:right="4459"/>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19" w:name="page220"/>
    <w:bookmarkEnd w:id="219"/>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40" w:right="2839"/>
        <w:spacing w:after="0" w:line="222"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58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3"/>
                <w:szCs w:val="13"/>
                <w:b w:val="1"/>
                <w:bCs w:val="1"/>
                <w:color w:val="auto"/>
              </w:rPr>
              <w:t>Successor</w:t>
            </w:r>
          </w:p>
        </w:tc>
        <w:tc>
          <w:tcPr>
            <w:tcW w:w="720" w:type="dxa"/>
            <w:vAlign w:val="bottom"/>
            <w:tcBorders>
              <w:top w:val="single" w:sz="8" w:color="auto"/>
              <w:bottom w:val="single" w:sz="8" w:color="auto"/>
              <w:right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2"/>
          </w:tcPr>
          <w:p>
            <w:pPr>
              <w:jc w:val="center"/>
              <w:ind w:right="9"/>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60" w:type="dxa"/>
            <w:vAlign w:val="bottom"/>
            <w:tcBorders>
              <w:right w:val="single" w:sz="8" w:color="auto"/>
            </w:tcBorders>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 June 21,</w:t>
            </w:r>
          </w:p>
        </w:tc>
        <w:tc>
          <w:tcPr>
            <w:tcW w:w="60" w:type="dxa"/>
            <w:vAlign w:val="bottom"/>
          </w:tcPr>
          <w:p>
            <w:pPr>
              <w:spacing w:after="0"/>
              <w:rPr>
                <w:sz w:val="11"/>
                <w:szCs w:val="11"/>
                <w:color w:val="auto"/>
              </w:rPr>
            </w:pPr>
          </w:p>
        </w:tc>
        <w:tc>
          <w:tcPr>
            <w:tcW w:w="156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 January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8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 Ended 2019 through December</w:t>
            </w:r>
          </w:p>
        </w:tc>
        <w:tc>
          <w:tcPr>
            <w:tcW w:w="16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1, 2019 through June 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31, 2019</w:t>
            </w: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39,681</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10,107</w:t>
            </w:r>
          </w:p>
        </w:tc>
        <w:tc>
          <w:tcPr>
            <w:tcW w:w="60" w:type="dxa"/>
            <w:vAlign w:val="bottom"/>
          </w:tcPr>
          <w:p>
            <w:pPr>
              <w:spacing w:after="0"/>
              <w:rPr>
                <w:sz w:val="15"/>
                <w:szCs w:val="15"/>
                <w:color w:val="auto"/>
              </w:rPr>
            </w:pPr>
          </w:p>
        </w:tc>
        <w:tc>
          <w:tcPr>
            <w:tcW w:w="860" w:type="dxa"/>
            <w:vAlign w:val="bottom"/>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8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Write off of in-process research and</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development asset</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4,722</w:t>
            </w:r>
          </w:p>
        </w:tc>
        <w:tc>
          <w:tcPr>
            <w:tcW w:w="84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225,946</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5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8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b w:val="1"/>
                <w:bCs w:val="1"/>
                <w:color w:val="auto"/>
              </w:rPr>
              <w:t>Loss from operations</w:t>
            </w:r>
          </w:p>
        </w:tc>
        <w:tc>
          <w:tcPr>
            <w:tcW w:w="580" w:type="dxa"/>
            <w:vAlign w:val="bottom"/>
          </w:tcPr>
          <w:p>
            <w:pPr>
              <w:spacing w:after="0"/>
              <w:rPr>
                <w:sz w:val="14"/>
                <w:szCs w:val="14"/>
                <w:color w:val="auto"/>
              </w:rPr>
            </w:pP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(53,898)</w:t>
            </w:r>
          </w:p>
        </w:tc>
        <w:tc>
          <w:tcPr>
            <w:tcW w:w="840" w:type="dxa"/>
            <w:vAlign w:val="bottom"/>
          </w:tcPr>
          <w:p>
            <w:pPr>
              <w:spacing w:after="0"/>
              <w:rPr>
                <w:sz w:val="14"/>
                <w:szCs w:val="14"/>
                <w:color w:val="auto"/>
              </w:rPr>
            </w:pPr>
          </w:p>
        </w:tc>
        <w:tc>
          <w:tcPr>
            <w:tcW w:w="72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(239,675)</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(6,304)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5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704</w:t>
            </w:r>
          </w:p>
        </w:tc>
        <w:tc>
          <w:tcPr>
            <w:tcW w:w="840" w:type="dxa"/>
            <w:vAlign w:val="bottom"/>
          </w:tcPr>
          <w:p>
            <w:pPr>
              <w:spacing w:after="0"/>
              <w:rPr>
                <w:sz w:val="15"/>
                <w:szCs w:val="15"/>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908</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25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(53,575)</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(238,767)</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center"/>
              <w:ind w:left="551"/>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spacing w:after="0" w:line="152" w:lineRule="exact"/>
              <w:rPr>
                <w:sz w:val="20"/>
                <w:szCs w:val="20"/>
                <w:color w:val="auto"/>
              </w:rPr>
            </w:pPr>
            <w:r>
              <w:rPr>
                <w:rFonts w:ascii="Arial" w:cs="Arial" w:eastAsia="Arial" w:hAnsi="Arial"/>
                <w:sz w:val="14"/>
                <w:szCs w:val="14"/>
                <w:color w:val="auto"/>
              </w:rPr>
              <w:t>Net loss per common share</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(7.16)</w:t>
            </w: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(31.91)</w:t>
            </w:r>
          </w:p>
        </w:tc>
        <w:tc>
          <w:tcPr>
            <w:tcW w:w="60" w:type="dxa"/>
            <w:vAlign w:val="bottom"/>
          </w:tcPr>
          <w:p>
            <w:pPr>
              <w:spacing w:after="0"/>
              <w:rPr>
                <w:sz w:val="9"/>
                <w:szCs w:val="9"/>
                <w:color w:val="auto"/>
              </w:rPr>
            </w:pPr>
          </w:p>
        </w:tc>
        <w:tc>
          <w:tcPr>
            <w:tcW w:w="860" w:type="dxa"/>
            <w:vAlign w:val="bottom"/>
            <w:vMerge w:val="restart"/>
          </w:tcPr>
          <w:p>
            <w:pPr>
              <w:jc w:val="center"/>
              <w:ind w:left="551"/>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Weighted average common shares</w:t>
            </w:r>
          </w:p>
        </w:tc>
        <w:tc>
          <w:tcPr>
            <w:tcW w:w="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5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840" w:type="dxa"/>
            <w:vAlign w:val="bottom"/>
            <w:shd w:val="clear" w:color="auto" w:fill="CCEEFF"/>
          </w:tcPr>
          <w:p>
            <w:pPr>
              <w:spacing w:after="0"/>
              <w:rPr>
                <w:sz w:val="14"/>
                <w:szCs w:val="14"/>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7,481,861</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 and Diluted</w:t>
            </w:r>
          </w:p>
        </w:tc>
        <w:tc>
          <w:tcPr>
            <w:tcW w:w="5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Other comprehensive loss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140"/>
              <w:spacing w:after="0"/>
              <w:rPr>
                <w:sz w:val="20"/>
                <w:szCs w:val="20"/>
                <w:color w:val="auto"/>
              </w:rPr>
            </w:pPr>
            <w:r>
              <w:rPr>
                <w:rFonts w:ascii="Arial" w:cs="Arial" w:eastAsia="Arial" w:hAnsi="Arial"/>
                <w:sz w:val="14"/>
                <w:szCs w:val="14"/>
                <w:color w:val="auto"/>
              </w:rPr>
              <w:t>Unrealized gain (loss) on short-term</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84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adjustment</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0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(53,575)</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(238,770)</w:t>
            </w:r>
          </w:p>
        </w:tc>
        <w:tc>
          <w:tcPr>
            <w:tcW w:w="60" w:type="dxa"/>
            <w:vAlign w:val="bottom"/>
          </w:tcPr>
          <w:p>
            <w:pPr>
              <w:spacing w:after="0"/>
              <w:rPr>
                <w:sz w:val="14"/>
                <w:szCs w:val="14"/>
                <w:color w:val="auto"/>
              </w:rPr>
            </w:pPr>
          </w:p>
        </w:tc>
        <w:tc>
          <w:tcPr>
            <w:tcW w:w="860" w:type="dxa"/>
            <w:vAlign w:val="bottom"/>
          </w:tcPr>
          <w:p>
            <w:pPr>
              <w:jc w:val="center"/>
              <w:ind w:left="5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(6,002)</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-1590675</wp:posOffset>
            </wp:positionV>
            <wp:extent cx="164592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459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-2093595</wp:posOffset>
            </wp:positionV>
            <wp:extent cx="164592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645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0" w:name="page221"/>
    <w:bookmarkEnd w:id="220"/>
    <w:p>
      <w:pPr>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ind w:left="680" w:right="2460"/>
        <w:spacing w:after="0" w:line="213"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w:t>
      </w:r>
    </w:p>
    <w:p>
      <w:pPr>
        <w:spacing w:after="0" w:line="2" w:lineRule="exact"/>
        <w:rPr>
          <w:sz w:val="20"/>
          <w:szCs w:val="20"/>
          <w:color w:val="auto"/>
        </w:rPr>
      </w:pPr>
    </w:p>
    <w:p>
      <w:pPr>
        <w:ind w:left="680" w:right="3340"/>
        <w:spacing w:after="0" w:line="222" w:lineRule="auto"/>
        <w:rPr>
          <w:sz w:val="20"/>
          <w:szCs w:val="20"/>
          <w:color w:val="auto"/>
        </w:rPr>
      </w:pPr>
      <w:r>
        <w:rPr>
          <w:rFonts w:ascii="Arial" w:cs="Arial" w:eastAsia="Arial" w:hAnsi="Arial"/>
          <w:sz w:val="23"/>
          <w:szCs w:val="23"/>
          <w:b w:val="1"/>
          <w:bCs w:val="1"/>
          <w:color w:val="auto"/>
        </w:rPr>
        <w:t>For the year ended December 31, 2020 (Successor), the periods June 21, 2019 through December 31, 2019 (Successor) and January 1, 2019 through June 20, 2019 (Predecessor) (In thousands, except unit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67310</wp:posOffset>
            </wp:positionV>
            <wp:extent cx="6720205" cy="13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20205" cy="13335"/>
                    </a:xfrm>
                    <a:prstGeom prst="rect">
                      <a:avLst/>
                    </a:prstGeom>
                    <a:noFill/>
                  </pic:spPr>
                </pic:pic>
              </a:graphicData>
            </a:graphic>
          </wp:anchor>
        </w:drawing>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2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9"/>
                <w:szCs w:val="9"/>
                <w:b w:val="1"/>
                <w:bCs w:val="1"/>
                <w:color w:val="auto"/>
              </w:rPr>
              <w:t>Predecessor</w:t>
            </w: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9"/>
                <w:szCs w:val="9"/>
                <w:b w:val="1"/>
                <w:bCs w:val="1"/>
                <w:color w:val="auto"/>
              </w:rPr>
              <w:t>Successor</w:t>
            </w:r>
          </w:p>
        </w:tc>
        <w:tc>
          <w:tcPr>
            <w:tcW w:w="3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gridSpan w:val="2"/>
          </w:tcPr>
          <w:p>
            <w:pPr>
              <w:jc w:val="right"/>
              <w:spacing w:after="0" w:line="65" w:lineRule="exact"/>
              <w:rPr>
                <w:sz w:val="20"/>
                <w:szCs w:val="20"/>
                <w:color w:val="auto"/>
              </w:rPr>
            </w:pPr>
            <w:r>
              <w:rPr>
                <w:rFonts w:ascii="Arial" w:cs="Arial" w:eastAsia="Arial" w:hAnsi="Arial"/>
                <w:sz w:val="7"/>
                <w:szCs w:val="7"/>
                <w:b w:val="1"/>
                <w:bCs w:val="1"/>
                <w:color w:val="auto"/>
              </w:rPr>
              <w:t>Series A</w:t>
            </w:r>
          </w:p>
        </w:tc>
        <w:tc>
          <w:tcPr>
            <w:tcW w:w="820" w:type="dxa"/>
            <w:vAlign w:val="bottom"/>
            <w:gridSpan w:val="2"/>
          </w:tcPr>
          <w:p>
            <w:pPr>
              <w:jc w:val="right"/>
              <w:spacing w:after="0" w:line="65" w:lineRule="exact"/>
              <w:rPr>
                <w:sz w:val="20"/>
                <w:szCs w:val="20"/>
                <w:color w:val="auto"/>
              </w:rPr>
            </w:pPr>
            <w:r>
              <w:rPr>
                <w:rFonts w:ascii="Arial" w:cs="Arial" w:eastAsia="Arial" w:hAnsi="Arial"/>
                <w:sz w:val="7"/>
                <w:szCs w:val="7"/>
                <w:b w:val="1"/>
                <w:bCs w:val="1"/>
                <w:color w:val="auto"/>
              </w:rPr>
              <w:t>Series B</w:t>
            </w: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2"/>
          </w:tcPr>
          <w:p>
            <w:pPr>
              <w:jc w:val="right"/>
              <w:spacing w:after="0" w:line="86" w:lineRule="exact"/>
              <w:rPr>
                <w:sz w:val="20"/>
                <w:szCs w:val="20"/>
                <w:color w:val="auto"/>
              </w:rPr>
            </w:pPr>
            <w:r>
              <w:rPr>
                <w:rFonts w:ascii="Arial" w:cs="Arial" w:eastAsia="Arial" w:hAnsi="Arial"/>
                <w:sz w:val="9"/>
                <w:szCs w:val="9"/>
                <w:b w:val="1"/>
                <w:bCs w:val="1"/>
                <w:color w:val="auto"/>
              </w:rPr>
              <w:t>Convertible</w:t>
            </w:r>
          </w:p>
        </w:tc>
        <w:tc>
          <w:tcPr>
            <w:tcW w:w="820" w:type="dxa"/>
            <w:vAlign w:val="bottom"/>
            <w:gridSpan w:val="2"/>
          </w:tcPr>
          <w:p>
            <w:pPr>
              <w:jc w:val="right"/>
              <w:spacing w:after="0" w:line="86" w:lineRule="exact"/>
              <w:rPr>
                <w:sz w:val="20"/>
                <w:szCs w:val="20"/>
                <w:color w:val="auto"/>
              </w:rPr>
            </w:pPr>
            <w:r>
              <w:rPr>
                <w:rFonts w:ascii="Arial" w:cs="Arial" w:eastAsia="Arial" w:hAnsi="Arial"/>
                <w:sz w:val="9"/>
                <w:szCs w:val="9"/>
                <w:b w:val="1"/>
                <w:bCs w:val="1"/>
                <w:color w:val="auto"/>
              </w:rPr>
              <w:t>Convertible</w:t>
            </w: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ind w:right="97"/>
              <w:spacing w:after="0"/>
              <w:rPr>
                <w:sz w:val="20"/>
                <w:szCs w:val="20"/>
                <w:color w:val="auto"/>
              </w:rPr>
            </w:pPr>
            <w:r>
              <w:rPr>
                <w:rFonts w:ascii="Arial" w:cs="Arial" w:eastAsia="Arial" w:hAnsi="Arial"/>
                <w:sz w:val="9"/>
                <w:szCs w:val="9"/>
                <w:b w:val="1"/>
                <w:bCs w:val="1"/>
                <w:color w:val="auto"/>
              </w:rPr>
              <w:t>Predecessor</w:t>
            </w:r>
          </w:p>
        </w:tc>
        <w:tc>
          <w:tcPr>
            <w:tcW w:w="540" w:type="dxa"/>
            <w:vAlign w:val="bottom"/>
          </w:tcPr>
          <w:p>
            <w:pPr>
              <w:spacing w:after="0"/>
              <w:rPr>
                <w:sz w:val="5"/>
                <w:szCs w:val="5"/>
                <w:color w:val="auto"/>
              </w:rPr>
            </w:pPr>
          </w:p>
        </w:tc>
        <w:tc>
          <w:tcPr>
            <w:tcW w:w="800" w:type="dxa"/>
            <w:vAlign w:val="bottom"/>
            <w:gridSpan w:val="2"/>
            <w:vMerge w:val="restart"/>
          </w:tcPr>
          <w:p>
            <w:pPr>
              <w:jc w:val="right"/>
              <w:ind w:right="217"/>
              <w:spacing w:after="0"/>
              <w:rPr>
                <w:sz w:val="20"/>
                <w:szCs w:val="20"/>
                <w:color w:val="auto"/>
              </w:rPr>
            </w:pPr>
            <w:r>
              <w:rPr>
                <w:rFonts w:ascii="Arial" w:cs="Arial" w:eastAsia="Arial" w:hAnsi="Arial"/>
                <w:sz w:val="9"/>
                <w:szCs w:val="9"/>
                <w:b w:val="1"/>
                <w:bCs w:val="1"/>
                <w:color w:val="auto"/>
              </w:rPr>
              <w:t>Successor</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Predecessor</w:t>
            </w:r>
          </w:p>
        </w:tc>
        <w:tc>
          <w:tcPr>
            <w:tcW w:w="56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Successor</w:t>
            </w:r>
          </w:p>
        </w:tc>
        <w:tc>
          <w:tcPr>
            <w:tcW w:w="840" w:type="dxa"/>
            <w:vAlign w:val="bottom"/>
          </w:tcPr>
          <w:p>
            <w:pPr>
              <w:jc w:val="right"/>
              <w:ind w:right="58"/>
              <w:spacing w:after="0" w:line="65" w:lineRule="exact"/>
              <w:rPr>
                <w:sz w:val="20"/>
                <w:szCs w:val="20"/>
                <w:color w:val="auto"/>
              </w:rPr>
            </w:pPr>
            <w:r>
              <w:rPr>
                <w:rFonts w:ascii="Arial" w:cs="Arial" w:eastAsia="Arial" w:hAnsi="Arial"/>
                <w:sz w:val="7"/>
                <w:szCs w:val="7"/>
                <w:b w:val="1"/>
                <w:bCs w:val="1"/>
                <w:color w:val="auto"/>
              </w:rPr>
              <w:t>Other</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820" w:type="dxa"/>
            <w:vAlign w:val="bottom"/>
            <w:tcBorders>
              <w:bottom w:val="single" w:sz="8" w:color="auto"/>
            </w:tcBorders>
            <w:gridSpan w:val="3"/>
            <w:vMerge w:val="continue"/>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20" w:type="dxa"/>
            <w:vAlign w:val="bottom"/>
            <w:gridSpan w:val="2"/>
          </w:tcPr>
          <w:p>
            <w:pPr>
              <w:jc w:val="right"/>
              <w:ind w:right="37"/>
              <w:spacing w:after="0" w:line="65" w:lineRule="exact"/>
              <w:rPr>
                <w:sz w:val="20"/>
                <w:szCs w:val="20"/>
                <w:color w:val="auto"/>
              </w:rPr>
            </w:pPr>
            <w:r>
              <w:rPr>
                <w:rFonts w:ascii="Arial" w:cs="Arial" w:eastAsia="Arial" w:hAnsi="Arial"/>
                <w:sz w:val="7"/>
                <w:szCs w:val="7"/>
                <w:b w:val="1"/>
                <w:bCs w:val="1"/>
                <w:color w:val="auto"/>
              </w:rPr>
              <w:t>Additional</w:t>
            </w: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tcBorders>
            <w:gridSpan w:val="2"/>
            <w:vMerge w:val="continue"/>
          </w:tcPr>
          <w:p>
            <w:pPr>
              <w:spacing w:after="0"/>
              <w:rPr>
                <w:sz w:val="5"/>
                <w:szCs w:val="5"/>
                <w:color w:val="auto"/>
              </w:rPr>
            </w:pPr>
          </w:p>
        </w:tc>
        <w:tc>
          <w:tcPr>
            <w:tcW w:w="840" w:type="dxa"/>
            <w:vAlign w:val="bottom"/>
          </w:tcPr>
          <w:p>
            <w:pPr>
              <w:jc w:val="right"/>
              <w:ind w:right="58"/>
              <w:spacing w:after="0" w:line="65" w:lineRule="exact"/>
              <w:rPr>
                <w:sz w:val="20"/>
                <w:szCs w:val="20"/>
                <w:color w:val="auto"/>
              </w:rPr>
            </w:pPr>
            <w:r>
              <w:rPr>
                <w:rFonts w:ascii="Arial" w:cs="Arial" w:eastAsia="Arial" w:hAnsi="Arial"/>
                <w:sz w:val="7"/>
                <w:szCs w:val="7"/>
                <w:b w:val="1"/>
                <w:bCs w:val="1"/>
                <w:color w:val="auto"/>
              </w:rPr>
              <w:t>Comprehensive</w:t>
            </w:r>
          </w:p>
        </w:tc>
        <w:tc>
          <w:tcPr>
            <w:tcW w:w="140" w:type="dxa"/>
            <w:vAlign w:val="bottom"/>
          </w:tcPr>
          <w:p>
            <w:pPr>
              <w:spacing w:after="0"/>
              <w:rPr>
                <w:sz w:val="5"/>
                <w:szCs w:val="5"/>
                <w:color w:val="auto"/>
              </w:rPr>
            </w:pPr>
          </w:p>
        </w:tc>
        <w:tc>
          <w:tcPr>
            <w:tcW w:w="320" w:type="dxa"/>
            <w:vAlign w:val="bottom"/>
          </w:tcPr>
          <w:p>
            <w:pPr>
              <w:jc w:val="right"/>
              <w:spacing w:after="0" w:line="65" w:lineRule="exact"/>
              <w:rPr>
                <w:sz w:val="20"/>
                <w:szCs w:val="20"/>
                <w:color w:val="auto"/>
              </w:rPr>
            </w:pPr>
            <w:r>
              <w:rPr>
                <w:rFonts w:ascii="Arial" w:cs="Arial" w:eastAsia="Arial" w:hAnsi="Arial"/>
                <w:sz w:val="7"/>
                <w:szCs w:val="7"/>
                <w:b w:val="1"/>
                <w:bCs w:val="1"/>
                <w:color w:val="auto"/>
              </w:rPr>
              <w:t>Tot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440" w:type="dxa"/>
            <w:vAlign w:val="bottom"/>
          </w:tcPr>
          <w:p>
            <w:pPr>
              <w:jc w:val="right"/>
              <w:ind w:right="17"/>
              <w:spacing w:after="0" w:line="87" w:lineRule="exact"/>
              <w:rPr>
                <w:sz w:val="20"/>
                <w:szCs w:val="20"/>
                <w:color w:val="auto"/>
              </w:rPr>
            </w:pPr>
            <w:r>
              <w:rPr>
                <w:rFonts w:ascii="Arial" w:cs="Arial" w:eastAsia="Arial" w:hAnsi="Arial"/>
                <w:sz w:val="9"/>
                <w:szCs w:val="9"/>
                <w:b w:val="1"/>
                <w:bCs w:val="1"/>
                <w:color w:val="auto"/>
                <w:w w:val="92"/>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540" w:type="dxa"/>
            <w:vAlign w:val="bottom"/>
          </w:tcPr>
          <w:p>
            <w:pPr>
              <w:ind w:left="60"/>
              <w:spacing w:after="0" w:line="87" w:lineRule="exact"/>
              <w:rPr>
                <w:sz w:val="20"/>
                <w:szCs w:val="20"/>
                <w:color w:val="auto"/>
              </w:rPr>
            </w:pPr>
            <w:r>
              <w:rPr>
                <w:rFonts w:ascii="Arial" w:cs="Arial" w:eastAsia="Arial" w:hAnsi="Arial"/>
                <w:sz w:val="9"/>
                <w:szCs w:val="9"/>
                <w:b w:val="1"/>
                <w:bCs w:val="1"/>
                <w:color w:val="auto"/>
              </w:rPr>
              <w:t>Common</w:t>
            </w:r>
          </w:p>
        </w:tc>
        <w:tc>
          <w:tcPr>
            <w:tcW w:w="800" w:type="dxa"/>
            <w:vAlign w:val="bottom"/>
            <w:gridSpan w:val="2"/>
          </w:tcPr>
          <w:p>
            <w:pPr>
              <w:jc w:val="right"/>
              <w:ind w:right="37"/>
              <w:spacing w:after="0" w:line="87" w:lineRule="exact"/>
              <w:rPr>
                <w:sz w:val="20"/>
                <w:szCs w:val="20"/>
                <w:color w:val="auto"/>
              </w:rPr>
            </w:pPr>
            <w:r>
              <w:rPr>
                <w:rFonts w:ascii="Arial" w:cs="Arial" w:eastAsia="Arial" w:hAnsi="Arial"/>
                <w:sz w:val="9"/>
                <w:szCs w:val="9"/>
                <w:b w:val="1"/>
                <w:bCs w:val="1"/>
                <w:color w:val="auto"/>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7"/>
                <w:szCs w:val="7"/>
                <w:color w:val="auto"/>
              </w:rPr>
            </w:pPr>
          </w:p>
        </w:tc>
        <w:tc>
          <w:tcPr>
            <w:tcW w:w="2140" w:type="dxa"/>
            <w:vAlign w:val="bottom"/>
            <w:gridSpan w:val="7"/>
          </w:tcPr>
          <w:p>
            <w:pPr>
              <w:jc w:val="right"/>
              <w:spacing w:after="0" w:line="87" w:lineRule="exact"/>
              <w:rPr>
                <w:sz w:val="20"/>
                <w:szCs w:val="20"/>
                <w:color w:val="auto"/>
              </w:rPr>
            </w:pPr>
            <w:r>
              <w:rPr>
                <w:rFonts w:ascii="Arial" w:cs="Arial" w:eastAsia="Arial" w:hAnsi="Arial"/>
                <w:sz w:val="9"/>
                <w:szCs w:val="9"/>
                <w:b w:val="1"/>
                <w:bCs w:val="1"/>
                <w:color w:val="auto"/>
              </w:rPr>
              <w:t>Paid-In Subscription Accumulated Accumulated</w:t>
            </w:r>
          </w:p>
        </w:tc>
        <w:tc>
          <w:tcPr>
            <w:tcW w:w="1300" w:type="dxa"/>
            <w:vAlign w:val="bottom"/>
            <w:gridSpan w:val="3"/>
          </w:tcPr>
          <w:p>
            <w:pPr>
              <w:jc w:val="right"/>
              <w:spacing w:after="0" w:line="87" w:lineRule="exact"/>
              <w:rPr>
                <w:sz w:val="20"/>
                <w:szCs w:val="20"/>
                <w:color w:val="auto"/>
              </w:rPr>
            </w:pPr>
            <w:r>
              <w:rPr>
                <w:rFonts w:ascii="Arial" w:cs="Arial" w:eastAsia="Arial" w:hAnsi="Arial"/>
                <w:sz w:val="9"/>
                <w:szCs w:val="9"/>
                <w:b w:val="1"/>
                <w:bCs w:val="1"/>
                <w:color w:val="auto"/>
              </w:rPr>
              <w:t>Income Stockholder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Units</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w w:val="93"/>
              </w:rPr>
              <w:t>Amount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b w:val="1"/>
                <w:bCs w:val="1"/>
                <w:color w:val="auto"/>
              </w:rPr>
              <w:t>Capital</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Receivable</w:t>
            </w: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9"/>
                <w:szCs w:val="9"/>
                <w:b w:val="1"/>
                <w:bCs w:val="1"/>
                <w:color w:val="auto"/>
              </w:rPr>
              <w:t>(Loss)</w:t>
            </w: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December 31, 2018, Predecessor</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35,000,000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4"/>
              </w:rPr>
              <w:t>34,922</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b w:val="1"/>
                <w:bCs w:val="1"/>
                <w:color w:val="auto"/>
                <w:w w:val="96"/>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b w:val="1"/>
                <w:bCs w:val="1"/>
                <w:color w:val="auto"/>
                <w:w w:val="72"/>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5,961,607</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$ 1</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b w:val="1"/>
                <w:bCs w:val="1"/>
                <w:color w:val="auto"/>
                <w:w w:val="72"/>
              </w:rPr>
              <w:t>— $</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77"/>
              <w:spacing w:after="0"/>
              <w:rPr>
                <w:sz w:val="20"/>
                <w:szCs w:val="20"/>
                <w:color w:val="auto"/>
              </w:rPr>
            </w:pPr>
            <w:r>
              <w:rPr>
                <w:rFonts w:ascii="Arial" w:cs="Arial" w:eastAsia="Arial" w:hAnsi="Arial"/>
                <w:sz w:val="9"/>
                <w:szCs w:val="9"/>
                <w:b w:val="1"/>
                <w:bCs w:val="1"/>
                <w:color w:val="auto"/>
                <w:w w:val="91"/>
              </w:rPr>
              <w:t>(1,894)</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b w:val="1"/>
                <w:bCs w:val="1"/>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Issuance of common stock</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23,241</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Stock based compensation expense</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14</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tcBorders>
              <w:bottom w:val="single" w:sz="8" w:color="CCEEFF"/>
            </w:tcBorders>
          </w:tcPr>
          <w:p>
            <w:pPr>
              <w:spacing w:after="0" w:line="102" w:lineRule="exact"/>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7"/>
              <w:spacing w:after="0" w:line="102" w:lineRule="exact"/>
              <w:rPr>
                <w:sz w:val="20"/>
                <w:szCs w:val="20"/>
                <w:color w:val="auto"/>
              </w:rPr>
            </w:pPr>
            <w:r>
              <w:rPr>
                <w:rFonts w:ascii="Arial" w:cs="Arial" w:eastAsia="Arial" w:hAnsi="Arial"/>
                <w:sz w:val="9"/>
                <w:szCs w:val="9"/>
                <w:color w:val="auto"/>
                <w:w w:val="91"/>
              </w:rPr>
              <w:t>(6,002)</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Borders>
              <w:bottom w:val="single" w:sz="8" w:color="auto"/>
            </w:tcBorders>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(6,00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20" w:type="dxa"/>
            <w:vAlign w:val="bottom"/>
            <w:tcBorders>
              <w:bottom w:val="single" w:sz="8" w:color="CCEEFF"/>
            </w:tcBorders>
            <w:shd w:val="clear" w:color="auto" w:fill="CCEEFF"/>
          </w:tcPr>
          <w:p>
            <w:pPr>
              <w:spacing w:after="0" w:line="92" w:lineRule="exact"/>
              <w:rPr>
                <w:sz w:val="20"/>
                <w:szCs w:val="20"/>
                <w:color w:val="auto"/>
              </w:rPr>
            </w:pPr>
            <w:r>
              <w:rPr>
                <w:rFonts w:ascii="Arial" w:cs="Arial" w:eastAsia="Arial" w:hAnsi="Arial"/>
                <w:sz w:val="9"/>
                <w:szCs w:val="9"/>
                <w:b w:val="1"/>
                <w:bCs w:val="1"/>
                <w:color w:val="auto"/>
              </w:rPr>
              <w:t>Balance, June 20, 2019, Predecessor</w:t>
            </w:r>
          </w:p>
        </w:tc>
        <w:tc>
          <w:tcPr>
            <w:tcW w:w="4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7"/>
              </w:rPr>
              <w:t>35,000,000</w:t>
            </w:r>
          </w:p>
        </w:tc>
        <w:tc>
          <w:tcPr>
            <w:tcW w:w="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78"/>
              </w:rPr>
              <w:t>$</w:t>
            </w: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4"/>
              </w:rPr>
              <w:t>34,922</w:t>
            </w:r>
          </w:p>
        </w:tc>
        <w:tc>
          <w:tcPr>
            <w:tcW w:w="520" w:type="dxa"/>
            <w:vAlign w:val="bottom"/>
            <w:tcBorders>
              <w:bottom w:val="single" w:sz="8" w:color="auto"/>
            </w:tcBorders>
            <w:shd w:val="clear" w:color="auto" w:fill="CCEEFF"/>
          </w:tcPr>
          <w:p>
            <w:pPr>
              <w:ind w:left="340"/>
              <w:spacing w:after="0" w:line="98" w:lineRule="exact"/>
              <w:rPr>
                <w:sz w:val="20"/>
                <w:szCs w:val="20"/>
                <w:color w:val="auto"/>
              </w:rPr>
            </w:pPr>
            <w:r>
              <w:rPr>
                <w:rFonts w:ascii="Arial" w:cs="Arial" w:eastAsia="Arial" w:hAnsi="Arial"/>
                <w:sz w:val="9"/>
                <w:szCs w:val="9"/>
                <w:b w:val="1"/>
                <w:bCs w:val="1"/>
                <w:color w:val="auto"/>
                <w:w w:val="96"/>
              </w:rPr>
              <w:t>— $</w:t>
            </w:r>
          </w:p>
        </w:tc>
        <w:tc>
          <w:tcPr>
            <w:tcW w:w="2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shd w:val="clear" w:color="auto" w:fill="CCEEFF"/>
          </w:tcPr>
          <w:p>
            <w:pPr>
              <w:ind w:left="360"/>
              <w:spacing w:after="0" w:line="98" w:lineRule="exact"/>
              <w:rPr>
                <w:sz w:val="20"/>
                <w:szCs w:val="20"/>
                <w:color w:val="auto"/>
              </w:rPr>
            </w:pPr>
            <w:r>
              <w:rPr>
                <w:rFonts w:ascii="Arial" w:cs="Arial" w:eastAsia="Arial" w:hAnsi="Arial"/>
                <w:sz w:val="9"/>
                <w:szCs w:val="9"/>
                <w:b w:val="1"/>
                <w:bCs w:val="1"/>
                <w:color w:val="auto"/>
                <w:w w:val="72"/>
              </w:rPr>
              <w:t>— $</w:t>
            </w:r>
          </w:p>
        </w:tc>
        <w:tc>
          <w:tcPr>
            <w:tcW w:w="760" w:type="dxa"/>
            <w:vAlign w:val="bottom"/>
            <w:tcBorders>
              <w:bottom w:val="single" w:sz="8" w:color="auto"/>
            </w:tcBorders>
            <w:gridSpan w:val="2"/>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 5,984,848</w:t>
            </w:r>
          </w:p>
        </w:tc>
        <w:tc>
          <w:tcPr>
            <w:tcW w:w="38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$ 1</w:t>
            </w:r>
          </w:p>
        </w:tc>
        <w:tc>
          <w:tcPr>
            <w:tcW w:w="540" w:type="dxa"/>
            <w:vAlign w:val="bottom"/>
            <w:tcBorders>
              <w:bottom w:val="single" w:sz="8" w:color="auto"/>
            </w:tcBorders>
            <w:shd w:val="clear" w:color="auto" w:fill="CCEEFF"/>
          </w:tcPr>
          <w:p>
            <w:pPr>
              <w:ind w:left="400"/>
              <w:spacing w:after="0" w:line="98" w:lineRule="exact"/>
              <w:rPr>
                <w:sz w:val="20"/>
                <w:szCs w:val="20"/>
                <w:color w:val="auto"/>
              </w:rPr>
            </w:pPr>
            <w:r>
              <w:rPr>
                <w:rFonts w:ascii="Arial" w:cs="Arial" w:eastAsia="Arial" w:hAnsi="Arial"/>
                <w:sz w:val="9"/>
                <w:szCs w:val="9"/>
                <w:b w:val="1"/>
                <w:bCs w:val="1"/>
                <w:color w:val="auto"/>
                <w:w w:val="72"/>
              </w:rPr>
              <w:t>— $</w:t>
            </w:r>
          </w:p>
        </w:tc>
        <w:tc>
          <w:tcPr>
            <w:tcW w:w="440" w:type="dxa"/>
            <w:vAlign w:val="bottom"/>
            <w:tcBorders>
              <w:bottom w:val="single" w:sz="8" w:color="auto"/>
            </w:tcBorders>
            <w:shd w:val="clear" w:color="auto" w:fill="CCEEFF"/>
          </w:tcPr>
          <w:p>
            <w:pPr>
              <w:jc w:val="right"/>
              <w:ind w:right="57"/>
              <w:spacing w:after="0" w:line="98" w:lineRule="exact"/>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57"/>
              <w:spacing w:after="0" w:line="98" w:lineRule="exact"/>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168</w:t>
            </w:r>
          </w:p>
        </w:tc>
        <w:tc>
          <w:tcPr>
            <w:tcW w:w="1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37"/>
              <w:spacing w:after="0" w:line="98" w:lineRule="exact"/>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77"/>
              <w:spacing w:after="0" w:line="98" w:lineRule="exact"/>
              <w:rPr>
                <w:sz w:val="20"/>
                <w:szCs w:val="20"/>
                <w:color w:val="auto"/>
              </w:rPr>
            </w:pPr>
            <w:r>
              <w:rPr>
                <w:rFonts w:ascii="Arial" w:cs="Arial" w:eastAsia="Arial" w:hAnsi="Arial"/>
                <w:sz w:val="9"/>
                <w:szCs w:val="9"/>
                <w:b w:val="1"/>
                <w:bCs w:val="1"/>
                <w:color w:val="auto"/>
                <w:w w:val="91"/>
              </w:rPr>
              <w:t>(7,896)</w:t>
            </w:r>
          </w:p>
        </w:tc>
        <w:tc>
          <w:tcPr>
            <w:tcW w:w="1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shd w:val="clear" w:color="auto" w:fill="CCEEFF"/>
          </w:tcPr>
          <w:p>
            <w:pPr>
              <w:jc w:val="right"/>
              <w:ind w:right="17"/>
              <w:spacing w:after="0" w:line="98" w:lineRule="exact"/>
              <w:rPr>
                <w:sz w:val="20"/>
                <w:szCs w:val="20"/>
                <w:color w:val="auto"/>
              </w:rPr>
            </w:pPr>
            <w:r>
              <w:rPr>
                <w:rFonts w:ascii="Arial" w:cs="Arial" w:eastAsia="Arial" w:hAnsi="Arial"/>
                <w:sz w:val="9"/>
                <w:szCs w:val="9"/>
                <w:b w:val="1"/>
                <w:bCs w:val="1"/>
                <w:color w:val="auto"/>
              </w:rPr>
              <w:t>—</w:t>
            </w:r>
          </w:p>
        </w:tc>
        <w:tc>
          <w:tcPr>
            <w:tcW w:w="840" w:type="dxa"/>
            <w:vAlign w:val="bottom"/>
            <w:tcBorders>
              <w:bottom w:val="single" w:sz="8" w:color="auto"/>
            </w:tcBorders>
            <w:shd w:val="clear" w:color="auto" w:fill="CCEEFF"/>
          </w:tcPr>
          <w:p>
            <w:pPr>
              <w:jc w:val="right"/>
              <w:ind w:right="238"/>
              <w:spacing w:after="0" w:line="98"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(7,72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3" w:lineRule="exact"/>
              <w:rPr>
                <w:sz w:val="20"/>
                <w:szCs w:val="20"/>
                <w:color w:val="auto"/>
              </w:rPr>
            </w:pPr>
            <w:r>
              <w:rPr>
                <w:rFonts w:ascii="Arial" w:cs="Arial" w:eastAsia="Arial" w:hAnsi="Arial"/>
                <w:sz w:val="9"/>
                <w:szCs w:val="9"/>
                <w:b w:val="1"/>
                <w:bCs w:val="1"/>
                <w:color w:val="auto"/>
              </w:rPr>
              <w:t>Balance, June 21, 2019, Successor</w:t>
            </w:r>
          </w:p>
        </w:tc>
        <w:tc>
          <w:tcPr>
            <w:tcW w:w="520" w:type="dxa"/>
            <w:vAlign w:val="bottom"/>
            <w:gridSpan w:val="2"/>
          </w:tcPr>
          <w:p>
            <w:pPr>
              <w:jc w:val="right"/>
              <w:spacing w:after="0" w:line="103" w:lineRule="exact"/>
              <w:rPr>
                <w:sz w:val="20"/>
                <w:szCs w:val="20"/>
                <w:color w:val="auto"/>
              </w:rPr>
            </w:pPr>
            <w:r>
              <w:rPr>
                <w:rFonts w:ascii="Arial" w:cs="Arial" w:eastAsia="Arial" w:hAnsi="Arial"/>
                <w:sz w:val="9"/>
                <w:szCs w:val="9"/>
                <w:b w:val="1"/>
                <w:bCs w:val="1"/>
                <w:color w:val="auto"/>
              </w:rPr>
              <w:t>— $</w:t>
            </w:r>
          </w:p>
        </w:tc>
        <w:tc>
          <w:tcPr>
            <w:tcW w:w="30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Pr>
          <w:p>
            <w:pPr>
              <w:ind w:left="340"/>
              <w:spacing w:after="0" w:line="103" w:lineRule="exact"/>
              <w:rPr>
                <w:sz w:val="20"/>
                <w:szCs w:val="20"/>
                <w:color w:val="auto"/>
              </w:rPr>
            </w:pPr>
            <w:r>
              <w:rPr>
                <w:rFonts w:ascii="Arial" w:cs="Arial" w:eastAsia="Arial" w:hAnsi="Arial"/>
                <w:sz w:val="9"/>
                <w:szCs w:val="9"/>
                <w:b w:val="1"/>
                <w:bCs w:val="1"/>
                <w:color w:val="auto"/>
                <w:w w:val="96"/>
              </w:rPr>
              <w:t>— $</w:t>
            </w:r>
          </w:p>
        </w:tc>
        <w:tc>
          <w:tcPr>
            <w:tcW w:w="28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00" w:type="dxa"/>
            <w:vAlign w:val="bottom"/>
          </w:tcPr>
          <w:p>
            <w:pPr>
              <w:ind w:left="360"/>
              <w:spacing w:after="0" w:line="103" w:lineRule="exact"/>
              <w:rPr>
                <w:sz w:val="20"/>
                <w:szCs w:val="20"/>
                <w:color w:val="auto"/>
              </w:rPr>
            </w:pPr>
            <w:r>
              <w:rPr>
                <w:rFonts w:ascii="Arial" w:cs="Arial" w:eastAsia="Arial" w:hAnsi="Arial"/>
                <w:sz w:val="9"/>
                <w:szCs w:val="9"/>
                <w:b w:val="1"/>
                <w:bCs w:val="1"/>
                <w:color w:val="auto"/>
                <w:w w:val="72"/>
              </w:rPr>
              <w:t>— $</w:t>
            </w: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Pr>
          <w:p>
            <w:pPr>
              <w:ind w:left="400"/>
              <w:spacing w:after="0" w:line="103" w:lineRule="exact"/>
              <w:rPr>
                <w:sz w:val="20"/>
                <w:szCs w:val="20"/>
                <w:color w:val="auto"/>
              </w:rPr>
            </w:pPr>
            <w:r>
              <w:rPr>
                <w:rFonts w:ascii="Arial" w:cs="Arial" w:eastAsia="Arial" w:hAnsi="Arial"/>
                <w:sz w:val="9"/>
                <w:szCs w:val="9"/>
                <w:b w:val="1"/>
                <w:bCs w:val="1"/>
                <w:color w:val="auto"/>
                <w:w w:val="72"/>
              </w:rPr>
              <w:t>— $</w:t>
            </w:r>
          </w:p>
        </w:tc>
        <w:tc>
          <w:tcPr>
            <w:tcW w:w="44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w:t>
            </w:r>
          </w:p>
        </w:tc>
        <w:tc>
          <w:tcPr>
            <w:tcW w:w="3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w:t>
            </w:r>
          </w:p>
        </w:tc>
        <w:tc>
          <w:tcPr>
            <w:tcW w:w="1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1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2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20" w:type="dxa"/>
            <w:vAlign w:val="bottom"/>
          </w:tcPr>
          <w:p>
            <w:pPr>
              <w:jc w:val="right"/>
              <w:ind w:right="17"/>
              <w:spacing w:after="0" w:line="103" w:lineRule="exact"/>
              <w:rPr>
                <w:sz w:val="20"/>
                <w:szCs w:val="20"/>
                <w:color w:val="auto"/>
              </w:rPr>
            </w:pPr>
            <w:r>
              <w:rPr>
                <w:rFonts w:ascii="Arial" w:cs="Arial" w:eastAsia="Arial" w:hAnsi="Arial"/>
                <w:sz w:val="9"/>
                <w:szCs w:val="9"/>
                <w:b w:val="1"/>
                <w:bCs w:val="1"/>
                <w:color w:val="auto"/>
              </w:rPr>
              <w:t>—</w:t>
            </w:r>
          </w:p>
        </w:tc>
        <w:tc>
          <w:tcPr>
            <w:tcW w:w="840" w:type="dxa"/>
            <w:vAlign w:val="bottom"/>
          </w:tcPr>
          <w:p>
            <w:pPr>
              <w:jc w:val="right"/>
              <w:ind w:right="238"/>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20" w:type="dxa"/>
            <w:vAlign w:val="bottom"/>
            <w:shd w:val="clear" w:color="auto" w:fill="CCEEFF"/>
          </w:tcPr>
          <w:p>
            <w:pPr>
              <w:spacing w:after="0" w:line="90" w:lineRule="exact"/>
              <w:rPr>
                <w:sz w:val="20"/>
                <w:szCs w:val="20"/>
                <w:color w:val="auto"/>
              </w:rPr>
            </w:pPr>
            <w:r>
              <w:rPr>
                <w:rFonts w:ascii="Arial" w:cs="Arial" w:eastAsia="Arial" w:hAnsi="Arial"/>
                <w:sz w:val="9"/>
                <w:szCs w:val="9"/>
                <w:color w:val="auto"/>
              </w:rPr>
              <w:t>Issuance of common units for cash, net of equity</w:t>
            </w: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74,83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20" w:type="dxa"/>
            <w:vAlign w:val="bottom"/>
            <w:tcBorders>
              <w:bottom w:val="single" w:sz="8" w:color="CCEEFF"/>
            </w:tcBorders>
            <w:shd w:val="clear" w:color="auto" w:fill="CCEEFF"/>
          </w:tcPr>
          <w:p>
            <w:pPr>
              <w:ind w:left="60"/>
              <w:spacing w:after="0" w:line="102" w:lineRule="exact"/>
              <w:rPr>
                <w:sz w:val="20"/>
                <w:szCs w:val="20"/>
                <w:color w:val="auto"/>
              </w:rPr>
            </w:pPr>
            <w:r>
              <w:rPr>
                <w:rFonts w:ascii="Arial" w:cs="Arial" w:eastAsia="Arial" w:hAnsi="Arial"/>
                <w:sz w:val="9"/>
                <w:szCs w:val="9"/>
                <w:color w:val="auto"/>
              </w:rPr>
              <w:t>issuance costs</w:t>
            </w:r>
          </w:p>
        </w:tc>
        <w:tc>
          <w:tcPr>
            <w:tcW w:w="4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26,143,790</w:t>
            </w:r>
          </w:p>
        </w:tc>
        <w:tc>
          <w:tcPr>
            <w:tcW w:w="440" w:type="dxa"/>
            <w:vAlign w:val="bottom"/>
            <w:tcBorders>
              <w:bottom w:val="single" w:sz="8" w:color="CCEEFF"/>
            </w:tcBorders>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w w:val="98"/>
              </w:rPr>
              <w:t>144,839</w:t>
            </w:r>
          </w:p>
        </w:tc>
        <w:tc>
          <w:tcPr>
            <w:tcW w:w="36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w w:val="95"/>
              </w:rPr>
              <w:t>(70,000)</w:t>
            </w: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Borders>
              <w:bottom w:val="single" w:sz="8" w:color="CCEEFF"/>
            </w:tcBorders>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20" w:type="dxa"/>
            <w:vAlign w:val="bottom"/>
          </w:tcPr>
          <w:p>
            <w:pPr>
              <w:spacing w:after="0" w:line="73" w:lineRule="exact"/>
              <w:rPr>
                <w:sz w:val="20"/>
                <w:szCs w:val="20"/>
                <w:color w:val="auto"/>
              </w:rPr>
            </w:pPr>
            <w:r>
              <w:rPr>
                <w:rFonts w:ascii="Arial" w:cs="Arial" w:eastAsia="Arial" w:hAnsi="Arial"/>
                <w:sz w:val="7"/>
                <w:szCs w:val="7"/>
                <w:color w:val="auto"/>
              </w:rPr>
              <w:t>Issuance of common units for acquired assets, net</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251,70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ind w:left="60"/>
              <w:spacing w:after="0" w:line="102" w:lineRule="exact"/>
              <w:rPr>
                <w:sz w:val="20"/>
                <w:szCs w:val="20"/>
                <w:color w:val="auto"/>
              </w:rPr>
            </w:pPr>
            <w:r>
              <w:rPr>
                <w:rFonts w:ascii="Arial" w:cs="Arial" w:eastAsia="Arial" w:hAnsi="Arial"/>
                <w:sz w:val="9"/>
                <w:szCs w:val="9"/>
                <w:color w:val="auto"/>
              </w:rPr>
              <w:t>of equity issuance costs</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jc w:val="right"/>
              <w:ind w:right="17"/>
              <w:spacing w:after="0" w:line="102" w:lineRule="exact"/>
              <w:rPr>
                <w:sz w:val="20"/>
                <w:szCs w:val="20"/>
                <w:color w:val="auto"/>
              </w:rPr>
            </w:pPr>
            <w:r>
              <w:rPr>
                <w:rFonts w:ascii="Arial" w:cs="Arial" w:eastAsia="Arial" w:hAnsi="Arial"/>
                <w:sz w:val="9"/>
                <w:szCs w:val="9"/>
                <w:color w:val="auto"/>
              </w:rPr>
              <w:t>67,226,891</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w w:val="98"/>
              </w:rPr>
              <w:t>251,700</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Cancellation of LLC Units (Note 2)</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980" w:type="dxa"/>
            <w:vAlign w:val="bottom"/>
            <w:gridSpan w:val="2"/>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w w:val="97"/>
              </w:rPr>
              <w:t>(93,370,681) (396,539)</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8"/>
              </w:rPr>
              <w:t>(396,53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Capital restructuring (Note 2)</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spacing w:after="0" w:line="102" w:lineRule="exact"/>
              <w:rPr>
                <w:sz w:val="20"/>
                <w:szCs w:val="20"/>
                <w:color w:val="auto"/>
              </w:rPr>
            </w:pPr>
            <w:r>
              <w:rPr>
                <w:rFonts w:ascii="Arial" w:cs="Arial" w:eastAsia="Arial" w:hAnsi="Arial"/>
                <w:sz w:val="9"/>
                <w:szCs w:val="9"/>
                <w:color w:val="auto"/>
              </w:rPr>
              <w:t>35,000,000</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w w:val="87"/>
              </w:rPr>
              <w:t>34,922</w:t>
            </w:r>
          </w:p>
        </w:tc>
        <w:tc>
          <w:tcPr>
            <w:tcW w:w="500" w:type="dxa"/>
            <w:vAlign w:val="bottom"/>
          </w:tcPr>
          <w:p>
            <w:pPr>
              <w:spacing w:after="0" w:line="102" w:lineRule="exact"/>
              <w:rPr>
                <w:sz w:val="20"/>
                <w:szCs w:val="20"/>
                <w:color w:val="auto"/>
              </w:rPr>
            </w:pPr>
            <w:r>
              <w:rPr>
                <w:rFonts w:ascii="Arial" w:cs="Arial" w:eastAsia="Arial" w:hAnsi="Arial"/>
                <w:sz w:val="9"/>
                <w:szCs w:val="9"/>
                <w:color w:val="auto"/>
              </w:rPr>
              <w:t>26,143,790</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w w:val="92"/>
              </w:rPr>
              <w:t>144,839</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spacing w:after="0" w:line="102" w:lineRule="exact"/>
              <w:rPr>
                <w:sz w:val="20"/>
                <w:szCs w:val="20"/>
                <w:color w:val="auto"/>
              </w:rPr>
            </w:pPr>
            <w:r>
              <w:rPr>
                <w:rFonts w:ascii="Arial" w:cs="Arial" w:eastAsia="Arial" w:hAnsi="Arial"/>
                <w:sz w:val="9"/>
                <w:szCs w:val="9"/>
                <w:color w:val="auto"/>
              </w:rPr>
              <w:t>— 7,481,861</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1</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w w:val="92"/>
              </w:rPr>
              <w:t>216,777</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216,77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Unrealized loss on short-term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198"/>
              <w:spacing w:after="0"/>
              <w:rPr>
                <w:sz w:val="20"/>
                <w:szCs w:val="20"/>
                <w:color w:val="auto"/>
              </w:rPr>
            </w:pPr>
            <w:r>
              <w:rPr>
                <w:rFonts w:ascii="Arial" w:cs="Arial" w:eastAsia="Arial" w:hAnsi="Arial"/>
                <w:sz w:val="9"/>
                <w:szCs w:val="9"/>
                <w:color w:val="auto"/>
              </w:rPr>
              <w:t>(3)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Stock based compensation</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133</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8"/>
              </w:rPr>
              <w:t>(238,767)</w:t>
            </w:r>
          </w:p>
        </w:tc>
        <w:tc>
          <w:tcPr>
            <w:tcW w:w="8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8"/>
              </w:rPr>
              <w:t>(238,76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3" w:lineRule="exact"/>
              <w:rPr>
                <w:sz w:val="20"/>
                <w:szCs w:val="20"/>
                <w:color w:val="auto"/>
              </w:rPr>
            </w:pPr>
            <w:r>
              <w:rPr>
                <w:rFonts w:ascii="Arial" w:cs="Arial" w:eastAsia="Arial" w:hAnsi="Arial"/>
                <w:sz w:val="9"/>
                <w:szCs w:val="9"/>
                <w:b w:val="1"/>
                <w:bCs w:val="1"/>
                <w:color w:val="auto"/>
              </w:rPr>
              <w:t>Balance, December 31, 2019</w:t>
            </w:r>
          </w:p>
        </w:tc>
        <w:tc>
          <w:tcPr>
            <w:tcW w:w="46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Pr>
          <w:p>
            <w:pPr>
              <w:spacing w:after="0" w:line="103" w:lineRule="exact"/>
              <w:rPr>
                <w:sz w:val="20"/>
                <w:szCs w:val="20"/>
                <w:color w:val="auto"/>
              </w:rPr>
            </w:pPr>
            <w:r>
              <w:rPr>
                <w:rFonts w:ascii="Arial" w:cs="Arial" w:eastAsia="Arial" w:hAnsi="Arial"/>
                <w:sz w:val="9"/>
                <w:szCs w:val="9"/>
                <w:b w:val="1"/>
                <w:bCs w:val="1"/>
                <w:color w:val="auto"/>
              </w:rPr>
              <w:t>35,000,000</w:t>
            </w:r>
          </w:p>
        </w:tc>
        <w:tc>
          <w:tcPr>
            <w:tcW w:w="28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87"/>
              </w:rPr>
              <w:t>34,922</w:t>
            </w:r>
          </w:p>
        </w:tc>
        <w:tc>
          <w:tcPr>
            <w:tcW w:w="500" w:type="dxa"/>
            <w:vAlign w:val="bottom"/>
          </w:tcPr>
          <w:p>
            <w:pPr>
              <w:spacing w:after="0" w:line="103" w:lineRule="exact"/>
              <w:rPr>
                <w:sz w:val="20"/>
                <w:szCs w:val="20"/>
                <w:color w:val="auto"/>
              </w:rPr>
            </w:pPr>
            <w:r>
              <w:rPr>
                <w:rFonts w:ascii="Arial" w:cs="Arial" w:eastAsia="Arial" w:hAnsi="Arial"/>
                <w:sz w:val="9"/>
                <w:szCs w:val="9"/>
                <w:b w:val="1"/>
                <w:bCs w:val="1"/>
                <w:color w:val="auto"/>
              </w:rPr>
              <w:t>26,143,790</w:t>
            </w: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2"/>
              </w:rPr>
              <w:t>144,839</w:t>
            </w:r>
          </w:p>
        </w:tc>
        <w:tc>
          <w:tcPr>
            <w:tcW w:w="44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Pr>
          <w:p>
            <w:pPr>
              <w:ind w:left="400"/>
              <w:spacing w:after="0" w:line="103" w:lineRule="exact"/>
              <w:rPr>
                <w:sz w:val="20"/>
                <w:szCs w:val="20"/>
                <w:color w:val="auto"/>
              </w:rPr>
            </w:pPr>
            <w:r>
              <w:rPr>
                <w:rFonts w:ascii="Arial" w:cs="Arial" w:eastAsia="Arial" w:hAnsi="Arial"/>
                <w:sz w:val="9"/>
                <w:szCs w:val="9"/>
                <w:b w:val="1"/>
                <w:bCs w:val="1"/>
                <w:color w:val="auto"/>
              </w:rPr>
              <w:t>—</w:t>
            </w:r>
          </w:p>
        </w:tc>
        <w:tc>
          <w:tcPr>
            <w:tcW w:w="800" w:type="dxa"/>
            <w:vAlign w:val="bottom"/>
            <w:gridSpan w:val="2"/>
          </w:tcPr>
          <w:p>
            <w:pPr>
              <w:jc w:val="right"/>
              <w:spacing w:after="0" w:line="103" w:lineRule="exact"/>
              <w:rPr>
                <w:sz w:val="20"/>
                <w:szCs w:val="20"/>
                <w:color w:val="auto"/>
              </w:rPr>
            </w:pPr>
            <w:r>
              <w:rPr>
                <w:rFonts w:ascii="Arial" w:cs="Arial" w:eastAsia="Arial" w:hAnsi="Arial"/>
                <w:sz w:val="9"/>
                <w:szCs w:val="9"/>
                <w:b w:val="1"/>
                <w:bCs w:val="1"/>
                <w:color w:val="auto"/>
              </w:rPr>
              <w:t>— 7,481,861</w:t>
            </w:r>
          </w:p>
        </w:tc>
        <w:tc>
          <w:tcPr>
            <w:tcW w:w="380" w:type="dxa"/>
            <w:vAlign w:val="bottom"/>
          </w:tcPr>
          <w:p>
            <w:pPr>
              <w:jc w:val="right"/>
              <w:ind w:right="57"/>
              <w:spacing w:after="0" w:line="103" w:lineRule="exact"/>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8"/>
                <w:szCs w:val="8"/>
                <w:color w:val="auto"/>
              </w:rPr>
            </w:pPr>
          </w:p>
        </w:tc>
        <w:tc>
          <w:tcPr>
            <w:tcW w:w="400" w:type="dxa"/>
            <w:vAlign w:val="bottom"/>
          </w:tcPr>
          <w:p>
            <w:pPr>
              <w:jc w:val="right"/>
              <w:ind w:right="37"/>
              <w:spacing w:after="0" w:line="103" w:lineRule="exact"/>
              <w:rPr>
                <w:sz w:val="20"/>
                <w:szCs w:val="20"/>
                <w:color w:val="auto"/>
              </w:rPr>
            </w:pPr>
            <w:r>
              <w:rPr>
                <w:rFonts w:ascii="Arial" w:cs="Arial" w:eastAsia="Arial" w:hAnsi="Arial"/>
                <w:sz w:val="9"/>
                <w:szCs w:val="9"/>
                <w:b w:val="1"/>
                <w:bCs w:val="1"/>
                <w:color w:val="auto"/>
                <w:w w:val="92"/>
              </w:rPr>
              <w:t>216,910</w:t>
            </w:r>
          </w:p>
        </w:tc>
        <w:tc>
          <w:tcPr>
            <w:tcW w:w="160" w:type="dxa"/>
            <w:vAlign w:val="bottom"/>
          </w:tcPr>
          <w:p>
            <w:pPr>
              <w:spacing w:after="0"/>
              <w:rPr>
                <w:sz w:val="8"/>
                <w:szCs w:val="8"/>
                <w:color w:val="auto"/>
              </w:rPr>
            </w:pPr>
          </w:p>
        </w:tc>
        <w:tc>
          <w:tcPr>
            <w:tcW w:w="38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5"/>
              </w:rPr>
              <w:t>(70,000)</w:t>
            </w:r>
          </w:p>
        </w:tc>
        <w:tc>
          <w:tcPr>
            <w:tcW w:w="240" w:type="dxa"/>
            <w:vAlign w:val="bottom"/>
          </w:tcPr>
          <w:p>
            <w:pPr>
              <w:spacing w:after="0"/>
              <w:rPr>
                <w:sz w:val="8"/>
                <w:szCs w:val="8"/>
                <w:color w:val="auto"/>
              </w:rPr>
            </w:pPr>
          </w:p>
        </w:tc>
        <w:tc>
          <w:tcPr>
            <w:tcW w:w="400" w:type="dxa"/>
            <w:vAlign w:val="bottom"/>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8"/>
                <w:szCs w:val="8"/>
                <w:color w:val="auto"/>
              </w:rPr>
            </w:pPr>
          </w:p>
        </w:tc>
        <w:tc>
          <w:tcPr>
            <w:tcW w:w="420" w:type="dxa"/>
            <w:vAlign w:val="bottom"/>
          </w:tcPr>
          <w:p>
            <w:pPr>
              <w:jc w:val="right"/>
              <w:spacing w:after="0" w:line="103" w:lineRule="exact"/>
              <w:rPr>
                <w:sz w:val="20"/>
                <w:szCs w:val="20"/>
                <w:color w:val="auto"/>
              </w:rPr>
            </w:pPr>
            <w:r>
              <w:rPr>
                <w:rFonts w:ascii="Arial" w:cs="Arial" w:eastAsia="Arial" w:hAnsi="Arial"/>
                <w:sz w:val="9"/>
                <w:szCs w:val="9"/>
                <w:b w:val="1"/>
                <w:bCs w:val="1"/>
                <w:color w:val="auto"/>
                <w:w w:val="98"/>
              </w:rPr>
              <w:t>(238,767)</w:t>
            </w:r>
          </w:p>
        </w:tc>
        <w:tc>
          <w:tcPr>
            <w:tcW w:w="840" w:type="dxa"/>
            <w:vAlign w:val="bottom"/>
          </w:tcPr>
          <w:p>
            <w:pPr>
              <w:jc w:val="right"/>
              <w:ind w:right="198"/>
              <w:spacing w:after="0" w:line="103" w:lineRule="exact"/>
              <w:rPr>
                <w:sz w:val="20"/>
                <w:szCs w:val="20"/>
                <w:color w:val="auto"/>
              </w:rPr>
            </w:pPr>
            <w:r>
              <w:rPr>
                <w:rFonts w:ascii="Arial" w:cs="Arial" w:eastAsia="Arial" w:hAnsi="Arial"/>
                <w:sz w:val="9"/>
                <w:szCs w:val="9"/>
                <w:b w:val="1"/>
                <w:bCs w:val="1"/>
                <w:color w:val="auto"/>
              </w:rPr>
              <w:t>(3)</w:t>
            </w:r>
          </w:p>
        </w:tc>
        <w:tc>
          <w:tcPr>
            <w:tcW w:w="140" w:type="dxa"/>
            <w:vAlign w:val="bottom"/>
          </w:tcPr>
          <w:p>
            <w:pPr>
              <w:spacing w:after="0"/>
              <w:rPr>
                <w:sz w:val="8"/>
                <w:szCs w:val="8"/>
                <w:color w:val="auto"/>
              </w:rPr>
            </w:pPr>
          </w:p>
        </w:tc>
        <w:tc>
          <w:tcPr>
            <w:tcW w:w="320" w:type="dxa"/>
            <w:vAlign w:val="bottom"/>
          </w:tcPr>
          <w:p>
            <w:pPr>
              <w:jc w:val="right"/>
              <w:spacing w:after="0" w:line="103" w:lineRule="exact"/>
              <w:rPr>
                <w:sz w:val="20"/>
                <w:szCs w:val="20"/>
                <w:color w:val="auto"/>
              </w:rPr>
            </w:pPr>
            <w:r>
              <w:rPr>
                <w:rFonts w:ascii="Arial" w:cs="Arial" w:eastAsia="Arial" w:hAnsi="Arial"/>
                <w:sz w:val="9"/>
                <w:szCs w:val="9"/>
                <w:b w:val="1"/>
                <w:bCs w:val="1"/>
                <w:color w:val="auto"/>
              </w:rPr>
              <w:t>(91,85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Receipt of subscription receivable</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38,100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38,10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Unrealized gain on short-term investments</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238"/>
              <w:spacing w:after="0" w:line="102" w:lineRule="exact"/>
              <w:rPr>
                <w:sz w:val="20"/>
                <w:szCs w:val="20"/>
                <w:color w:val="auto"/>
              </w:rPr>
            </w:pPr>
            <w:r>
              <w:rPr>
                <w:rFonts w:ascii="Arial" w:cs="Arial" w:eastAsia="Arial" w:hAnsi="Arial"/>
                <w:sz w:val="9"/>
                <w:szCs w:val="9"/>
                <w:color w:val="auto"/>
              </w:rPr>
              <w:t>8</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Warrants on long term debt</w:t>
            </w: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46</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line="102" w:lineRule="exact"/>
              <w:rPr>
                <w:sz w:val="20"/>
                <w:szCs w:val="20"/>
                <w:color w:val="auto"/>
              </w:rPr>
            </w:pPr>
            <w:r>
              <w:rPr>
                <w:rFonts w:ascii="Arial" w:cs="Arial" w:eastAsia="Arial" w:hAnsi="Arial"/>
                <w:sz w:val="9"/>
                <w:szCs w:val="9"/>
                <w:color w:val="auto"/>
              </w:rPr>
              <w:t>Foreign currency translation</w:t>
            </w: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0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380" w:type="dxa"/>
            <w:vAlign w:val="bottom"/>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ind w:right="17"/>
              <w:spacing w:after="0" w:line="102"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198"/>
              <w:spacing w:after="0" w:line="102" w:lineRule="exact"/>
              <w:rPr>
                <w:sz w:val="20"/>
                <w:szCs w:val="20"/>
                <w:color w:val="auto"/>
              </w:rPr>
            </w:pPr>
            <w:r>
              <w:rPr>
                <w:rFonts w:ascii="Arial" w:cs="Arial" w:eastAsia="Arial" w:hAnsi="Arial"/>
                <w:sz w:val="9"/>
                <w:szCs w:val="9"/>
                <w:color w:val="auto"/>
              </w:rPr>
              <w:t>(8)</w:t>
            </w:r>
          </w:p>
        </w:tc>
        <w:tc>
          <w:tcPr>
            <w:tcW w:w="1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9"/>
                <w:szCs w:val="9"/>
                <w:color w:val="auto"/>
              </w:rPr>
              <w:t>Stock 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9"/>
                <w:szCs w:val="9"/>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40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876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84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87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tcBorders>
              <w:bottom w:val="single" w:sz="8" w:color="CCEEFF"/>
            </w:tcBorders>
          </w:tcPr>
          <w:p>
            <w:pPr>
              <w:spacing w:after="0" w:line="102" w:lineRule="exact"/>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ind w:left="340"/>
              <w:spacing w:after="0" w:line="102" w:lineRule="exact"/>
              <w:rPr>
                <w:sz w:val="20"/>
                <w:szCs w:val="20"/>
                <w:color w:val="auto"/>
              </w:rPr>
            </w:pPr>
            <w:r>
              <w:rPr>
                <w:rFonts w:ascii="Arial" w:cs="Arial" w:eastAsia="Arial" w:hAnsi="Arial"/>
                <w:sz w:val="9"/>
                <w:szCs w:val="9"/>
                <w:color w:val="auto"/>
              </w:rPr>
              <w:t>—</w:t>
            </w:r>
          </w:p>
        </w:tc>
        <w:tc>
          <w:tcPr>
            <w:tcW w:w="2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ind w:left="360"/>
              <w:spacing w:after="0" w:line="102"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ind w:left="400"/>
              <w:spacing w:after="0" w:line="102" w:lineRule="exact"/>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tcPr>
          <w:p>
            <w:pPr>
              <w:jc w:val="right"/>
              <w:ind w:right="57"/>
              <w:spacing w:after="0" w:line="102"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57"/>
              <w:spacing w:after="0" w:line="102"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37"/>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97"/>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(53,575)</w:t>
            </w:r>
          </w:p>
        </w:tc>
        <w:tc>
          <w:tcPr>
            <w:tcW w:w="840" w:type="dxa"/>
            <w:vAlign w:val="bottom"/>
            <w:tcBorders>
              <w:bottom w:val="single" w:sz="8" w:color="auto"/>
            </w:tcBorders>
          </w:tcPr>
          <w:p>
            <w:pPr>
              <w:jc w:val="right"/>
              <w:ind w:right="238"/>
              <w:spacing w:after="0" w:line="102" w:lineRule="exact"/>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(53,57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tcBorders>
              <w:bottom w:val="single" w:sz="8" w:color="CCEEFF"/>
            </w:tcBorders>
            <w:shd w:val="clear" w:color="auto" w:fill="CCEEFF"/>
          </w:tcPr>
          <w:p>
            <w:pPr>
              <w:spacing w:after="0" w:line="92" w:lineRule="exact"/>
              <w:rPr>
                <w:sz w:val="20"/>
                <w:szCs w:val="20"/>
                <w:color w:val="auto"/>
              </w:rPr>
            </w:pPr>
            <w:r>
              <w:rPr>
                <w:rFonts w:ascii="Arial" w:cs="Arial" w:eastAsia="Arial" w:hAnsi="Arial"/>
                <w:sz w:val="9"/>
                <w:szCs w:val="9"/>
                <w:b w:val="1"/>
                <w:bCs w:val="1"/>
                <w:color w:val="auto"/>
              </w:rPr>
              <w:t>Balance, December 31, 2020, Successor</w:t>
            </w:r>
          </w:p>
        </w:tc>
        <w:tc>
          <w:tcPr>
            <w:tcW w:w="52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 $</w:t>
            </w:r>
          </w:p>
        </w:tc>
        <w:tc>
          <w:tcPr>
            <w:tcW w:w="30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CCEEFF"/>
            </w:tcBorders>
            <w:shd w:val="clear" w:color="auto" w:fill="CCEEFF"/>
          </w:tcPr>
          <w:p>
            <w:pPr>
              <w:spacing w:after="0" w:line="103" w:lineRule="exact"/>
              <w:rPr>
                <w:sz w:val="20"/>
                <w:szCs w:val="20"/>
                <w:color w:val="auto"/>
              </w:rPr>
            </w:pPr>
            <w:r>
              <w:rPr>
                <w:rFonts w:ascii="Arial" w:cs="Arial" w:eastAsia="Arial" w:hAnsi="Arial"/>
                <w:sz w:val="9"/>
                <w:szCs w:val="9"/>
                <w:b w:val="1"/>
                <w:bCs w:val="1"/>
                <w:color w:val="auto"/>
                <w:w w:val="95"/>
              </w:rPr>
              <w:t>35,000,000 $</w:t>
            </w:r>
          </w:p>
        </w:tc>
        <w:tc>
          <w:tcPr>
            <w:tcW w:w="78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1"/>
              </w:rPr>
              <w:t>34,922 26,143,790 $</w:t>
            </w:r>
          </w:p>
        </w:tc>
        <w:tc>
          <w:tcPr>
            <w:tcW w:w="3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2"/>
              </w:rPr>
              <w:t>144,839</w:t>
            </w:r>
          </w:p>
        </w:tc>
        <w:tc>
          <w:tcPr>
            <w:tcW w:w="4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CCEEFF"/>
            </w:tcBorders>
            <w:shd w:val="clear" w:color="auto" w:fill="CCEEFF"/>
          </w:tcPr>
          <w:p>
            <w:pPr>
              <w:jc w:val="right"/>
              <w:ind w:right="37"/>
              <w:spacing w:after="0" w:line="103" w:lineRule="exact"/>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CCEEFF"/>
            </w:tcBorders>
            <w:shd w:val="clear" w:color="auto" w:fill="CCEEFF"/>
          </w:tcPr>
          <w:p>
            <w:pPr>
              <w:ind w:left="400"/>
              <w:spacing w:after="0" w:line="103" w:lineRule="exact"/>
              <w:rPr>
                <w:sz w:val="20"/>
                <w:szCs w:val="20"/>
                <w:color w:val="auto"/>
              </w:rPr>
            </w:pPr>
            <w:r>
              <w:rPr>
                <w:rFonts w:ascii="Arial" w:cs="Arial" w:eastAsia="Arial" w:hAnsi="Arial"/>
                <w:sz w:val="9"/>
                <w:szCs w:val="9"/>
                <w:b w:val="1"/>
                <w:bCs w:val="1"/>
                <w:color w:val="auto"/>
                <w:w w:val="72"/>
              </w:rPr>
              <w:t>— $</w:t>
            </w:r>
          </w:p>
        </w:tc>
        <w:tc>
          <w:tcPr>
            <w:tcW w:w="800" w:type="dxa"/>
            <w:vAlign w:val="bottom"/>
            <w:tcBorders>
              <w:bottom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 7,481,861</w:t>
            </w:r>
          </w:p>
        </w:tc>
        <w:tc>
          <w:tcPr>
            <w:tcW w:w="380" w:type="dxa"/>
            <w:vAlign w:val="bottom"/>
            <w:tcBorders>
              <w:bottom w:val="single" w:sz="8" w:color="CCEEFF"/>
            </w:tcBorders>
            <w:shd w:val="clear" w:color="auto" w:fill="CCEEFF"/>
          </w:tcPr>
          <w:p>
            <w:pPr>
              <w:jc w:val="right"/>
              <w:ind w:right="57"/>
              <w:spacing w:after="0" w:line="103" w:lineRule="exact"/>
              <w:rPr>
                <w:sz w:val="20"/>
                <w:szCs w:val="20"/>
                <w:color w:val="auto"/>
              </w:rPr>
            </w:pPr>
            <w:r>
              <w:rPr>
                <w:rFonts w:ascii="Arial" w:cs="Arial" w:eastAsia="Arial" w:hAnsi="Arial"/>
                <w:sz w:val="9"/>
                <w:szCs w:val="9"/>
                <w:b w:val="1"/>
                <w:bCs w:val="1"/>
                <w:color w:val="auto"/>
              </w:rPr>
              <w:t>$ 1</w:t>
            </w:r>
          </w:p>
        </w:tc>
        <w:tc>
          <w:tcPr>
            <w:tcW w:w="1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37"/>
              <w:spacing w:after="0" w:line="103" w:lineRule="exact"/>
              <w:rPr>
                <w:sz w:val="20"/>
                <w:szCs w:val="20"/>
                <w:color w:val="auto"/>
              </w:rPr>
            </w:pPr>
            <w:r>
              <w:rPr>
                <w:rFonts w:ascii="Arial" w:cs="Arial" w:eastAsia="Arial" w:hAnsi="Arial"/>
                <w:sz w:val="9"/>
                <w:szCs w:val="9"/>
                <w:b w:val="1"/>
                <w:bCs w:val="1"/>
                <w:color w:val="auto"/>
                <w:w w:val="92"/>
              </w:rPr>
              <w:t>217,832</w:t>
            </w:r>
          </w:p>
        </w:tc>
        <w:tc>
          <w:tcPr>
            <w:tcW w:w="16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5"/>
              </w:rPr>
              <w:t>(31,900)</w:t>
            </w:r>
          </w:p>
        </w:tc>
        <w:tc>
          <w:tcPr>
            <w:tcW w:w="2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97"/>
              <w:spacing w:after="0" w:line="103"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8"/>
              </w:rPr>
              <w:t>(292,342)</w:t>
            </w:r>
          </w:p>
        </w:tc>
        <w:tc>
          <w:tcPr>
            <w:tcW w:w="840" w:type="dxa"/>
            <w:vAlign w:val="bottom"/>
            <w:tcBorders>
              <w:bottom w:val="single" w:sz="8" w:color="CCEEFF"/>
            </w:tcBorders>
            <w:shd w:val="clear" w:color="auto" w:fill="CCEEFF"/>
          </w:tcPr>
          <w:p>
            <w:pPr>
              <w:jc w:val="right"/>
              <w:ind w:right="198"/>
              <w:spacing w:after="0" w:line="103" w:lineRule="exact"/>
              <w:rPr>
                <w:sz w:val="20"/>
                <w:szCs w:val="20"/>
                <w:color w:val="auto"/>
              </w:rPr>
            </w:pPr>
            <w:r>
              <w:rPr>
                <w:rFonts w:ascii="Arial" w:cs="Arial" w:eastAsia="Arial" w:hAnsi="Arial"/>
                <w:sz w:val="9"/>
                <w:szCs w:val="9"/>
                <w:b w:val="1"/>
                <w:bCs w:val="1"/>
                <w:color w:val="auto"/>
              </w:rPr>
              <w:t>$(3)</w:t>
            </w:r>
          </w:p>
        </w:tc>
        <w:tc>
          <w:tcPr>
            <w:tcW w:w="14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9"/>
                <w:szCs w:val="9"/>
                <w:b w:val="1"/>
                <w:bCs w:val="1"/>
                <w:color w:val="auto"/>
                <w:w w:val="98"/>
              </w:rPr>
              <w:t>(106,41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-114935</wp:posOffset>
            </wp:positionV>
            <wp:extent cx="129857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98575" cy="698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-1508760</wp:posOffset>
            </wp:positionV>
            <wp:extent cx="129857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7063740"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063740" cy="38735"/>
                    </a:xfrm>
                    <a:prstGeom prst="rect">
                      <a:avLst/>
                    </a:prstGeom>
                    <a:noFill/>
                  </pic:spPr>
                </pic:pic>
              </a:graphicData>
            </a:graphic>
          </wp:anchor>
        </w:drawing>
      </w:r>
    </w:p>
    <w:p>
      <w:pPr>
        <w:sectPr>
          <w:pgSz w:w="11900" w:h="16838" w:orient="portrait"/>
          <w:cols w:equalWidth="0" w:num="1">
            <w:col w:w="11260"/>
          </w:cols>
          <w:pgMar w:left="400" w:top="134" w:right="239" w:bottom="1440" w:gutter="0" w:footer="0" w:header="0"/>
        </w:sectPr>
      </w:pPr>
    </w:p>
    <w:bookmarkStart w:id="221" w:name="page222"/>
    <w:bookmarkEnd w:id="221"/>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4" w:lineRule="auto"/>
        <w:rPr>
          <w:sz w:val="20"/>
          <w:szCs w:val="20"/>
          <w:color w:val="auto"/>
        </w:rPr>
      </w:pPr>
      <w:r>
        <w:rPr>
          <w:rFonts w:ascii="Arial" w:cs="Arial" w:eastAsia="Arial" w:hAnsi="Arial"/>
          <w:sz w:val="23"/>
          <w:szCs w:val="23"/>
          <w:b w:val="1"/>
          <w:bCs w:val="1"/>
          <w:color w:val="auto"/>
        </w:rPr>
        <w:t>Century Therapeutics, Inc. and Subsidiary Consolidated statements of cash flows (In thousands)</w:t>
      </w:r>
    </w:p>
    <w:p>
      <w:pPr>
        <w:spacing w:after="0" w:line="84" w:lineRule="exact"/>
        <w:rPr>
          <w:sz w:val="20"/>
          <w:szCs w:val="20"/>
          <w:color w:val="auto"/>
        </w:rPr>
      </w:pPr>
    </w:p>
    <w:tbl>
      <w:tblPr>
        <w:tblLayout w:type="fixed"/>
        <w:tblInd w:w="12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Successor</w:t>
            </w:r>
          </w:p>
        </w:tc>
        <w:tc>
          <w:tcPr>
            <w:tcW w:w="600" w:type="dxa"/>
            <w:vAlign w:val="bottom"/>
            <w:tcBorders>
              <w:top w:val="single" w:sz="8" w:color="auto"/>
              <w:bottom w:val="single" w:sz="8" w:color="auto"/>
              <w:right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jc w:val="right"/>
              <w:ind w:right="136"/>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40" w:type="dxa"/>
            <w:vAlign w:val="bottom"/>
            <w:tcBorders>
              <w:right w:val="single" w:sz="8" w:color="auto"/>
            </w:tcBorders>
            <w:gridSpan w:val="3"/>
          </w:tcPr>
          <w:p>
            <w:pPr>
              <w:jc w:val="right"/>
              <w:ind w:right="16"/>
              <w:spacing w:after="0" w:line="126" w:lineRule="exact"/>
              <w:rPr>
                <w:sz w:val="20"/>
                <w:szCs w:val="20"/>
                <w:color w:val="auto"/>
              </w:rPr>
            </w:pPr>
            <w:r>
              <w:rPr>
                <w:rFonts w:ascii="Arial" w:cs="Arial" w:eastAsia="Arial" w:hAnsi="Arial"/>
                <w:sz w:val="13"/>
                <w:szCs w:val="13"/>
                <w:b w:val="1"/>
                <w:bCs w:val="1"/>
                <w:color w:val="auto"/>
              </w:rPr>
              <w:t>For the period June 21,</w:t>
            </w:r>
          </w:p>
        </w:tc>
        <w:tc>
          <w:tcPr>
            <w:tcW w:w="100" w:type="dxa"/>
            <w:vAlign w:val="bottom"/>
          </w:tcPr>
          <w:p>
            <w:pPr>
              <w:spacing w:after="0"/>
              <w:rPr>
                <w:sz w:val="10"/>
                <w:szCs w:val="10"/>
                <w:color w:val="auto"/>
              </w:rPr>
            </w:pPr>
          </w:p>
        </w:tc>
        <w:tc>
          <w:tcPr>
            <w:tcW w:w="110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36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For the year ended</w:t>
            </w:r>
          </w:p>
        </w:tc>
        <w:tc>
          <w:tcPr>
            <w:tcW w:w="14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2019 to December 31,</w:t>
            </w:r>
          </w:p>
        </w:tc>
        <w:tc>
          <w:tcPr>
            <w:tcW w:w="12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December 31, 2020</w:t>
            </w:r>
          </w:p>
        </w:tc>
        <w:tc>
          <w:tcPr>
            <w:tcW w:w="88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June 20, 2019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Cash flows from operating activities</w:t>
            </w: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Pr>
          <w:p>
            <w:pPr>
              <w:ind w:left="120"/>
              <w:spacing w:after="0" w:line="129" w:lineRule="exact"/>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(53,575)</w:t>
            </w:r>
          </w:p>
        </w:tc>
        <w:tc>
          <w:tcPr>
            <w:tcW w:w="880" w:type="dxa"/>
            <w:vAlign w:val="bottom"/>
          </w:tcPr>
          <w:p>
            <w:pPr>
              <w:jc w:val="right"/>
              <w:ind w:right="16"/>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(238,767)</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(6,002)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b w:val="1"/>
                <w:bCs w:val="1"/>
                <w:color w:val="auto"/>
              </w:rPr>
              <w:t>Adjustments to reconcile net loss to net cash</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used in 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Write off of in-process research and development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Pr>
          <w:p>
            <w:pPr>
              <w:ind w:left="380"/>
              <w:spacing w:after="0" w:line="149" w:lineRule="exact"/>
              <w:rPr>
                <w:sz w:val="20"/>
                <w:szCs w:val="20"/>
                <w:color w:val="auto"/>
              </w:rPr>
            </w:pPr>
            <w:r>
              <w:rPr>
                <w:rFonts w:ascii="Arial" w:cs="Arial" w:eastAsia="Arial" w:hAnsi="Arial"/>
                <w:sz w:val="13"/>
                <w:szCs w:val="13"/>
                <w:color w:val="auto"/>
              </w:rPr>
              <w:t>asset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ind w:right="16"/>
              <w:spacing w:after="0" w:line="149" w:lineRule="exact"/>
              <w:rPr>
                <w:sz w:val="20"/>
                <w:szCs w:val="20"/>
                <w:color w:val="auto"/>
              </w:rPr>
            </w:pPr>
            <w:r>
              <w:rPr>
                <w:rFonts w:ascii="Arial" w:cs="Arial" w:eastAsia="Arial" w:hAnsi="Arial"/>
                <w:sz w:val="13"/>
                <w:szCs w:val="13"/>
                <w:color w:val="auto"/>
              </w:rPr>
              <w:t>4,722</w:t>
            </w:r>
          </w:p>
        </w:tc>
        <w:tc>
          <w:tcPr>
            <w:tcW w:w="880" w:type="dxa"/>
            <w:vAlign w:val="bottom"/>
          </w:tcPr>
          <w:p>
            <w:pPr>
              <w:spacing w:after="0"/>
              <w:rPr>
                <w:sz w:val="12"/>
                <w:szCs w:val="12"/>
                <w:color w:val="auto"/>
              </w:rPr>
            </w:pPr>
          </w:p>
        </w:tc>
        <w:tc>
          <w:tcPr>
            <w:tcW w:w="6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225,946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1,402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Amortization of deferred financing cost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92</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operating lease expense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Stock based compensation</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876</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Change in operating assets and liabilities: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Escrow deposit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(1,506)</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expenses and other assets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240"/>
              <w:spacing w:after="0"/>
              <w:rPr>
                <w:sz w:val="20"/>
                <w:szCs w:val="20"/>
                <w:color w:val="auto"/>
              </w:rPr>
            </w:pPr>
            <w:r>
              <w:rPr>
                <w:rFonts w:ascii="Arial" w:cs="Arial" w:eastAsia="Arial" w:hAnsi="Arial"/>
                <w:sz w:val="13"/>
                <w:szCs w:val="13"/>
                <w:color w:val="auto"/>
              </w:rPr>
              <w:t>Operating lease liability</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2,175</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2,062</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bottom w:val="single" w:sz="8" w:color="CCEEFF"/>
            </w:tcBorders>
          </w:tcPr>
          <w:p>
            <w:pPr>
              <w:ind w:left="240"/>
              <w:spacing w:after="0" w:line="139" w:lineRule="exact"/>
              <w:rPr>
                <w:sz w:val="20"/>
                <w:szCs w:val="20"/>
                <w:color w:val="auto"/>
              </w:rPr>
            </w:pPr>
            <w:r>
              <w:rPr>
                <w:rFonts w:ascii="Arial" w:cs="Arial" w:eastAsia="Arial" w:hAnsi="Arial"/>
                <w:sz w:val="13"/>
                <w:szCs w:val="13"/>
                <w:color w:val="auto"/>
              </w:rPr>
              <w:t>Accrued expenses and other liabilities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2,334</w:t>
            </w: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162</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1,001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380"/>
              <w:spacing w:after="0" w:line="130" w:lineRule="exact"/>
              <w:rPr>
                <w:sz w:val="20"/>
                <w:szCs w:val="20"/>
                <w:color w:val="auto"/>
              </w:rPr>
            </w:pPr>
            <w:r>
              <w:rPr>
                <w:rFonts w:ascii="Arial" w:cs="Arial" w:eastAsia="Arial" w:hAnsi="Arial"/>
                <w:sz w:val="13"/>
                <w:szCs w:val="13"/>
                <w:b w:val="1"/>
                <w:bCs w:val="1"/>
                <w:color w:val="auto"/>
              </w:rPr>
              <w:t>Net cash used in operating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(41,269)</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(11,768)</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(4,400)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3"/>
                <w:szCs w:val="13"/>
                <w:b w:val="1"/>
                <w:bCs w:val="1"/>
                <w:color w:val="auto"/>
              </w:rPr>
              <w:t>Cash flows from investing activities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Acquisition of property and equipment</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(9,825)</w:t>
            </w: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Payments for purchase of fixed maturity securities,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Pr>
          <w:p>
            <w:pPr>
              <w:ind w:left="240"/>
              <w:spacing w:after="0" w:line="149" w:lineRule="exact"/>
              <w:rPr>
                <w:sz w:val="20"/>
                <w:szCs w:val="20"/>
                <w:color w:val="auto"/>
              </w:rPr>
            </w:pPr>
            <w:r>
              <w:rPr>
                <w:rFonts w:ascii="Arial" w:cs="Arial" w:eastAsia="Arial" w:hAnsi="Arial"/>
                <w:sz w:val="13"/>
                <w:szCs w:val="13"/>
                <w:color w:val="auto"/>
              </w:rPr>
              <w:t>available for sale</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3"/>
                <w:szCs w:val="13"/>
                <w:color w:val="auto"/>
              </w:rPr>
              <w:t>(49,860)</w:t>
            </w:r>
          </w:p>
        </w:tc>
        <w:tc>
          <w:tcPr>
            <w:tcW w:w="880" w:type="dxa"/>
            <w:vAlign w:val="bottom"/>
          </w:tcPr>
          <w:p>
            <w:pPr>
              <w:spacing w:after="0"/>
              <w:rPr>
                <w:sz w:val="12"/>
                <w:szCs w:val="12"/>
                <w:color w:val="auto"/>
              </w:rPr>
            </w:pPr>
          </w:p>
        </w:tc>
        <w:tc>
          <w:tcPr>
            <w:tcW w:w="6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(41,540)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Asset acquisition, net of cash acquired</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(4,722)</w:t>
            </w:r>
          </w:p>
        </w:tc>
        <w:tc>
          <w:tcPr>
            <w:tcW w:w="8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24,166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Sale of fixed maturity securities, available for sale</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41,650</w:t>
            </w:r>
          </w:p>
        </w:tc>
        <w:tc>
          <w:tcPr>
            <w:tcW w:w="88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top w:val="single" w:sz="8" w:color="CCEEFF"/>
              <w:bottom w:val="single" w:sz="8" w:color="CCEEFF"/>
            </w:tcBorders>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Net cash used in investing activities</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(22,757)</w:t>
            </w: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(19,007)</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Arial" w:cs="Arial" w:eastAsia="Arial" w:hAnsi="Arial"/>
                <w:sz w:val="13"/>
                <w:szCs w:val="13"/>
                <w:b w:val="1"/>
                <w:bCs w:val="1"/>
                <w:color w:val="auto"/>
              </w:rPr>
              <w:t>Cash flows from financing activities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Proceeds from long-term debt and warrants, net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9,734</w:t>
            </w:r>
          </w:p>
        </w:tc>
        <w:tc>
          <w:tcPr>
            <w:tcW w:w="8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Pr>
          <w:p>
            <w:pPr>
              <w:ind w:left="120"/>
              <w:spacing w:after="0" w:line="139" w:lineRule="exact"/>
              <w:rPr>
                <w:sz w:val="20"/>
                <w:szCs w:val="20"/>
                <w:color w:val="auto"/>
              </w:rPr>
            </w:pPr>
            <w:r>
              <w:rPr>
                <w:rFonts w:ascii="Arial" w:cs="Arial" w:eastAsia="Arial" w:hAnsi="Arial"/>
                <w:sz w:val="13"/>
                <w:szCs w:val="13"/>
                <w:color w:val="auto"/>
              </w:rPr>
              <w:t>Payments of deferred financing cost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3"/>
                <w:szCs w:val="13"/>
                <w:color w:val="auto"/>
              </w:rPr>
              <w:t>(144)</w:t>
            </w:r>
          </w:p>
        </w:tc>
        <w:tc>
          <w:tcPr>
            <w:tcW w:w="8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shd w:val="clear" w:color="auto" w:fill="CCEEFF"/>
          </w:tcPr>
          <w:p>
            <w:pPr>
              <w:ind w:left="120"/>
              <w:spacing w:after="0" w:line="139" w:lineRule="exact"/>
              <w:rPr>
                <w:sz w:val="20"/>
                <w:szCs w:val="20"/>
                <w:color w:val="auto"/>
              </w:rPr>
            </w:pPr>
            <w:r>
              <w:rPr>
                <w:rFonts w:ascii="Arial" w:cs="Arial" w:eastAsia="Arial" w:hAnsi="Arial"/>
                <w:sz w:val="13"/>
                <w:szCs w:val="13"/>
                <w:color w:val="auto"/>
              </w:rPr>
              <w:t>Proceeds from subscription receivable</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38,100</w:t>
            </w:r>
          </w:p>
        </w:tc>
        <w:tc>
          <w:tcPr>
            <w:tcW w:w="8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bottom w:val="single" w:sz="8" w:color="CCEEFF"/>
            </w:tcBorders>
          </w:tcPr>
          <w:p>
            <w:pPr>
              <w:ind w:left="120"/>
              <w:spacing w:after="0" w:line="139" w:lineRule="exact"/>
              <w:rPr>
                <w:sz w:val="20"/>
                <w:szCs w:val="20"/>
                <w:color w:val="auto"/>
              </w:rPr>
            </w:pPr>
            <w:r>
              <w:rPr>
                <w:rFonts w:ascii="Arial" w:cs="Arial" w:eastAsia="Arial" w:hAnsi="Arial"/>
                <w:sz w:val="13"/>
                <w:szCs w:val="13"/>
                <w:color w:val="auto"/>
              </w:rPr>
              <w:t>Proceeds from issuance of common units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
              <w:spacing w:after="0" w:line="13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39" w:lineRule="exact"/>
              <w:rPr>
                <w:sz w:val="20"/>
                <w:szCs w:val="20"/>
                <w:color w:val="auto"/>
              </w:rPr>
            </w:pPr>
            <w:r>
              <w:rPr>
                <w:rFonts w:ascii="Arial" w:cs="Arial" w:eastAsia="Arial" w:hAnsi="Arial"/>
                <w:sz w:val="13"/>
                <w:szCs w:val="13"/>
                <w:color w:val="auto"/>
              </w:rPr>
              <w:t>74,839</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120"/>
              <w:spacing w:after="0" w:line="130" w:lineRule="exact"/>
              <w:rPr>
                <w:sz w:val="20"/>
                <w:szCs w:val="20"/>
                <w:color w:val="auto"/>
              </w:rPr>
            </w:pPr>
            <w:r>
              <w:rPr>
                <w:rFonts w:ascii="Arial" w:cs="Arial" w:eastAsia="Arial" w:hAnsi="Arial"/>
                <w:sz w:val="13"/>
                <w:szCs w:val="13"/>
                <w:b w:val="1"/>
                <w:bCs w:val="1"/>
                <w:color w:val="auto"/>
              </w:rPr>
              <w:t>Net cash provided by financing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6"/>
              <w:spacing w:after="0" w:line="130" w:lineRule="exact"/>
              <w:rPr>
                <w:sz w:val="20"/>
                <w:szCs w:val="20"/>
                <w:color w:val="auto"/>
              </w:rPr>
            </w:pPr>
            <w:r>
              <w:rPr>
                <w:rFonts w:ascii="Arial" w:cs="Arial" w:eastAsia="Arial" w:hAnsi="Arial"/>
                <w:sz w:val="13"/>
                <w:szCs w:val="13"/>
                <w:b w:val="1"/>
                <w:bCs w:val="1"/>
                <w:color w:val="auto"/>
              </w:rPr>
              <w:t>47,690</w:t>
            </w: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74,839</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ind w:left="380"/>
              <w:spacing w:after="0" w:line="126" w:lineRule="exact"/>
              <w:rPr>
                <w:sz w:val="20"/>
                <w:szCs w:val="20"/>
                <w:color w:val="auto"/>
              </w:rPr>
            </w:pPr>
            <w:r>
              <w:rPr>
                <w:rFonts w:ascii="Arial" w:cs="Arial" w:eastAsia="Arial" w:hAnsi="Arial"/>
                <w:sz w:val="13"/>
                <w:szCs w:val="13"/>
                <w:b w:val="1"/>
                <w:bCs w:val="1"/>
                <w:color w:val="auto"/>
              </w:rPr>
              <w:t>Net (decrease) increase in cash, cash</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ind w:left="500"/>
              <w:spacing w:after="0"/>
              <w:rPr>
                <w:sz w:val="20"/>
                <w:szCs w:val="20"/>
                <w:color w:val="auto"/>
              </w:rPr>
            </w:pPr>
            <w:r>
              <w:rPr>
                <w:rFonts w:ascii="Arial" w:cs="Arial" w:eastAsia="Arial" w:hAnsi="Arial"/>
                <w:sz w:val="13"/>
                <w:szCs w:val="13"/>
                <w:b w:val="1"/>
                <w:bCs w:val="1"/>
                <w:color w:val="auto"/>
              </w:rPr>
              <w:t>equivalents, and restricted cash</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(16,336)</w:t>
            </w:r>
          </w:p>
        </w:tc>
        <w:tc>
          <w:tcPr>
            <w:tcW w:w="88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(5,227)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beginning</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44,064</w:t>
            </w:r>
          </w:p>
        </w:tc>
        <w:tc>
          <w:tcPr>
            <w:tcW w:w="880" w:type="dxa"/>
            <w:vAlign w:val="bottom"/>
            <w:shd w:val="clear" w:color="auto" w:fill="CCEEFF"/>
          </w:tcPr>
          <w:p>
            <w:pPr>
              <w:spacing w:after="0"/>
              <w:rPr>
                <w:sz w:val="13"/>
                <w:szCs w:val="13"/>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31,424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Borders>
              <w:bottom w:val="single" w:sz="8" w:color="CCEEFF"/>
            </w:tcBorders>
            <w:shd w:val="clear" w:color="auto" w:fill="CCEEFF"/>
          </w:tcPr>
          <w:p>
            <w:pPr>
              <w:ind w:left="120"/>
              <w:spacing w:after="0" w:line="138" w:lineRule="exact"/>
              <w:rPr>
                <w:sz w:val="20"/>
                <w:szCs w:val="20"/>
                <w:color w:val="auto"/>
              </w:rPr>
            </w:pPr>
            <w:r>
              <w:rPr>
                <w:rFonts w:ascii="Arial" w:cs="Arial" w:eastAsia="Arial" w:hAnsi="Arial"/>
                <w:sz w:val="13"/>
                <w:szCs w:val="13"/>
                <w:color w:val="auto"/>
              </w:rPr>
              <w:t>of period</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60" w:type="dxa"/>
            <w:vAlign w:val="bottom"/>
          </w:tcPr>
          <w:p>
            <w:pPr>
              <w:spacing w:after="0" w:line="126" w:lineRule="exact"/>
              <w:rPr>
                <w:sz w:val="20"/>
                <w:szCs w:val="20"/>
                <w:color w:val="auto"/>
              </w:rPr>
            </w:pPr>
            <w:r>
              <w:rPr>
                <w:rFonts w:ascii="Arial" w:cs="Arial" w:eastAsia="Arial" w:hAnsi="Arial"/>
                <w:sz w:val="13"/>
                <w:szCs w:val="13"/>
                <w:b w:val="1"/>
                <w:bCs w:val="1"/>
                <w:color w:val="auto"/>
              </w:rPr>
              <w:t>Cash, cash equivalents and restricted cash, end of</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27,728</w:t>
            </w: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26,197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ind w:left="120"/>
              <w:spacing w:after="0" w:line="113" w:lineRule="exact"/>
              <w:rPr>
                <w:sz w:val="20"/>
                <w:szCs w:val="20"/>
                <w:color w:val="auto"/>
              </w:rPr>
            </w:pPr>
            <w:r>
              <w:rPr>
                <w:rFonts w:ascii="Arial" w:cs="Arial" w:eastAsia="Arial" w:hAnsi="Arial"/>
                <w:sz w:val="13"/>
                <w:szCs w:val="13"/>
                <w:b w:val="1"/>
                <w:bCs w:val="1"/>
                <w:color w:val="auto"/>
              </w:rPr>
              <w:t>period</w:t>
            </w:r>
          </w:p>
        </w:tc>
        <w:tc>
          <w:tcPr>
            <w:tcW w:w="8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26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Supplemental disclosure of cash and non-cash</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Pr>
          <w:p>
            <w:pPr>
              <w:ind w:left="120"/>
              <w:spacing w:after="0" w:line="119" w:lineRule="exact"/>
              <w:rPr>
                <w:sz w:val="20"/>
                <w:szCs w:val="20"/>
                <w:color w:val="auto"/>
              </w:rPr>
            </w:pPr>
            <w:r>
              <w:rPr>
                <w:rFonts w:ascii="Arial" w:cs="Arial" w:eastAsia="Arial" w:hAnsi="Arial"/>
                <w:sz w:val="13"/>
                <w:szCs w:val="13"/>
                <w:color w:val="auto"/>
              </w:rPr>
              <w:t>Cash paid for interest</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207</w:t>
            </w:r>
          </w:p>
        </w:tc>
        <w:tc>
          <w:tcPr>
            <w:tcW w:w="88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260" w:type="dxa"/>
            <w:vAlign w:val="bottom"/>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Supplemental disclosure of non-cash investing</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and financing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60" w:type="dxa"/>
            <w:vAlign w:val="bottom"/>
          </w:tcPr>
          <w:p>
            <w:pPr>
              <w:ind w:left="120"/>
              <w:spacing w:after="0"/>
              <w:rPr>
                <w:sz w:val="20"/>
                <w:szCs w:val="20"/>
                <w:color w:val="auto"/>
              </w:rPr>
            </w:pPr>
            <w:r>
              <w:rPr>
                <w:rFonts w:ascii="Arial" w:cs="Arial" w:eastAsia="Arial" w:hAnsi="Arial"/>
                <w:sz w:val="13"/>
                <w:szCs w:val="13"/>
                <w:color w:val="auto"/>
              </w:rPr>
              <w:t>Issuance of common units in exchange for asset</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88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251,700</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ind w:left="240"/>
              <w:spacing w:after="0" w:line="96" w:lineRule="exact"/>
              <w:rPr>
                <w:sz w:val="20"/>
                <w:szCs w:val="20"/>
                <w:color w:val="auto"/>
              </w:rPr>
            </w:pPr>
            <w:r>
              <w:rPr>
                <w:rFonts w:ascii="Arial" w:cs="Arial" w:eastAsia="Arial" w:hAnsi="Arial"/>
                <w:sz w:val="11"/>
                <w:szCs w:val="11"/>
                <w:color w:val="auto"/>
              </w:rPr>
              <w:t>acquisition</w:t>
            </w:r>
          </w:p>
        </w:tc>
        <w:tc>
          <w:tcPr>
            <w:tcW w:w="8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3260" w:type="dxa"/>
            <w:vAlign w:val="bottom"/>
            <w:shd w:val="clear" w:color="auto" w:fill="CCEEFF"/>
          </w:tcPr>
          <w:p>
            <w:pPr>
              <w:ind w:left="120"/>
              <w:spacing w:after="0" w:line="113" w:lineRule="exact"/>
              <w:rPr>
                <w:sz w:val="20"/>
                <w:szCs w:val="20"/>
                <w:color w:val="auto"/>
              </w:rPr>
            </w:pPr>
            <w:r>
              <w:rPr>
                <w:rFonts w:ascii="Arial" w:cs="Arial" w:eastAsia="Arial" w:hAnsi="Arial"/>
                <w:sz w:val="13"/>
                <w:szCs w:val="13"/>
                <w:color w:val="auto"/>
              </w:rPr>
              <w:t>Purchase of property and equipment, accrued and</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4,472</w:t>
            </w:r>
          </w:p>
        </w:tc>
        <w:tc>
          <w:tcPr>
            <w:tcW w:w="8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unpaid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-1577340</wp:posOffset>
            </wp:positionV>
            <wp:extent cx="209423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9423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-2120900</wp:posOffset>
            </wp:positionV>
            <wp:extent cx="209423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9423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-2760345</wp:posOffset>
            </wp:positionV>
            <wp:extent cx="209423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094230" cy="6985"/>
                    </a:xfrm>
                    <a:prstGeom prst="rect">
                      <a:avLst/>
                    </a:prstGeom>
                    <a:noFill/>
                  </pic:spPr>
                </pic:pic>
              </a:graphicData>
            </a:graphic>
          </wp:anchor>
        </w:drawing>
      </w: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2" w:name="page223"/>
    <w:bookmarkEnd w:id="222"/>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459"/>
        <w:spacing w:after="0" w:line="222"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December 31, 2020 and 2019</w:t>
      </w:r>
    </w:p>
    <w:p>
      <w:pPr>
        <w:spacing w:after="0" w:line="1" w:lineRule="exact"/>
        <w:rPr>
          <w:sz w:val="20"/>
          <w:szCs w:val="20"/>
          <w:color w:val="auto"/>
        </w:rPr>
      </w:pPr>
    </w:p>
    <w:p>
      <w:pPr>
        <w:ind w:left="1240" w:right="2379"/>
        <w:spacing w:after="0" w:line="231" w:lineRule="auto"/>
        <w:rPr>
          <w:sz w:val="20"/>
          <w:szCs w:val="20"/>
          <w:color w:val="auto"/>
        </w:rPr>
      </w:pPr>
      <w:r>
        <w:rPr>
          <w:rFonts w:ascii="Arial" w:cs="Arial" w:eastAsia="Arial" w:hAnsi="Arial"/>
          <w:sz w:val="23"/>
          <w:szCs w:val="23"/>
          <w:b w:val="1"/>
          <w:bCs w:val="1"/>
          <w:color w:val="auto"/>
        </w:rPr>
        <w:t>(In thousands, except unit, share and per share amounts)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18" w:lineRule="exact"/>
        <w:rPr>
          <w:sz w:val="20"/>
          <w:szCs w:val="20"/>
          <w:color w:val="auto"/>
        </w:rPr>
      </w:pPr>
    </w:p>
    <w:p>
      <w:pPr>
        <w:jc w:val="both"/>
        <w:ind w:left="1240" w:right="1519"/>
        <w:spacing w:after="0" w:line="263" w:lineRule="auto"/>
        <w:rPr>
          <w:sz w:val="20"/>
          <w:szCs w:val="20"/>
          <w:color w:val="auto"/>
        </w:rPr>
      </w:pPr>
      <w:r>
        <w:rPr>
          <w:rFonts w:ascii="Arial" w:cs="Arial" w:eastAsia="Arial" w:hAnsi="Arial"/>
          <w:sz w:val="14"/>
          <w:szCs w:val="14"/>
          <w:color w:val="auto"/>
        </w:rPr>
        <w:t>Century Therapeutics, Inc. (“Prior Century” or “Predecessor”),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On June 5, 2019, Century Therapeutics, LLC (the “Company” or “Successor”)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has no significant operations and accounts for its interest in the Company under the equity method of accounting.</w:t>
      </w:r>
    </w:p>
    <w:p>
      <w:pPr>
        <w:spacing w:after="0" w:line="285" w:lineRule="exact"/>
        <w:rPr>
          <w:sz w:val="20"/>
          <w:szCs w:val="20"/>
          <w:color w:val="auto"/>
        </w:rPr>
      </w:pPr>
    </w:p>
    <w:p>
      <w:pPr>
        <w:ind w:left="1240" w:right="1539"/>
        <w:spacing w:after="0" w:line="258" w:lineRule="auto"/>
        <w:rPr>
          <w:sz w:val="20"/>
          <w:szCs w:val="20"/>
          <w:color w:val="auto"/>
        </w:rPr>
      </w:pPr>
      <w:r>
        <w:rPr>
          <w:rFonts w:ascii="Arial" w:cs="Arial" w:eastAsia="Arial" w:hAnsi="Arial"/>
          <w:sz w:val="14"/>
          <w:szCs w:val="14"/>
          <w:color w:val="auto"/>
        </w:rPr>
        <w:t>As discussed in Note 17, Subsequent Events, 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97"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98" w:lineRule="exact"/>
        <w:rPr>
          <w:sz w:val="20"/>
          <w:szCs w:val="20"/>
          <w:color w:val="auto"/>
        </w:rPr>
      </w:pPr>
    </w:p>
    <w:p>
      <w:pPr>
        <w:ind w:left="1240" w:right="1319"/>
        <w:spacing w:after="0" w:line="260" w:lineRule="auto"/>
        <w:rPr>
          <w:sz w:val="20"/>
          <w:szCs w:val="20"/>
          <w:color w:val="auto"/>
        </w:rPr>
      </w:pPr>
      <w:r>
        <w:rPr>
          <w:rFonts w:ascii="Arial" w:cs="Arial" w:eastAsia="Arial" w:hAnsi="Arial"/>
          <w:sz w:val="14"/>
          <w:szCs w:val="14"/>
          <w:color w:val="auto"/>
        </w:rPr>
        <w:t>The Company’s headquarters are located in Philadelphia, Pennsylvania. Prior to the conversion of the Company from an LLC to a Delaware corporation noted above, the Company’s capital structure was comprised of common limited liability membership interests, issued in the form of a single class of common units, with no stated limit to a members’ liability or a finite life to the Company.</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3" w:lineRule="exact"/>
        <w:rPr>
          <w:sz w:val="20"/>
          <w:szCs w:val="20"/>
          <w:color w:val="auto"/>
        </w:rPr>
      </w:pPr>
    </w:p>
    <w:p>
      <w:pPr>
        <w:ind w:left="1240" w:right="1799"/>
        <w:spacing w:after="0" w:line="263"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23"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106" w:lineRule="exact"/>
        <w:rPr>
          <w:sz w:val="20"/>
          <w:szCs w:val="20"/>
          <w:color w:val="auto"/>
        </w:rPr>
      </w:pPr>
    </w:p>
    <w:p>
      <w:pPr>
        <w:ind w:left="1240" w:right="1279"/>
        <w:spacing w:after="0" w:line="259" w:lineRule="auto"/>
        <w:rPr>
          <w:sz w:val="20"/>
          <w:szCs w:val="20"/>
          <w:color w:val="auto"/>
        </w:rPr>
      </w:pPr>
      <w:r>
        <w:rPr>
          <w:rFonts w:ascii="Arial" w:cs="Arial" w:eastAsia="Arial" w:hAnsi="Arial"/>
          <w:sz w:val="14"/>
          <w:szCs w:val="14"/>
          <w:color w:val="auto"/>
        </w:rPr>
        <w:t>Since inception, both the Company and Prior Century have incurred net losses and negative cash flows from operations. During the Successor year ended December 31, 2020, the Company incurred a net loss of $53,575 and used $41,269 of cash for operations. During the Successor period June 21, 2019 through December 31, 2019, the Company incurred a net loss of $238,767 and used $11,768 of cash for operations. During the Predecessor</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3" w:name="page224"/>
    <w:bookmarkEnd w:id="223"/>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8" w:lineRule="auto"/>
        <w:rPr>
          <w:sz w:val="20"/>
          <w:szCs w:val="20"/>
          <w:color w:val="auto"/>
        </w:rPr>
      </w:pPr>
      <w:r>
        <w:rPr>
          <w:rFonts w:ascii="Arial" w:cs="Arial" w:eastAsia="Arial" w:hAnsi="Arial"/>
          <w:sz w:val="14"/>
          <w:szCs w:val="14"/>
          <w:color w:val="auto"/>
        </w:rPr>
        <w:t>period January 1, 2019 through June 20, 2019, Prior Century incurred a net loss of $6,002 and used $4,400 of cash for operations. Management expects to incur additional losses in the future to fund its operations and conduct product research and development and recognizes the need to raise additional capital to fully implement its business plan. As further described in Note 3, the Company obtained a cash capital commitment from Bayer totaling $215,000, from which net proceeds of $74,839 were received in June 2019, $38,100 were received in November 2020 and $31,900 were received in January 2021. Bayer has no continuing obligation to invest any additional amounts under its commitment, which terminated on February 25, 2021. As further described in Note 9, the Company entered into a Loan Agreement pursuant to which it received net proceeds of $9,734 in September 2020. As described in Note 16,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23" w:lineRule="exact"/>
        <w:rPr>
          <w:sz w:val="20"/>
          <w:szCs w:val="20"/>
          <w:color w:val="auto"/>
        </w:rPr>
      </w:pPr>
    </w:p>
    <w:p>
      <w:pPr>
        <w:ind w:left="1240" w:right="2219"/>
        <w:spacing w:after="0" w:line="259"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3" w:lineRule="exact"/>
        <w:rPr>
          <w:sz w:val="20"/>
          <w:szCs w:val="20"/>
          <w:color w:val="auto"/>
        </w:rPr>
      </w:pPr>
    </w:p>
    <w:p>
      <w:pPr>
        <w:ind w:left="1240" w:right="1339"/>
        <w:spacing w:after="0" w:line="292"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44" w:lineRule="exact"/>
        <w:rPr>
          <w:sz w:val="20"/>
          <w:szCs w:val="20"/>
          <w:color w:val="auto"/>
        </w:rPr>
      </w:pPr>
    </w:p>
    <w:p>
      <w:pPr>
        <w:ind w:left="1240" w:right="1319"/>
        <w:spacing w:after="0" w:line="290"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at the beginning of the successor period, June 21, 2019. See Note 10 for further information on the Company’s capital restructuring.</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44" w:lineRule="exact"/>
        <w:rPr>
          <w:sz w:val="20"/>
          <w:szCs w:val="20"/>
          <w:color w:val="auto"/>
        </w:rPr>
      </w:pPr>
    </w:p>
    <w:p>
      <w:pPr>
        <w:ind w:left="1240" w:right="1299"/>
        <w:spacing w:after="0" w:line="289" w:lineRule="auto"/>
        <w:rPr>
          <w:sz w:val="20"/>
          <w:szCs w:val="20"/>
          <w:color w:val="auto"/>
        </w:rPr>
      </w:pPr>
      <w:r>
        <w:rPr>
          <w:rFonts w:ascii="Arial" w:cs="Arial" w:eastAsia="Arial" w:hAnsi="Arial"/>
          <w:sz w:val="14"/>
          <w:szCs w:val="14"/>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All common share and per share data have been retrospectively revised to reflect the reverse stock split.</w:t>
      </w:r>
    </w:p>
    <w:p>
      <w:pPr>
        <w:spacing w:after="0" w:line="31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33" w:lineRule="exact"/>
        <w:rPr>
          <w:sz w:val="20"/>
          <w:szCs w:val="20"/>
          <w:color w:val="auto"/>
        </w:rPr>
      </w:pPr>
    </w:p>
    <w:p>
      <w:pPr>
        <w:ind w:left="1240" w:right="1459"/>
        <w:spacing w:after="0" w:line="292"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4" w:name="page225"/>
    <w:bookmarkEnd w:id="224"/>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3"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2020 and 2019, the Company has not experienced any losses on its deposits of cash and cash equivalents.</w:t>
      </w:r>
    </w:p>
    <w:p>
      <w:pPr>
        <w:spacing w:after="0" w:line="289"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77"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06"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44"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3"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5" w:name="page226"/>
    <w:bookmarkEnd w:id="225"/>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639"/>
        <w:spacing w:after="0" w:line="270" w:lineRule="auto"/>
        <w:rPr>
          <w:sz w:val="20"/>
          <w:szCs w:val="20"/>
          <w:color w:val="auto"/>
        </w:rPr>
      </w:pPr>
      <w:r>
        <w:rPr>
          <w:rFonts w:ascii="Arial" w:cs="Arial" w:eastAsia="Arial" w:hAnsi="Arial"/>
          <w:sz w:val="14"/>
          <w:szCs w:val="14"/>
          <w:color w:val="auto"/>
        </w:rPr>
        <w:t>valuations based upon unobservable inputs that are significant to the valuation (Level 3 measurements). The guidance establishes three levels of the fair value hierarchy as follows:</w:t>
      </w:r>
    </w:p>
    <w:p>
      <w:pPr>
        <w:spacing w:after="0" w:line="88" w:lineRule="exact"/>
        <w:rPr>
          <w:sz w:val="20"/>
          <w:szCs w:val="20"/>
          <w:color w:val="auto"/>
        </w:rPr>
      </w:pPr>
    </w:p>
    <w:p>
      <w:pPr>
        <w:ind w:left="1940" w:right="1559" w:hanging="684"/>
        <w:spacing w:after="0" w:line="286" w:lineRule="auto"/>
        <w:tabs>
          <w:tab w:leader="none" w:pos="1920" w:val="left"/>
        </w:tabs>
        <w:rPr>
          <w:sz w:val="20"/>
          <w:szCs w:val="20"/>
          <w:color w:val="auto"/>
        </w:rPr>
      </w:pPr>
      <w:r>
        <w:rPr>
          <w:rFonts w:ascii="Arial" w:cs="Arial" w:eastAsia="Arial" w:hAnsi="Arial"/>
          <w:sz w:val="14"/>
          <w:szCs w:val="14"/>
          <w:color w:val="auto"/>
        </w:rPr>
        <w:t>Level 1</w:t>
        <w:tab/>
        <w:t>Inputs that reflect unadjusted quoted prices in active markets for identical assets or liabilities that the Company has the ability to access at the measurement date;</w:t>
      </w:r>
    </w:p>
    <w:p>
      <w:pPr>
        <w:spacing w:after="0" w:line="87" w:lineRule="exact"/>
        <w:rPr>
          <w:sz w:val="20"/>
          <w:szCs w:val="20"/>
          <w:color w:val="auto"/>
        </w:rPr>
      </w:pPr>
    </w:p>
    <w:p>
      <w:pPr>
        <w:ind w:left="1940" w:right="1499" w:hanging="684"/>
        <w:spacing w:after="0" w:line="286" w:lineRule="auto"/>
        <w:tabs>
          <w:tab w:leader="none" w:pos="1920" w:val="left"/>
        </w:tabs>
        <w:rPr>
          <w:sz w:val="20"/>
          <w:szCs w:val="20"/>
          <w:color w:val="auto"/>
        </w:rPr>
      </w:pPr>
      <w:r>
        <w:rPr>
          <w:rFonts w:ascii="Arial" w:cs="Arial" w:eastAsia="Arial" w:hAnsi="Arial"/>
          <w:sz w:val="14"/>
          <w:szCs w:val="14"/>
          <w:color w:val="auto"/>
        </w:rPr>
        <w:t>Level 2</w:t>
        <w:tab/>
        <w:t>Inputs other than quoted prices that are observable for the asset or liability either directly or indirectly, including inputs in markets that are not considered to be active;</w:t>
      </w:r>
    </w:p>
    <w:p>
      <w:pPr>
        <w:spacing w:after="0" w:line="87" w:lineRule="exact"/>
        <w:rPr>
          <w:sz w:val="20"/>
          <w:szCs w:val="20"/>
          <w:color w:val="auto"/>
        </w:rPr>
      </w:pPr>
    </w:p>
    <w:p>
      <w:pPr>
        <w:ind w:left="1940" w:right="1639" w:hanging="684"/>
        <w:spacing w:after="0" w:line="286" w:lineRule="auto"/>
        <w:tabs>
          <w:tab w:leader="none" w:pos="1920" w:val="left"/>
        </w:tabs>
        <w:rPr>
          <w:sz w:val="20"/>
          <w:szCs w:val="20"/>
          <w:color w:val="auto"/>
        </w:rPr>
      </w:pPr>
      <w:r>
        <w:rPr>
          <w:rFonts w:ascii="Arial" w:cs="Arial" w:eastAsia="Arial" w:hAnsi="Arial"/>
          <w:sz w:val="14"/>
          <w:szCs w:val="14"/>
          <w:color w:val="auto"/>
        </w:rPr>
        <w:t>Level 3</w:t>
        <w:tab/>
        <w:t>Inputs are unobservable in which there is little or no market data available, which require the reporting entity to develop its own assumptions that are unobservable.</w:t>
      </w:r>
    </w:p>
    <w:p>
      <w:pPr>
        <w:spacing w:after="0" w:line="7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01" w:lineRule="exact"/>
        <w:rPr>
          <w:sz w:val="20"/>
          <w:szCs w:val="20"/>
          <w:color w:val="auto"/>
        </w:rPr>
      </w:pPr>
    </w:p>
    <w:p>
      <w:pPr>
        <w:jc w:val="both"/>
        <w:ind w:left="1240" w:right="1579"/>
        <w:spacing w:after="0" w:line="27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12" w:lineRule="exact"/>
        <w:rPr>
          <w:sz w:val="20"/>
          <w:szCs w:val="20"/>
          <w:color w:val="auto"/>
        </w:rPr>
      </w:pPr>
    </w:p>
    <w:p>
      <w:pPr>
        <w:jc w:val="both"/>
        <w:ind w:left="1240" w:right="1579"/>
        <w:spacing w:after="0" w:line="263" w:lineRule="auto"/>
        <w:rPr>
          <w:sz w:val="20"/>
          <w:szCs w:val="20"/>
          <w:color w:val="auto"/>
        </w:rPr>
      </w:pPr>
      <w:r>
        <w:rPr>
          <w:rFonts w:ascii="Arial" w:cs="Arial" w:eastAsia="Arial" w:hAnsi="Arial"/>
          <w:sz w:val="14"/>
          <w:szCs w:val="14"/>
          <w:color w:val="auto"/>
        </w:rPr>
        <w:t>As of December 31, 2020, the Company has $517 in cash on deposit to secure certain lease commitments. Restricted cash is recorded separately in the Company’s consolidated balance sheets.</w:t>
      </w:r>
    </w:p>
    <w:p>
      <w:pPr>
        <w:spacing w:after="0" w:line="92"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92710</wp:posOffset>
            </wp:positionV>
            <wp:extent cx="4134485" cy="133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4"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Successor</w:t>
      </w:r>
    </w:p>
    <w:p>
      <w:pPr>
        <w:spacing w:after="0" w:line="21"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84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December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2019</w:t>
            </w:r>
          </w:p>
        </w:tc>
      </w:tr>
      <w:tr>
        <w:trPr>
          <w:trHeight w:val="164"/>
        </w:trPr>
        <w:tc>
          <w:tcPr>
            <w:tcW w:w="20" w:type="dxa"/>
            <w:vAlign w:val="bottom"/>
          </w:tcPr>
          <w:p>
            <w:pPr>
              <w:spacing w:after="0"/>
              <w:rPr>
                <w:sz w:val="14"/>
                <w:szCs w:val="14"/>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$ 27,211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181"/>
        </w:trPr>
        <w:tc>
          <w:tcPr>
            <w:tcW w:w="386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360" w:type="dxa"/>
            <w:vAlign w:val="bottom"/>
          </w:tcPr>
          <w:p>
            <w:pPr>
              <w:jc w:val="right"/>
              <w:ind w:right="10"/>
              <w:spacing w:after="0"/>
              <w:rPr>
                <w:sz w:val="20"/>
                <w:szCs w:val="20"/>
                <w:color w:val="auto"/>
              </w:rPr>
            </w:pPr>
            <w:r>
              <w:rPr>
                <w:rFonts w:ascii="Arial" w:cs="Arial" w:eastAsia="Arial" w:hAnsi="Arial"/>
                <w:sz w:val="14"/>
                <w:szCs w:val="14"/>
                <w:color w:val="auto"/>
              </w:rPr>
              <w:t>517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3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$ 27,728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-400685</wp:posOffset>
            </wp:positionV>
            <wp:extent cx="244157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41575" cy="6985"/>
                    </a:xfrm>
                    <a:prstGeom prst="rect">
                      <a:avLst/>
                    </a:prstGeom>
                    <a:noFill/>
                  </pic:spPr>
                </pic:pic>
              </a:graphicData>
            </a:graphic>
          </wp:anchor>
        </w:drawing>
      </w:r>
    </w:p>
    <w:p>
      <w:pPr>
        <w:spacing w:after="0" w:line="10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0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01" w:lineRule="exact"/>
        <w:rPr>
          <w:sz w:val="20"/>
          <w:szCs w:val="20"/>
          <w:color w:val="auto"/>
        </w:rPr>
      </w:pPr>
    </w:p>
    <w:p>
      <w:pPr>
        <w:jc w:val="both"/>
        <w:ind w:left="1240" w:right="1519"/>
        <w:spacing w:after="0" w:line="260"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106"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6" w:name="page227"/>
    <w:bookmarkEnd w:id="226"/>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3" w:lineRule="exact"/>
        <w:rPr>
          <w:sz w:val="20"/>
          <w:szCs w:val="20"/>
          <w:color w:val="auto"/>
        </w:rPr>
      </w:pPr>
    </w:p>
    <w:p>
      <w:pPr>
        <w:ind w:left="1240" w:right="1659"/>
        <w:spacing w:after="0" w:line="259"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3"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Employees and members of the board of managers of the Company have received stock options and restricted stock of Prior Century. The Company recognizes the cost of the stock-based compensation incurred by Prior Century on its behalf as its employees and board members vest in the awards. Prior Century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Prior Century uses the Black-Scholes option-pricing model (“Black Scholes”) to determine the fair value of options granted. Prior Century’s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83" w:lineRule="exact"/>
        <w:rPr>
          <w:sz w:val="20"/>
          <w:szCs w:val="20"/>
          <w:color w:val="auto"/>
        </w:rPr>
      </w:pPr>
    </w:p>
    <w:p>
      <w:pPr>
        <w:ind w:left="1240" w:right="1279"/>
        <w:spacing w:after="0" w:line="255"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spacing w:after="0" w:line="1" w:lineRule="exact"/>
        <w:rPr>
          <w:sz w:val="20"/>
          <w:szCs w:val="20"/>
          <w:color w:val="auto"/>
        </w:rPr>
      </w:pPr>
    </w:p>
    <w:p>
      <w:pPr>
        <w:ind w:left="1240" w:right="1299" w:firstLine="9"/>
        <w:spacing w:after="0" w:line="256" w:lineRule="auto"/>
        <w:tabs>
          <w:tab w:leader="none" w:pos="149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Prior Century’s common stock and lack of company-specific historical and implied volatility data, Prior Century has based its computation of expected volatility on the historical volatility of a representative group of public companies with similar characteristics to Prior Century, including stage of product development and life science industry focus. The historical volatility is calculated based on a period of time commensurate with expected term assumption. Prior Century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Prior Century has never paid dividends and has no current plans to pay any dividends on its common stock. Forfeitures are recognized as they occur.</w:t>
      </w:r>
    </w:p>
    <w:p>
      <w:pPr>
        <w:spacing w:after="0" w:line="274" w:lineRule="exact"/>
        <w:rPr>
          <w:sz w:val="20"/>
          <w:szCs w:val="20"/>
          <w:color w:val="auto"/>
        </w:rPr>
      </w:pPr>
    </w:p>
    <w:p>
      <w:pPr>
        <w:ind w:left="1240" w:right="1379"/>
        <w:spacing w:after="0" w:line="256" w:lineRule="auto"/>
        <w:rPr>
          <w:sz w:val="20"/>
          <w:szCs w:val="20"/>
          <w:color w:val="auto"/>
        </w:rPr>
      </w:pPr>
      <w:r>
        <w:rPr>
          <w:rFonts w:ascii="Arial" w:cs="Arial" w:eastAsia="Arial" w:hAnsi="Arial"/>
          <w:sz w:val="14"/>
          <w:szCs w:val="14"/>
          <w:color w:val="auto"/>
        </w:rPr>
        <w:t>Due to the absence of an active market for Prior Century’s common stock, Prior Century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Prior Century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Prior Century’s financial position and historical financial performance, the status of technological developments within Prior Century’s research, the composition and ability of the current research and management team, an evaluation or benchmark of Prior Century’s competition, and the current business climate in the marketplace. Significant changes to the key assumptions underlying the factors used could result in different fair values of common stock at each valuation date.</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Warrants</w:t>
      </w:r>
    </w:p>
    <w:p>
      <w:pPr>
        <w:spacing w:after="0" w:line="133" w:lineRule="exact"/>
        <w:rPr>
          <w:sz w:val="20"/>
          <w:szCs w:val="20"/>
          <w:color w:val="auto"/>
        </w:rPr>
      </w:pPr>
    </w:p>
    <w:p>
      <w:pPr>
        <w:ind w:left="1240" w:right="1599"/>
        <w:spacing w:after="0" w:line="263" w:lineRule="auto"/>
        <w:rPr>
          <w:sz w:val="20"/>
          <w:szCs w:val="20"/>
          <w:color w:val="auto"/>
        </w:rPr>
      </w:pPr>
      <w:r>
        <w:rPr>
          <w:rFonts w:ascii="Arial" w:cs="Arial" w:eastAsia="Arial" w:hAnsi="Arial"/>
          <w:sz w:val="14"/>
          <w:szCs w:val="14"/>
          <w:color w:val="auto"/>
        </w:rPr>
        <w:t>The Company has issued warrants that have been recognized as equity, and the fair value is recorded into additional paid-in capital in the accompanying consolidated balance sheets. Warrants are accounted for in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7" w:name="page228"/>
    <w:bookmarkEnd w:id="227"/>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 xml:space="preserve">accordance with applicable accounting guidance provided in ASC Topic 815, </w:t>
      </w:r>
      <w:r>
        <w:rPr>
          <w:rFonts w:ascii="Arial" w:cs="Arial" w:eastAsia="Arial" w:hAnsi="Arial"/>
          <w:sz w:val="14"/>
          <w:szCs w:val="14"/>
          <w:i w:val="1"/>
          <w:iCs w:val="1"/>
          <w:color w:val="auto"/>
        </w:rPr>
        <w:t>Derivatives and</w:t>
      </w:r>
      <w:r>
        <w:rPr>
          <w:rFonts w:ascii="Arial" w:cs="Arial" w:eastAsia="Arial" w:hAnsi="Arial"/>
          <w:sz w:val="14"/>
          <w:szCs w:val="14"/>
          <w:color w:val="auto"/>
        </w:rPr>
        <w:t xml:space="preserve"> </w:t>
      </w:r>
      <w:r>
        <w:rPr>
          <w:rFonts w:ascii="Arial" w:cs="Arial" w:eastAsia="Arial" w:hAnsi="Arial"/>
          <w:sz w:val="14"/>
          <w:szCs w:val="14"/>
          <w:i w:val="1"/>
          <w:iCs w:val="1"/>
          <w:color w:val="auto"/>
        </w:rPr>
        <w:t>Hedging—Contracts in Entity’s Own Equity</w:t>
      </w:r>
      <w:r>
        <w:rPr>
          <w:rFonts w:ascii="Arial" w:cs="Arial" w:eastAsia="Arial" w:hAnsi="Arial"/>
          <w:sz w:val="14"/>
          <w:szCs w:val="14"/>
          <w:color w:val="auto"/>
        </w:rPr>
        <w:t>, as either derivative liabilities or as equity instruments</w:t>
      </w:r>
      <w:r>
        <w:rPr>
          <w:rFonts w:ascii="Arial" w:cs="Arial" w:eastAsia="Arial" w:hAnsi="Arial"/>
          <w:sz w:val="14"/>
          <w:szCs w:val="14"/>
          <w:i w:val="1"/>
          <w:iCs w:val="1"/>
          <w:color w:val="auto"/>
        </w:rPr>
        <w:t xml:space="preserve"> </w:t>
      </w:r>
      <w:r>
        <w:rPr>
          <w:rFonts w:ascii="Arial" w:cs="Arial" w:eastAsia="Arial" w:hAnsi="Arial"/>
          <w:sz w:val="14"/>
          <w:szCs w:val="14"/>
          <w:color w:val="auto"/>
        </w:rPr>
        <w:t>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Non-cumulative convertible preferred stock</w:t>
      </w:r>
    </w:p>
    <w:p>
      <w:pPr>
        <w:spacing w:after="0" w:line="133" w:lineRule="exact"/>
        <w:rPr>
          <w:sz w:val="20"/>
          <w:szCs w:val="20"/>
          <w:color w:val="auto"/>
        </w:rPr>
      </w:pPr>
    </w:p>
    <w:p>
      <w:pPr>
        <w:ind w:left="1240" w:right="1339"/>
        <w:spacing w:after="0" w:line="291" w:lineRule="auto"/>
        <w:rPr>
          <w:sz w:val="20"/>
          <w:szCs w:val="20"/>
          <w:color w:val="auto"/>
        </w:rPr>
      </w:pPr>
      <w:r>
        <w:rPr>
          <w:rFonts w:ascii="Arial" w:cs="Arial" w:eastAsia="Arial" w:hAnsi="Arial"/>
          <w:sz w:val="14"/>
          <w:szCs w:val="14"/>
          <w:color w:val="auto"/>
        </w:rPr>
        <w:t>The Company’s non-cumulative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non-cumulative convertible preferred stock to its redemption value until it is probable that the security will become redeemable.</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144" w:lineRule="exact"/>
        <w:rPr>
          <w:sz w:val="20"/>
          <w:szCs w:val="20"/>
          <w:color w:val="auto"/>
        </w:rPr>
      </w:pPr>
    </w:p>
    <w:p>
      <w:pPr>
        <w:ind w:left="1240" w:right="1279"/>
        <w:spacing w:after="0" w:line="292" w:lineRule="auto"/>
        <w:rPr>
          <w:sz w:val="20"/>
          <w:szCs w:val="20"/>
          <w:color w:val="auto"/>
        </w:rPr>
      </w:pPr>
      <w:r>
        <w:rPr>
          <w:rFonts w:ascii="Arial" w:cs="Arial" w:eastAsia="Arial" w:hAnsi="Arial"/>
          <w:sz w:val="14"/>
          <w:szCs w:val="14"/>
          <w:color w:val="auto"/>
        </w:rPr>
        <w:t>Our basic and diluted net loss per common share is calculated by dividing the net loss by the weighted average number of shares of common shares outstanding during the periods presented. Stock options, restricted stock, stock purchase warrants and preferred stock are included in the diluted earnings per share calculations, unless the effects are anti-dilutive.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44" w:lineRule="exact"/>
        <w:rPr>
          <w:sz w:val="20"/>
          <w:szCs w:val="20"/>
          <w:color w:val="auto"/>
        </w:rPr>
      </w:pPr>
    </w:p>
    <w:p>
      <w:pPr>
        <w:ind w:left="1240" w:right="1279"/>
        <w:spacing w:after="0" w:line="290"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86"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Income taxes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Company was organized as a limited liability company until February 25, 2021, which is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considered a passthrough entity for federal and state income tax purposes. As such, any taxable</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income or loss realized by the Company is allocated to the Members’ in accordance with their</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respective membership interest and reported on their individual tax returns. Therefore, no</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provisions or liability for income taxes is necessary in the accompanying consolidated financial</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statements. Prior Century was a C-Corporation in the predecessor period and had losses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$6,002 and a full valuation allowance as realization of the related tax benefits was not more likely</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than not.</w:t>
      </w:r>
    </w:p>
    <w:p>
      <w:pPr>
        <w:spacing w:after="0" w:line="139"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The Company records uncertain tax positions as liabilities in accordance with ASC 740 and adjusts these liabilities when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2020 and 2019, the Company has not recorded any uncertain tax positions in its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8" w:name="page229"/>
    <w:bookmarkEnd w:id="228"/>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39"/>
        <w:spacing w:after="0" w:line="263" w:lineRule="auto"/>
        <w:rPr>
          <w:sz w:val="20"/>
          <w:szCs w:val="20"/>
          <w:color w:val="auto"/>
        </w:rPr>
      </w:pPr>
      <w:r>
        <w:rPr>
          <w:rFonts w:ascii="Arial" w:cs="Arial" w:eastAsia="Arial" w:hAnsi="Arial"/>
          <w:sz w:val="14"/>
          <w:szCs w:val="14"/>
          <w:color w:val="auto"/>
        </w:rPr>
        <w:t>The Company recognizes interest and penalties related to unrecognized tax benefits on the income tax expense line in the accompanying statement of operations. As of December 31, 2020 and 2019, no accrued interest or penalties are recorded in the consolidated balance sheets.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21"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In March 2020, the Financial Accounting Standards Board (“FASB”) issued ASU 2020-03, “Codification Improvements to Financial Instruments” (“ASU 2020-03”). ASU 2020-03 improves and clarifies various financial instruments topics. ASU 2020-03 includes seven different issues that describe the areas of improvement and the related amendments to U.S. GAAP, intended to make the standards easier to understand and apply by eliminating inconsistencies and providing clarifications. The Company adopted ASU 2020-03, effective January 1, 2020, which did not have a material effect on the Company’s consolidated financial statements.</w:t>
      </w:r>
    </w:p>
    <w:p>
      <w:pPr>
        <w:spacing w:after="0" w:line="110"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In February 2016, the FASB issued ASU 2016-02 Leases (ASC 842).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Topic 840, Leases. ASC 842 establishes a right-of-use model that requires a lessee to record a right-of-use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The Company adopted ASC 842 on January 1, 2020 using the modified retrospective transition method. Prior period results continue to be presented under ASC 840 based on the accounting standards originally in effect for such periods.</w:t>
      </w:r>
    </w:p>
    <w:p>
      <w:pPr>
        <w:spacing w:after="0" w:line="295"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The Company has elected certain practical expedients permitted under the transition guidance within ASC 842 to leases that commenced before January 1, 2020,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2020. The Company also elected the practical expedient to not record short-term leases on its consolidated balance sheet and to combine lease and non-lease components into a single lease component when measuring its leases. The adoption of ASU 2016-02 did not have a significant impact on the Company’s consolidated results of operations or cash flows. Upon adoption, the Company did not recognize a ROU asset and lease liability as no leases with an original term greater than</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12 months commenced prior to January 1, 2020. For the Successor period ended December 31,</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2020, the initial ROU asset and lease liability recognized was $9,735.</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 Accounting Pronouncements</w:t>
      </w:r>
    </w:p>
    <w:p>
      <w:pPr>
        <w:spacing w:after="0" w:line="131"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ASU 2018-13, effective January 1, 2021, which did not have a material effect on the Company’s consolidated financial statements.</w:t>
      </w:r>
    </w:p>
    <w:p>
      <w:pPr>
        <w:spacing w:after="0" w:line="289" w:lineRule="exact"/>
        <w:rPr>
          <w:sz w:val="20"/>
          <w:szCs w:val="20"/>
          <w:color w:val="auto"/>
        </w:rPr>
      </w:pPr>
    </w:p>
    <w:p>
      <w:pPr>
        <w:ind w:left="1240" w:right="1299"/>
        <w:spacing w:after="0" w:line="275"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9" w:name="page230"/>
    <w:bookmarkEnd w:id="229"/>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79"/>
        <w:spacing w:after="0" w:line="274" w:lineRule="auto"/>
        <w:rPr>
          <w:sz w:val="20"/>
          <w:szCs w:val="20"/>
          <w:color w:val="auto"/>
        </w:rPr>
      </w:pPr>
      <w:r>
        <w:rPr>
          <w:rFonts w:ascii="Arial" w:cs="Arial" w:eastAsia="Arial" w:hAnsi="Arial"/>
          <w:sz w:val="14"/>
          <w:szCs w:val="14"/>
          <w:color w:val="auto"/>
        </w:rPr>
        <w:t>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is currently evaluating the impact the adoption of ASU 2020-06 will have on the consolidated financial statements.</w:t>
      </w:r>
    </w:p>
    <w:p>
      <w:pPr>
        <w:spacing w:after="0" w:line="277"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October 2020, the FASB issued ASU No. 2020-08, Codification Improvements to Subtopic 310-20, Receivables—Nonrefundable Fees and Other Costs (“ASU 2020-08”), and ASU No. 2020-10, Codification Improvements (“ASU 2020-10”). ASU 2020-08 and ASU 2020-10 provide changes to clarify or improve existing guidance. This guidance is effective for fiscal years beginning after December 15, 2021, including interim periods within those fiscal years. Early adoption is not permitted. The Company is currently evaluating the impact that ASU 2020-08 and ASU 2020-10 will have on our consolidated financial statements and disclosures.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3—Initial capitalization</w:t>
      </w:r>
    </w:p>
    <w:p>
      <w:pPr>
        <w:spacing w:after="0" w:line="140"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44" w:lineRule="exact"/>
        <w:rPr>
          <w:sz w:val="20"/>
          <w:szCs w:val="20"/>
          <w:color w:val="auto"/>
        </w:rPr>
      </w:pPr>
    </w:p>
    <w:p>
      <w:pPr>
        <w:ind w:left="1240" w:right="1779"/>
        <w:spacing w:after="0" w:line="278"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94" w:lineRule="exact"/>
        <w:rPr>
          <w:sz w:val="20"/>
          <w:szCs w:val="20"/>
          <w:color w:val="auto"/>
        </w:rPr>
      </w:pPr>
    </w:p>
    <w:p>
      <w:pPr>
        <w:ind w:left="1240" w:right="1419"/>
        <w:spacing w:after="0" w:line="273"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10" w:lineRule="exact"/>
        <w:rPr>
          <w:sz w:val="20"/>
          <w:szCs w:val="20"/>
          <w:color w:val="auto"/>
        </w:rPr>
      </w:pPr>
    </w:p>
    <w:p>
      <w:pPr>
        <w:ind w:left="1240" w:right="1379"/>
        <w:spacing w:after="0" w:line="276"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87630</wp:posOffset>
            </wp:positionV>
            <wp:extent cx="4134485" cy="133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1"/>
        </w:trPr>
        <w:tc>
          <w:tcPr>
            <w:tcW w:w="20" w:type="dxa"/>
            <w:vAlign w:val="bottom"/>
          </w:tcPr>
          <w:p>
            <w:pPr>
              <w:spacing w:after="0"/>
              <w:rPr>
                <w:sz w:val="14"/>
                <w:szCs w:val="14"/>
                <w:color w:val="auto"/>
              </w:rPr>
            </w:pPr>
          </w:p>
        </w:tc>
        <w:tc>
          <w:tcPr>
            <w:tcW w:w="5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40" w:type="dxa"/>
            <w:vAlign w:val="bottom"/>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IPR&amp;D</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40" w:type="dxa"/>
            <w:vAlign w:val="bottom"/>
          </w:tcPr>
          <w:p>
            <w:pPr>
              <w:spacing w:after="0"/>
              <w:rPr>
                <w:sz w:val="15"/>
                <w:szCs w:val="15"/>
                <w:color w:val="auto"/>
              </w:rPr>
            </w:pPr>
          </w:p>
        </w:tc>
      </w:tr>
      <w:tr>
        <w:trPr>
          <w:trHeight w:val="22"/>
        </w:trPr>
        <w:tc>
          <w:tcPr>
            <w:tcW w:w="5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0" w:type="dxa"/>
            <w:vAlign w:val="bottom"/>
          </w:tcPr>
          <w:p>
            <w:pPr>
              <w:spacing w:after="0"/>
              <w:rPr>
                <w:sz w:val="15"/>
                <w:szCs w:val="15"/>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40" w:type="dxa"/>
            <w:vAlign w:val="bottom"/>
          </w:tcPr>
          <w:p>
            <w:pPr>
              <w:spacing w:after="0"/>
              <w:rPr>
                <w:sz w:val="15"/>
                <w:szCs w:val="15"/>
                <w:color w:val="auto"/>
              </w:rPr>
            </w:pPr>
          </w:p>
        </w:tc>
      </w:tr>
      <w:tr>
        <w:trPr>
          <w:trHeight w:val="22"/>
        </w:trPr>
        <w:tc>
          <w:tcPr>
            <w:tcW w:w="5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40" w:type="dxa"/>
            <w:vAlign w:val="bottom"/>
          </w:tcPr>
          <w:p>
            <w:pPr>
              <w:spacing w:after="0"/>
              <w:rPr>
                <w:sz w:val="15"/>
                <w:szCs w:val="15"/>
                <w:color w:val="auto"/>
              </w:rPr>
            </w:pPr>
          </w:p>
        </w:tc>
      </w:tr>
      <w:tr>
        <w:trPr>
          <w:trHeight w:val="183"/>
        </w:trPr>
        <w:tc>
          <w:tcPr>
            <w:tcW w:w="51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27787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77870" cy="6985"/>
                    </a:xfrm>
                    <a:prstGeom prst="rect">
                      <a:avLst/>
                    </a:prstGeom>
                    <a:noFill/>
                  </pic:spPr>
                </pic:pic>
              </a:graphicData>
            </a:graphic>
          </wp:anchor>
        </w:drawing>
      </w:r>
    </w:p>
    <w:p>
      <w:pPr>
        <w:spacing w:after="0" w:line="108"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allogeneic cell therapy platform. As the IPR&amp;D asset has no alternative future use to the Company, the Company charged $225,946 to expense within its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0" w:name="page231"/>
    <w:bookmarkEnd w:id="230"/>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319"/>
        <w:spacing w:after="0" w:line="256" w:lineRule="auto"/>
        <w:rPr>
          <w:sz w:val="20"/>
          <w:szCs w:val="20"/>
          <w:color w:val="auto"/>
        </w:rPr>
      </w:pPr>
      <w:r>
        <w:rPr>
          <w:rFonts w:ascii="Arial" w:cs="Arial" w:eastAsia="Arial" w:hAnsi="Arial"/>
          <w:sz w:val="14"/>
          <w:szCs w:val="14"/>
          <w:color w:val="auto"/>
        </w:rPr>
        <w:t>The valuation of the equity interests issued to Prior Century was based on an assessment of the total purchase consideration implied by the transaction between Bayer and the Company at the formation of the Company for Bayer’s 28% equity interest. In determining the implied fair value of the Company, the Company first determined whether Bayer received anything incremental to its 28% equity interest in the Company and considered that Bayer received a disproportionate tax benefit given their allocation of 100 percent of the tax losses of the Company until Bayer’s tax basis in the Company is equal to their ownership interest in the equity of the Company, per the terms of the LLC operating agreement. Given this benefit, the Company estimated the fair value of these additional tax savings over the expected period Bayer would receive this disproportionate benefit. After adjusting for the tax benefits Bayer receives, an implied fair value for the Company was estimated at the date the Company was formed which was used to value the equity interests issued to Prior Century.</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01"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December 31, 2020 or 2019. Tranche 2 was eliminated in connection with the Series C preferred financing. See Note 17.</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Rights</w:t>
      </w:r>
    </w:p>
    <w:p>
      <w:pPr>
        <w:spacing w:after="0" w:line="101"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03" w:lineRule="exact"/>
        <w:rPr>
          <w:sz w:val="20"/>
          <w:szCs w:val="20"/>
          <w:color w:val="auto"/>
        </w:rPr>
      </w:pPr>
    </w:p>
    <w:p>
      <w:pPr>
        <w:ind w:left="1240" w:right="1259"/>
        <w:spacing w:after="0" w:line="256" w:lineRule="auto"/>
        <w:rPr>
          <w:sz w:val="20"/>
          <w:szCs w:val="20"/>
          <w:color w:val="auto"/>
        </w:rPr>
      </w:pPr>
      <w:r>
        <w:rPr>
          <w:rFonts w:ascii="Arial" w:cs="Arial" w:eastAsia="Arial" w:hAnsi="Arial"/>
          <w:sz w:val="14"/>
          <w:szCs w:val="14"/>
          <w:color w:val="auto"/>
        </w:rPr>
        <w:t>Management determined that Prior Century did not retain control of the Company as Prior Century did not have the power to direct the activities of the Company that would most significantly impact its economic performance as a result of the rights provided to Bayer. These rights included, but weren’t limited to, (1) approval rights over the Company’s initial business plan and budget, including the need for the Company to obtain consent from both Bayer and Prior Century to alter the budget prospectively by more than 20 percent. This had the effect of requiring both Bayer and Prior Century to approve the Company’s research and development plan, as the allocation of funds to the research and development plan are determined within the Company’s operating budget. This also included the decision-making around the FCDI collaboration agreement (Note 16) within the research plan; (2) approval rights over hiring and termination decisions of the Company’s Chief Executive Officer, which required consent from both Bayer and Prior Century; and (3) approval rights over equity and debt capital raising decisions. In the event of a disagreement over these decisions, independent mediation is required, providing no tie-breaking authority to Bayer or Prior Century. For the foregoing reasons, Prior Century determined it did not retain control of the Company.</w:t>
      </w:r>
    </w:p>
    <w:p>
      <w:pPr>
        <w:spacing w:after="0" w:line="273"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10" w:lineRule="exact"/>
        <w:rPr>
          <w:sz w:val="20"/>
          <w:szCs w:val="20"/>
          <w:color w:val="auto"/>
        </w:rPr>
      </w:pPr>
    </w:p>
    <w:p>
      <w:pPr>
        <w:ind w:left="1240" w:right="1359"/>
        <w:spacing w:after="0" w:line="270"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members’ equity until received from Bayer.</w:t>
      </w:r>
    </w:p>
    <w:p>
      <w:pPr>
        <w:spacing w:after="0" w:line="98"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01"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1" w:name="page232"/>
    <w:bookmarkEnd w:id="231"/>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129"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December 31, 2020, accrued compensation expense on the promissory note was $282, which is presented within accrued expenses and other liabilities on the consolidated balance sheets.</w:t>
      </w:r>
    </w:p>
    <w:p>
      <w:pPr>
        <w:spacing w:after="0" w:line="28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1"/>
        </w:trPr>
        <w:tc>
          <w:tcPr>
            <w:tcW w:w="562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5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56362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97"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40" w:right="1659"/>
        <w:spacing w:after="0" w:line="286"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$24,284</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9,525</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$33,809</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2"/>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2019,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$42,010</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7,612</w:t>
            </w:r>
          </w:p>
        </w:tc>
        <w:tc>
          <w:tcPr>
            <w:tcW w:w="180" w:type="dxa"/>
            <w:vAlign w:val="bottom"/>
          </w:tcPr>
          <w:p>
            <w:pPr>
              <w:spacing w:after="0"/>
              <w:rPr>
                <w:sz w:val="15"/>
                <w:szCs w:val="15"/>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7,612</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7"/>
              </w:rPr>
              <w:t>33,943</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33,943</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$49,622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w w:val="97"/>
              </w:rPr>
              <w:t>33,943</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$83,565</w:t>
            </w:r>
          </w:p>
        </w:tc>
      </w:tr>
      <w:tr>
        <w:trPr>
          <w:trHeight w:val="32"/>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jc w:val="both"/>
        <w:ind w:left="1240" w:right="1399"/>
        <w:spacing w:after="0" w:line="278" w:lineRule="auto"/>
        <w:rPr>
          <w:sz w:val="20"/>
          <w:szCs w:val="20"/>
          <w:color w:val="auto"/>
        </w:rPr>
      </w:pPr>
      <w:r>
        <w:rPr>
          <w:rFonts w:ascii="Arial" w:cs="Arial" w:eastAsia="Arial" w:hAnsi="Arial"/>
          <w:sz w:val="14"/>
          <w:szCs w:val="14"/>
          <w:color w:val="auto"/>
        </w:rPr>
        <w:t>There were no transfers between levels during the period ended December 31, 2020 and 2019. The Company uses the services of its investment manager, which uses widely accepted models for assumptions in valuing securities with inputs from major third-party data providers.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2" w:name="page233"/>
    <w:bookmarkEnd w:id="232"/>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302"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87"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1"/>
        </w:trPr>
        <w:tc>
          <w:tcPr>
            <w:tcW w:w="20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420" w:type="dxa"/>
            <w:vAlign w:val="bottom"/>
          </w:tcPr>
          <w:p>
            <w:pPr>
              <w:spacing w:after="0"/>
              <w:rPr>
                <w:sz w:val="15"/>
                <w:szCs w:val="15"/>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40,069</w:t>
            </w:r>
          </w:p>
        </w:tc>
        <w:tc>
          <w:tcPr>
            <w:tcW w:w="620" w:type="dxa"/>
            <w:vAlign w:val="bottom"/>
          </w:tcPr>
          <w:p>
            <w:pPr>
              <w:spacing w:after="0"/>
              <w:rPr>
                <w:sz w:val="15"/>
                <w:szCs w:val="15"/>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r>
      <w:tr>
        <w:trPr>
          <w:trHeight w:val="22"/>
        </w:trPr>
        <w:tc>
          <w:tcPr>
            <w:tcW w:w="2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49,587</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2019:</w:t>
      </w:r>
    </w:p>
    <w:p>
      <w:pPr>
        <w:spacing w:after="0" w:line="100"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7,612</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$ 1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7,612</w:t>
            </w:r>
          </w:p>
        </w:tc>
      </w:tr>
      <w:tr>
        <w:trPr>
          <w:trHeight w:val="181"/>
        </w:trPr>
        <w:tc>
          <w:tcPr>
            <w:tcW w:w="20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420" w:type="dxa"/>
            <w:vAlign w:val="bottom"/>
          </w:tcPr>
          <w:p>
            <w:pPr>
              <w:spacing w:after="0"/>
              <w:rPr>
                <w:sz w:val="15"/>
                <w:szCs w:val="15"/>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33,946</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33,943</w:t>
            </w:r>
          </w:p>
        </w:tc>
      </w:tr>
      <w:tr>
        <w:trPr>
          <w:trHeight w:val="22"/>
        </w:trPr>
        <w:tc>
          <w:tcPr>
            <w:tcW w:w="2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41,558</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$ 4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3"/>
                <w:szCs w:val="13"/>
                <w:b w:val="1"/>
                <w:bCs w:val="1"/>
                <w:color w:val="auto"/>
              </w:rPr>
              <w:t>Successor</w:t>
            </w:r>
          </w:p>
        </w:tc>
        <w:tc>
          <w:tcPr>
            <w:tcW w:w="500" w:type="dxa"/>
            <w:vAlign w:val="bottom"/>
            <w:tcBorders>
              <w:bottom w:val="single" w:sz="8" w:color="auto"/>
            </w:tcBorders>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100" w:type="dxa"/>
            <w:vAlign w:val="bottom"/>
            <w:gridSpan w:val="2"/>
          </w:tcPr>
          <w:p>
            <w:pPr>
              <w:jc w:val="right"/>
              <w:ind w:right="71"/>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1"/>
        </w:trPr>
        <w:tc>
          <w:tcPr>
            <w:tcW w:w="20" w:type="dxa"/>
            <w:vAlign w:val="bottom"/>
          </w:tcPr>
          <w:p>
            <w:pPr>
              <w:spacing w:after="0"/>
              <w:rPr>
                <w:sz w:val="14"/>
                <w:szCs w:val="14"/>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48,542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37,475</w:t>
            </w: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One to five years</w:t>
            </w:r>
          </w:p>
        </w:tc>
        <w:tc>
          <w:tcPr>
            <w:tcW w:w="520" w:type="dxa"/>
            <w:vAlign w:val="bottom"/>
          </w:tcPr>
          <w:p>
            <w:pPr>
              <w:spacing w:after="0"/>
              <w:rPr>
                <w:sz w:val="15"/>
                <w:szCs w:val="15"/>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1,053</w:t>
            </w: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4,080</w:t>
            </w:r>
          </w:p>
        </w:tc>
      </w:tr>
      <w:tr>
        <w:trPr>
          <w:trHeight w:val="22"/>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4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49,595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134"/>
        </w:trPr>
        <w:tc>
          <w:tcPr>
            <w:tcW w:w="10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1"/>
                <w:szCs w:val="11"/>
                <w:color w:val="auto"/>
              </w:rPr>
            </w:pPr>
          </w:p>
        </w:tc>
      </w:tr>
      <w:tr>
        <w:trPr>
          <w:trHeight w:val="178"/>
        </w:trPr>
        <w:tc>
          <w:tcPr>
            <w:tcW w:w="100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0" w:type="dxa"/>
            <w:vAlign w:val="bottom"/>
          </w:tcPr>
          <w:p>
            <w:pPr>
              <w:spacing w:after="0"/>
              <w:rPr>
                <w:sz w:val="14"/>
                <w:szCs w:val="14"/>
                <w:color w:val="auto"/>
              </w:rPr>
            </w:pPr>
          </w:p>
        </w:tc>
      </w:tr>
      <w:tr>
        <w:trPr>
          <w:trHeight w:val="181"/>
        </w:trPr>
        <w:tc>
          <w:tcPr>
            <w:tcW w:w="5440" w:type="dxa"/>
            <w:vAlign w:val="bottom"/>
            <w:gridSpan w:val="2"/>
          </w:tcPr>
          <w:p>
            <w:pPr>
              <w:ind w:left="980"/>
              <w:spacing w:after="0"/>
              <w:rPr>
                <w:sz w:val="20"/>
                <w:szCs w:val="20"/>
                <w:color w:val="auto"/>
              </w:rPr>
            </w:pPr>
            <w:r>
              <w:rPr>
                <w:rFonts w:ascii="Arial" w:cs="Arial" w:eastAsia="Arial" w:hAnsi="Arial"/>
                <w:sz w:val="14"/>
                <w:szCs w:val="14"/>
                <w:color w:val="auto"/>
              </w:rPr>
              <w:t>Software licenses and other</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760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196</w:t>
            </w:r>
          </w:p>
        </w:tc>
        <w:tc>
          <w:tcPr>
            <w:tcW w:w="1000" w:type="dxa"/>
            <w:vAlign w:val="bottom"/>
          </w:tcPr>
          <w:p>
            <w:pPr>
              <w:spacing w:after="0"/>
              <w:rPr>
                <w:sz w:val="15"/>
                <w:szCs w:val="15"/>
                <w:color w:val="auto"/>
              </w:rPr>
            </w:pPr>
          </w:p>
        </w:tc>
      </w:tr>
      <w:tr>
        <w:trPr>
          <w:trHeight w:val="22"/>
        </w:trPr>
        <w:tc>
          <w:tcPr>
            <w:tcW w:w="5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Miscellaneous receivables</w:t>
            </w:r>
          </w:p>
        </w:tc>
        <w:tc>
          <w:tcPr>
            <w:tcW w:w="5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908</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0" w:type="dxa"/>
            <w:vAlign w:val="bottom"/>
          </w:tcPr>
          <w:p>
            <w:pPr>
              <w:spacing w:after="0"/>
              <w:rPr>
                <w:sz w:val="15"/>
                <w:szCs w:val="15"/>
                <w:color w:val="auto"/>
              </w:rPr>
            </w:pPr>
          </w:p>
        </w:tc>
      </w:tr>
      <w:tr>
        <w:trPr>
          <w:trHeight w:val="181"/>
        </w:trPr>
        <w:tc>
          <w:tcPr>
            <w:tcW w:w="5440" w:type="dxa"/>
            <w:vAlign w:val="bottom"/>
            <w:gridSpan w:val="2"/>
          </w:tcPr>
          <w:p>
            <w:pPr>
              <w:ind w:left="980"/>
              <w:spacing w:after="0"/>
              <w:rPr>
                <w:sz w:val="20"/>
                <w:szCs w:val="20"/>
                <w:color w:val="auto"/>
              </w:rPr>
            </w:pPr>
            <w:r>
              <w:rPr>
                <w:rFonts w:ascii="Arial" w:cs="Arial" w:eastAsia="Arial" w:hAnsi="Arial"/>
                <w:sz w:val="14"/>
                <w:szCs w:val="14"/>
                <w:color w:val="auto"/>
              </w:rPr>
              <w:t>Warranties</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5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0" w:type="dxa"/>
            <w:vAlign w:val="bottom"/>
          </w:tcPr>
          <w:p>
            <w:pPr>
              <w:spacing w:after="0"/>
              <w:rPr>
                <w:sz w:val="16"/>
                <w:szCs w:val="16"/>
                <w:color w:val="auto"/>
              </w:rPr>
            </w:pPr>
          </w:p>
        </w:tc>
      </w:tr>
      <w:tr>
        <w:trPr>
          <w:trHeight w:val="168"/>
        </w:trPr>
        <w:tc>
          <w:tcPr>
            <w:tcW w:w="100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 prepaid expenses and other current assets</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2,261</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2,583</w:t>
            </w:r>
          </w:p>
        </w:tc>
        <w:tc>
          <w:tcPr>
            <w:tcW w:w="1000" w:type="dxa"/>
            <w:vAlign w:val="bottom"/>
          </w:tcPr>
          <w:p>
            <w:pPr>
              <w:spacing w:after="0"/>
              <w:rPr>
                <w:sz w:val="14"/>
                <w:szCs w:val="14"/>
                <w:color w:val="auto"/>
              </w:rPr>
            </w:pPr>
          </w:p>
        </w:tc>
      </w:tr>
      <w:tr>
        <w:trPr>
          <w:trHeight w:val="32"/>
        </w:trPr>
        <w:tc>
          <w:tcPr>
            <w:tcW w:w="10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04"/>
        </w:trPr>
        <w:tc>
          <w:tcPr>
            <w:tcW w:w="1000" w:type="dxa"/>
            <w:vAlign w:val="bottom"/>
          </w:tcPr>
          <w:p>
            <w:pPr>
              <w:spacing w:after="0"/>
              <w:rPr>
                <w:sz w:val="24"/>
                <w:szCs w:val="24"/>
                <w:color w:val="auto"/>
              </w:rPr>
            </w:pPr>
          </w:p>
        </w:tc>
        <w:tc>
          <w:tcPr>
            <w:tcW w:w="4440" w:type="dxa"/>
            <w:vAlign w:val="bottom"/>
          </w:tcPr>
          <w:p>
            <w:pPr>
              <w:ind w:left="3080"/>
              <w:spacing w:after="0"/>
              <w:rPr>
                <w:sz w:val="20"/>
                <w:szCs w:val="20"/>
                <w:color w:val="auto"/>
              </w:rPr>
            </w:pPr>
            <w:r>
              <w:rPr>
                <w:rFonts w:ascii="Arial" w:cs="Arial" w:eastAsia="Arial" w:hAnsi="Arial"/>
                <w:sz w:val="14"/>
                <w:szCs w:val="14"/>
                <w:color w:val="auto"/>
              </w:rPr>
              <w:t>F-17</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3" w:name="page234"/>
    <w:bookmarkEnd w:id="233"/>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7—Property and equipment, net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80" w:type="dxa"/>
            <w:vAlign w:val="bottom"/>
            <w:gridSpan w:val="2"/>
          </w:tcPr>
          <w:p>
            <w:pPr>
              <w:jc w:val="right"/>
              <w:ind w:right="70"/>
              <w:spacing w:after="0" w:line="136" w:lineRule="exact"/>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8,941</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40" w:type="dxa"/>
            <w:vAlign w:val="bottom"/>
          </w:tcPr>
          <w:p>
            <w:pPr>
              <w:spacing w:after="0"/>
              <w:rPr>
                <w:sz w:val="14"/>
                <w:szCs w:val="14"/>
                <w:color w:val="auto"/>
              </w:rPr>
            </w:pP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50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1,964</w:t>
            </w: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5"/>
                <w:szCs w:val="15"/>
                <w:color w:val="auto"/>
              </w:rPr>
            </w:pP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5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5,771</w:t>
            </w: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50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214</w:t>
            </w:r>
          </w:p>
        </w:tc>
        <w:tc>
          <w:tcPr>
            <w:tcW w:w="58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5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w:t>
            </w:r>
          </w:p>
        </w:tc>
        <w:tc>
          <w:tcPr>
            <w:tcW w:w="5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w:t>
            </w:r>
          </w:p>
        </w:tc>
        <w:tc>
          <w:tcPr>
            <w:tcW w:w="500" w:type="dxa"/>
            <w:vAlign w:val="bottom"/>
          </w:tcPr>
          <w:p>
            <w:pPr>
              <w:spacing w:after="0"/>
              <w:rPr>
                <w:sz w:val="14"/>
                <w:szCs w:val="14"/>
                <w:color w:val="auto"/>
              </w:rPr>
            </w:pP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16,966</w:t>
            </w: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2,667</w:t>
            </w:r>
          </w:p>
        </w:tc>
        <w:tc>
          <w:tcPr>
            <w:tcW w:w="40" w:type="dxa"/>
            <w:vAlign w:val="bottom"/>
          </w:tcPr>
          <w:p>
            <w:pPr>
              <w:spacing w:after="0"/>
              <w:rPr>
                <w:sz w:val="14"/>
                <w:szCs w:val="14"/>
                <w:color w:val="auto"/>
              </w:rPr>
            </w:pPr>
          </w:p>
        </w:tc>
      </w:tr>
      <w:tr>
        <w:trPr>
          <w:trHeight w:val="22"/>
        </w:trPr>
        <w:tc>
          <w:tcPr>
            <w:tcW w:w="4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5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5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15,385</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2,488</w:t>
            </w:r>
          </w:p>
        </w:tc>
        <w:tc>
          <w:tcPr>
            <w:tcW w:w="40" w:type="dxa"/>
            <w:vAlign w:val="bottom"/>
          </w:tcPr>
          <w:p>
            <w:pPr>
              <w:spacing w:after="0"/>
              <w:rPr>
                <w:sz w:val="14"/>
                <w:szCs w:val="14"/>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06" w:lineRule="exact"/>
        <w:rPr>
          <w:sz w:val="20"/>
          <w:szCs w:val="20"/>
          <w:color w:val="auto"/>
        </w:rPr>
      </w:pPr>
    </w:p>
    <w:p>
      <w:pPr>
        <w:jc w:val="both"/>
        <w:ind w:left="1240" w:right="1359"/>
        <w:spacing w:after="0" w:line="263" w:lineRule="auto"/>
        <w:rPr>
          <w:sz w:val="20"/>
          <w:szCs w:val="20"/>
          <w:color w:val="auto"/>
        </w:rPr>
      </w:pPr>
      <w:r>
        <w:rPr>
          <w:rFonts w:ascii="Arial" w:cs="Arial" w:eastAsia="Arial" w:hAnsi="Arial"/>
          <w:sz w:val="14"/>
          <w:szCs w:val="14"/>
          <w:color w:val="auto"/>
        </w:rPr>
        <w:t>Depreciation expense was $1,402 and $179 for the Successor period ended December 31, 2020 and the Successor period June 21, 2019 through December 31, 2019, respectively. Depreciation expense for the Predecessor period January 1, 2019 through June 20, 2019 was $70.</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58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3,132</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5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524</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1"/>
        </w:trPr>
        <w:tc>
          <w:tcPr>
            <w:tcW w:w="446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58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580" w:type="dxa"/>
            <w:vAlign w:val="bottom"/>
          </w:tcPr>
          <w:p>
            <w:pPr>
              <w:jc w:val="center"/>
              <w:ind w:left="351"/>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4,030</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1,446</w:t>
            </w:r>
          </w:p>
        </w:tc>
      </w:tr>
      <w:tr>
        <w:trPr>
          <w:trHeight w:val="32"/>
        </w:trPr>
        <w:tc>
          <w:tcPr>
            <w:tcW w:w="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9—Long-term debt</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Successor</w:t>
            </w:r>
          </w:p>
        </w:tc>
      </w:tr>
      <w:tr>
        <w:trPr>
          <w:trHeight w:val="171"/>
        </w:trPr>
        <w:tc>
          <w:tcPr>
            <w:tcW w:w="20" w:type="dxa"/>
            <w:vAlign w:val="bottom"/>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4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Principal</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r>
      <w:tr>
        <w:trPr>
          <w:trHeight w:val="181"/>
        </w:trPr>
        <w:tc>
          <w:tcPr>
            <w:tcW w:w="5220" w:type="dxa"/>
            <w:vAlign w:val="bottom"/>
            <w:gridSpan w:val="2"/>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8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5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Long-term debt, net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9,636</w:t>
            </w:r>
          </w:p>
        </w:tc>
        <w:tc>
          <w:tcPr>
            <w:tcW w:w="40" w:type="dxa"/>
            <w:vAlign w:val="bottom"/>
          </w:tcPr>
          <w:p>
            <w:pPr>
              <w:spacing w:after="0"/>
              <w:rPr>
                <w:sz w:val="14"/>
                <w:szCs w:val="14"/>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06"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4" w:name="page235"/>
    <w:bookmarkEnd w:id="234"/>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419"/>
        <w:spacing w:after="0" w:line="290" w:lineRule="auto"/>
        <w:rPr>
          <w:sz w:val="20"/>
          <w:szCs w:val="20"/>
          <w:color w:val="auto"/>
        </w:rPr>
      </w:pPr>
      <w:r>
        <w:rPr>
          <w:rFonts w:ascii="Arial" w:cs="Arial" w:eastAsia="Arial" w:hAnsi="Arial"/>
          <w:sz w:val="14"/>
          <w:szCs w:val="14"/>
          <w:color w:val="auto"/>
        </w:rPr>
        <w:t xml:space="preserve">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December 31, 2020. Amounts borrowed under the Loan Agreement accrue 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December 31, 2020 was 9.55%.</w:t>
      </w:r>
    </w:p>
    <w:p>
      <w:pPr>
        <w:spacing w:after="0" w:line="286" w:lineRule="exact"/>
        <w:rPr>
          <w:sz w:val="20"/>
          <w:szCs w:val="20"/>
          <w:color w:val="auto"/>
        </w:rPr>
      </w:pPr>
    </w:p>
    <w:p>
      <w:pPr>
        <w:ind w:left="1240" w:right="1279"/>
        <w:spacing w:after="0" w:line="291"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96" w:lineRule="exact"/>
        <w:rPr>
          <w:sz w:val="20"/>
          <w:szCs w:val="20"/>
          <w:color w:val="auto"/>
        </w:rPr>
      </w:pPr>
    </w:p>
    <w:p>
      <w:pPr>
        <w:ind w:left="1240" w:right="1559"/>
        <w:spacing w:after="0" w:line="302"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8" w:lineRule="exact"/>
        <w:rPr>
          <w:sz w:val="20"/>
          <w:szCs w:val="20"/>
          <w:color w:val="auto"/>
        </w:rPr>
      </w:pPr>
    </w:p>
    <w:p>
      <w:pPr>
        <w:ind w:left="1240" w:right="1259"/>
        <w:spacing w:after="0" w:line="289" w:lineRule="auto"/>
        <w:rPr>
          <w:sz w:val="20"/>
          <w:szCs w:val="20"/>
          <w:color w:val="auto"/>
        </w:rPr>
      </w:pPr>
      <w:r>
        <w:rPr>
          <w:rFonts w:ascii="Arial" w:cs="Arial" w:eastAsia="Arial" w:hAnsi="Arial"/>
          <w:sz w:val="14"/>
          <w:szCs w:val="14"/>
          <w:color w:val="auto"/>
        </w:rPr>
        <w:t>The Company issued to Hercules warrants to purchase up to an aggregate of 16,112 Units of the Company’s limited liability membership interests, issued in the form of common units. The warrants are exercisable for a period of ten years from the date of the issuance of each warrant at a per-unit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9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Successor</w:t>
            </w:r>
          </w:p>
        </w:tc>
      </w:t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For the Year Ended</w:t>
            </w:r>
          </w:p>
        </w:tc>
      </w:t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$ 289</w:t>
            </w:r>
          </w:p>
        </w:tc>
      </w:tr>
      <w:tr>
        <w:trPr>
          <w:trHeight w:val="187"/>
        </w:trPr>
        <w:tc>
          <w:tcPr>
            <w:tcW w:w="5180" w:type="dxa"/>
            <w:vAlign w:val="bottom"/>
            <w:gridSpan w:val="2"/>
          </w:tcPr>
          <w:p>
            <w:pPr>
              <w:spacing w:after="0"/>
              <w:rPr>
                <w:sz w:val="20"/>
                <w:szCs w:val="20"/>
                <w:color w:val="auto"/>
              </w:rPr>
            </w:pPr>
            <w:r>
              <w:rPr>
                <w:rFonts w:ascii="Arial" w:cs="Arial" w:eastAsia="Arial" w:hAnsi="Arial"/>
                <w:sz w:val="14"/>
                <w:szCs w:val="14"/>
                <w:color w:val="auto"/>
              </w:rPr>
              <w:t>Amortization of debt issuance costs, including end of term fee accretion</w:t>
            </w:r>
          </w:p>
        </w:tc>
        <w:tc>
          <w:tcPr>
            <w:tcW w:w="13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0"/>
        </w:trPr>
        <w:tc>
          <w:tcPr>
            <w:tcW w:w="20" w:type="dxa"/>
            <w:vAlign w:val="bottom"/>
          </w:tcPr>
          <w:p>
            <w:pPr>
              <w:spacing w:after="0"/>
              <w:rPr>
                <w:sz w:val="15"/>
                <w:szCs w:val="15"/>
                <w:color w:val="auto"/>
              </w:rPr>
            </w:pPr>
          </w:p>
        </w:tc>
        <w:tc>
          <w:tcPr>
            <w:tcW w:w="516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$ 381</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28422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284220" cy="6985"/>
                    </a:xfrm>
                    <a:prstGeom prst="rect">
                      <a:avLst/>
                    </a:prstGeom>
                    <a:noFill/>
                  </pic:spPr>
                </pic:pic>
              </a:graphicData>
            </a:graphic>
          </wp:anchor>
        </w:drawing>
      </w:r>
    </w:p>
    <w:p>
      <w:pPr>
        <w:spacing w:after="0" w:line="10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Included in accrued expenses in the accompanying consolidated balance sheet as of</w:t>
      </w:r>
    </w:p>
    <w:p>
      <w:pPr>
        <w:spacing w:after="0" w:line="21" w:lineRule="exact"/>
        <w:rPr>
          <w:sz w:val="20"/>
          <w:szCs w:val="20"/>
          <w:color w:val="auto"/>
        </w:rPr>
      </w:pPr>
    </w:p>
    <w:p>
      <w:pPr>
        <w:jc w:val="both"/>
        <w:ind w:left="1240" w:right="1259"/>
        <w:spacing w:after="0" w:line="263" w:lineRule="auto"/>
        <w:rPr>
          <w:sz w:val="20"/>
          <w:szCs w:val="20"/>
          <w:color w:val="auto"/>
        </w:rPr>
      </w:pPr>
      <w:r>
        <w:rPr>
          <w:rFonts w:ascii="Arial" w:cs="Arial" w:eastAsia="Arial" w:hAnsi="Arial"/>
          <w:sz w:val="14"/>
          <w:szCs w:val="14"/>
          <w:color w:val="auto"/>
        </w:rPr>
        <w:t>December 31, 2020 is $82 of accrued interest. There was no accrued interest as of December 31, 2019.</w:t>
      </w:r>
    </w:p>
    <w:p>
      <w:pPr>
        <w:spacing w:after="0" w:line="295" w:lineRule="exact"/>
        <w:rPr>
          <w:sz w:val="20"/>
          <w:szCs w:val="20"/>
          <w:color w:val="auto"/>
        </w:rPr>
      </w:pPr>
    </w:p>
    <w:p>
      <w:pPr>
        <w:ind w:left="1240" w:right="1419"/>
        <w:spacing w:after="0" w:line="302"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Principal</w:t>
            </w:r>
          </w:p>
        </w:tc>
        <w:tc>
          <w:tcPr>
            <w:tcW w:w="1000" w:type="dxa"/>
            <w:vAlign w:val="bottom"/>
          </w:tcPr>
          <w:p>
            <w:pPr>
              <w:spacing w:after="0"/>
              <w:rPr>
                <w:sz w:val="13"/>
                <w:szCs w:val="13"/>
                <w:color w:val="auto"/>
              </w:rPr>
            </w:pPr>
          </w:p>
        </w:tc>
      </w:tr>
      <w:tr>
        <w:trPr>
          <w:trHeight w:val="177"/>
        </w:trPr>
        <w:tc>
          <w:tcPr>
            <w:tcW w:w="10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w:t>
            </w:r>
          </w:p>
        </w:tc>
        <w:tc>
          <w:tcPr>
            <w:tcW w:w="100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780" w:type="dxa"/>
            <w:vAlign w:val="bottom"/>
            <w:gridSpan w:val="2"/>
            <w:shd w:val="clear" w:color="auto" w:fill="CCEEFF"/>
          </w:tcPr>
          <w:p>
            <w:pPr>
              <w:ind w:left="36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2022</w:t>
            </w: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2024</w:t>
            </w:r>
          </w:p>
        </w:tc>
        <w:tc>
          <w:tcPr>
            <w:tcW w:w="3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c>
          <w:tcPr>
            <w:tcW w:w="1000" w:type="dxa"/>
            <w:vAlign w:val="bottom"/>
          </w:tcPr>
          <w:p>
            <w:pPr>
              <w:spacing w:after="0"/>
              <w:rPr>
                <w:sz w:val="14"/>
                <w:szCs w:val="14"/>
                <w:color w:val="auto"/>
              </w:rPr>
            </w:pPr>
          </w:p>
        </w:tc>
      </w:tr>
      <w:tr>
        <w:trPr>
          <w:trHeight w:val="190"/>
        </w:trPr>
        <w:tc>
          <w:tcPr>
            <w:tcW w:w="1000" w:type="dxa"/>
            <w:vAlign w:val="bottom"/>
          </w:tcPr>
          <w:p>
            <w:pPr>
              <w:spacing w:after="0"/>
              <w:rPr>
                <w:sz w:val="16"/>
                <w:szCs w:val="16"/>
                <w:color w:val="auto"/>
              </w:rPr>
            </w:pPr>
          </w:p>
        </w:tc>
        <w:tc>
          <w:tcPr>
            <w:tcW w:w="224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Total future payments</w:t>
            </w:r>
          </w:p>
        </w:tc>
        <w:tc>
          <w:tcPr>
            <w:tcW w:w="35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0" w:type="dxa"/>
            <w:vAlign w:val="bottom"/>
          </w:tcPr>
          <w:p>
            <w:pPr>
              <w:spacing w:after="0"/>
              <w:rPr>
                <w:sz w:val="16"/>
                <w:szCs w:val="16"/>
                <w:color w:val="auto"/>
              </w:rPr>
            </w:pPr>
          </w:p>
        </w:tc>
      </w:tr>
      <w:tr>
        <w:trPr>
          <w:trHeight w:val="513"/>
        </w:trPr>
        <w:tc>
          <w:tcPr>
            <w:tcW w:w="100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2"/>
          </w:tcPr>
          <w:p>
            <w:pPr>
              <w:ind w:left="840"/>
              <w:spacing w:after="0"/>
              <w:rPr>
                <w:sz w:val="20"/>
                <w:szCs w:val="20"/>
                <w:color w:val="auto"/>
              </w:rPr>
            </w:pPr>
            <w:r>
              <w:rPr>
                <w:rFonts w:ascii="Arial" w:cs="Arial" w:eastAsia="Arial" w:hAnsi="Arial"/>
                <w:sz w:val="14"/>
                <w:szCs w:val="14"/>
                <w:color w:val="auto"/>
              </w:rPr>
              <w:t>F-19</w:t>
            </w:r>
          </w:p>
        </w:tc>
        <w:tc>
          <w:tcPr>
            <w:tcW w:w="4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-679450</wp:posOffset>
            </wp:positionV>
            <wp:extent cx="367220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7220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5" w:name="page236"/>
    <w:bookmarkEnd w:id="235"/>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10—Stockholders’ Deficit</w:t>
      </w:r>
    </w:p>
    <w:p>
      <w:pPr>
        <w:spacing w:after="0" w:line="129" w:lineRule="exact"/>
        <w:rPr>
          <w:sz w:val="20"/>
          <w:szCs w:val="20"/>
          <w:color w:val="auto"/>
        </w:rPr>
      </w:pPr>
    </w:p>
    <w:p>
      <w:pPr>
        <w:ind w:left="1240" w:right="1299"/>
        <w:spacing w:after="0" w:line="277" w:lineRule="auto"/>
        <w:rPr>
          <w:sz w:val="20"/>
          <w:szCs w:val="20"/>
          <w:color w:val="auto"/>
        </w:rPr>
      </w:pPr>
      <w:r>
        <w:rPr>
          <w:rFonts w:ascii="Arial" w:cs="Arial" w:eastAsia="Arial" w:hAnsi="Arial"/>
          <w:sz w:val="14"/>
          <w:szCs w:val="14"/>
          <w:color w:val="auto"/>
        </w:rPr>
        <w:t>The Company’s capital structure was comprised of common limited liability membership interests, issued in the form of common units. The common units can be issued with the authorization of the Company’s Board of Managers, as governed by the Company’s Limited Liability Company Agreement. As of December 31, 2020 and 2019, 93,370,681 common units were issued and outstanding.</w:t>
      </w:r>
    </w:p>
    <w:p>
      <w:pPr>
        <w:spacing w:after="0" w:line="285"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For the Predecessor period January 1, 2019 through June 20, 2019, the Prior Century had 35,000,000 of Series A Preferred Stock and Series A-1 Preferred Stock (“Preferred Stock”), with a par value of $0.0001 per share, issued and outstanding. Prior Century had 5,984,848 shares of common stock with a par value of $0.0001 per share issued and outstanding for the Predecessor period January 1, 2019 through June 20, 2019.</w:t>
      </w:r>
    </w:p>
    <w:p>
      <w:pPr>
        <w:spacing w:after="0" w:line="106" w:lineRule="exact"/>
        <w:rPr>
          <w:sz w:val="20"/>
          <w:szCs w:val="20"/>
          <w:color w:val="auto"/>
        </w:rPr>
      </w:pPr>
    </w:p>
    <w:p>
      <w:pPr>
        <w:ind w:left="1240" w:right="1499"/>
        <w:spacing w:after="0" w:line="277" w:lineRule="auto"/>
        <w:rPr>
          <w:sz w:val="20"/>
          <w:szCs w:val="20"/>
          <w:color w:val="auto"/>
        </w:rPr>
      </w:pPr>
      <w:r>
        <w:rPr>
          <w:rFonts w:ascii="Arial" w:cs="Arial" w:eastAsia="Arial" w:hAnsi="Arial"/>
          <w:sz w:val="14"/>
          <w:szCs w:val="14"/>
          <w:color w:val="auto"/>
        </w:rPr>
        <w:t>On February 25, 2021, pursuant to a Plan of Conversion Agreement, the Company converted from a Delaware limited liability company (Century Therapeutics LLC or “Successor”) to a Delaware corporation. Upon completion of this conversion, Prior Century merged with and into CenturyTx, Inc., with CenturyTx, Inc. as the surviving entity that changed its name to “Century Therapeutics, Inc.”</w:t>
      </w:r>
    </w:p>
    <w:p>
      <w:pPr>
        <w:spacing w:after="0" w:line="274" w:lineRule="exact"/>
        <w:rPr>
          <w:sz w:val="20"/>
          <w:szCs w:val="20"/>
          <w:color w:val="auto"/>
        </w:rPr>
      </w:pPr>
    </w:p>
    <w:p>
      <w:pPr>
        <w:ind w:left="1240" w:right="1319"/>
        <w:spacing w:after="0" w:line="281" w:lineRule="auto"/>
        <w:rPr>
          <w:sz w:val="20"/>
          <w:szCs w:val="20"/>
          <w:color w:val="auto"/>
        </w:rPr>
      </w:pPr>
      <w:r>
        <w:rPr>
          <w:rFonts w:ascii="Arial" w:cs="Arial" w:eastAsia="Arial" w:hAnsi="Arial"/>
          <w:sz w:val="14"/>
          <w:szCs w:val="14"/>
          <w:color w:val="auto"/>
        </w:rPr>
        <w:t>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 See Note 17.</w:t>
      </w:r>
    </w:p>
    <w:p>
      <w:pPr>
        <w:spacing w:after="0" w:line="29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44"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40" w:right="1619"/>
        <w:spacing w:after="0" w:line="278" w:lineRule="auto"/>
        <w:rPr>
          <w:sz w:val="20"/>
          <w:szCs w:val="20"/>
          <w:color w:val="auto"/>
        </w:rPr>
      </w:pPr>
      <w:r>
        <w:rPr>
          <w:rFonts w:ascii="Arial" w:cs="Arial" w:eastAsia="Arial" w:hAnsi="Arial"/>
          <w:sz w:val="14"/>
          <w:szCs w:val="14"/>
          <w:color w:val="auto"/>
        </w:rPr>
        <w:t>The Company had accrued expenses of $244 and $327 within accrued expenses and other liabilities for the period ended December 31, 2020 and 2019, respectively, in its consolidated balance sheets related to the Master Service Agreement.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44"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12—Leases</w:t>
      </w:r>
    </w:p>
    <w:p>
      <w:pPr>
        <w:spacing w:after="0" w:line="140" w:lineRule="exact"/>
        <w:rPr>
          <w:sz w:val="20"/>
          <w:szCs w:val="20"/>
          <w:color w:val="auto"/>
        </w:rPr>
      </w:pPr>
    </w:p>
    <w:p>
      <w:pPr>
        <w:jc w:val="both"/>
        <w:ind w:left="1240" w:right="1359"/>
        <w:spacing w:after="0" w:line="271" w:lineRule="auto"/>
        <w:rPr>
          <w:sz w:val="20"/>
          <w:szCs w:val="20"/>
          <w:color w:val="auto"/>
        </w:rPr>
      </w:pPr>
      <w:r>
        <w:rPr>
          <w:rFonts w:ascii="Arial" w:cs="Arial" w:eastAsia="Arial" w:hAnsi="Arial"/>
          <w:sz w:val="14"/>
          <w:szCs w:val="14"/>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w:t>
      </w:r>
    </w:p>
    <w:p>
      <w:pPr>
        <w:spacing w:after="0" w:line="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Control of an underlying asset is conveyed to the Company if the Company obtains the rights to direct the use of and to obtain substantially all of the economic benefits from using the underlying asset. The Company has lease agreements which include lease and non-lease</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6" w:name="page237"/>
    <w:bookmarkEnd w:id="236"/>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99"/>
        <w:spacing w:after="0" w:line="278" w:lineRule="auto"/>
        <w:rPr>
          <w:sz w:val="20"/>
          <w:szCs w:val="20"/>
          <w:color w:val="auto"/>
        </w:rPr>
      </w:pPr>
      <w:r>
        <w:rPr>
          <w:rFonts w:ascii="Arial" w:cs="Arial" w:eastAsia="Arial" w:hAnsi="Arial"/>
          <w:sz w:val="14"/>
          <w:szCs w:val="14"/>
          <w:color w:val="auto"/>
        </w:rPr>
        <w:t>components, which the Company has elected to account for as a single lease component for all classes of underlying assets. Lease expense for variable lease components are recognized when the obligation is probable.</w:t>
      </w:r>
    </w:p>
    <w:p>
      <w:pPr>
        <w:spacing w:after="0" w:line="94" w:lineRule="exact"/>
        <w:rPr>
          <w:sz w:val="20"/>
          <w:szCs w:val="20"/>
          <w:color w:val="auto"/>
        </w:rPr>
      </w:pPr>
    </w:p>
    <w:p>
      <w:pPr>
        <w:ind w:left="1240" w:right="1359"/>
        <w:spacing w:after="0" w:line="273" w:lineRule="auto"/>
        <w:rPr>
          <w:sz w:val="20"/>
          <w:szCs w:val="20"/>
          <w:color w:val="auto"/>
        </w:rPr>
      </w:pPr>
      <w:r>
        <w:rPr>
          <w:rFonts w:ascii="Arial" w:cs="Arial" w:eastAsia="Arial" w:hAnsi="Arial"/>
          <w:sz w:val="14"/>
          <w:szCs w:val="14"/>
          <w:color w:val="auto"/>
        </w:rPr>
        <w:t>Operating lease ROU assets and liabilities are recognized at commencement date based on the present value of lease payments over the lease term. Operating lease payments are recognized as lease expense on a straight-line basis over the lease term. The Company has no finance leases. The Company primarily leases buildings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Company uses its incremental borrowing rate based on the information available at commencement date in determining the present value of lease payments.</w:t>
      </w:r>
    </w:p>
    <w:p>
      <w:pPr>
        <w:spacing w:after="0" w:line="291"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lease term for all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For certain leases, the options for renewals have been included in the lease term as the reasonably certain threshold is met due to the Company having significant economic incentive for extending the lease.</w:t>
      </w:r>
    </w:p>
    <w:p>
      <w:pPr>
        <w:spacing w:after="0" w:line="288" w:lineRule="exact"/>
        <w:rPr>
          <w:sz w:val="20"/>
          <w:szCs w:val="20"/>
          <w:color w:val="auto"/>
        </w:rPr>
      </w:pPr>
    </w:p>
    <w:p>
      <w:pPr>
        <w:ind w:left="1240" w:right="1779"/>
        <w:spacing w:after="0" w:line="276" w:lineRule="auto"/>
        <w:rPr>
          <w:sz w:val="20"/>
          <w:szCs w:val="20"/>
          <w:color w:val="auto"/>
        </w:rPr>
      </w:pPr>
      <w:r>
        <w:rPr>
          <w:rFonts w:ascii="Arial" w:cs="Arial" w:eastAsia="Arial" w:hAnsi="Arial"/>
          <w:sz w:val="14"/>
          <w:szCs w:val="14"/>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9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consolidated statements of operations and comprehensive loss in the same line item as expense arising from fixed lease payments.</w:t>
      </w:r>
    </w:p>
    <w:p>
      <w:pPr>
        <w:spacing w:after="0" w:line="106" w:lineRule="exact"/>
        <w:rPr>
          <w:sz w:val="20"/>
          <w:szCs w:val="20"/>
          <w:color w:val="auto"/>
        </w:rPr>
      </w:pPr>
    </w:p>
    <w:p>
      <w:pPr>
        <w:ind w:left="1240" w:right="1439"/>
        <w:spacing w:after="0" w:line="275"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$909 and $206 within security deposits in its consolidated balance sheets at December 31, 2020 and 2019,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41"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2"/>
          </w:tcPr>
          <w:p>
            <w:pPr>
              <w:jc w:val="right"/>
              <w:ind w:right="733"/>
              <w:spacing w:after="0"/>
              <w:rPr>
                <w:sz w:val="20"/>
                <w:szCs w:val="20"/>
                <w:color w:val="auto"/>
              </w:rPr>
            </w:pPr>
            <w:r>
              <w:rPr>
                <w:rFonts w:ascii="Arial" w:cs="Arial" w:eastAsia="Arial" w:hAnsi="Arial"/>
                <w:sz w:val="13"/>
                <w:szCs w:val="13"/>
                <w:b w:val="1"/>
                <w:bCs w:val="1"/>
                <w:color w:val="auto"/>
              </w:rPr>
              <w:t>Successor</w:t>
            </w:r>
          </w:p>
        </w:tc>
        <w:tc>
          <w:tcPr>
            <w:tcW w:w="320" w:type="dxa"/>
            <w:vAlign w:val="bottom"/>
            <w:tcBorders>
              <w:top w:val="single" w:sz="8" w:color="auto"/>
              <w:bottom w:val="single" w:sz="8" w:color="auto"/>
              <w:right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Borders>
              <w:top w:val="single" w:sz="8" w:color="auto"/>
              <w:bottom w:val="single" w:sz="8" w:color="auto"/>
            </w:tcBorders>
          </w:tcPr>
          <w:p>
            <w:pPr>
              <w:spacing w:after="0"/>
              <w:rPr>
                <w:sz w:val="17"/>
                <w:szCs w:val="17"/>
                <w:color w:val="auto"/>
              </w:rPr>
            </w:pPr>
          </w:p>
        </w:tc>
      </w:tr>
      <w:tr>
        <w:trPr>
          <w:trHeight w:val="134"/>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tcBorders>
              <w:right w:val="single" w:sz="8" w:color="auto"/>
            </w:tcBorders>
            <w:gridSpan w:val="2"/>
          </w:tcPr>
          <w:p>
            <w:pPr>
              <w:jc w:val="right"/>
              <w:ind w:right="29"/>
              <w:spacing w:after="0" w:line="134" w:lineRule="exact"/>
              <w:rPr>
                <w:sz w:val="20"/>
                <w:szCs w:val="20"/>
                <w:color w:val="auto"/>
              </w:rPr>
            </w:pPr>
            <w:r>
              <w:rPr>
                <w:rFonts w:ascii="Arial" w:cs="Arial" w:eastAsia="Arial" w:hAnsi="Arial"/>
                <w:sz w:val="13"/>
                <w:szCs w:val="13"/>
                <w:b w:val="1"/>
                <w:bCs w:val="1"/>
                <w:color w:val="auto"/>
              </w:rPr>
              <w:t>Period from</w:t>
            </w:r>
          </w:p>
        </w:tc>
        <w:tc>
          <w:tcPr>
            <w:tcW w:w="146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Period from</w:t>
            </w:r>
          </w:p>
        </w:tc>
      </w:tr>
      <w:tr>
        <w:trPr>
          <w:trHeight w:val="150"/>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For the Year Ended</w:t>
            </w:r>
          </w:p>
        </w:tc>
        <w:tc>
          <w:tcPr>
            <w:tcW w:w="156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June 21, 2019 through</w:t>
            </w: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January 1, 2019</w:t>
            </w:r>
          </w:p>
        </w:tc>
      </w:tr>
      <w:tr>
        <w:trPr>
          <w:trHeight w:val="178"/>
        </w:trPr>
        <w:tc>
          <w:tcPr>
            <w:tcW w:w="2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15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through June 20, 2019</w:t>
            </w:r>
          </w:p>
        </w:tc>
      </w:tr>
      <w:tr>
        <w:trPr>
          <w:trHeight w:val="171"/>
        </w:trPr>
        <w:tc>
          <w:tcPr>
            <w:tcW w:w="20" w:type="dxa"/>
            <w:vAlign w:val="bottom"/>
          </w:tcPr>
          <w:p>
            <w:pPr>
              <w:spacing w:after="0"/>
              <w:rPr>
                <w:sz w:val="14"/>
                <w:szCs w:val="14"/>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9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right w:val="single" w:sz="8" w:color="auto"/>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935</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2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r>
      <w:tr>
        <w:trPr>
          <w:trHeight w:val="180"/>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1"/>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-12700</wp:posOffset>
            </wp:positionV>
            <wp:extent cx="2032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-149225</wp:posOffset>
            </wp:positionV>
            <wp:extent cx="136715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671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7" w:name="page238"/>
    <w:bookmarkEnd w:id="237"/>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36"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rPr>
              <w:t>Successor</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Location in Balance Sheet</w:t>
            </w: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As of December 31, 2020</w:t>
            </w:r>
          </w:p>
        </w:tc>
      </w:tr>
      <w:tr>
        <w:trPr>
          <w:trHeight w:val="201"/>
        </w:trPr>
        <w:tc>
          <w:tcPr>
            <w:tcW w:w="6740" w:type="dxa"/>
            <w:vAlign w:val="bottom"/>
            <w:gridSpan w:val="7"/>
          </w:tcPr>
          <w:p>
            <w:pPr>
              <w:spacing w:after="0"/>
              <w:rPr>
                <w:sz w:val="20"/>
                <w:szCs w:val="20"/>
                <w:color w:val="auto"/>
              </w:rPr>
            </w:pPr>
            <w:r>
              <w:rPr>
                <w:rFonts w:ascii="Arial" w:cs="Arial" w:eastAsia="Arial" w:hAnsi="Arial"/>
                <w:sz w:val="14"/>
                <w:szCs w:val="14"/>
                <w:color w:val="auto"/>
              </w:rPr>
              <w:t>Operating lease right-of-use asset, netOperating lease right-of-use asset, net$9,392</w:t>
            </w:r>
          </w:p>
        </w:tc>
      </w:tr>
      <w:tr>
        <w:trPr>
          <w:trHeight w:val="203"/>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4320" w:type="dxa"/>
            <w:vAlign w:val="bottom"/>
            <w:gridSpan w:val="5"/>
          </w:tcPr>
          <w:p>
            <w:pPr>
              <w:ind w:left="160"/>
              <w:spacing w:after="0"/>
              <w:rPr>
                <w:sz w:val="20"/>
                <w:szCs w:val="20"/>
                <w:color w:val="auto"/>
              </w:rPr>
            </w:pPr>
            <w:r>
              <w:rPr>
                <w:rFonts w:ascii="Arial" w:cs="Arial" w:eastAsia="Arial" w:hAnsi="Arial"/>
                <w:sz w:val="14"/>
                <w:szCs w:val="14"/>
                <w:color w:val="auto"/>
              </w:rPr>
              <w:t>Accrued expenses and other liabilities $240</w:t>
            </w:r>
          </w:p>
        </w:tc>
      </w:tr>
      <w:tr>
        <w:trPr>
          <w:trHeight w:val="194"/>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long-term</w:t>
            </w:r>
          </w:p>
        </w:tc>
        <w:tc>
          <w:tcPr>
            <w:tcW w:w="2720" w:type="dxa"/>
            <w:vAlign w:val="bottom"/>
          </w:tcPr>
          <w:p>
            <w:pPr>
              <w:ind w:left="160"/>
              <w:spacing w:after="0"/>
              <w:rPr>
                <w:sz w:val="20"/>
                <w:szCs w:val="20"/>
                <w:color w:val="auto"/>
              </w:rPr>
            </w:pPr>
            <w:r>
              <w:rPr>
                <w:rFonts w:ascii="Arial" w:cs="Arial" w:eastAsia="Arial" w:hAnsi="Arial"/>
                <w:sz w:val="14"/>
                <w:szCs w:val="14"/>
                <w:color w:val="auto"/>
              </w:rPr>
              <w:t>Operating lease liability, long-term</w:t>
            </w: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11,679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2420" w:type="dxa"/>
            <w:vAlign w:val="bottom"/>
            <w:gridSpan w:val="2"/>
          </w:tcPr>
          <w:p>
            <w:pPr>
              <w:spacing w:after="0"/>
              <w:rPr>
                <w:sz w:val="20"/>
                <w:szCs w:val="20"/>
                <w:color w:val="auto"/>
              </w:rPr>
            </w:pPr>
            <w:r>
              <w:rPr>
                <w:rFonts w:ascii="Arial" w:cs="Arial" w:eastAsia="Arial" w:hAnsi="Arial"/>
                <w:sz w:val="14"/>
                <w:szCs w:val="14"/>
                <w:color w:val="auto"/>
              </w:rPr>
              <w:t>Total operating lease liability</w:t>
            </w:r>
          </w:p>
        </w:tc>
        <w:tc>
          <w:tcPr>
            <w:tcW w:w="2720" w:type="dxa"/>
            <w:vAlign w:val="bottom"/>
          </w:tcPr>
          <w:p>
            <w:pPr>
              <w:spacing w:after="0"/>
              <w:rPr>
                <w:sz w:val="16"/>
                <w:szCs w:val="16"/>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11,919</w:t>
            </w:r>
          </w:p>
        </w:tc>
        <w:tc>
          <w:tcPr>
            <w:tcW w:w="1060" w:type="dxa"/>
            <w:vAlign w:val="bottom"/>
          </w:tcPr>
          <w:p>
            <w:pPr>
              <w:spacing w:after="0"/>
              <w:rPr>
                <w:sz w:val="16"/>
                <w:szCs w:val="16"/>
                <w:color w:val="auto"/>
              </w:rPr>
            </w:pPr>
          </w:p>
        </w:tc>
      </w:tr>
    </w:tbl>
    <w:p>
      <w:pPr>
        <w:spacing w:after="0" w:line="181" w:lineRule="exact"/>
        <w:rPr>
          <w:sz w:val="20"/>
          <w:szCs w:val="20"/>
          <w:color w:val="auto"/>
        </w:rPr>
      </w:pPr>
    </w:p>
    <w:p>
      <w:pPr>
        <w:ind w:left="1240" w:right="1279"/>
        <w:spacing w:after="0" w:line="270" w:lineRule="auto"/>
        <w:rPr>
          <w:sz w:val="20"/>
          <w:szCs w:val="20"/>
          <w:color w:val="auto"/>
        </w:rPr>
      </w:pPr>
      <w:r>
        <w:rPr>
          <w:rFonts w:ascii="Arial" w:cs="Arial" w:eastAsia="Arial" w:hAnsi="Arial"/>
          <w:sz w:val="14"/>
          <w:szCs w:val="14"/>
          <w:color w:val="auto"/>
        </w:rPr>
        <w:t>The following table reflects supplement lease term and discount rate information related to leases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90170</wp:posOffset>
            </wp:positionV>
            <wp:extent cx="4134485" cy="133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0" w:lineRule="exact"/>
        <w:rPr>
          <w:sz w:val="20"/>
          <w:szCs w:val="20"/>
          <w:color w:val="auto"/>
        </w:rPr>
      </w:pPr>
    </w:p>
    <w:tbl>
      <w:tblPr>
        <w:tblLayout w:type="fixed"/>
        <w:tblInd w:w="12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Successor</w:t>
            </w:r>
          </w:p>
        </w:tc>
      </w:tr>
      <w:tr>
        <w:trPr>
          <w:trHeight w:val="171"/>
        </w:trPr>
        <w:tc>
          <w:tcPr>
            <w:tcW w:w="20" w:type="dxa"/>
            <w:vAlign w:val="bottom"/>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of December 31, 2020</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 years</w:t>
            </w:r>
          </w:p>
        </w:tc>
        <w:tc>
          <w:tcPr>
            <w:tcW w:w="120" w:type="dxa"/>
            <w:vAlign w:val="bottom"/>
          </w:tcPr>
          <w:p>
            <w:pPr>
              <w:spacing w:after="0"/>
              <w:rPr>
                <w:sz w:val="14"/>
                <w:szCs w:val="14"/>
                <w:color w:val="auto"/>
              </w:rPr>
            </w:pPr>
          </w:p>
        </w:tc>
      </w:tr>
      <w:tr>
        <w:trPr>
          <w:trHeight w:val="181"/>
        </w:trPr>
        <w:tc>
          <w:tcPr>
            <w:tcW w:w="4860" w:type="dxa"/>
            <w:vAlign w:val="bottom"/>
            <w:gridSpan w:val="2"/>
          </w:tcPr>
          <w:p>
            <w:pPr>
              <w:spacing w:after="0"/>
              <w:rPr>
                <w:sz w:val="20"/>
                <w:szCs w:val="20"/>
                <w:color w:val="auto"/>
              </w:rPr>
            </w:pPr>
            <w:r>
              <w:rPr>
                <w:rFonts w:ascii="Arial" w:cs="Arial" w:eastAsia="Arial" w:hAnsi="Arial"/>
                <w:sz w:val="14"/>
                <w:szCs w:val="14"/>
                <w:color w:val="auto"/>
              </w:rPr>
              <w:t>Weighted-average discount rate—operating leases</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9.0%</w:t>
            </w:r>
          </w:p>
        </w:tc>
      </w:tr>
      <w:tr>
        <w:trPr>
          <w:trHeight w:val="34"/>
        </w:trPr>
        <w:tc>
          <w:tcPr>
            <w:tcW w:w="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106"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134485" cy="13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3"/>
                <w:szCs w:val="13"/>
                <w:b w:val="1"/>
                <w:bCs w:val="1"/>
                <w:color w:val="auto"/>
              </w:rPr>
              <w:t>Successor</w:t>
            </w:r>
          </w:p>
        </w:tc>
      </w:tr>
      <w:tr>
        <w:trPr>
          <w:trHeight w:val="134"/>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For the Year Ended</w:t>
            </w:r>
          </w:p>
        </w:tc>
      </w:t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Operating cash flows from operating leases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2,175</w:t>
            </w:r>
          </w:p>
        </w:tc>
      </w:tr>
      <w:tr>
        <w:trPr>
          <w:trHeight w:val="22"/>
        </w:trPr>
        <w:tc>
          <w:tcPr>
            <w:tcW w:w="51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9,735</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1"/>
        </w:trPr>
        <w:tc>
          <w:tcPr>
            <w:tcW w:w="20" w:type="dxa"/>
            <w:vAlign w:val="bottom"/>
          </w:tcPr>
          <w:p>
            <w:pPr>
              <w:spacing w:after="0"/>
              <w:rPr>
                <w:sz w:val="14"/>
                <w:szCs w:val="14"/>
                <w:color w:val="auto"/>
              </w:rPr>
            </w:pPr>
          </w:p>
        </w:tc>
        <w:tc>
          <w:tcPr>
            <w:tcW w:w="5280" w:type="dxa"/>
            <w:vAlign w:val="bottom"/>
            <w:tcBorders>
              <w:top w:val="single" w:sz="8" w:color="auto"/>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2021</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40" w:type="dxa"/>
            <w:vAlign w:val="bottom"/>
          </w:tcPr>
          <w:p>
            <w:pPr>
              <w:spacing w:after="0"/>
              <w:rPr>
                <w:sz w:val="14"/>
                <w:szCs w:val="14"/>
                <w:color w:val="auto"/>
              </w:rPr>
            </w:pPr>
          </w:p>
        </w:tc>
      </w:tr>
      <w:tr>
        <w:trPr>
          <w:trHeight w:val="181"/>
        </w:trPr>
        <w:tc>
          <w:tcPr>
            <w:tcW w:w="5300" w:type="dxa"/>
            <w:vAlign w:val="bottom"/>
            <w:gridSpan w:val="2"/>
          </w:tcPr>
          <w:p>
            <w:pPr>
              <w:jc w:val="right"/>
              <w:ind w:right="4889"/>
              <w:spacing w:after="0"/>
              <w:rPr>
                <w:sz w:val="20"/>
                <w:szCs w:val="20"/>
                <w:color w:val="auto"/>
              </w:rPr>
            </w:pPr>
            <w:r>
              <w:rPr>
                <w:rFonts w:ascii="Arial" w:cs="Arial" w:eastAsia="Arial" w:hAnsi="Arial"/>
                <w:sz w:val="14"/>
                <w:szCs w:val="14"/>
                <w:color w:val="auto"/>
              </w:rPr>
              <w:t>2022</w:t>
            </w:r>
          </w:p>
        </w:tc>
        <w:tc>
          <w:tcPr>
            <w:tcW w:w="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1,594</w:t>
            </w:r>
          </w:p>
        </w:tc>
        <w:tc>
          <w:tcPr>
            <w:tcW w:w="40" w:type="dxa"/>
            <w:vAlign w:val="bottom"/>
          </w:tcPr>
          <w:p>
            <w:pPr>
              <w:spacing w:after="0"/>
              <w:rPr>
                <w:sz w:val="15"/>
                <w:szCs w:val="15"/>
                <w:color w:val="auto"/>
              </w:rPr>
            </w:pPr>
          </w:p>
        </w:tc>
      </w:tr>
      <w:tr>
        <w:trPr>
          <w:trHeight w:val="22"/>
        </w:trPr>
        <w:tc>
          <w:tcPr>
            <w:tcW w:w="5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2023</w:t>
            </w:r>
          </w:p>
        </w:tc>
        <w:tc>
          <w:tcPr>
            <w:tcW w:w="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40" w:type="dxa"/>
            <w:vAlign w:val="bottom"/>
          </w:tcPr>
          <w:p>
            <w:pPr>
              <w:spacing w:after="0"/>
              <w:rPr>
                <w:sz w:val="15"/>
                <w:szCs w:val="15"/>
                <w:color w:val="auto"/>
              </w:rPr>
            </w:pPr>
          </w:p>
        </w:tc>
      </w:tr>
      <w:tr>
        <w:trPr>
          <w:trHeight w:val="181"/>
        </w:trPr>
        <w:tc>
          <w:tcPr>
            <w:tcW w:w="5300" w:type="dxa"/>
            <w:vAlign w:val="bottom"/>
            <w:gridSpan w:val="2"/>
          </w:tcPr>
          <w:p>
            <w:pPr>
              <w:jc w:val="right"/>
              <w:ind w:right="4889"/>
              <w:spacing w:after="0"/>
              <w:rPr>
                <w:sz w:val="20"/>
                <w:szCs w:val="20"/>
                <w:color w:val="auto"/>
              </w:rPr>
            </w:pPr>
            <w:r>
              <w:rPr>
                <w:rFonts w:ascii="Arial" w:cs="Arial" w:eastAsia="Arial" w:hAnsi="Arial"/>
                <w:sz w:val="14"/>
                <w:szCs w:val="14"/>
                <w:color w:val="auto"/>
              </w:rPr>
              <w:t>2024</w:t>
            </w:r>
          </w:p>
        </w:tc>
        <w:tc>
          <w:tcPr>
            <w:tcW w:w="7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1,801</w:t>
            </w:r>
          </w:p>
        </w:tc>
        <w:tc>
          <w:tcPr>
            <w:tcW w:w="40" w:type="dxa"/>
            <w:vAlign w:val="bottom"/>
          </w:tcPr>
          <w:p>
            <w:pPr>
              <w:spacing w:after="0"/>
              <w:rPr>
                <w:sz w:val="15"/>
                <w:szCs w:val="15"/>
                <w:color w:val="auto"/>
              </w:rPr>
            </w:pPr>
          </w:p>
        </w:tc>
      </w:tr>
      <w:tr>
        <w:trPr>
          <w:trHeight w:val="22"/>
        </w:trPr>
        <w:tc>
          <w:tcPr>
            <w:tcW w:w="5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bottom w:val="single" w:sz="8" w:color="CCEEFF"/>
            </w:tcBorders>
            <w:shd w:val="clear" w:color="auto" w:fill="CCEEFF"/>
          </w:tcPr>
          <w:p>
            <w:pPr>
              <w:jc w:val="right"/>
              <w:ind w:right="4889"/>
              <w:spacing w:after="0"/>
              <w:rPr>
                <w:sz w:val="20"/>
                <w:szCs w:val="20"/>
                <w:color w:val="auto"/>
              </w:rPr>
            </w:pPr>
            <w:r>
              <w:rPr>
                <w:rFonts w:ascii="Arial" w:cs="Arial" w:eastAsia="Arial" w:hAnsi="Arial"/>
                <w:sz w:val="14"/>
                <w:szCs w:val="14"/>
                <w:color w:val="auto"/>
                <w:w w:val="96"/>
              </w:rPr>
              <w:t>2025</w:t>
            </w:r>
          </w:p>
        </w:tc>
        <w:tc>
          <w:tcPr>
            <w:tcW w:w="7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40" w:type="dxa"/>
            <w:vAlign w:val="bottom"/>
          </w:tcPr>
          <w:p>
            <w:pPr>
              <w:spacing w:after="0"/>
              <w:rPr>
                <w:sz w:val="15"/>
                <w:szCs w:val="15"/>
                <w:color w:val="auto"/>
              </w:rPr>
            </w:pPr>
          </w:p>
        </w:tc>
      </w:tr>
      <w:tr>
        <w:trPr>
          <w:trHeight w:val="187"/>
        </w:trPr>
        <w:tc>
          <w:tcPr>
            <w:tcW w:w="530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7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13,207</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40" w:type="dxa"/>
            <w:vAlign w:val="bottom"/>
          </w:tcPr>
          <w:p>
            <w:pPr>
              <w:spacing w:after="0"/>
              <w:rPr>
                <w:sz w:val="14"/>
                <w:szCs w:val="14"/>
                <w:color w:val="auto"/>
              </w:rPr>
            </w:pPr>
          </w:p>
        </w:tc>
      </w:tr>
      <w:tr>
        <w:trPr>
          <w:trHeight w:val="187"/>
        </w:trPr>
        <w:tc>
          <w:tcPr>
            <w:tcW w:w="5300" w:type="dxa"/>
            <w:vAlign w:val="bottom"/>
            <w:gridSpan w:val="2"/>
          </w:tcPr>
          <w:p>
            <w:pPr>
              <w:spacing w:after="0"/>
              <w:rPr>
                <w:sz w:val="20"/>
                <w:szCs w:val="20"/>
                <w:color w:val="auto"/>
              </w:rPr>
            </w:pPr>
            <w:r>
              <w:rPr>
                <w:rFonts w:ascii="Arial" w:cs="Arial" w:eastAsia="Arial" w:hAnsi="Arial"/>
                <w:sz w:val="14"/>
                <w:szCs w:val="14"/>
                <w:color w:val="auto"/>
              </w:rPr>
              <w:t>Less: Imputed Interest</w:t>
            </w:r>
          </w:p>
        </w:tc>
        <w:tc>
          <w:tcPr>
            <w:tcW w:w="7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(9,484)</w:t>
            </w:r>
          </w:p>
        </w:tc>
      </w:tr>
      <w:tr>
        <w:trPr>
          <w:trHeight w:val="180"/>
        </w:trPr>
        <w:tc>
          <w:tcPr>
            <w:tcW w:w="20" w:type="dxa"/>
            <w:vAlign w:val="bottom"/>
          </w:tcPr>
          <w:p>
            <w:pPr>
              <w:spacing w:after="0"/>
              <w:rPr>
                <w:sz w:val="15"/>
                <w:szCs w:val="15"/>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11,919</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335280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5280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335280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52800" cy="6985"/>
                    </a:xfrm>
                    <a:prstGeom prst="rect">
                      <a:avLst/>
                    </a:prstGeom>
                    <a:noFill/>
                  </pic:spPr>
                </pic:pic>
              </a:graphicData>
            </a:graphic>
          </wp:anchor>
        </w:drawing>
      </w:r>
    </w:p>
    <w:p>
      <w:pPr>
        <w:spacing w:after="0" w:line="86" w:lineRule="exact"/>
        <w:rPr>
          <w:sz w:val="20"/>
          <w:szCs w:val="20"/>
          <w:color w:val="auto"/>
        </w:rPr>
      </w:pPr>
    </w:p>
    <w:p>
      <w:pPr>
        <w:ind w:left="1240" w:right="1399"/>
        <w:spacing w:after="0" w:line="260" w:lineRule="auto"/>
        <w:rPr>
          <w:sz w:val="20"/>
          <w:szCs w:val="20"/>
          <w:color w:val="auto"/>
        </w:rPr>
      </w:pPr>
      <w:r>
        <w:rPr>
          <w:rFonts w:ascii="Arial" w:cs="Arial" w:eastAsia="Arial" w:hAnsi="Arial"/>
          <w:sz w:val="14"/>
          <w:szCs w:val="14"/>
          <w:color w:val="auto"/>
        </w:rPr>
        <w:t>The Company entered into three leases that had not commenced at December 31, 2020. As a result, future lease payments of approximately $26.6 million are not recorded on the Company’s consolidated balance sheets. These leases commence during January 2021 and April 2022 with non-cancelable terms ranging from 29 months to 10 years.</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13—Defined contribution plan</w:t>
      </w:r>
    </w:p>
    <w:p>
      <w:pPr>
        <w:spacing w:after="0" w:line="129" w:lineRule="exact"/>
        <w:rPr>
          <w:sz w:val="20"/>
          <w:szCs w:val="20"/>
          <w:color w:val="auto"/>
        </w:rPr>
      </w:pPr>
    </w:p>
    <w:p>
      <w:pPr>
        <w:ind w:left="1240" w:right="1399"/>
        <w:spacing w:after="0" w:line="259"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8" w:name="page239"/>
    <w:bookmarkEnd w:id="238"/>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made in cash. Contributions were approximately $301, $89 and $33 for the Successor period ended December 31, 2020, the Successor period June 21, 2019 through December 31, 2019, and the Predecessor period January 1, 2019 through June 20, 2019, respectively. Such contribution expense has been recognized in the consolidated statement of operations for each period.</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14—Stock-based compensation</w:t>
      </w:r>
    </w:p>
    <w:p>
      <w:pPr>
        <w:spacing w:after="0" w:line="129"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June 2018, Prior Century, adopted the 2018 Stock Option and Grant Plan (the “Plan”). The Plan provides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 Under the terms of the Plan, options may be granted at an exercise price not less than fair market value. Prior Century generally grants stock based awards with service conditions only. Stock awards granted typically vest over a four-year period but may be granted with different vesting terms. As of December 31, 2020 and 2019, Prior Century had shares authorized for issuance under the Plan of 7,749,605 and 6,064,957, respectively.</w:t>
      </w:r>
    </w:p>
    <w:p>
      <w:pPr>
        <w:spacing w:after="0" w:line="290" w:lineRule="exact"/>
        <w:rPr>
          <w:sz w:val="20"/>
          <w:szCs w:val="20"/>
          <w:color w:val="auto"/>
        </w:rPr>
      </w:pPr>
    </w:p>
    <w:p>
      <w:pPr>
        <w:ind w:left="1240" w:right="1359"/>
        <w:spacing w:after="0" w:line="274" w:lineRule="auto"/>
        <w:rPr>
          <w:sz w:val="20"/>
          <w:szCs w:val="20"/>
          <w:color w:val="auto"/>
        </w:rPr>
      </w:pPr>
      <w:r>
        <w:rPr>
          <w:rFonts w:ascii="Arial" w:cs="Arial" w:eastAsia="Arial" w:hAnsi="Arial"/>
          <w:sz w:val="14"/>
          <w:szCs w:val="14"/>
          <w:color w:val="auto"/>
        </w:rPr>
        <w:t>During the Successor period June 21, 2019 through December 31, 2019 and the year ended December 31, 2020, equity awards were granted from Prior Century to employees of the Company. The Company recognizes the costs of the stock based payments incurred by Prior Century on its behalf as the employees vest in the awards (i.e., the Company recognizes expense measured on the same basis as its investor, Prior Century). The Company also records a corresponding capital contribution from Prior Century.</w:t>
      </w:r>
    </w:p>
    <w:p>
      <w:pPr>
        <w:spacing w:after="0" w:line="107" w:lineRule="exact"/>
        <w:rPr>
          <w:sz w:val="20"/>
          <w:szCs w:val="20"/>
          <w:color w:val="auto"/>
        </w:rPr>
      </w:pPr>
    </w:p>
    <w:p>
      <w:pPr>
        <w:ind w:left="1240" w:right="1259"/>
        <w:spacing w:after="0" w:line="271" w:lineRule="auto"/>
        <w:rPr>
          <w:sz w:val="20"/>
          <w:szCs w:val="20"/>
          <w:color w:val="auto"/>
        </w:rPr>
      </w:pPr>
      <w:r>
        <w:rPr>
          <w:rFonts w:ascii="Arial" w:cs="Arial" w:eastAsia="Arial" w:hAnsi="Arial"/>
          <w:sz w:val="14"/>
          <w:szCs w:val="14"/>
          <w:color w:val="auto"/>
        </w:rPr>
        <w:t>For the Successor year ended December 31, 2020, the Company recognized $876 of stock based compensation expense of which $675 was recorded within research and development expenses and $201 was recorded within general and administrative expense within the consolidated statement of operations. For the Successor period June 21, 2019 through December 31, 2019, the Company recognized $133 of stock based compensation expense within general and administrative expense of the consolidated statement of operations. A corresponding capital contribution from Prior Century was recorded within the Company’s consolidated balance sheets as of December 31, 2020 and 2019. For the Predecessor period January 1, 2019 through</w:t>
      </w:r>
    </w:p>
    <w:p>
      <w:pPr>
        <w:spacing w:after="0" w:line="2" w:lineRule="exact"/>
        <w:rPr>
          <w:sz w:val="20"/>
          <w:szCs w:val="20"/>
          <w:color w:val="auto"/>
        </w:rPr>
      </w:pPr>
    </w:p>
    <w:p>
      <w:pPr>
        <w:ind w:left="1240" w:right="1519"/>
        <w:spacing w:after="0" w:line="286" w:lineRule="auto"/>
        <w:rPr>
          <w:sz w:val="20"/>
          <w:szCs w:val="20"/>
          <w:color w:val="auto"/>
        </w:rPr>
      </w:pPr>
      <w:r>
        <w:rPr>
          <w:rFonts w:ascii="Arial" w:cs="Arial" w:eastAsia="Arial" w:hAnsi="Arial"/>
          <w:sz w:val="14"/>
          <w:szCs w:val="14"/>
          <w:color w:val="auto"/>
        </w:rPr>
        <w:t>June 20, 2019, Prior Century recognized $14 of stock based compensation within general and administrative expense in its consolidated statements of operations.</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5"/>
                <w:szCs w:val="15"/>
                <w:color w:val="auto"/>
              </w:rPr>
            </w:pPr>
          </w:p>
        </w:tc>
      </w:tr>
      <w:tr>
        <w:trPr>
          <w:trHeight w:val="134"/>
        </w:trPr>
        <w:tc>
          <w:tcPr>
            <w:tcW w:w="10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1"/>
                <w:szCs w:val="11"/>
                <w:color w:val="auto"/>
              </w:rPr>
            </w:pPr>
          </w:p>
        </w:tc>
      </w:tr>
      <w:tr>
        <w:trPr>
          <w:trHeight w:val="150"/>
        </w:trPr>
        <w:tc>
          <w:tcPr>
            <w:tcW w:w="1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c>
          <w:tcPr>
            <w:tcW w:w="1000" w:type="dxa"/>
            <w:vAlign w:val="bottom"/>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January 1, 2020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1,746,030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0" w:type="dxa"/>
            <w:vAlign w:val="bottom"/>
          </w:tcPr>
          <w:p>
            <w:pPr>
              <w:spacing w:after="0"/>
              <w:rPr>
                <w:sz w:val="14"/>
                <w:szCs w:val="14"/>
                <w:color w:val="auto"/>
              </w:rPr>
            </w:pPr>
          </w:p>
        </w:tc>
      </w:tr>
      <w:tr>
        <w:trPr>
          <w:trHeight w:val="181"/>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spacing w:after="0"/>
              <w:rPr>
                <w:sz w:val="20"/>
                <w:szCs w:val="20"/>
                <w:color w:val="auto"/>
              </w:rPr>
            </w:pPr>
            <w:r>
              <w:rPr>
                <w:rFonts w:ascii="Arial" w:cs="Arial" w:eastAsia="Arial" w:hAnsi="Arial"/>
                <w:sz w:val="14"/>
                <w:szCs w:val="14"/>
                <w:color w:val="auto"/>
              </w:rPr>
              <w:t>2,437,336</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1.36</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4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(142,468)</w:t>
            </w:r>
          </w:p>
        </w:tc>
        <w:tc>
          <w:tcPr>
            <w:tcW w:w="6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81"/>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Exercised—unvested</w:t>
            </w:r>
          </w:p>
        </w:tc>
        <w:tc>
          <w:tcPr>
            <w:tcW w:w="780" w:type="dxa"/>
            <w:vAlign w:val="bottom"/>
          </w:tcPr>
          <w:p>
            <w:pPr>
              <w:jc w:val="right"/>
              <w:spacing w:after="0"/>
              <w:rPr>
                <w:sz w:val="20"/>
                <w:szCs w:val="20"/>
                <w:color w:val="auto"/>
              </w:rPr>
            </w:pPr>
            <w:r>
              <w:rPr>
                <w:rFonts w:ascii="Arial" w:cs="Arial" w:eastAsia="Arial" w:hAnsi="Arial"/>
                <w:sz w:val="14"/>
                <w:szCs w:val="14"/>
                <w:color w:val="auto"/>
              </w:rPr>
              <w:t>(157,446)</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22"/>
        </w:trPr>
        <w:tc>
          <w:tcPr>
            <w:tcW w:w="4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6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83"/>
        </w:trPr>
        <w:tc>
          <w:tcPr>
            <w:tcW w:w="4800" w:type="dxa"/>
            <w:vAlign w:val="bottom"/>
            <w:gridSpan w:val="3"/>
          </w:tcPr>
          <w:p>
            <w:pPr>
              <w:ind w:left="980"/>
              <w:spacing w:after="0"/>
              <w:rPr>
                <w:sz w:val="20"/>
                <w:szCs w:val="20"/>
                <w:color w:val="auto"/>
              </w:rPr>
            </w:pPr>
            <w:r>
              <w:rPr>
                <w:rFonts w:ascii="Arial" w:cs="Arial" w:eastAsia="Arial" w:hAnsi="Arial"/>
                <w:sz w:val="14"/>
                <w:szCs w:val="14"/>
                <w:color w:val="auto"/>
              </w:rPr>
              <w:t>Cancelled</w:t>
            </w:r>
          </w:p>
        </w:tc>
        <w:tc>
          <w:tcPr>
            <w:tcW w:w="780" w:type="dxa"/>
            <w:vAlign w:val="bottom"/>
          </w:tcPr>
          <w:p>
            <w:pPr>
              <w:jc w:val="right"/>
              <w:spacing w:after="0"/>
              <w:rPr>
                <w:sz w:val="20"/>
                <w:szCs w:val="20"/>
                <w:color w:val="auto"/>
              </w:rPr>
            </w:pPr>
            <w:r>
              <w:rPr>
                <w:rFonts w:ascii="Arial" w:cs="Arial" w:eastAsia="Arial" w:hAnsi="Arial"/>
                <w:sz w:val="14"/>
                <w:szCs w:val="14"/>
                <w:color w:val="auto"/>
              </w:rPr>
              <w:t>(491)</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December 31, 2020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3,882,329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99"/>
        </w:trPr>
        <w:tc>
          <w:tcPr>
            <w:tcW w:w="1000" w:type="dxa"/>
            <w:vAlign w:val="bottom"/>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December 31, 2020, Successor</w:t>
            </w: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2,377,182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0" w:type="dxa"/>
            <w:vAlign w:val="bottom"/>
          </w:tcPr>
          <w:p>
            <w:pPr>
              <w:spacing w:after="0"/>
              <w:rPr>
                <w:sz w:val="17"/>
                <w:szCs w:val="17"/>
                <w:color w:val="auto"/>
              </w:rPr>
            </w:pPr>
          </w:p>
        </w:tc>
      </w:tr>
      <w:tr>
        <w:trPr>
          <w:trHeight w:val="513"/>
        </w:trPr>
        <w:tc>
          <w:tcPr>
            <w:tcW w:w="1000" w:type="dxa"/>
            <w:vAlign w:val="bottom"/>
          </w:tcPr>
          <w:p>
            <w:pPr>
              <w:spacing w:after="0"/>
              <w:rPr>
                <w:sz w:val="24"/>
                <w:szCs w:val="24"/>
                <w:color w:val="auto"/>
              </w:rPr>
            </w:pPr>
          </w:p>
        </w:tc>
        <w:tc>
          <w:tcPr>
            <w:tcW w:w="3800" w:type="dxa"/>
            <w:vAlign w:val="bottom"/>
            <w:gridSpan w:val="2"/>
          </w:tcPr>
          <w:p>
            <w:pPr>
              <w:ind w:left="3080"/>
              <w:spacing w:after="0"/>
              <w:rPr>
                <w:sz w:val="20"/>
                <w:szCs w:val="20"/>
                <w:color w:val="auto"/>
              </w:rPr>
            </w:pPr>
            <w:r>
              <w:rPr>
                <w:rFonts w:ascii="Arial" w:cs="Arial" w:eastAsia="Arial" w:hAnsi="Arial"/>
                <w:sz w:val="14"/>
                <w:szCs w:val="14"/>
                <w:color w:val="auto"/>
              </w:rPr>
              <w:t>F-23</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-808355</wp:posOffset>
            </wp:positionV>
            <wp:extent cx="242062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42062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9" w:name="page240"/>
    <w:bookmarkEnd w:id="239"/>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3"/>
                <w:szCs w:val="13"/>
                <w:b w:val="1"/>
                <w:bCs w:val="1"/>
                <w:color w:val="auto"/>
              </w:rPr>
              <w:t>Weighted Average</w:t>
            </w:r>
          </w:p>
        </w:tc>
      </w:tr>
      <w:tr>
        <w:trPr>
          <w:trHeight w:val="126"/>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Remaining</w:t>
            </w:r>
          </w:p>
        </w:tc>
      </w:tr>
      <w:tr>
        <w:trPr>
          <w:trHeight w:val="150"/>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r>
      <w:tr>
        <w:trPr>
          <w:trHeight w:val="150"/>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r>
      <w:tr>
        <w:trPr>
          <w:trHeight w:val="164"/>
        </w:trPr>
        <w:tc>
          <w:tcPr>
            <w:tcW w:w="20" w:type="dxa"/>
            <w:vAlign w:val="bottom"/>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r>
      <w:tr>
        <w:trPr>
          <w:trHeight w:val="16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Outstanding January 1, 2019, Predecessor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766,988</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60" w:type="dxa"/>
            <w:vAlign w:val="bottom"/>
            <w:tcBorders>
              <w:bottom w:val="single" w:sz="8" w:color="auto"/>
            </w:tcBorders>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Outstanding June 21, 2019, Successor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766,988</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spacing w:after="0"/>
              <w:rPr>
                <w:sz w:val="20"/>
                <w:szCs w:val="20"/>
                <w:color w:val="auto"/>
              </w:rPr>
            </w:pPr>
            <w:r>
              <w:rPr>
                <w:rFonts w:ascii="Arial" w:cs="Arial" w:eastAsia="Arial" w:hAnsi="Arial"/>
                <w:sz w:val="14"/>
                <w:szCs w:val="14"/>
                <w:color w:val="auto"/>
              </w:rPr>
              <w:t>1,336,841</w:t>
            </w: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(74,446)</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20" w:type="dxa"/>
            <w:vAlign w:val="bottom"/>
          </w:tcPr>
          <w:p>
            <w:pPr>
              <w:spacing w:after="0"/>
              <w:rPr>
                <w:sz w:val="13"/>
                <w:szCs w:val="13"/>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Exercised—unvested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(283,353)</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1"/>
        </w:trPr>
        <w:tc>
          <w:tcPr>
            <w:tcW w:w="20" w:type="dxa"/>
            <w:vAlign w:val="bottom"/>
          </w:tcPr>
          <w:p>
            <w:pPr>
              <w:spacing w:after="0"/>
              <w:rPr>
                <w:sz w:val="13"/>
                <w:szCs w:val="13"/>
                <w:color w:val="auto"/>
              </w:rPr>
            </w:pPr>
          </w:p>
        </w:tc>
        <w:tc>
          <w:tcPr>
            <w:tcW w:w="374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Outstanding, December 31, 2019</w:t>
            </w: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1,746,030</w:t>
            </w: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0.68</w:t>
            </w:r>
          </w:p>
        </w:tc>
        <w:tc>
          <w:tcPr>
            <w:tcW w:w="8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9.45</w:t>
            </w:r>
          </w:p>
        </w:tc>
      </w:tr>
      <w:tr>
        <w:trPr>
          <w:trHeight w:val="182"/>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b w:val="1"/>
                <w:bCs w:val="1"/>
                <w:color w:val="auto"/>
              </w:rPr>
              <w:t>Exercisable at December 31, 2019, Successor</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1,508,531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-257810</wp:posOffset>
            </wp:positionV>
            <wp:extent cx="242062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206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-692785</wp:posOffset>
            </wp:positionV>
            <wp:extent cx="242062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20620" cy="6985"/>
                    </a:xfrm>
                    <a:prstGeom prst="rect">
                      <a:avLst/>
                    </a:prstGeom>
                    <a:noFill/>
                  </pic:spPr>
                </pic:pic>
              </a:graphicData>
            </a:graphic>
          </wp:anchor>
        </w:drawing>
      </w:r>
    </w:p>
    <w:p>
      <w:pPr>
        <w:spacing w:after="0" w:line="86"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weighted average grant date fair value of awards for options granted during the Successor year and period ended December 31, 2020 and 2019 was $0.81 and $0.63, respectively. As of December 31, 2020, there was $1,862 of total unrecognized compensation expense related to unvested stock options with time-based vesting terms, which is expected to be recognized over a weighted average period of 2.87 years.</w:t>
      </w:r>
    </w:p>
    <w:p>
      <w:pPr>
        <w:spacing w:after="0" w:line="106"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During 2020, Prior Century issued 213,624 performance-based awards that vest upon contingent events. Prior Century determined the performance condition for these awards is not probable of being achieved. As a result, the Company has not recorded any compensation cost related to the awards. As of December 31, 2020, there was $213 of total unrecognized compensation expense related to the performance-based awards.</w:t>
      </w:r>
    </w:p>
    <w:p>
      <w:pPr>
        <w:spacing w:after="0" w:line="106"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Prior Century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Prior Century has based its estimate of expected volatility on the historical volatility of a group of similar public companies. When selecting these companies on which it has based its expected stock price volatility, Prior Century selected companies with comparable characteristics to it, including enterprise value, risk profiles, position within the industry and with historical share price information sufficient to meet the expected term of the stock-based awards. Prior Century will continue to apply this process until a sufficient amount of historical information regarding the volatility of its own stock price becomes available.</w:t>
      </w:r>
    </w:p>
    <w:p>
      <w:pPr>
        <w:spacing w:after="0" w:line="113" w:lineRule="exact"/>
        <w:rPr>
          <w:sz w:val="20"/>
          <w:szCs w:val="20"/>
          <w:color w:val="auto"/>
        </w:rPr>
      </w:pPr>
    </w:p>
    <w:p>
      <w:pPr>
        <w:jc w:val="both"/>
        <w:ind w:left="1240" w:right="1459"/>
        <w:spacing w:after="0" w:line="274" w:lineRule="auto"/>
        <w:rPr>
          <w:sz w:val="20"/>
          <w:szCs w:val="20"/>
          <w:color w:val="auto"/>
        </w:rPr>
      </w:pPr>
      <w:r>
        <w:rPr>
          <w:rFonts w:ascii="Arial" w:cs="Arial" w:eastAsia="Arial" w:hAnsi="Arial"/>
          <w:sz w:val="14"/>
          <w:szCs w:val="14"/>
          <w:color w:val="auto"/>
        </w:rPr>
        <w:t>Prior Century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Prior Century will account for actual forfeitures as they occur.</w:t>
      </w:r>
    </w:p>
    <w:p>
      <w:pPr>
        <w:spacing w:after="0" w:line="107"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134485" cy="133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20" w:type="dxa"/>
            <w:vAlign w:val="bottom"/>
            <w:gridSpan w:val="3"/>
          </w:tcPr>
          <w:p>
            <w:pPr>
              <w:jc w:val="right"/>
              <w:ind w:right="2080"/>
              <w:spacing w:after="0"/>
              <w:rPr>
                <w:sz w:val="20"/>
                <w:szCs w:val="20"/>
                <w:color w:val="auto"/>
              </w:rPr>
            </w:pPr>
            <w:r>
              <w:rPr>
                <w:rFonts w:ascii="Arial" w:cs="Arial" w:eastAsia="Arial" w:hAnsi="Arial"/>
                <w:sz w:val="13"/>
                <w:szCs w:val="13"/>
                <w:b w:val="1"/>
                <w:bCs w:val="1"/>
                <w:color w:val="auto"/>
              </w:rPr>
              <w:t>Successor</w:t>
            </w:r>
          </w:p>
        </w:tc>
      </w:tr>
      <w:tr>
        <w:trPr>
          <w:trHeight w:val="135"/>
        </w:trPr>
        <w:tc>
          <w:tcPr>
            <w:tcW w:w="10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Period ended</w:t>
            </w:r>
          </w:p>
        </w:tc>
        <w:tc>
          <w:tcPr>
            <w:tcW w:w="1000" w:type="dxa"/>
            <w:vAlign w:val="bottom"/>
          </w:tcPr>
          <w:p>
            <w:pPr>
              <w:spacing w:after="0"/>
              <w:rPr>
                <w:sz w:val="11"/>
                <w:szCs w:val="11"/>
                <w:color w:val="auto"/>
              </w:rPr>
            </w:pPr>
          </w:p>
        </w:tc>
      </w:tr>
      <w:tr>
        <w:trPr>
          <w:trHeight w:val="150"/>
        </w:trPr>
        <w:tc>
          <w:tcPr>
            <w:tcW w:w="10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jc w:val="right"/>
              <w:ind w:right="134"/>
              <w:spacing w:after="0"/>
              <w:rPr>
                <w:sz w:val="20"/>
                <w:szCs w:val="20"/>
                <w:color w:val="auto"/>
              </w:rPr>
            </w:pPr>
            <w:r>
              <w:rPr>
                <w:rFonts w:ascii="Arial" w:cs="Arial" w:eastAsia="Arial" w:hAnsi="Arial"/>
                <w:sz w:val="13"/>
                <w:szCs w:val="13"/>
                <w:b w:val="1"/>
                <w:bCs w:val="1"/>
                <w:color w:val="auto"/>
              </w:rPr>
              <w:t>Year ended</w:t>
            </w:r>
          </w:p>
        </w:tc>
        <w:tc>
          <w:tcPr>
            <w:tcW w:w="2480" w:type="dxa"/>
            <w:vAlign w:val="bottom"/>
            <w:gridSpan w:val="2"/>
          </w:tcPr>
          <w:p>
            <w:pPr>
              <w:jc w:val="right"/>
              <w:ind w:right="1040"/>
              <w:spacing w:after="0"/>
              <w:rPr>
                <w:sz w:val="20"/>
                <w:szCs w:val="20"/>
                <w:color w:val="auto"/>
              </w:rPr>
            </w:pPr>
            <w:r>
              <w:rPr>
                <w:rFonts w:ascii="Arial" w:cs="Arial" w:eastAsia="Arial" w:hAnsi="Arial"/>
                <w:sz w:val="13"/>
                <w:szCs w:val="13"/>
                <w:b w:val="1"/>
                <w:bCs w:val="1"/>
                <w:color w:val="auto"/>
              </w:rPr>
              <w:t>June 21, 2019 through</w:t>
            </w:r>
          </w:p>
        </w:tc>
      </w:tr>
      <w:tr>
        <w:trPr>
          <w:trHeight w:val="177"/>
        </w:trPr>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jc w:val="right"/>
              <w:ind w:right="94"/>
              <w:spacing w:after="0"/>
              <w:rPr>
                <w:sz w:val="20"/>
                <w:szCs w:val="20"/>
                <w:color w:val="auto"/>
              </w:rPr>
            </w:pPr>
            <w:r>
              <w:rPr>
                <w:rFonts w:ascii="Arial" w:cs="Arial" w:eastAsia="Arial" w:hAnsi="Arial"/>
                <w:sz w:val="13"/>
                <w:szCs w:val="13"/>
                <w:b w:val="1"/>
                <w:bCs w:val="1"/>
                <w:color w:val="auto"/>
              </w:rPr>
              <w:t>December 31, 2020</w:t>
            </w:r>
          </w:p>
        </w:tc>
        <w:tc>
          <w:tcPr>
            <w:tcW w:w="2480" w:type="dxa"/>
            <w:vAlign w:val="bottom"/>
            <w:gridSpan w:val="2"/>
          </w:tcPr>
          <w:p>
            <w:pPr>
              <w:jc w:val="right"/>
              <w:ind w:right="1020"/>
              <w:spacing w:after="0"/>
              <w:rPr>
                <w:sz w:val="20"/>
                <w:szCs w:val="20"/>
                <w:color w:val="auto"/>
              </w:rPr>
            </w:pPr>
            <w:r>
              <w:rPr>
                <w:rFonts w:ascii="Arial" w:cs="Arial" w:eastAsia="Arial" w:hAnsi="Arial"/>
                <w:sz w:val="13"/>
                <w:szCs w:val="13"/>
                <w:b w:val="1"/>
                <w:bCs w:val="1"/>
                <w:color w:val="auto"/>
              </w:rPr>
              <w:t>December 31, 2019</w:t>
            </w:r>
          </w:p>
        </w:tc>
      </w:tr>
      <w:tr>
        <w:trPr>
          <w:trHeight w:val="182"/>
        </w:trPr>
        <w:tc>
          <w:tcPr>
            <w:tcW w:w="1000" w:type="dxa"/>
            <w:vAlign w:val="bottom"/>
          </w:tcPr>
          <w:p>
            <w:pPr>
              <w:spacing w:after="0"/>
              <w:rPr>
                <w:sz w:val="15"/>
                <w:szCs w:val="15"/>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Expected option term (years)</w:t>
            </w:r>
          </w:p>
        </w:tc>
        <w:tc>
          <w:tcPr>
            <w:tcW w:w="2520" w:type="dxa"/>
            <w:vAlign w:val="bottom"/>
            <w:gridSpan w:val="2"/>
          </w:tcPr>
          <w:p>
            <w:pPr>
              <w:jc w:val="right"/>
              <w:ind w:right="74"/>
              <w:spacing w:after="0"/>
              <w:rPr>
                <w:sz w:val="20"/>
                <w:szCs w:val="20"/>
                <w:color w:val="auto"/>
              </w:rPr>
            </w:pPr>
            <w:r>
              <w:rPr>
                <w:rFonts w:ascii="Arial" w:cs="Arial" w:eastAsia="Arial" w:hAnsi="Arial"/>
                <w:sz w:val="14"/>
                <w:szCs w:val="14"/>
                <w:color w:val="auto"/>
              </w:rPr>
              <w:t>5.85</w:t>
            </w:r>
          </w:p>
        </w:tc>
        <w:tc>
          <w:tcPr>
            <w:tcW w:w="1480" w:type="dxa"/>
            <w:vAlign w:val="bottom"/>
          </w:tcPr>
          <w:p>
            <w:pPr>
              <w:jc w:val="right"/>
              <w:spacing w:after="0"/>
              <w:rPr>
                <w:sz w:val="20"/>
                <w:szCs w:val="20"/>
                <w:color w:val="auto"/>
              </w:rPr>
            </w:pPr>
            <w:r>
              <w:rPr>
                <w:rFonts w:ascii="Arial" w:cs="Arial" w:eastAsia="Arial" w:hAnsi="Arial"/>
                <w:sz w:val="14"/>
                <w:szCs w:val="14"/>
                <w:color w:val="auto"/>
              </w:rPr>
              <w:t>5.97</w:t>
            </w:r>
          </w:p>
        </w:tc>
        <w:tc>
          <w:tcPr>
            <w:tcW w:w="1000" w:type="dxa"/>
            <w:vAlign w:val="bottom"/>
          </w:tcPr>
          <w:p>
            <w:pPr>
              <w:spacing w:after="0"/>
              <w:rPr>
                <w:sz w:val="14"/>
                <w:szCs w:val="14"/>
                <w:color w:val="auto"/>
              </w:rPr>
            </w:pPr>
          </w:p>
        </w:tc>
      </w:tr>
      <w:tr>
        <w:trPr>
          <w:trHeight w:val="171"/>
        </w:trPr>
        <w:tc>
          <w:tcPr>
            <w:tcW w:w="100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Expected volatility</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68.38%</w:t>
            </w:r>
          </w:p>
        </w:tc>
        <w:tc>
          <w:tcPr>
            <w:tcW w:w="2480" w:type="dxa"/>
            <w:vAlign w:val="bottom"/>
            <w:gridSpan w:val="2"/>
          </w:tcPr>
          <w:p>
            <w:pPr>
              <w:jc w:val="right"/>
              <w:ind w:right="880"/>
              <w:spacing w:after="0"/>
              <w:rPr>
                <w:sz w:val="20"/>
                <w:szCs w:val="20"/>
                <w:color w:val="auto"/>
              </w:rPr>
            </w:pPr>
            <w:r>
              <w:rPr>
                <w:rFonts w:ascii="Arial" w:cs="Arial" w:eastAsia="Arial" w:hAnsi="Arial"/>
                <w:sz w:val="14"/>
                <w:szCs w:val="14"/>
                <w:color w:val="auto"/>
              </w:rPr>
              <w:t>65.63%</w:t>
            </w:r>
          </w:p>
        </w:tc>
      </w:tr>
      <w:tr>
        <w:trPr>
          <w:trHeight w:val="182"/>
        </w:trPr>
        <w:tc>
          <w:tcPr>
            <w:tcW w:w="100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2520" w:type="dxa"/>
            <w:vAlign w:val="bottom"/>
            <w:gridSpan w:val="2"/>
          </w:tcPr>
          <w:p>
            <w:pPr>
              <w:jc w:val="right"/>
              <w:spacing w:after="0"/>
              <w:rPr>
                <w:sz w:val="20"/>
                <w:szCs w:val="20"/>
                <w:color w:val="auto"/>
              </w:rPr>
            </w:pPr>
            <w:r>
              <w:rPr>
                <w:rFonts w:ascii="Arial" w:cs="Arial" w:eastAsia="Arial" w:hAnsi="Arial"/>
                <w:sz w:val="14"/>
                <w:szCs w:val="14"/>
                <w:color w:val="auto"/>
              </w:rPr>
              <w:t>0.58%</w:t>
            </w:r>
          </w:p>
        </w:tc>
        <w:tc>
          <w:tcPr>
            <w:tcW w:w="2480" w:type="dxa"/>
            <w:vAlign w:val="bottom"/>
            <w:gridSpan w:val="2"/>
          </w:tcPr>
          <w:p>
            <w:pPr>
              <w:jc w:val="right"/>
              <w:ind w:right="880"/>
              <w:spacing w:after="0"/>
              <w:rPr>
                <w:sz w:val="20"/>
                <w:szCs w:val="20"/>
                <w:color w:val="auto"/>
              </w:rPr>
            </w:pPr>
            <w:r>
              <w:rPr>
                <w:rFonts w:ascii="Arial" w:cs="Arial" w:eastAsia="Arial" w:hAnsi="Arial"/>
                <w:sz w:val="14"/>
                <w:szCs w:val="14"/>
                <w:color w:val="auto"/>
              </w:rPr>
              <w:t>1.77%</w:t>
            </w:r>
          </w:p>
        </w:tc>
      </w:tr>
      <w:tr>
        <w:trPr>
          <w:trHeight w:val="33"/>
        </w:trPr>
        <w:tc>
          <w:tcPr>
            <w:tcW w:w="10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04"/>
        </w:trPr>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20" w:type="dxa"/>
            <w:vAlign w:val="bottom"/>
            <w:gridSpan w:val="2"/>
          </w:tcPr>
          <w:p>
            <w:pPr>
              <w:jc w:val="right"/>
              <w:ind w:right="1574"/>
              <w:spacing w:after="0"/>
              <w:rPr>
                <w:sz w:val="20"/>
                <w:szCs w:val="20"/>
                <w:color w:val="auto"/>
              </w:rPr>
            </w:pPr>
            <w:r>
              <w:rPr>
                <w:rFonts w:ascii="Arial" w:cs="Arial" w:eastAsia="Arial" w:hAnsi="Arial"/>
                <w:sz w:val="14"/>
                <w:szCs w:val="14"/>
                <w:color w:val="auto"/>
              </w:rPr>
              <w:t>F-24</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10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4134485" cy="1155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134485" cy="11557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-1026160</wp:posOffset>
            </wp:positionV>
            <wp:extent cx="227838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27838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0" w:name="page241"/>
    <w:bookmarkEnd w:id="240"/>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33" w:lineRule="exact"/>
        <w:rPr>
          <w:sz w:val="20"/>
          <w:szCs w:val="20"/>
          <w:color w:val="auto"/>
        </w:rPr>
      </w:pPr>
    </w:p>
    <w:p>
      <w:pPr>
        <w:ind w:left="1240" w:right="1479"/>
        <w:spacing w:after="0" w:line="286" w:lineRule="auto"/>
        <w:rPr>
          <w:sz w:val="20"/>
          <w:szCs w:val="20"/>
          <w:color w:val="auto"/>
        </w:rPr>
      </w:pPr>
      <w:r>
        <w:rPr>
          <w:rFonts w:ascii="Arial" w:cs="Arial" w:eastAsia="Arial" w:hAnsi="Arial"/>
          <w:sz w:val="14"/>
          <w:szCs w:val="14"/>
          <w:color w:val="auto"/>
        </w:rPr>
        <w:t>The following table summarizes restricted stock activity for the year ended December 31, 2020 and December 31, 2019:</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2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Shares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January 1, 2019, Predecessor</w:t>
            </w: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1,704,256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$ 0.03</w:t>
            </w: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Issued</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278,905</w:t>
            </w:r>
          </w:p>
        </w:tc>
        <w:tc>
          <w:tcPr>
            <w:tcW w:w="142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Unvested June 21, 2019,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1,959,920</w:t>
            </w:r>
          </w:p>
        </w:tc>
        <w:tc>
          <w:tcPr>
            <w:tcW w:w="1420" w:type="dxa"/>
            <w:vAlign w:val="bottom"/>
          </w:tcPr>
          <w:p>
            <w:pPr>
              <w:jc w:val="right"/>
              <w:spacing w:after="0"/>
              <w:rPr>
                <w:sz w:val="20"/>
                <w:szCs w:val="20"/>
                <w:color w:val="auto"/>
              </w:rPr>
            </w:pPr>
            <w:r>
              <w:rPr>
                <w:rFonts w:ascii="Arial" w:cs="Arial" w:eastAsia="Arial" w:hAnsi="Arial"/>
                <w:sz w:val="14"/>
                <w:szCs w:val="14"/>
                <w:color w:val="auto"/>
              </w:rPr>
              <w:t>$ 0.03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Issued</w:t>
            </w: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571,407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Repurchased</w:t>
            </w:r>
          </w:p>
        </w:tc>
        <w:tc>
          <w:tcPr>
            <w:tcW w:w="840" w:type="dxa"/>
            <w:vAlign w:val="bottom"/>
          </w:tcPr>
          <w:p>
            <w:pPr>
              <w:jc w:val="right"/>
              <w:spacing w:after="0"/>
              <w:rPr>
                <w:sz w:val="20"/>
                <w:szCs w:val="20"/>
                <w:color w:val="auto"/>
              </w:rPr>
            </w:pPr>
            <w:r>
              <w:rPr>
                <w:rFonts w:ascii="Arial" w:cs="Arial" w:eastAsia="Arial" w:hAnsi="Arial"/>
                <w:sz w:val="14"/>
                <w:szCs w:val="14"/>
                <w:color w:val="auto"/>
              </w:rPr>
              <w:t>(298,080)</w:t>
            </w:r>
          </w:p>
        </w:tc>
        <w:tc>
          <w:tcPr>
            <w:tcW w:w="142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(516,456)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2019,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1,716,791</w:t>
            </w:r>
          </w:p>
        </w:tc>
        <w:tc>
          <w:tcPr>
            <w:tcW w:w="1420" w:type="dxa"/>
            <w:vAlign w:val="bottom"/>
          </w:tcPr>
          <w:p>
            <w:pPr>
              <w:jc w:val="right"/>
              <w:spacing w:after="0"/>
              <w:rPr>
                <w:sz w:val="20"/>
                <w:szCs w:val="20"/>
                <w:color w:val="auto"/>
              </w:rPr>
            </w:pPr>
            <w:r>
              <w:rPr>
                <w:rFonts w:ascii="Arial" w:cs="Arial" w:eastAsia="Arial" w:hAnsi="Arial"/>
                <w:sz w:val="14"/>
                <w:szCs w:val="14"/>
                <w:color w:val="auto"/>
              </w:rPr>
              <w:t>0.35</w:t>
            </w:r>
          </w:p>
        </w:tc>
      </w:tr>
      <w:tr>
        <w:trPr>
          <w:trHeight w:val="22"/>
        </w:trPr>
        <w:tc>
          <w:tcPr>
            <w:tcW w:w="4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(663,289)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r>
      <w:tr>
        <w:trPr>
          <w:trHeight w:val="168"/>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2020, Successor</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1,053,502</w:t>
            </w:r>
          </w:p>
        </w:tc>
        <w:tc>
          <w:tcPr>
            <w:tcW w:w="1420" w:type="dxa"/>
            <w:vAlign w:val="bottom"/>
          </w:tcPr>
          <w:p>
            <w:pPr>
              <w:jc w:val="right"/>
              <w:spacing w:after="0"/>
              <w:rPr>
                <w:sz w:val="20"/>
                <w:szCs w:val="20"/>
                <w:color w:val="auto"/>
              </w:rPr>
            </w:pPr>
            <w:r>
              <w:rPr>
                <w:rFonts w:ascii="Arial" w:cs="Arial" w:eastAsia="Arial" w:hAnsi="Arial"/>
                <w:sz w:val="14"/>
                <w:szCs w:val="14"/>
                <w:color w:val="auto"/>
              </w:rPr>
              <w:t>$ 0.35</w:t>
            </w:r>
          </w:p>
        </w:tc>
      </w:tr>
      <w:tr>
        <w:trPr>
          <w:trHeight w:val="107"/>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55"/>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bl>
    <w:p>
      <w:pPr>
        <w:spacing w:after="0" w:line="139" w:lineRule="exact"/>
        <w:rPr>
          <w:sz w:val="20"/>
          <w:szCs w:val="20"/>
          <w:color w:val="auto"/>
        </w:rPr>
      </w:pPr>
    </w:p>
    <w:p>
      <w:pPr>
        <w:ind w:left="1240" w:right="1339"/>
        <w:spacing w:after="0" w:line="291" w:lineRule="auto"/>
        <w:rPr>
          <w:sz w:val="20"/>
          <w:szCs w:val="20"/>
          <w:color w:val="auto"/>
        </w:rPr>
      </w:pPr>
      <w:r>
        <w:rPr>
          <w:rFonts w:ascii="Arial" w:cs="Arial" w:eastAsia="Arial" w:hAnsi="Arial"/>
          <w:sz w:val="14"/>
          <w:szCs w:val="14"/>
          <w:color w:val="auto"/>
        </w:rPr>
        <w:t>During 2018, Prior Century issued 596,160 shares of common stock at a purchase price of $0.03 per share. Also, during 2018, Prior Century issued 1,108,096 shares of restricted common stock. Pursuant to certain stock purchase agreements containing vesting and other provisions, Prior Century has the right to repurchase unvested shares. In October 2019, Prior Century repurchased 298,080 shares at $1.03 per share for a cost of $307.</w:t>
      </w:r>
    </w:p>
    <w:p>
      <w:pPr>
        <w:spacing w:after="0" w:line="95" w:lineRule="exact"/>
        <w:rPr>
          <w:sz w:val="20"/>
          <w:szCs w:val="20"/>
          <w:color w:val="auto"/>
        </w:rPr>
      </w:pPr>
    </w:p>
    <w:p>
      <w:pPr>
        <w:ind w:left="1240" w:right="1439"/>
        <w:spacing w:after="0" w:line="298" w:lineRule="auto"/>
        <w:rPr>
          <w:sz w:val="20"/>
          <w:szCs w:val="20"/>
          <w:color w:val="auto"/>
        </w:rPr>
      </w:pPr>
      <w:r>
        <w:rPr>
          <w:rFonts w:ascii="Arial" w:cs="Arial" w:eastAsia="Arial" w:hAnsi="Arial"/>
          <w:sz w:val="14"/>
          <w:szCs w:val="14"/>
          <w:color w:val="auto"/>
        </w:rPr>
        <w:t>As of December 31, 2020, there was $372 of total unrecognized compensation expense related to the unvested restricted stock with time-based vesting terms, which is expected to be recognized over a weighted average period of 1.94 years. All restricted stock vests over a four-year period.</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15—Basic and diluted net loss per common share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171"/>
              <w:spacing w:after="0"/>
              <w:rPr>
                <w:sz w:val="20"/>
                <w:szCs w:val="20"/>
                <w:color w:val="auto"/>
              </w:rPr>
            </w:pPr>
            <w:r>
              <w:rPr>
                <w:rFonts w:ascii="Arial" w:cs="Arial" w:eastAsia="Arial" w:hAnsi="Arial"/>
                <w:sz w:val="13"/>
                <w:szCs w:val="13"/>
                <w:b w:val="1"/>
                <w:bCs w:val="1"/>
                <w:color w:val="auto"/>
              </w:rPr>
              <w:t>Successor</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ind w:right="249"/>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r>
      <w:tr>
        <w:trPr>
          <w:trHeight w:val="135"/>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20" w:type="dxa"/>
            <w:vAlign w:val="bottom"/>
            <w:tcBorders>
              <w:right w:val="single" w:sz="8" w:color="auto"/>
            </w:tcBorders>
            <w:gridSpan w:val="3"/>
          </w:tcPr>
          <w:p>
            <w:pPr>
              <w:jc w:val="right"/>
              <w:spacing w:after="0" w:line="136" w:lineRule="exact"/>
              <w:rPr>
                <w:sz w:val="20"/>
                <w:szCs w:val="20"/>
                <w:color w:val="auto"/>
              </w:rPr>
            </w:pPr>
            <w:r>
              <w:rPr>
                <w:rFonts w:ascii="Arial" w:cs="Arial" w:eastAsia="Arial" w:hAnsi="Arial"/>
                <w:sz w:val="13"/>
                <w:szCs w:val="13"/>
                <w:b w:val="1"/>
                <w:bCs w:val="1"/>
                <w:color w:val="auto"/>
              </w:rPr>
              <w:t>For the period June</w:t>
            </w:r>
          </w:p>
        </w:tc>
        <w:tc>
          <w:tcPr>
            <w:tcW w:w="14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20" w:type="dxa"/>
            <w:vAlign w:val="bottom"/>
            <w:gridSpan w:val="3"/>
          </w:tcPr>
          <w:p>
            <w:pPr>
              <w:jc w:val="right"/>
              <w:ind w:right="111"/>
              <w:spacing w:after="0"/>
              <w:rPr>
                <w:sz w:val="20"/>
                <w:szCs w:val="20"/>
                <w:color w:val="auto"/>
              </w:rPr>
            </w:pPr>
            <w:r>
              <w:rPr>
                <w:rFonts w:ascii="Arial" w:cs="Arial" w:eastAsia="Arial" w:hAnsi="Arial"/>
                <w:sz w:val="13"/>
                <w:szCs w:val="13"/>
                <w:b w:val="1"/>
                <w:bCs w:val="1"/>
                <w:color w:val="auto"/>
              </w:rPr>
              <w:t>For the Year Ended</w:t>
            </w:r>
          </w:p>
        </w:tc>
        <w:tc>
          <w:tcPr>
            <w:tcW w:w="120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21, 2019 through</w:t>
            </w:r>
          </w:p>
        </w:tc>
        <w:tc>
          <w:tcPr>
            <w:tcW w:w="14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January 1, 2019</w:t>
            </w: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through June 20, 2019</w:t>
            </w:r>
          </w:p>
        </w:tc>
      </w:tr>
      <w:tr>
        <w:trPr>
          <w:trHeight w:val="171"/>
        </w:trPr>
        <w:tc>
          <w:tcPr>
            <w:tcW w:w="20" w:type="dxa"/>
            <w:vAlign w:val="bottom"/>
          </w:tcPr>
          <w:p>
            <w:pPr>
              <w:spacing w:after="0"/>
              <w:rPr>
                <w:sz w:val="14"/>
                <w:szCs w:val="14"/>
                <w:color w:val="auto"/>
              </w:rPr>
            </w:pPr>
          </w:p>
        </w:tc>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right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(53,575)</w:t>
            </w:r>
          </w:p>
        </w:tc>
        <w:tc>
          <w:tcPr>
            <w:tcW w:w="4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(238,767)</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(6,002)</w:t>
            </w:r>
          </w:p>
        </w:tc>
      </w:tr>
      <w:tr>
        <w:trPr>
          <w:trHeight w:val="22"/>
        </w:trPr>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auto"/>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rPr>
              <w:t>Weighted-average common share for basic</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020" w:type="dxa"/>
            <w:vAlign w:val="bottom"/>
          </w:tcPr>
          <w:p>
            <w:pPr>
              <w:ind w:left="280"/>
              <w:spacing w:after="0"/>
              <w:rPr>
                <w:sz w:val="20"/>
                <w:szCs w:val="20"/>
                <w:color w:val="auto"/>
              </w:rPr>
            </w:pPr>
            <w:r>
              <w:rPr>
                <w:rFonts w:ascii="Arial" w:cs="Arial" w:eastAsia="Arial" w:hAnsi="Arial"/>
                <w:sz w:val="14"/>
                <w:szCs w:val="14"/>
                <w:color w:val="auto"/>
              </w:rPr>
              <w:t>and diluted net loss per share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7,481,861</w:t>
            </w:r>
          </w:p>
        </w:tc>
        <w:tc>
          <w:tcPr>
            <w:tcW w:w="460" w:type="dxa"/>
            <w:vAlign w:val="bottom"/>
          </w:tcPr>
          <w:p>
            <w:pPr>
              <w:spacing w:after="0"/>
              <w:rPr>
                <w:sz w:val="14"/>
                <w:szCs w:val="1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7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5,973,228</w:t>
            </w:r>
          </w:p>
        </w:tc>
        <w:tc>
          <w:tcPr>
            <w:tcW w:w="40" w:type="dxa"/>
            <w:vAlign w:val="bottom"/>
          </w:tcPr>
          <w:p>
            <w:pPr>
              <w:spacing w:after="0"/>
              <w:rPr>
                <w:sz w:val="14"/>
                <w:szCs w:val="14"/>
                <w:color w:val="auto"/>
              </w:rPr>
            </w:pPr>
          </w:p>
        </w:tc>
      </w:tr>
      <w:tr>
        <w:trPr>
          <w:trHeight w:val="33"/>
        </w:trPr>
        <w:tc>
          <w:tcPr>
            <w:tcW w:w="3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6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(7.16)</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1" w:name="page242"/>
    <w:bookmarkEnd w:id="241"/>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19"/>
        <w:spacing w:after="0" w:line="278" w:lineRule="auto"/>
        <w:rPr>
          <w:sz w:val="20"/>
          <w:szCs w:val="20"/>
          <w:color w:val="auto"/>
        </w:rPr>
      </w:pPr>
      <w:r>
        <w:rPr>
          <w:rFonts w:ascii="Arial" w:cs="Arial" w:eastAsia="Arial" w:hAnsi="Arial"/>
          <w:sz w:val="14"/>
          <w:szCs w:val="14"/>
          <w:color w:val="auto"/>
        </w:rPr>
        <w:t>The following table summarizes the potentially dilutive securities convertible into common shares that were excluded from the calculation of diluted net loss per common share because their inclusion would have been antidilutive:</w:t>
      </w:r>
    </w:p>
    <w:p>
      <w:pPr>
        <w:spacing w:after="0" w:line="107"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right w:val="single" w:sz="8" w:color="auto"/>
            </w:tcBorders>
            <w:gridSpan w:val="2"/>
          </w:tcPr>
          <w:p>
            <w:pPr>
              <w:jc w:val="right"/>
              <w:ind w:right="910"/>
              <w:spacing w:after="0"/>
              <w:rPr>
                <w:sz w:val="20"/>
                <w:szCs w:val="20"/>
                <w:color w:val="auto"/>
              </w:rPr>
            </w:pPr>
            <w:r>
              <w:rPr>
                <w:rFonts w:ascii="Arial" w:cs="Arial" w:eastAsia="Arial" w:hAnsi="Arial"/>
                <w:sz w:val="13"/>
                <w:szCs w:val="13"/>
                <w:b w:val="1"/>
                <w:bCs w:val="1"/>
                <w:color w:val="auto"/>
              </w:rPr>
              <w:t>Successor</w:t>
            </w:r>
          </w:p>
        </w:tc>
        <w:tc>
          <w:tcPr>
            <w:tcW w:w="14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40" w:type="dxa"/>
            <w:vAlign w:val="bottom"/>
            <w:tcBorders>
              <w:right w:val="single" w:sz="8" w:color="auto"/>
            </w:tcBorders>
          </w:tcPr>
          <w:p>
            <w:pPr>
              <w:jc w:val="right"/>
              <w:ind w:right="10"/>
              <w:spacing w:after="0" w:line="134" w:lineRule="exact"/>
              <w:rPr>
                <w:sz w:val="20"/>
                <w:szCs w:val="20"/>
                <w:color w:val="auto"/>
              </w:rPr>
            </w:pPr>
            <w:r>
              <w:rPr>
                <w:rFonts w:ascii="Arial" w:cs="Arial" w:eastAsia="Arial" w:hAnsi="Arial"/>
                <w:sz w:val="13"/>
                <w:szCs w:val="13"/>
                <w:b w:val="1"/>
                <w:bCs w:val="1"/>
                <w:color w:val="auto"/>
              </w:rPr>
              <w:t>For the period June</w:t>
            </w:r>
          </w:p>
        </w:tc>
        <w:tc>
          <w:tcPr>
            <w:tcW w:w="14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the Year Ended</w:t>
            </w:r>
          </w:p>
        </w:tc>
        <w:tc>
          <w:tcPr>
            <w:tcW w:w="1340" w:type="dxa"/>
            <w:vAlign w:val="bottom"/>
            <w:tcBorders>
              <w:right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21, 2019 through</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January 1, 2019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through June 20,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3,882,328</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1,746,030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766,988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Early exercised stock options subject to future</w:t>
            </w: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Arial" w:cs="Arial" w:eastAsia="Arial" w:hAnsi="Arial"/>
                <w:sz w:val="14"/>
                <w:szCs w:val="14"/>
                <w:color w:val="auto"/>
              </w:rPr>
              <w:t>vesting</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330,629</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283,353</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award subject to future</w:t>
            </w: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vesting</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1,053,502</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1,716,791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1,959,920</w:t>
            </w:r>
          </w:p>
        </w:tc>
        <w:tc>
          <w:tcPr>
            <w:tcW w:w="0" w:type="dxa"/>
            <w:vAlign w:val="bottom"/>
          </w:tcPr>
          <w:p>
            <w:pPr>
              <w:spacing w:after="0"/>
              <w:rPr>
                <w:sz w:val="1"/>
                <w:szCs w:val="1"/>
                <w:color w:val="auto"/>
              </w:rPr>
            </w:pPr>
          </w:p>
        </w:tc>
      </w:t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Warrants on long term debt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16,112</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0" w:type="dxa"/>
            <w:vAlign w:val="bottom"/>
          </w:tcPr>
          <w:p>
            <w:pPr>
              <w:spacing w:after="0"/>
              <w:rPr>
                <w:sz w:val="1"/>
                <w:szCs w:val="1"/>
                <w:color w:val="auto"/>
              </w:rPr>
            </w:pPr>
          </w:p>
        </w:tc>
      </w:tr>
      <w:tr>
        <w:trPr>
          <w:trHeight w:val="158"/>
        </w:trPr>
        <w:tc>
          <w:tcPr>
            <w:tcW w:w="3100" w:type="dxa"/>
            <w:vAlign w:val="bottom"/>
            <w:gridSpan w:val="2"/>
          </w:tcPr>
          <w:p>
            <w:pPr>
              <w:spacing w:after="0" w:line="158"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3"/>
                <w:szCs w:val="13"/>
                <w:color w:val="auto"/>
              </w:rPr>
            </w:pPr>
          </w:p>
        </w:tc>
        <w:tc>
          <w:tcPr>
            <w:tcW w:w="1260" w:type="dxa"/>
            <w:vAlign w:val="bottom"/>
          </w:tcPr>
          <w:p>
            <w:pPr>
              <w:jc w:val="right"/>
              <w:spacing w:after="0" w:line="151" w:lineRule="exact"/>
              <w:rPr>
                <w:sz w:val="20"/>
                <w:szCs w:val="20"/>
                <w:color w:val="auto"/>
              </w:rPr>
            </w:pPr>
            <w:r>
              <w:rPr>
                <w:rFonts w:ascii="Arial" w:cs="Arial" w:eastAsia="Arial" w:hAnsi="Arial"/>
                <w:sz w:val="14"/>
                <w:szCs w:val="14"/>
                <w:color w:val="auto"/>
              </w:rPr>
              <w:t>66,426,361</w:t>
            </w:r>
          </w:p>
        </w:tc>
        <w:tc>
          <w:tcPr>
            <w:tcW w:w="134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64,889,964</w:t>
            </w:r>
          </w:p>
        </w:tc>
        <w:tc>
          <w:tcPr>
            <w:tcW w:w="1420" w:type="dxa"/>
            <w:vAlign w:val="bottom"/>
          </w:tcPr>
          <w:p>
            <w:pPr>
              <w:jc w:val="right"/>
              <w:spacing w:after="0" w:line="151" w:lineRule="exact"/>
              <w:rPr>
                <w:sz w:val="20"/>
                <w:szCs w:val="20"/>
                <w:color w:val="auto"/>
              </w:rPr>
            </w:pPr>
            <w:r>
              <w:rPr>
                <w:rFonts w:ascii="Arial" w:cs="Arial" w:eastAsia="Arial" w:hAnsi="Arial"/>
                <w:sz w:val="14"/>
                <w:szCs w:val="14"/>
                <w:color w:val="auto"/>
              </w:rPr>
              <w:t>37,726,908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16—Related party transactions</w:t>
      </w:r>
    </w:p>
    <w:p>
      <w:pPr>
        <w:spacing w:after="0" w:line="156" w:lineRule="exact"/>
        <w:rPr>
          <w:sz w:val="20"/>
          <w:szCs w:val="20"/>
          <w:color w:val="auto"/>
        </w:rPr>
      </w:pPr>
    </w:p>
    <w:p>
      <w:pPr>
        <w:ind w:left="1240" w:right="1599"/>
        <w:spacing w:after="0" w:line="262"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3"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Prior Century. The acquired licenses and other contracts with FCDI are as follows: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Acquired FCDI Licenses</w:t>
      </w:r>
    </w:p>
    <w:p>
      <w:pPr>
        <w:spacing w:after="0" w:line="142"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7"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4"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Collaboration Agreement</w:t>
      </w:r>
    </w:p>
    <w:p>
      <w:pPr>
        <w:spacing w:after="0" w:line="142"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T-cell-derived iPSCs and immune cells derived therefrom. FCDI will provide services in accordance with the approved research plan and related research budget. The initial research plan covers the period from October 2019 through March 31, 2022. The original research budget of $19,700 was increased to $30,400 in March 2021.</w:t>
      </w:r>
    </w:p>
    <w:p>
      <w:pPr>
        <w:spacing w:after="0" w:line="288" w:lineRule="exact"/>
        <w:rPr>
          <w:sz w:val="20"/>
          <w:szCs w:val="20"/>
          <w:color w:val="auto"/>
        </w:rPr>
      </w:pPr>
    </w:p>
    <w:p>
      <w:pPr>
        <w:ind w:left="1240" w:right="1319"/>
        <w:spacing w:after="0" w:line="277" w:lineRule="auto"/>
        <w:rPr>
          <w:sz w:val="20"/>
          <w:szCs w:val="20"/>
          <w:color w:val="auto"/>
        </w:rPr>
      </w:pPr>
      <w:r>
        <w:rPr>
          <w:rFonts w:ascii="Arial" w:cs="Arial" w:eastAsia="Arial" w:hAnsi="Arial"/>
          <w:sz w:val="14"/>
          <w:szCs w:val="14"/>
          <w:color w:val="auto"/>
        </w:rPr>
        <w:t>During the Successor period ended December 31, 2020, the Company made payments of $5,311 and incurred research and development expenses of $9,002 and legal fees of $52 recorded within general and administrative expenses in its consolidated statements of operations and comprehensive loss. As of December 31, 2020, there was $1,844 in accounts payable on the consolidated balance sheets.</w:t>
      </w:r>
    </w:p>
    <w:p>
      <w:pPr>
        <w:spacing w:after="0" w:line="274" w:lineRule="exact"/>
        <w:rPr>
          <w:sz w:val="20"/>
          <w:szCs w:val="20"/>
          <w:color w:val="auto"/>
        </w:rPr>
      </w:pPr>
    </w:p>
    <w:p>
      <w:pPr>
        <w:ind w:left="1240" w:right="1279"/>
        <w:spacing w:after="0" w:line="276" w:lineRule="auto"/>
        <w:rPr>
          <w:sz w:val="20"/>
          <w:szCs w:val="20"/>
          <w:color w:val="auto"/>
        </w:rPr>
      </w:pPr>
      <w:r>
        <w:rPr>
          <w:rFonts w:ascii="Arial" w:cs="Arial" w:eastAsia="Arial" w:hAnsi="Arial"/>
          <w:sz w:val="14"/>
          <w:szCs w:val="14"/>
          <w:color w:val="auto"/>
        </w:rPr>
        <w:t>During the Successor period June 21, 2019 through December 31, 2019, the Company made payments of $4,847, of which $2,140 is classified in prepaid expenses and other current assets in the consolidated balance sheet as of December 31, 2019. During the Successor period June 21, 2019 through December 31, 2019, the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2" w:name="page243"/>
    <w:bookmarkEnd w:id="242"/>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59"/>
        <w:spacing w:after="0" w:line="278" w:lineRule="auto"/>
        <w:rPr>
          <w:sz w:val="20"/>
          <w:szCs w:val="20"/>
          <w:color w:val="auto"/>
        </w:rPr>
      </w:pPr>
      <w:r>
        <w:rPr>
          <w:rFonts w:ascii="Arial" w:cs="Arial" w:eastAsia="Arial" w:hAnsi="Arial"/>
          <w:sz w:val="14"/>
          <w:szCs w:val="14"/>
          <w:color w:val="auto"/>
        </w:rPr>
        <w:t>Company incurred research and development operating expenses of $3,139 and legal fees of $118 recorded as general and administrative expenses in the consolidated statements of operations and comprehensive loss.</w:t>
      </w:r>
    </w:p>
    <w:p>
      <w:pPr>
        <w:spacing w:after="0" w:line="94" w:lineRule="exact"/>
        <w:rPr>
          <w:sz w:val="20"/>
          <w:szCs w:val="20"/>
          <w:color w:val="auto"/>
        </w:rPr>
      </w:pPr>
    </w:p>
    <w:p>
      <w:pPr>
        <w:ind w:left="1240" w:right="1499"/>
        <w:spacing w:after="0" w:line="286" w:lineRule="auto"/>
        <w:rPr>
          <w:sz w:val="20"/>
          <w:szCs w:val="20"/>
          <w:color w:val="auto"/>
        </w:rPr>
      </w:pPr>
      <w:r>
        <w:rPr>
          <w:rFonts w:ascii="Arial" w:cs="Arial" w:eastAsia="Arial" w:hAnsi="Arial"/>
          <w:sz w:val="14"/>
          <w:szCs w:val="14"/>
          <w:color w:val="auto"/>
        </w:rPr>
        <w:t>During the Predecessor period January 1, 2019 through June 20, 2019, the Company incurred research and development operating expenses of $1,643.</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4"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In 2019, the Company entered into arrangements with two shareholders of Prior Century,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$94, $106 and $44 related to these consulting arrangements that were included in research and development expenses in the consolidated statements of operations and comprehensive loss for the Successor period ended December 31, 2020, the Successor period June 21, 2019 through December 31, 2019, and the Predecessor period January 1, 2019 through June 20, 2019, respectively.</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17—Subsequent Events</w:t>
      </w:r>
    </w:p>
    <w:p>
      <w:pPr>
        <w:spacing w:after="0" w:line="140" w:lineRule="exact"/>
        <w:rPr>
          <w:sz w:val="20"/>
          <w:szCs w:val="20"/>
          <w:color w:val="auto"/>
        </w:rPr>
      </w:pPr>
    </w:p>
    <w:p>
      <w:pPr>
        <w:ind w:left="1240" w:right="1299"/>
        <w:spacing w:after="0" w:line="274" w:lineRule="auto"/>
        <w:rPr>
          <w:sz w:val="20"/>
          <w:szCs w:val="20"/>
          <w:color w:val="auto"/>
        </w:rPr>
      </w:pPr>
      <w:r>
        <w:rPr>
          <w:rFonts w:ascii="Arial" w:cs="Arial" w:eastAsia="Arial" w:hAnsi="Arial"/>
          <w:sz w:val="14"/>
          <w:szCs w:val="14"/>
          <w:color w:val="auto"/>
        </w:rPr>
        <w:t>The Company has evaluated subsequent events for the year ended December 31, 2020, the date of these consolidated financial statements, through May 5, 2021, which represents the date these consolidated financial statements were issued. In connection with the reissuance of these consolidated financial statements to reflect the 2.5161-for-1 reverse stock split as described in Note 2, the Company has evaluated subsequent events through June 14, 2021, the date these consolidated financial statements were available to be reissued.</w:t>
      </w:r>
    </w:p>
    <w:p>
      <w:pPr>
        <w:spacing w:after="0" w:line="9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28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05" w:lineRule="exact"/>
        <w:rPr>
          <w:sz w:val="20"/>
          <w:szCs w:val="20"/>
          <w:color w:val="auto"/>
        </w:rPr>
      </w:pPr>
    </w:p>
    <w:p>
      <w:pPr>
        <w:ind w:left="1240" w:right="1559"/>
        <w:spacing w:after="0" w:line="275"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95"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 respectively. No dividends have been declared or paid as of December 31, 2020.</w:t>
      </w:r>
    </w:p>
    <w:p>
      <w:pPr>
        <w:spacing w:after="0" w:line="10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3" w:name="page244"/>
    <w:bookmarkEnd w:id="243"/>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719"/>
        <w:spacing w:after="0" w:line="286" w:lineRule="auto"/>
        <w:rPr>
          <w:sz w:val="20"/>
          <w:szCs w:val="20"/>
          <w:color w:val="auto"/>
        </w:rPr>
      </w:pPr>
      <w:r>
        <w:rPr>
          <w:rFonts w:ascii="Arial" w:cs="Arial" w:eastAsia="Arial" w:hAnsi="Arial"/>
          <w:sz w:val="14"/>
          <w:szCs w:val="14"/>
          <w:color w:val="auto"/>
        </w:rPr>
        <w:t>be distributed ratably among the holders of Preferred Stock in proportion to the preferential amount each such holder is otherwise entitled to receive.</w:t>
      </w:r>
    </w:p>
    <w:p>
      <w:pPr>
        <w:spacing w:after="0" w:line="87"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106"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95"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4" w:name="page245"/>
    <w:bookmarkEnd w:id="244"/>
    <w:p>
      <w:pPr>
        <w:ind w:left="260"/>
        <w:spacing w:after="0"/>
        <w:rPr>
          <w:rFonts w:ascii="Arial" w:cs="Arial" w:eastAsia="Arial" w:hAnsi="Arial"/>
          <w:sz w:val="11"/>
          <w:szCs w:val="11"/>
          <w:color w:val="003366"/>
        </w:rPr>
      </w:pPr>
      <w:hyperlink w:anchor="page216">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1" w:lineRule="auto"/>
        <w:rPr>
          <w:sz w:val="20"/>
          <w:szCs w:val="20"/>
          <w:color w:val="auto"/>
        </w:rPr>
      </w:pPr>
      <w:r>
        <w:rPr>
          <w:rFonts w:ascii="Arial" w:cs="Arial" w:eastAsia="Arial" w:hAnsi="Arial"/>
          <w:sz w:val="23"/>
          <w:szCs w:val="23"/>
          <w:b w:val="1"/>
          <w:bCs w:val="1"/>
          <w:color w:val="auto"/>
        </w:rPr>
        <w:t>Century Therapeutics, Inc. and Subsidiary Table of Contents</w:t>
      </w:r>
    </w:p>
    <w:p>
      <w:pPr>
        <w:spacing w:after="0" w:line="1" w:lineRule="exact"/>
        <w:rPr>
          <w:sz w:val="20"/>
          <w:szCs w:val="20"/>
          <w:color w:val="auto"/>
        </w:rPr>
      </w:pPr>
    </w:p>
    <w:p>
      <w:pPr>
        <w:ind w:left="1240" w:right="1279"/>
        <w:spacing w:after="0" w:line="231" w:lineRule="auto"/>
        <w:rPr>
          <w:sz w:val="20"/>
          <w:szCs w:val="20"/>
          <w:color w:val="auto"/>
        </w:rPr>
      </w:pPr>
      <w:r>
        <w:rPr>
          <w:rFonts w:ascii="Arial" w:cs="Arial" w:eastAsia="Arial" w:hAnsi="Arial"/>
          <w:sz w:val="23"/>
          <w:szCs w:val="23"/>
          <w:b w:val="1"/>
          <w:bCs w:val="1"/>
          <w:color w:val="auto"/>
        </w:rPr>
        <w:t>As of and for the three months ended March 31, 2021 and March 31, 2020</w:t>
      </w:r>
    </w:p>
    <w:p>
      <w:pPr>
        <w:spacing w:after="0" w:line="9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Unaudited consolidated financial statements</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040" w:type="dxa"/>
            <w:vAlign w:val="bottom"/>
            <w:gridSpan w:val="5"/>
          </w:tcPr>
          <w:p>
            <w:pPr>
              <w:spacing w:after="0"/>
              <w:rPr>
                <w:rFonts w:ascii="Arial" w:cs="Arial" w:eastAsia="Arial" w:hAnsi="Arial"/>
                <w:sz w:val="14"/>
                <w:szCs w:val="14"/>
                <w:color w:val="0000EE"/>
              </w:rPr>
            </w:pPr>
            <w:hyperlink w:anchor="page245">
              <w:r>
                <w:rPr>
                  <w:rFonts w:ascii="Arial" w:cs="Arial" w:eastAsia="Arial" w:hAnsi="Arial"/>
                  <w:sz w:val="14"/>
                  <w:szCs w:val="14"/>
                  <w:color w:val="0000EE"/>
                </w:rPr>
                <w:t>Consolidated balance sheets as of March 31, 2021 and December 31, 2020</w:t>
              </w:r>
            </w:hyperlink>
          </w:p>
        </w:tc>
        <w:tc>
          <w:tcPr>
            <w:tcW w:w="1860" w:type="dxa"/>
            <w:vAlign w:val="bottom"/>
            <w:gridSpan w:val="3"/>
          </w:tcPr>
          <w:p>
            <w:pPr>
              <w:spacing w:after="0"/>
              <w:rPr>
                <w:sz w:val="14"/>
                <w:szCs w:val="14"/>
                <w:color w:val="auto"/>
              </w:rPr>
            </w:pPr>
          </w:p>
        </w:tc>
        <w:tc>
          <w:tcPr>
            <w:tcW w:w="320" w:type="dxa"/>
            <w:vAlign w:val="bottom"/>
            <w:gridSpan w:val="2"/>
          </w:tcPr>
          <w:p>
            <w:pPr>
              <w:spacing w:after="0"/>
              <w:rPr>
                <w:rFonts w:ascii="Arial" w:cs="Arial" w:eastAsia="Arial" w:hAnsi="Arial"/>
                <w:sz w:val="14"/>
                <w:szCs w:val="14"/>
                <w:color w:val="0000EE"/>
              </w:rPr>
            </w:pPr>
            <w:hyperlink w:anchor="page245">
              <w:r>
                <w:rPr>
                  <w:rFonts w:ascii="Arial" w:cs="Arial" w:eastAsia="Arial" w:hAnsi="Arial"/>
                  <w:sz w:val="14"/>
                  <w:szCs w:val="14"/>
                  <w:color w:val="0000EE"/>
                </w:rPr>
                <w:t>F-30</w:t>
              </w:r>
            </w:hyperlink>
          </w:p>
        </w:tc>
      </w:tr>
      <w:tr>
        <w:trPr>
          <w:trHeight w:val="26"/>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208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tcBorders>
              <w:bottom w:val="single" w:sz="8" w:color="0000EE"/>
            </w:tcBorders>
          </w:tcPr>
          <w:p>
            <w:pPr>
              <w:spacing w:after="0"/>
              <w:rPr>
                <w:sz w:val="15"/>
                <w:szCs w:val="15"/>
                <w:color w:val="auto"/>
              </w:rPr>
            </w:pPr>
          </w:p>
        </w:tc>
        <w:tc>
          <w:tcPr>
            <w:tcW w:w="6780" w:type="dxa"/>
            <w:vAlign w:val="bottom"/>
            <w:tcBorders>
              <w:bottom w:val="single" w:sz="8" w:color="0000EE"/>
            </w:tcBorders>
            <w:gridSpan w:val="6"/>
            <w:shd w:val="clear" w:color="auto" w:fill="CCEEFF"/>
          </w:tcPr>
          <w:p>
            <w:pPr>
              <w:spacing w:after="0"/>
              <w:rPr>
                <w:rFonts w:ascii="Arial" w:cs="Arial" w:eastAsia="Arial" w:hAnsi="Arial"/>
                <w:sz w:val="14"/>
                <w:szCs w:val="14"/>
                <w:color w:val="0000EE"/>
              </w:rPr>
            </w:pPr>
            <w:hyperlink w:anchor="page246">
              <w:r>
                <w:rPr>
                  <w:rFonts w:ascii="Arial" w:cs="Arial" w:eastAsia="Arial" w:hAnsi="Arial"/>
                  <w:sz w:val="14"/>
                  <w:szCs w:val="14"/>
                  <w:color w:val="0000EE"/>
                </w:rPr>
                <w:t>Consolidated statements of operations and comprehensive loss for the three months ended March 31,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line="151" w:lineRule="exact"/>
              <w:rPr>
                <w:rFonts w:ascii="Arial" w:cs="Arial" w:eastAsia="Arial" w:hAnsi="Arial"/>
                <w:sz w:val="14"/>
                <w:szCs w:val="14"/>
                <w:color w:val="0000EE"/>
              </w:rPr>
            </w:pPr>
            <w:hyperlink w:anchor="page246">
              <w:r>
                <w:rPr>
                  <w:rFonts w:ascii="Arial" w:cs="Arial" w:eastAsia="Arial" w:hAnsi="Arial"/>
                  <w:sz w:val="14"/>
                  <w:szCs w:val="14"/>
                  <w:color w:val="0000EE"/>
                </w:rPr>
                <w:t>2021 and March 31, 2020</w:t>
              </w:r>
            </w:hyperlink>
          </w:p>
        </w:tc>
        <w:tc>
          <w:tcPr>
            <w:tcW w:w="5040" w:type="dxa"/>
            <w:vAlign w:val="bottom"/>
            <w:gridSpan w:val="5"/>
            <w:shd w:val="clear" w:color="auto" w:fill="CCEEFF"/>
          </w:tcPr>
          <w:p>
            <w:pPr>
              <w:spacing w:after="0"/>
              <w:rPr>
                <w:sz w:val="13"/>
                <w:szCs w:val="13"/>
                <w:color w:val="auto"/>
              </w:rPr>
            </w:pPr>
          </w:p>
        </w:tc>
        <w:tc>
          <w:tcPr>
            <w:tcW w:w="320" w:type="dxa"/>
            <w:vAlign w:val="bottom"/>
            <w:gridSpan w:val="2"/>
            <w:shd w:val="clear" w:color="auto" w:fill="CCEEFF"/>
          </w:tcPr>
          <w:p>
            <w:pPr>
              <w:spacing w:after="0" w:line="151" w:lineRule="exact"/>
              <w:rPr>
                <w:rFonts w:ascii="Arial" w:cs="Arial" w:eastAsia="Arial" w:hAnsi="Arial"/>
                <w:sz w:val="14"/>
                <w:szCs w:val="14"/>
                <w:color w:val="0000EE"/>
              </w:rPr>
            </w:pPr>
            <w:hyperlink w:anchor="page246">
              <w:r>
                <w:rPr>
                  <w:rFonts w:ascii="Arial" w:cs="Arial" w:eastAsia="Arial" w:hAnsi="Arial"/>
                  <w:sz w:val="14"/>
                  <w:szCs w:val="14"/>
                  <w:color w:val="0000EE"/>
                </w:rPr>
                <w:t>F-31</w:t>
              </w:r>
            </w:hyperlink>
          </w:p>
        </w:tc>
      </w:tr>
      <w:tr>
        <w:trPr>
          <w:trHeight w:val="23"/>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1"/>
        </w:trPr>
        <w:tc>
          <w:tcPr>
            <w:tcW w:w="6560" w:type="dxa"/>
            <w:vAlign w:val="bottom"/>
            <w:tcBorders>
              <w:bottom w:val="single" w:sz="8" w:color="0000EE"/>
            </w:tcBorders>
            <w:gridSpan w:val="6"/>
          </w:tcPr>
          <w:p>
            <w:pPr>
              <w:spacing w:after="0"/>
              <w:rPr>
                <w:rFonts w:ascii="Arial" w:cs="Arial" w:eastAsia="Arial" w:hAnsi="Arial"/>
                <w:sz w:val="14"/>
                <w:szCs w:val="14"/>
                <w:color w:val="0000EE"/>
              </w:rPr>
            </w:pPr>
            <w:hyperlink w:anchor="page247">
              <w:r>
                <w:rPr>
                  <w:rFonts w:ascii="Arial" w:cs="Arial" w:eastAsia="Arial" w:hAnsi="Arial"/>
                  <w:sz w:val="14"/>
                  <w:szCs w:val="14"/>
                  <w:color w:val="0000EE"/>
                </w:rPr>
                <w:t>Consolidated statements of changes in convertible preferred stock and stockholders’ deficit for the</w:t>
              </w:r>
            </w:hyperlink>
          </w:p>
        </w:tc>
        <w:tc>
          <w:tcPr>
            <w:tcW w:w="3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40" w:type="dxa"/>
            <w:vAlign w:val="bottom"/>
            <w:gridSpan w:val="6"/>
          </w:tcPr>
          <w:p>
            <w:pPr>
              <w:spacing w:after="0" w:line="151" w:lineRule="exact"/>
              <w:rPr>
                <w:rFonts w:ascii="Arial" w:cs="Arial" w:eastAsia="Arial" w:hAnsi="Arial"/>
                <w:sz w:val="14"/>
                <w:szCs w:val="14"/>
                <w:color w:val="0000EE"/>
              </w:rPr>
            </w:pPr>
            <w:hyperlink w:anchor="page247">
              <w:r>
                <w:rPr>
                  <w:rFonts w:ascii="Arial" w:cs="Arial" w:eastAsia="Arial" w:hAnsi="Arial"/>
                  <w:sz w:val="14"/>
                  <w:szCs w:val="14"/>
                  <w:color w:val="0000EE"/>
                </w:rPr>
                <w:t>three months ended March 31, 2021 and March 31, 2020</w:t>
              </w:r>
            </w:hyperlink>
          </w:p>
        </w:tc>
        <w:tc>
          <w:tcPr>
            <w:tcW w:w="320" w:type="dxa"/>
            <w:vAlign w:val="bottom"/>
            <w:gridSpan w:val="2"/>
          </w:tcPr>
          <w:p>
            <w:pPr>
              <w:spacing w:after="0" w:line="151" w:lineRule="exact"/>
              <w:rPr>
                <w:rFonts w:ascii="Arial" w:cs="Arial" w:eastAsia="Arial" w:hAnsi="Arial"/>
                <w:sz w:val="14"/>
                <w:szCs w:val="14"/>
                <w:color w:val="0000EE"/>
              </w:rPr>
            </w:pPr>
            <w:hyperlink w:anchor="page247">
              <w:r>
                <w:rPr>
                  <w:rFonts w:ascii="Arial" w:cs="Arial" w:eastAsia="Arial" w:hAnsi="Arial"/>
                  <w:sz w:val="14"/>
                  <w:szCs w:val="14"/>
                  <w:color w:val="0000EE"/>
                </w:rPr>
                <w:t>F-32</w:t>
              </w:r>
            </w:hyperlink>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20320</wp:posOffset>
            </wp:positionV>
            <wp:extent cx="4569460" cy="135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569460" cy="135890"/>
                    </a:xfrm>
                    <a:prstGeom prst="rect">
                      <a:avLst/>
                    </a:prstGeom>
                    <a:noFill/>
                  </pic:spPr>
                </pic:pic>
              </a:graphicData>
            </a:graphic>
          </wp:anchor>
        </w:drawing>
      </w:r>
    </w:p>
    <w:p>
      <w:pPr>
        <w:spacing w:after="0" w:line="54" w:lineRule="exact"/>
        <w:rPr>
          <w:sz w:val="20"/>
          <w:szCs w:val="20"/>
          <w:color w:val="auto"/>
        </w:rPr>
      </w:pPr>
    </w:p>
    <w:p>
      <w:pPr>
        <w:jc w:val="right"/>
        <w:ind w:right="579"/>
        <w:spacing w:after="0"/>
        <w:rPr>
          <w:rFonts w:ascii="Arial" w:cs="Arial" w:eastAsia="Arial" w:hAnsi="Arial"/>
          <w:sz w:val="14"/>
          <w:szCs w:val="14"/>
          <w:u w:val="single" w:color="auto"/>
          <w:color w:val="0000EE"/>
        </w:rPr>
      </w:pPr>
      <w:hyperlink w:anchor="page248">
        <w:r>
          <w:rPr>
            <w:rFonts w:ascii="Arial" w:cs="Arial" w:eastAsia="Arial" w:hAnsi="Arial"/>
            <w:sz w:val="14"/>
            <w:szCs w:val="14"/>
            <w:u w:val="single" w:color="auto"/>
            <w:color w:val="0000EE"/>
          </w:rPr>
          <w:t>Consolidated statements of cash flows for the three months ended March 31, 2021 and March 31, 2020F-33</w:t>
        </w:r>
      </w:hyperlink>
    </w:p>
    <w:p>
      <w:pPr>
        <w:spacing w:after="0" w:line="32"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840" w:type="dxa"/>
            <w:vAlign w:val="bottom"/>
            <w:tcBorders>
              <w:bottom w:val="single" w:sz="8" w:color="0000EE"/>
            </w:tcBorders>
          </w:tcPr>
          <w:p>
            <w:pPr>
              <w:spacing w:after="0"/>
              <w:rPr>
                <w:rFonts w:ascii="Arial" w:cs="Arial" w:eastAsia="Arial" w:hAnsi="Arial"/>
                <w:sz w:val="14"/>
                <w:szCs w:val="14"/>
                <w:color w:val="0000EE"/>
              </w:rPr>
            </w:pPr>
            <w:hyperlink w:anchor="page249">
              <w:r>
                <w:rPr>
                  <w:rFonts w:ascii="Arial" w:cs="Arial" w:eastAsia="Arial" w:hAnsi="Arial"/>
                  <w:sz w:val="14"/>
                  <w:szCs w:val="14"/>
                  <w:color w:val="0000EE"/>
                </w:rPr>
                <w:t>Notes to consolidated financial statements</w:t>
              </w:r>
            </w:hyperlink>
          </w:p>
        </w:tc>
        <w:tc>
          <w:tcPr>
            <w:tcW w:w="4060" w:type="dxa"/>
            <w:vAlign w:val="bottom"/>
          </w:tcPr>
          <w:p>
            <w:pPr>
              <w:spacing w:after="0"/>
              <w:rPr>
                <w:sz w:val="14"/>
                <w:szCs w:val="14"/>
                <w:color w:val="auto"/>
              </w:rPr>
            </w:pPr>
          </w:p>
        </w:tc>
        <w:tc>
          <w:tcPr>
            <w:tcW w:w="300" w:type="dxa"/>
            <w:vAlign w:val="bottom"/>
            <w:tcBorders>
              <w:bottom w:val="single" w:sz="8" w:color="0000EE"/>
            </w:tcBorders>
          </w:tcPr>
          <w:p>
            <w:pPr>
              <w:spacing w:after="0"/>
              <w:rPr>
                <w:rFonts w:ascii="Arial" w:cs="Arial" w:eastAsia="Arial" w:hAnsi="Arial"/>
                <w:sz w:val="14"/>
                <w:szCs w:val="14"/>
                <w:color w:val="0000EE"/>
                <w:w w:val="97"/>
              </w:rPr>
            </w:pPr>
            <w:hyperlink w:anchor="page249">
              <w:r>
                <w:rPr>
                  <w:rFonts w:ascii="Arial" w:cs="Arial" w:eastAsia="Arial" w:hAnsi="Arial"/>
                  <w:sz w:val="14"/>
                  <w:szCs w:val="14"/>
                  <w:color w:val="0000EE"/>
                  <w:w w:val="97"/>
                </w:rPr>
                <w:t>F-34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5" w:name="page246"/>
    <w:bookmarkEnd w:id="245"/>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979"/>
        <w:spacing w:after="0" w:line="236"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0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 2021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(unaudited)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79,483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103,459</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48,542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Escrow deposits, current</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ind w:left="140"/>
              <w:spacing w:after="0" w:line="150" w:lineRule="exact"/>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1,980</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2,261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color w:val="auto"/>
              </w:rPr>
              <w:t>185,299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78,797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20,657</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2,119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Operating lease right-of-use asset, net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12,460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Escrow deposits, non-current</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723</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63,138</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line="150" w:lineRule="exact"/>
              <w:rPr>
                <w:sz w:val="20"/>
                <w:szCs w:val="20"/>
                <w:color w:val="auto"/>
              </w:rPr>
            </w:pPr>
            <w:r>
              <w:rPr>
                <w:rFonts w:ascii="Arial" w:cs="Arial" w:eastAsia="Arial" w:hAnsi="Arial"/>
                <w:sz w:val="14"/>
                <w:szCs w:val="14"/>
                <w:color w:val="auto"/>
              </w:rPr>
              <w:t>Security deposits</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1,142</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48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shd w:val="clear" w:color="auto" w:fill="CCEEFF"/>
          </w:tcPr>
          <w:p>
            <w:pPr>
              <w:ind w:left="260"/>
              <w:spacing w:after="0" w:line="141"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Arial" w:cs="Arial" w:eastAsia="Arial" w:hAnsi="Arial"/>
                <w:sz w:val="14"/>
                <w:szCs w:val="14"/>
                <w:b w:val="1"/>
                <w:bCs w:val="1"/>
                <w:color w:val="auto"/>
              </w:rPr>
              <w:t>286,055</w:t>
            </w:r>
          </w:p>
        </w:tc>
        <w:tc>
          <w:tcPr>
            <w:tcW w:w="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106,776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spacing w:after="0" w:line="142"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80" w:type="dxa"/>
            <w:vAlign w:val="bottom"/>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8,816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3,815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ind w:left="140"/>
              <w:spacing w:after="0" w:line="150" w:lineRule="exact"/>
              <w:rPr>
                <w:sz w:val="20"/>
                <w:szCs w:val="20"/>
                <w:color w:val="auto"/>
              </w:rPr>
            </w:pPr>
            <w:r>
              <w:rPr>
                <w:rFonts w:ascii="Arial" w:cs="Arial" w:eastAsia="Arial" w:hAnsi="Arial"/>
                <w:sz w:val="14"/>
                <w:szCs w:val="14"/>
                <w:color w:val="auto"/>
              </w:rPr>
              <w:t>Deposit liability</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281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 current liabilities</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line="151" w:lineRule="exact"/>
              <w:rPr>
                <w:sz w:val="20"/>
                <w:szCs w:val="20"/>
                <w:color w:val="auto"/>
              </w:rPr>
            </w:pPr>
            <w:r>
              <w:rPr>
                <w:rFonts w:ascii="Arial" w:cs="Arial" w:eastAsia="Arial" w:hAnsi="Arial"/>
                <w:sz w:val="14"/>
                <w:szCs w:val="14"/>
                <w:b w:val="1"/>
                <w:bCs w:val="1"/>
                <w:color w:val="auto"/>
              </w:rPr>
              <w:t>12,912</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12,112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Operating lease liability, long-term</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14,745</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Deposit liability, non-current</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855</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tcPr>
          <w:p>
            <w:pPr>
              <w:spacing w:after="0" w:line="150" w:lineRule="exact"/>
              <w:rPr>
                <w:sz w:val="20"/>
                <w:szCs w:val="20"/>
                <w:color w:val="auto"/>
              </w:rPr>
            </w:pPr>
            <w:r>
              <w:rPr>
                <w:rFonts w:ascii="Arial" w:cs="Arial" w:eastAsia="Arial" w:hAnsi="Arial"/>
                <w:sz w:val="14"/>
                <w:szCs w:val="14"/>
                <w:color w:val="auto"/>
              </w:rPr>
              <w:t>Long-term debt, net</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0" w:lineRule="exact"/>
              <w:rPr>
                <w:sz w:val="20"/>
                <w:szCs w:val="20"/>
                <w:color w:val="auto"/>
              </w:rPr>
            </w:pPr>
            <w:r>
              <w:rPr>
                <w:rFonts w:ascii="Arial" w:cs="Arial" w:eastAsia="Arial" w:hAnsi="Arial"/>
                <w:sz w:val="14"/>
                <w:szCs w:val="14"/>
                <w:color w:val="auto"/>
              </w:rPr>
              <w:t>9,711</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9,636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liabilities</w:t>
            </w:r>
          </w:p>
        </w:tc>
        <w:tc>
          <w:tcPr>
            <w:tcW w:w="3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9"/>
              <w:spacing w:after="0" w:line="141" w:lineRule="exact"/>
              <w:rPr>
                <w:sz w:val="20"/>
                <w:szCs w:val="20"/>
                <w:color w:val="auto"/>
              </w:rPr>
            </w:pPr>
            <w:r>
              <w:rPr>
                <w:rFonts w:ascii="Arial" w:cs="Arial" w:eastAsia="Arial" w:hAnsi="Arial"/>
                <w:sz w:val="14"/>
                <w:szCs w:val="14"/>
                <w:b w:val="1"/>
                <w:bCs w:val="1"/>
                <w:color w:val="auto"/>
              </w:rPr>
              <w:t>38,223</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33,427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line="142" w:lineRule="exact"/>
              <w:rPr>
                <w:sz w:val="20"/>
                <w:szCs w:val="20"/>
                <w:color w:val="auto"/>
              </w:rPr>
            </w:pPr>
            <w:r>
              <w:rPr>
                <w:rFonts w:ascii="Arial" w:cs="Arial" w:eastAsia="Arial" w:hAnsi="Arial"/>
                <w:sz w:val="14"/>
                <w:szCs w:val="14"/>
                <w:color w:val="auto"/>
              </w:rPr>
              <w:t>Commitments and contingencies (Note 11)</w:t>
            </w: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90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A, $0.0001 par value,</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35,000,000 shares authorized, issued and outstanding at March 31,</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34,922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Non-cumulative convertible preferred stock, Series B, $0.0001 par value,</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26,143,790 shares authorized, issued and outstanding at March 31,</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2021 and December 31, 2020</w:t>
            </w:r>
          </w:p>
        </w:tc>
        <w:tc>
          <w:tcPr>
            <w:tcW w:w="3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144,839</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C, $0.0001 par value,</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24,721,999 and 0 shares authorized, issued and outstanding at</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March 31, 2021 and December 31, 2020, respectively</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159,628</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80" w:type="dxa"/>
            <w:vAlign w:val="bottom"/>
          </w:tcPr>
          <w:p>
            <w:pPr>
              <w:spacing w:after="0" w:line="139" w:lineRule="exact"/>
              <w:rPr>
                <w:sz w:val="20"/>
                <w:szCs w:val="20"/>
                <w:color w:val="auto"/>
              </w:rPr>
            </w:pPr>
            <w:r>
              <w:rPr>
                <w:rFonts w:ascii="Arial" w:cs="Arial" w:eastAsia="Arial" w:hAnsi="Arial"/>
                <w:sz w:val="14"/>
                <w:szCs w:val="14"/>
                <w:color w:val="auto"/>
              </w:rPr>
              <w:t>Stockholders’ deficit:</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 125,236,190 shares authorized;</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7,872,533 and 7,481,861 shares issued and outstanding at March 31,</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 respectively</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3"/>
                <w:szCs w:val="13"/>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219,158</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receivable</w:t>
            </w: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Accumulated deficit</w:t>
            </w: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(310,690)</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(292,342)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80" w:type="dxa"/>
            <w:vAlign w:val="bottom"/>
            <w:tcBorders>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Total stockholders’ deficit</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(91,557)</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(106,412)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liabilities, convertible preferred stock and stockholders’ deficit</w:t>
            </w:r>
          </w:p>
        </w:tc>
        <w:tc>
          <w:tcPr>
            <w:tcW w:w="3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shd w:val="clear" w:color="auto" w:fill="CCEEFF"/>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shd w:val="clear" w:color="auto" w:fill="CCEEFF"/>
              </w:rPr>
              <w:t>286,055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106,776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-135255</wp:posOffset>
            </wp:positionV>
            <wp:extent cx="310070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-2250440</wp:posOffset>
            </wp:positionV>
            <wp:extent cx="310070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-2658110</wp:posOffset>
            </wp:positionV>
            <wp:extent cx="310070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-3277235</wp:posOffset>
            </wp:positionV>
            <wp:extent cx="310070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-4093210</wp:posOffset>
            </wp:positionV>
            <wp:extent cx="310070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007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-4705350</wp:posOffset>
            </wp:positionV>
            <wp:extent cx="310070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00705" cy="6985"/>
                    </a:xfrm>
                    <a:prstGeom prst="rect">
                      <a:avLst/>
                    </a:prstGeom>
                    <a:noFill/>
                  </pic:spPr>
                </pic:pic>
              </a:graphicData>
            </a:graphic>
          </wp:anchor>
        </w:drawing>
      </w:r>
    </w:p>
    <w:p>
      <w:pPr>
        <w:spacing w:after="0" w:line="66"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6" w:name="page247"/>
    <w:bookmarkEnd w:id="246"/>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40" w:right="2839"/>
        <w:spacing w:after="0" w:line="222"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March 31, 2020</w:t>
            </w:r>
          </w:p>
        </w:tc>
      </w:tr>
      <w:tr>
        <w:trPr>
          <w:trHeight w:val="177"/>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(unaudited)</w:t>
            </w:r>
          </w:p>
        </w:tc>
        <w:tc>
          <w:tcPr>
            <w:tcW w:w="6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(unaudited)</w:t>
            </w:r>
          </w:p>
        </w:tc>
      </w:tr>
      <w:tr>
        <w:trPr>
          <w:trHeight w:val="193"/>
        </w:trPr>
        <w:tc>
          <w:tcPr>
            <w:tcW w:w="20" w:type="dxa"/>
            <w:vAlign w:val="bottom"/>
          </w:tcPr>
          <w:p>
            <w:pPr>
              <w:spacing w:after="0"/>
              <w:rPr>
                <w:sz w:val="16"/>
                <w:szCs w:val="16"/>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6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1"/>
        </w:trPr>
        <w:tc>
          <w:tcPr>
            <w:tcW w:w="3640" w:type="dxa"/>
            <w:vAlign w:val="bottom"/>
            <w:gridSpan w:val="3"/>
          </w:tcPr>
          <w:p>
            <w:pPr>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15,374</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7,943</w:t>
            </w:r>
          </w:p>
        </w:tc>
        <w:tc>
          <w:tcPr>
            <w:tcW w:w="40" w:type="dxa"/>
            <w:vAlign w:val="bottom"/>
          </w:tcPr>
          <w:p>
            <w:pPr>
              <w:spacing w:after="0"/>
              <w:rPr>
                <w:sz w:val="15"/>
                <w:szCs w:val="15"/>
                <w:color w:val="auto"/>
              </w:rPr>
            </w:pPr>
          </w:p>
        </w:tc>
      </w:tr>
      <w:tr>
        <w:trPr>
          <w:trHeight w:val="22"/>
        </w:trPr>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4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18,062</w:t>
            </w:r>
          </w:p>
        </w:tc>
        <w:tc>
          <w:tcPr>
            <w:tcW w:w="6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6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40" w:type="dxa"/>
            <w:vAlign w:val="bottom"/>
          </w:tcPr>
          <w:p>
            <w:pPr>
              <w:spacing w:after="0"/>
              <w:rPr>
                <w:sz w:val="15"/>
                <w:szCs w:val="15"/>
                <w:color w:val="auto"/>
              </w:rPr>
            </w:pPr>
          </w:p>
        </w:tc>
      </w:tr>
      <w:tr>
        <w:trPr>
          <w:trHeight w:val="181"/>
        </w:trPr>
        <w:tc>
          <w:tcPr>
            <w:tcW w:w="364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w:t>
            </w:r>
          </w:p>
        </w:tc>
        <w:tc>
          <w:tcPr>
            <w:tcW w:w="6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2"/>
        </w:trPr>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6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(9,673)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6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color w:val="auto"/>
              </w:rPr>
              <w:t>Net loss per common share</w:t>
            </w:r>
          </w:p>
        </w:tc>
        <w:tc>
          <w:tcPr>
            <w:tcW w:w="6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92"/>
        </w:trPr>
        <w:tc>
          <w:tcPr>
            <w:tcW w:w="20" w:type="dxa"/>
            <w:vAlign w:val="bottom"/>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Basic and Diluted</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(2.39)</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CCEEFF"/>
            </w:tcBorders>
            <w:gridSpan w:val="2"/>
            <w:shd w:val="clear" w:color="auto" w:fill="CCEEFF"/>
          </w:tcPr>
          <w:p>
            <w:pPr>
              <w:spacing w:after="0" w:line="133" w:lineRule="exact"/>
              <w:rPr>
                <w:sz w:val="20"/>
                <w:szCs w:val="20"/>
                <w:color w:val="auto"/>
              </w:rPr>
            </w:pPr>
            <w:r>
              <w:rPr>
                <w:rFonts w:ascii="Arial" w:cs="Arial" w:eastAsia="Arial" w:hAnsi="Arial"/>
                <w:sz w:val="14"/>
                <w:szCs w:val="14"/>
                <w:color w:val="auto"/>
              </w:rPr>
              <w:t>Weighted average common shares outstanding</w:t>
            </w:r>
          </w:p>
        </w:tc>
        <w:tc>
          <w:tcPr>
            <w:tcW w:w="6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87"/>
        </w:trPr>
        <w:tc>
          <w:tcPr>
            <w:tcW w:w="20" w:type="dxa"/>
            <w:vAlign w:val="bottom"/>
          </w:tcPr>
          <w:p>
            <w:pPr>
              <w:spacing w:after="0"/>
              <w:rPr>
                <w:sz w:val="16"/>
                <w:szCs w:val="16"/>
                <w:color w:val="auto"/>
              </w:rPr>
            </w:pPr>
          </w:p>
        </w:tc>
        <w:tc>
          <w:tcPr>
            <w:tcW w:w="3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Basic and Diluted</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7,677,196</w:t>
            </w: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6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2"/>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Unrealized (loss) gain on short-term investments</w:t>
            </w:r>
          </w:p>
        </w:tc>
        <w:tc>
          <w:tcPr>
            <w:tcW w:w="6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6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(18,371)</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(9,646)</w:t>
            </w:r>
          </w:p>
        </w:tc>
        <w:tc>
          <w:tcPr>
            <w:tcW w:w="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-12700</wp:posOffset>
            </wp:positionV>
            <wp:extent cx="2032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-149225</wp:posOffset>
            </wp:positionV>
            <wp:extent cx="230505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-659130</wp:posOffset>
            </wp:positionV>
            <wp:extent cx="230505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-1297940</wp:posOffset>
            </wp:positionV>
            <wp:extent cx="2032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-1678940</wp:posOffset>
            </wp:positionV>
            <wp:extent cx="230505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05050" cy="698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-1801495</wp:posOffset>
            </wp:positionV>
            <wp:extent cx="2032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-2182495</wp:posOffset>
            </wp:positionV>
            <wp:extent cx="230505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050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7" w:name="page248"/>
    <w:bookmarkEnd w:id="247"/>
    <w:p>
      <w:pPr>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ind w:left="680" w:right="2280"/>
        <w:spacing w:after="0" w:line="213"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 (unaudited)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72390</wp:posOffset>
            </wp:positionV>
            <wp:extent cx="6582410" cy="133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582410" cy="13335"/>
                    </a:xfrm>
                    <a:prstGeom prst="rect">
                      <a:avLst/>
                    </a:prstGeom>
                    <a:noFill/>
                  </pic:spPr>
                </pic:pic>
              </a:graphicData>
            </a:graphic>
          </wp:anchor>
        </w:drawing>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1140" w:type="dxa"/>
            <w:vAlign w:val="bottom"/>
            <w:gridSpan w:val="2"/>
            <w:vMerge w:val="restart"/>
          </w:tcPr>
          <w:p>
            <w:pPr>
              <w:jc w:val="right"/>
              <w:ind w:right="83"/>
              <w:spacing w:after="0"/>
              <w:rPr>
                <w:sz w:val="20"/>
                <w:szCs w:val="20"/>
                <w:color w:val="auto"/>
              </w:rPr>
            </w:pPr>
            <w:r>
              <w:rPr>
                <w:rFonts w:ascii="Arial" w:cs="Arial" w:eastAsia="Arial" w:hAnsi="Arial"/>
                <w:sz w:val="11"/>
                <w:szCs w:val="11"/>
                <w:b w:val="1"/>
                <w:bCs w:val="1"/>
                <w:color w:val="auto"/>
              </w:rPr>
              <w:t>Series A</w:t>
            </w:r>
          </w:p>
        </w:tc>
        <w:tc>
          <w:tcPr>
            <w:tcW w:w="100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Series B</w:t>
            </w:r>
          </w:p>
        </w:tc>
        <w:tc>
          <w:tcPr>
            <w:tcW w:w="112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auto"/>
              </w:rPr>
              <w:t>Series C</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gridSpan w:val="2"/>
            <w:vMerge w:val="restart"/>
          </w:tcPr>
          <w:p>
            <w:pPr>
              <w:jc w:val="right"/>
              <w:ind w:right="163"/>
              <w:spacing w:after="0" w:line="107"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restart"/>
          </w:tcPr>
          <w:p>
            <w:pPr>
              <w:jc w:val="right"/>
              <w:ind w:right="83"/>
              <w:spacing w:after="0" w:line="107" w:lineRule="exact"/>
              <w:rPr>
                <w:sz w:val="20"/>
                <w:szCs w:val="20"/>
                <w:color w:val="auto"/>
              </w:rPr>
            </w:pPr>
            <w:r>
              <w:rPr>
                <w:rFonts w:ascii="Arial" w:cs="Arial" w:eastAsia="Arial" w:hAnsi="Arial"/>
                <w:sz w:val="11"/>
                <w:szCs w:val="11"/>
                <w:b w:val="1"/>
                <w:bCs w:val="1"/>
                <w:color w:val="auto"/>
              </w:rPr>
              <w:t>Convertible</w:t>
            </w:r>
          </w:p>
        </w:tc>
        <w:tc>
          <w:tcPr>
            <w:tcW w:w="1000" w:type="dxa"/>
            <w:vAlign w:val="bottom"/>
            <w:gridSpan w:val="2"/>
            <w:vMerge w:val="restart"/>
          </w:tcPr>
          <w:p>
            <w:pPr>
              <w:jc w:val="right"/>
              <w:ind w:right="3"/>
              <w:spacing w:after="0" w:line="107" w:lineRule="exact"/>
              <w:rPr>
                <w:sz w:val="20"/>
                <w:szCs w:val="20"/>
                <w:color w:val="auto"/>
              </w:rPr>
            </w:pPr>
            <w:r>
              <w:rPr>
                <w:rFonts w:ascii="Arial" w:cs="Arial" w:eastAsia="Arial" w:hAnsi="Arial"/>
                <w:sz w:val="11"/>
                <w:szCs w:val="11"/>
                <w:b w:val="1"/>
                <w:bCs w:val="1"/>
                <w:color w:val="auto"/>
              </w:rPr>
              <w:t>Convertible</w:t>
            </w:r>
          </w:p>
        </w:tc>
        <w:tc>
          <w:tcPr>
            <w:tcW w:w="1120" w:type="dxa"/>
            <w:vAlign w:val="bottom"/>
            <w:gridSpan w:val="2"/>
            <w:vMerge w:val="restart"/>
          </w:tcPr>
          <w:p>
            <w:pPr>
              <w:jc w:val="right"/>
              <w:ind w:right="43"/>
              <w:spacing w:after="0" w:line="107" w:lineRule="exact"/>
              <w:rPr>
                <w:sz w:val="20"/>
                <w:szCs w:val="20"/>
                <w:color w:val="auto"/>
              </w:rPr>
            </w:pPr>
            <w:r>
              <w:rPr>
                <w:rFonts w:ascii="Arial" w:cs="Arial" w:eastAsia="Arial" w:hAnsi="Arial"/>
                <w:sz w:val="11"/>
                <w:szCs w:val="11"/>
                <w:b w:val="1"/>
                <w:bCs w:val="1"/>
                <w:color w:val="auto"/>
              </w:rPr>
              <w:t>Convertible</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restart"/>
          </w:tcPr>
          <w:p>
            <w:pPr>
              <w:spacing w:after="0" w:line="107" w:lineRule="exact"/>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restart"/>
          </w:tcPr>
          <w:p>
            <w:pPr>
              <w:jc w:val="right"/>
              <w:ind w:right="163"/>
              <w:spacing w:after="0" w:line="107"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4"/>
                <w:szCs w:val="4"/>
                <w:color w:val="auto"/>
              </w:rPr>
            </w:pPr>
          </w:p>
        </w:tc>
        <w:tc>
          <w:tcPr>
            <w:tcW w:w="560" w:type="dxa"/>
            <w:vAlign w:val="bottom"/>
            <w:gridSpan w:val="2"/>
            <w:vMerge w:val="restart"/>
          </w:tcPr>
          <w:p>
            <w:pPr>
              <w:jc w:val="right"/>
              <w:ind w:right="80"/>
              <w:spacing w:after="0" w:line="107"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140" w:type="dxa"/>
            <w:vAlign w:val="bottom"/>
            <w:gridSpan w:val="2"/>
            <w:vMerge w:val="restart"/>
          </w:tcPr>
          <w:p>
            <w:pPr>
              <w:jc w:val="right"/>
              <w:ind w:right="43"/>
              <w:spacing w:after="0" w:line="120" w:lineRule="exact"/>
              <w:rPr>
                <w:sz w:val="20"/>
                <w:szCs w:val="20"/>
                <w:color w:val="auto"/>
              </w:rPr>
            </w:pPr>
            <w:r>
              <w:rPr>
                <w:rFonts w:ascii="Arial" w:cs="Arial" w:eastAsia="Arial" w:hAnsi="Arial"/>
                <w:sz w:val="11"/>
                <w:szCs w:val="11"/>
                <w:b w:val="1"/>
                <w:bCs w:val="1"/>
                <w:color w:val="auto"/>
              </w:rPr>
              <w:t>Preferred Stock</w:t>
            </w:r>
          </w:p>
        </w:tc>
        <w:tc>
          <w:tcPr>
            <w:tcW w:w="1000" w:type="dxa"/>
            <w:vAlign w:val="bottom"/>
            <w:gridSpan w:val="2"/>
            <w:vMerge w:val="restart"/>
          </w:tcPr>
          <w:p>
            <w:pPr>
              <w:jc w:val="right"/>
              <w:spacing w:after="0" w:line="120" w:lineRule="exact"/>
              <w:rPr>
                <w:sz w:val="20"/>
                <w:szCs w:val="20"/>
                <w:color w:val="auto"/>
              </w:rPr>
            </w:pPr>
            <w:r>
              <w:rPr>
                <w:rFonts w:ascii="Arial" w:cs="Arial" w:eastAsia="Arial" w:hAnsi="Arial"/>
                <w:sz w:val="11"/>
                <w:szCs w:val="11"/>
                <w:b w:val="1"/>
                <w:bCs w:val="1"/>
                <w:color w:val="auto"/>
              </w:rPr>
              <w:t>Preferred Stock</w:t>
            </w:r>
          </w:p>
        </w:tc>
        <w:tc>
          <w:tcPr>
            <w:tcW w:w="1120" w:type="dxa"/>
            <w:vAlign w:val="bottom"/>
            <w:gridSpan w:val="2"/>
            <w:vMerge w:val="restart"/>
          </w:tcPr>
          <w:p>
            <w:pPr>
              <w:jc w:val="right"/>
              <w:ind w:right="3"/>
              <w:spacing w:after="0" w:line="120" w:lineRule="exact"/>
              <w:rPr>
                <w:sz w:val="20"/>
                <w:szCs w:val="20"/>
                <w:color w:val="auto"/>
              </w:rPr>
            </w:pPr>
            <w:r>
              <w:rPr>
                <w:rFonts w:ascii="Arial" w:cs="Arial" w:eastAsia="Arial" w:hAnsi="Arial"/>
                <w:sz w:val="11"/>
                <w:szCs w:val="11"/>
                <w:b w:val="1"/>
                <w:bCs w:val="1"/>
                <w:color w:val="auto"/>
              </w:rPr>
              <w:t>Preferred Stock</w:t>
            </w:r>
          </w:p>
        </w:tc>
        <w:tc>
          <w:tcPr>
            <w:tcW w:w="940" w:type="dxa"/>
            <w:vAlign w:val="bottom"/>
            <w:gridSpan w:val="3"/>
            <w:vMerge w:val="restart"/>
          </w:tcPr>
          <w:p>
            <w:pPr>
              <w:jc w:val="right"/>
              <w:spacing w:after="0" w:line="120" w:lineRule="exact"/>
              <w:rPr>
                <w:sz w:val="20"/>
                <w:szCs w:val="20"/>
                <w:color w:val="auto"/>
              </w:rPr>
            </w:pPr>
            <w:r>
              <w:rPr>
                <w:rFonts w:ascii="Arial" w:cs="Arial" w:eastAsia="Arial" w:hAnsi="Arial"/>
                <w:sz w:val="11"/>
                <w:szCs w:val="11"/>
                <w:b w:val="1"/>
                <w:bCs w:val="1"/>
                <w:color w:val="auto"/>
              </w:rPr>
              <w:t>Common Stock</w:t>
            </w:r>
          </w:p>
        </w:tc>
        <w:tc>
          <w:tcPr>
            <w:tcW w:w="6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200" w:type="dxa"/>
            <w:vAlign w:val="bottom"/>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120" w:type="dxa"/>
            <w:vAlign w:val="bottom"/>
            <w:tcBorders>
              <w:bottom w:val="single" w:sz="8" w:color="auto"/>
            </w:tcBorders>
            <w:gridSpan w:val="2"/>
            <w:vMerge w:val="continue"/>
          </w:tcPr>
          <w:p>
            <w:pPr>
              <w:spacing w:after="0"/>
              <w:rPr>
                <w:sz w:val="7"/>
                <w:szCs w:val="7"/>
                <w:color w:val="auto"/>
              </w:rPr>
            </w:pPr>
          </w:p>
        </w:tc>
        <w:tc>
          <w:tcPr>
            <w:tcW w:w="940" w:type="dxa"/>
            <w:vAlign w:val="bottom"/>
            <w:tcBorders>
              <w:bottom w:val="single" w:sz="8" w:color="auto"/>
            </w:tcBorders>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140" w:type="dxa"/>
            <w:vAlign w:val="bottom"/>
            <w:gridSpan w:val="5"/>
          </w:tcPr>
          <w:p>
            <w:pPr>
              <w:jc w:val="right"/>
              <w:ind w:right="83"/>
              <w:spacing w:after="0" w:line="86" w:lineRule="exact"/>
              <w:rPr>
                <w:sz w:val="20"/>
                <w:szCs w:val="20"/>
                <w:color w:val="auto"/>
              </w:rPr>
            </w:pPr>
            <w:r>
              <w:rPr>
                <w:rFonts w:ascii="Arial" w:cs="Arial" w:eastAsia="Arial" w:hAnsi="Arial"/>
                <w:sz w:val="9"/>
                <w:szCs w:val="9"/>
                <w:b w:val="1"/>
                <w:bCs w:val="1"/>
                <w:color w:val="auto"/>
              </w:rPr>
              <w:t>Paid-In Subscription Accumulated</w:t>
            </w:r>
          </w:p>
        </w:tc>
        <w:tc>
          <w:tcPr>
            <w:tcW w:w="1720" w:type="dxa"/>
            <w:vAlign w:val="bottom"/>
            <w:gridSpan w:val="5"/>
          </w:tcPr>
          <w:p>
            <w:pPr>
              <w:jc w:val="right"/>
              <w:ind w:right="80"/>
              <w:spacing w:after="0" w:line="86"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14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SharesAmount</w:t>
            </w: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Shares Amount</w:t>
            </w:r>
          </w:p>
        </w:tc>
        <w:tc>
          <w:tcPr>
            <w:tcW w:w="112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Shares Amount</w:t>
            </w: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SharesAmount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b w:val="1"/>
                <w:bCs w:val="1"/>
                <w:color w:val="auto"/>
              </w:rPr>
              <w:t>Capital</w:t>
            </w:r>
          </w:p>
        </w:tc>
        <w:tc>
          <w:tcPr>
            <w:tcW w:w="80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Receivable</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b w:val="1"/>
                <w:bCs w:val="1"/>
                <w:color w:val="auto"/>
              </w:rPr>
              <w:t>Deficit</w:t>
            </w:r>
          </w:p>
        </w:tc>
        <w:tc>
          <w:tcPr>
            <w:tcW w:w="102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(Loss)</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30"/>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$144,839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80" w:type="dxa"/>
            <w:vAlign w:val="bottom"/>
            <w:tcBorders>
              <w:top w:val="single" w:sz="8" w:color="auto"/>
            </w:tcBorders>
            <w:gridSpan w:val="2"/>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 7,481,861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217,832</w:t>
            </w:r>
          </w:p>
        </w:tc>
        <w:tc>
          <w:tcPr>
            <w:tcW w:w="2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(31,900)</w:t>
            </w: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(292,342)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(3)</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(106,412)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Receipt of subscription receivable</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31,900</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31,900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Issuance of Series C preferred stock, net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24,721,999</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159,628</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line="101" w:lineRule="exact"/>
              <w:rPr>
                <w:sz w:val="20"/>
                <w:szCs w:val="20"/>
                <w:color w:val="auto"/>
              </w:rPr>
            </w:pPr>
            <w:r>
              <w:rPr>
                <w:rFonts w:ascii="Arial" w:cs="Arial" w:eastAsia="Arial" w:hAnsi="Arial"/>
                <w:sz w:val="11"/>
                <w:szCs w:val="11"/>
                <w:color w:val="auto"/>
              </w:rPr>
              <w:t>Net assets contributed as result of</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1,061</w:t>
            </w:r>
          </w:p>
        </w:tc>
        <w:tc>
          <w:tcPr>
            <w:tcW w:w="260" w:type="dxa"/>
            <w:vAlign w:val="bottom"/>
          </w:tcPr>
          <w:p>
            <w:pPr>
              <w:spacing w:after="0"/>
              <w:rPr>
                <w:sz w:val="8"/>
                <w:szCs w:val="8"/>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8"/>
                <w:szCs w:val="8"/>
                <w:color w:val="auto"/>
              </w:rPr>
            </w:pPr>
          </w:p>
        </w:tc>
        <w:tc>
          <w:tcPr>
            <w:tcW w:w="38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1,061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merger</w:t>
            </w: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40,790</w:t>
            </w:r>
          </w:p>
        </w:tc>
        <w:tc>
          <w:tcPr>
            <w:tcW w:w="2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47</w:t>
            </w:r>
          </w:p>
        </w:tc>
        <w:tc>
          <w:tcPr>
            <w:tcW w:w="2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5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Vesting of restricted stock</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150,799</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Vesting of early exercise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199,083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123</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line="101" w:lineRule="exact"/>
              <w:rPr>
                <w:sz w:val="20"/>
                <w:szCs w:val="20"/>
                <w:color w:val="auto"/>
              </w:rPr>
            </w:pPr>
            <w:r>
              <w:rPr>
                <w:rFonts w:ascii="Arial" w:cs="Arial" w:eastAsia="Arial" w:hAnsi="Arial"/>
                <w:sz w:val="11"/>
                <w:szCs w:val="11"/>
                <w:color w:val="auto"/>
              </w:rPr>
              <w:t>Unrealized loss on short-term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8"/>
                <w:szCs w:val="8"/>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8"/>
                <w:szCs w:val="8"/>
                <w:color w:val="auto"/>
              </w:rPr>
            </w:pPr>
          </w:p>
        </w:tc>
        <w:tc>
          <w:tcPr>
            <w:tcW w:w="380" w:type="dxa"/>
            <w:vAlign w:val="bottom"/>
            <w:vMerge w:val="restart"/>
          </w:tcPr>
          <w:p>
            <w:pPr>
              <w:jc w:val="right"/>
              <w:ind w:right="83"/>
              <w:spacing w:after="0"/>
              <w:rPr>
                <w:sz w:val="20"/>
                <w:szCs w:val="20"/>
                <w:color w:val="auto"/>
              </w:rPr>
            </w:pPr>
            <w:r>
              <w:rPr>
                <w:rFonts w:ascii="Arial" w:cs="Arial" w:eastAsia="Arial" w:hAnsi="Arial"/>
                <w:sz w:val="11"/>
                <w:szCs w:val="11"/>
                <w:color w:val="auto"/>
              </w:rPr>
              <w:t>(27)</w:t>
            </w:r>
          </w:p>
        </w:tc>
        <w:tc>
          <w:tcPr>
            <w:tcW w:w="140" w:type="dxa"/>
            <w:vAlign w:val="bottom"/>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0" w:type="dxa"/>
            <w:vAlign w:val="bottom"/>
          </w:tcPr>
          <w:p>
            <w:pPr>
              <w:spacing w:after="0"/>
              <w:rPr>
                <w:sz w:val="1"/>
                <w:szCs w:val="1"/>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5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rPr>
                <w:sz w:val="20"/>
                <w:szCs w:val="20"/>
                <w:color w:val="auto"/>
              </w:rPr>
            </w:pPr>
            <w:r>
              <w:rPr>
                <w:rFonts w:ascii="Arial" w:cs="Arial" w:eastAsia="Arial" w:hAnsi="Arial"/>
                <w:sz w:val="11"/>
                <w:szCs w:val="11"/>
                <w:color w:val="auto"/>
              </w:rPr>
              <w:t>Foreign currency translation</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540" w:type="dxa"/>
            <w:vAlign w:val="bottom"/>
          </w:tcPr>
          <w:p>
            <w:pPr>
              <w:jc w:val="right"/>
              <w:ind w:right="4"/>
              <w:spacing w:after="0"/>
              <w:rPr>
                <w:sz w:val="20"/>
                <w:szCs w:val="20"/>
                <w:color w:val="auto"/>
              </w:rPr>
            </w:pPr>
            <w:r>
              <w:rPr>
                <w:rFonts w:ascii="Arial" w:cs="Arial" w:eastAsia="Arial" w:hAnsi="Arial"/>
                <w:sz w:val="11"/>
                <w:szCs w:val="11"/>
                <w:color w:val="auto"/>
              </w:rPr>
              <w:t>95</w:t>
            </w:r>
          </w:p>
        </w:tc>
        <w:tc>
          <w:tcPr>
            <w:tcW w:w="260" w:type="dxa"/>
            <w:vAlign w:val="bottom"/>
          </w:tcPr>
          <w:p>
            <w:pPr>
              <w:spacing w:after="0"/>
              <w:rPr>
                <w:sz w:val="12"/>
                <w:szCs w:val="12"/>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3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loss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(18,348)</w:t>
            </w:r>
          </w:p>
        </w:tc>
        <w:tc>
          <w:tcPr>
            <w:tcW w:w="6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(18,348)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00" w:type="dxa"/>
            <w:vAlign w:val="bottom"/>
          </w:tcPr>
          <w:p>
            <w:pPr>
              <w:spacing w:after="0"/>
              <w:rPr>
                <w:sz w:val="20"/>
                <w:szCs w:val="20"/>
                <w:color w:val="auto"/>
              </w:rPr>
            </w:pPr>
            <w:r>
              <w:rPr>
                <w:rFonts w:ascii="Arial" w:cs="Arial" w:eastAsia="Arial" w:hAnsi="Arial"/>
                <w:sz w:val="11"/>
                <w:szCs w:val="11"/>
                <w:b w:val="1"/>
                <w:bCs w:val="1"/>
                <w:color w:val="auto"/>
              </w:rPr>
              <w:t>Balance, March 31,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35,000,000</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$ 34,922 26,143,790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$144,839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24,721,999$</w:t>
            </w:r>
          </w:p>
        </w:tc>
        <w:tc>
          <w:tcPr>
            <w:tcW w:w="10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1"/>
                <w:szCs w:val="11"/>
                <w:b w:val="1"/>
                <w:bCs w:val="1"/>
                <w:color w:val="auto"/>
              </w:rPr>
              <w:t>159,628 7,872,533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219,158</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(310,690)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(26)</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-1393190</wp:posOffset>
            </wp:positionV>
            <wp:extent cx="139382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93825" cy="6985"/>
                    </a:xfrm>
                    <a:prstGeom prst="rect">
                      <a:avLst/>
                    </a:prstGeom>
                    <a:noFill/>
                  </pic:spPr>
                </pic:pic>
              </a:graphicData>
            </a:graphic>
          </wp:anchor>
        </w:drawing>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139"/>
        </w:trPr>
        <w:tc>
          <w:tcPr>
            <w:tcW w:w="1600" w:type="dxa"/>
            <w:vAlign w:val="bottom"/>
          </w:tcPr>
          <w:p>
            <w:pPr>
              <w:spacing w:after="0"/>
              <w:rPr>
                <w:sz w:val="12"/>
                <w:szCs w:val="12"/>
                <w:color w:val="auto"/>
              </w:rPr>
            </w:pPr>
          </w:p>
        </w:tc>
        <w:tc>
          <w:tcPr>
            <w:tcW w:w="1140" w:type="dxa"/>
            <w:vAlign w:val="bottom"/>
            <w:gridSpan w:val="2"/>
          </w:tcPr>
          <w:p>
            <w:pPr>
              <w:jc w:val="right"/>
              <w:ind w:right="83"/>
              <w:spacing w:after="0"/>
              <w:rPr>
                <w:sz w:val="20"/>
                <w:szCs w:val="20"/>
                <w:color w:val="auto"/>
              </w:rPr>
            </w:pPr>
            <w:r>
              <w:rPr>
                <w:rFonts w:ascii="Arial" w:cs="Arial" w:eastAsia="Arial" w:hAnsi="Arial"/>
                <w:sz w:val="11"/>
                <w:szCs w:val="11"/>
                <w:b w:val="1"/>
                <w:bCs w:val="1"/>
                <w:color w:val="auto"/>
              </w:rPr>
              <w:t>Series A</w:t>
            </w:r>
          </w:p>
        </w:tc>
        <w:tc>
          <w:tcPr>
            <w:tcW w:w="112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Series B</w:t>
            </w:r>
          </w:p>
        </w:tc>
        <w:tc>
          <w:tcPr>
            <w:tcW w:w="300" w:type="dxa"/>
            <w:vAlign w:val="bottom"/>
          </w:tcPr>
          <w:p>
            <w:pPr>
              <w:spacing w:after="0"/>
              <w:rPr>
                <w:sz w:val="12"/>
                <w:szCs w:val="12"/>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b w:val="1"/>
                <w:bCs w:val="1"/>
                <w:color w:val="auto"/>
              </w:rPr>
              <w:t>Series C</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right"/>
              <w:ind w:right="103"/>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1140" w:type="dxa"/>
            <w:vAlign w:val="bottom"/>
            <w:gridSpan w:val="2"/>
          </w:tcPr>
          <w:p>
            <w:pPr>
              <w:jc w:val="right"/>
              <w:ind w:right="83"/>
              <w:spacing w:after="0" w:line="107" w:lineRule="exact"/>
              <w:rPr>
                <w:sz w:val="20"/>
                <w:szCs w:val="20"/>
                <w:color w:val="auto"/>
              </w:rPr>
            </w:pPr>
            <w:r>
              <w:rPr>
                <w:rFonts w:ascii="Arial" w:cs="Arial" w:eastAsia="Arial" w:hAnsi="Arial"/>
                <w:sz w:val="11"/>
                <w:szCs w:val="11"/>
                <w:b w:val="1"/>
                <w:bCs w:val="1"/>
                <w:color w:val="auto"/>
              </w:rPr>
              <w:t>Convertible</w:t>
            </w:r>
          </w:p>
        </w:tc>
        <w:tc>
          <w:tcPr>
            <w:tcW w:w="1120" w:type="dxa"/>
            <w:vAlign w:val="bottom"/>
            <w:gridSpan w:val="2"/>
          </w:tcPr>
          <w:p>
            <w:pPr>
              <w:jc w:val="right"/>
              <w:ind w:right="103"/>
              <w:spacing w:after="0" w:line="107" w:lineRule="exact"/>
              <w:rPr>
                <w:sz w:val="20"/>
                <w:szCs w:val="20"/>
                <w:color w:val="auto"/>
              </w:rPr>
            </w:pPr>
            <w:r>
              <w:rPr>
                <w:rFonts w:ascii="Arial" w:cs="Arial" w:eastAsia="Arial" w:hAnsi="Arial"/>
                <w:sz w:val="11"/>
                <w:szCs w:val="11"/>
                <w:b w:val="1"/>
                <w:bCs w:val="1"/>
                <w:color w:val="auto"/>
              </w:rPr>
              <w:t>Convertible</w:t>
            </w:r>
          </w:p>
        </w:tc>
        <w:tc>
          <w:tcPr>
            <w:tcW w:w="880" w:type="dxa"/>
            <w:vAlign w:val="bottom"/>
            <w:gridSpan w:val="2"/>
          </w:tcPr>
          <w:p>
            <w:pPr>
              <w:jc w:val="right"/>
              <w:ind w:right="43"/>
              <w:spacing w:after="0" w:line="107" w:lineRule="exact"/>
              <w:rPr>
                <w:sz w:val="20"/>
                <w:szCs w:val="20"/>
                <w:color w:val="auto"/>
              </w:rPr>
            </w:pPr>
            <w:r>
              <w:rPr>
                <w:rFonts w:ascii="Arial" w:cs="Arial" w:eastAsia="Arial" w:hAnsi="Arial"/>
                <w:sz w:val="11"/>
                <w:szCs w:val="11"/>
                <w:b w:val="1"/>
                <w:bCs w:val="1"/>
                <w:color w:val="auto"/>
              </w:rPr>
              <w:t>Convertible</w:t>
            </w:r>
          </w:p>
        </w:tc>
        <w:tc>
          <w:tcPr>
            <w:tcW w:w="1640" w:type="dxa"/>
            <w:vAlign w:val="bottom"/>
            <w:gridSpan w:val="5"/>
            <w:vMerge w:val="restart"/>
          </w:tcPr>
          <w:p>
            <w:pPr>
              <w:jc w:val="right"/>
              <w:ind w:right="65"/>
              <w:spacing w:after="0" w:line="214" w:lineRule="exact"/>
              <w:rPr>
                <w:sz w:val="20"/>
                <w:szCs w:val="20"/>
                <w:color w:val="auto"/>
              </w:rPr>
            </w:pPr>
            <w:r>
              <w:rPr>
                <w:rFonts w:ascii="Arial" w:cs="Arial" w:eastAsia="Arial" w:hAnsi="Arial"/>
                <w:sz w:val="11"/>
                <w:szCs w:val="11"/>
                <w:b w:val="1"/>
                <w:bCs w:val="1"/>
                <w:color w:val="auto"/>
                <w:w w:val="96"/>
              </w:rPr>
              <w:t xml:space="preserve">Common Stock </w:t>
            </w:r>
            <w:r>
              <w:rPr>
                <w:rFonts w:ascii="Arial" w:cs="Arial" w:eastAsia="Arial" w:hAnsi="Arial"/>
                <w:sz w:val="22"/>
                <w:szCs w:val="22"/>
                <w:b w:val="1"/>
                <w:bCs w:val="1"/>
                <w:color w:val="auto"/>
                <w:w w:val="96"/>
                <w:vertAlign w:val="superscript"/>
              </w:rPr>
              <w:t>Additional</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jc w:val="center"/>
              <w:ind w:left="285"/>
              <w:spacing w:after="0" w:line="107" w:lineRule="exact"/>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1140" w:type="dxa"/>
            <w:vAlign w:val="bottom"/>
            <w:gridSpan w:val="2"/>
          </w:tcPr>
          <w:p>
            <w:pPr>
              <w:jc w:val="right"/>
              <w:ind w:right="43"/>
              <w:spacing w:after="0" w:line="107" w:lineRule="exact"/>
              <w:rPr>
                <w:sz w:val="20"/>
                <w:szCs w:val="20"/>
                <w:color w:val="auto"/>
              </w:rPr>
            </w:pPr>
            <w:r>
              <w:rPr>
                <w:rFonts w:ascii="Arial" w:cs="Arial" w:eastAsia="Arial" w:hAnsi="Arial"/>
                <w:sz w:val="11"/>
                <w:szCs w:val="11"/>
                <w:b w:val="1"/>
                <w:bCs w:val="1"/>
                <w:color w:val="auto"/>
              </w:rPr>
              <w:t>Preferred Stock</w:t>
            </w:r>
          </w:p>
        </w:tc>
        <w:tc>
          <w:tcPr>
            <w:tcW w:w="2000" w:type="dxa"/>
            <w:vAlign w:val="bottom"/>
            <w:gridSpan w:val="4"/>
          </w:tcPr>
          <w:p>
            <w:pPr>
              <w:jc w:val="right"/>
              <w:ind w:right="3"/>
              <w:spacing w:after="0" w:line="107" w:lineRule="exact"/>
              <w:rPr>
                <w:sz w:val="20"/>
                <w:szCs w:val="20"/>
                <w:color w:val="auto"/>
              </w:rPr>
            </w:pPr>
            <w:r>
              <w:rPr>
                <w:rFonts w:ascii="Arial" w:cs="Arial" w:eastAsia="Arial" w:hAnsi="Arial"/>
                <w:sz w:val="11"/>
                <w:szCs w:val="11"/>
                <w:b w:val="1"/>
                <w:bCs w:val="1"/>
                <w:color w:val="auto"/>
              </w:rPr>
              <w:t>Preferred Stock Preferred Stock</w:t>
            </w:r>
          </w:p>
        </w:tc>
        <w:tc>
          <w:tcPr>
            <w:tcW w:w="16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3"/>
          </w:tcPr>
          <w:p>
            <w:pPr>
              <w:jc w:val="right"/>
              <w:ind w:right="103"/>
              <w:spacing w:after="0" w:line="107" w:lineRule="exact"/>
              <w:rPr>
                <w:sz w:val="20"/>
                <w:szCs w:val="20"/>
                <w:color w:val="auto"/>
              </w:rPr>
            </w:pPr>
            <w:r>
              <w:rPr>
                <w:rFonts w:ascii="Arial" w:cs="Arial" w:eastAsia="Arial" w:hAnsi="Arial"/>
                <w:sz w:val="11"/>
                <w:szCs w:val="11"/>
                <w:b w:val="1"/>
                <w:bCs w:val="1"/>
                <w:color w:val="auto"/>
              </w:rPr>
              <w:t>Comprehensive</w:t>
            </w:r>
          </w:p>
        </w:tc>
        <w:tc>
          <w:tcPr>
            <w:tcW w:w="2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6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60" w:type="dxa"/>
            <w:vAlign w:val="bottom"/>
            <w:gridSpan w:val="5"/>
            <w:vMerge w:val="restart"/>
          </w:tcPr>
          <w:p>
            <w:pPr>
              <w:jc w:val="right"/>
              <w:ind w:right="83"/>
              <w:spacing w:after="0" w:line="86" w:lineRule="exact"/>
              <w:rPr>
                <w:sz w:val="20"/>
                <w:szCs w:val="20"/>
                <w:color w:val="auto"/>
              </w:rPr>
            </w:pPr>
            <w:r>
              <w:rPr>
                <w:rFonts w:ascii="Arial" w:cs="Arial" w:eastAsia="Arial" w:hAnsi="Arial"/>
                <w:sz w:val="9"/>
                <w:szCs w:val="9"/>
                <w:b w:val="1"/>
                <w:bCs w:val="1"/>
                <w:color w:val="auto"/>
              </w:rPr>
              <w:t>Paid-In Subscription Accumulated</w:t>
            </w:r>
          </w:p>
        </w:tc>
        <w:tc>
          <w:tcPr>
            <w:tcW w:w="1760" w:type="dxa"/>
            <w:vAlign w:val="bottom"/>
            <w:gridSpan w:val="5"/>
            <w:vMerge w:val="restart"/>
          </w:tcPr>
          <w:p>
            <w:pPr>
              <w:jc w:val="right"/>
              <w:ind w:right="80"/>
              <w:spacing w:after="0" w:line="86"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23"/>
        </w:trPr>
        <w:tc>
          <w:tcPr>
            <w:tcW w:w="1600" w:type="dxa"/>
            <w:vAlign w:val="bottom"/>
          </w:tcPr>
          <w:p>
            <w:pPr>
              <w:spacing w:after="0" w:line="20" w:lineRule="exact"/>
              <w:rPr>
                <w:sz w:val="1"/>
                <w:szCs w:val="1"/>
                <w:color w:val="auto"/>
              </w:rPr>
            </w:pPr>
          </w:p>
        </w:tc>
        <w:tc>
          <w:tcPr>
            <w:tcW w:w="1140" w:type="dxa"/>
            <w:vAlign w:val="bottom"/>
            <w:gridSpan w:val="2"/>
            <w:vMerge w:val="restart"/>
          </w:tcPr>
          <w:p>
            <w:pPr>
              <w:jc w:val="right"/>
              <w:ind w:right="43"/>
              <w:spacing w:after="0"/>
              <w:rPr>
                <w:sz w:val="20"/>
                <w:szCs w:val="20"/>
                <w:color w:val="auto"/>
              </w:rPr>
            </w:pPr>
            <w:r>
              <w:rPr>
                <w:rFonts w:ascii="Arial" w:cs="Arial" w:eastAsia="Arial" w:hAnsi="Arial"/>
                <w:sz w:val="11"/>
                <w:szCs w:val="11"/>
                <w:b w:val="1"/>
                <w:bCs w:val="1"/>
                <w:color w:val="auto"/>
              </w:rPr>
              <w:t>SharesAmount</w:t>
            </w:r>
          </w:p>
        </w:tc>
        <w:tc>
          <w:tcPr>
            <w:tcW w:w="142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Shares AmountShares</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SharesAmount</w:t>
            </w:r>
          </w:p>
        </w:tc>
        <w:tc>
          <w:tcPr>
            <w:tcW w:w="140" w:type="dxa"/>
            <w:vAlign w:val="bottom"/>
          </w:tcPr>
          <w:p>
            <w:pPr>
              <w:spacing w:after="0" w:line="20" w:lineRule="exact"/>
              <w:rPr>
                <w:sz w:val="1"/>
                <w:szCs w:val="1"/>
                <w:color w:val="auto"/>
              </w:rPr>
            </w:pPr>
          </w:p>
        </w:tc>
        <w:tc>
          <w:tcPr>
            <w:tcW w:w="2160" w:type="dxa"/>
            <w:vAlign w:val="bottom"/>
            <w:gridSpan w:val="5"/>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b w:val="1"/>
                <w:bCs w:val="1"/>
                <w:color w:val="auto"/>
              </w:rPr>
              <w:t>Capital</w:t>
            </w:r>
          </w:p>
        </w:tc>
        <w:tc>
          <w:tcPr>
            <w:tcW w:w="78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Receivable</w:t>
            </w:r>
          </w:p>
        </w:tc>
        <w:tc>
          <w:tcPr>
            <w:tcW w:w="200" w:type="dxa"/>
            <w:vAlign w:val="bottom"/>
          </w:tcPr>
          <w:p>
            <w:pPr>
              <w:spacing w:after="0"/>
              <w:rPr>
                <w:sz w:val="13"/>
                <w:szCs w:val="13"/>
                <w:color w:val="auto"/>
              </w:rPr>
            </w:pPr>
          </w:p>
        </w:tc>
        <w:tc>
          <w:tcPr>
            <w:tcW w:w="620" w:type="dxa"/>
            <w:vAlign w:val="bottom"/>
          </w:tcPr>
          <w:p>
            <w:pPr>
              <w:jc w:val="right"/>
              <w:ind w:right="63"/>
              <w:spacing w:after="0"/>
              <w:rPr>
                <w:sz w:val="20"/>
                <w:szCs w:val="20"/>
                <w:color w:val="auto"/>
              </w:rPr>
            </w:pPr>
            <w:r>
              <w:rPr>
                <w:rFonts w:ascii="Arial" w:cs="Arial" w:eastAsia="Arial" w:hAnsi="Arial"/>
                <w:sz w:val="11"/>
                <w:szCs w:val="11"/>
                <w:b w:val="1"/>
                <w:bCs w:val="1"/>
                <w:color w:val="auto"/>
              </w:rPr>
              <w:t>Deficit</w:t>
            </w:r>
          </w:p>
        </w:tc>
        <w:tc>
          <w:tcPr>
            <w:tcW w:w="980" w:type="dxa"/>
            <w:vAlign w:val="bottom"/>
            <w:gridSpan w:val="2"/>
          </w:tcPr>
          <w:p>
            <w:pPr>
              <w:jc w:val="center"/>
              <w:ind w:left="325"/>
              <w:spacing w:after="0"/>
              <w:rPr>
                <w:sz w:val="20"/>
                <w:szCs w:val="20"/>
                <w:color w:val="auto"/>
              </w:rPr>
            </w:pPr>
            <w:r>
              <w:rPr>
                <w:rFonts w:ascii="Arial" w:cs="Arial" w:eastAsia="Arial" w:hAnsi="Arial"/>
                <w:sz w:val="11"/>
                <w:szCs w:val="11"/>
                <w:b w:val="1"/>
                <w:bCs w:val="1"/>
                <w:color w:val="auto"/>
              </w:rPr>
              <w:t>(Loss)</w:t>
            </w:r>
          </w:p>
        </w:tc>
        <w:tc>
          <w:tcPr>
            <w:tcW w:w="2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51"/>
        </w:trPr>
        <w:tc>
          <w:tcPr>
            <w:tcW w:w="1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6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$144,839</w:t>
            </w:r>
          </w:p>
        </w:tc>
        <w:tc>
          <w:tcPr>
            <w:tcW w:w="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w:t>
            </w:r>
          </w:p>
        </w:tc>
        <w:tc>
          <w:tcPr>
            <w:tcW w:w="1180" w:type="dxa"/>
            <w:vAlign w:val="bottom"/>
            <w:tcBorders>
              <w:top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 — 7,481,861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216,910</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(70,000)</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(238,767)</w:t>
            </w:r>
          </w:p>
        </w:tc>
        <w:tc>
          <w:tcPr>
            <w:tcW w:w="720" w:type="dxa"/>
            <w:vAlign w:val="bottom"/>
            <w:tcBorders>
              <w:top w:val="single" w:sz="8" w:color="auto"/>
            </w:tcBorders>
            <w:shd w:val="clear" w:color="auto" w:fill="CCEEFF"/>
          </w:tcPr>
          <w:p>
            <w:pPr>
              <w:jc w:val="center"/>
              <w:ind w:left="525"/>
              <w:spacing w:after="0"/>
              <w:rPr>
                <w:sz w:val="20"/>
                <w:szCs w:val="20"/>
                <w:color w:val="auto"/>
              </w:rPr>
            </w:pPr>
            <w:r>
              <w:rPr>
                <w:rFonts w:ascii="Arial" w:cs="Arial" w:eastAsia="Arial" w:hAnsi="Arial"/>
                <w:sz w:val="11"/>
                <w:szCs w:val="11"/>
                <w:b w:val="1"/>
                <w:bCs w:val="1"/>
                <w:color w:val="auto"/>
                <w:w w:val="97"/>
              </w:rPr>
              <w:t>$</w:t>
            </w:r>
          </w:p>
        </w:tc>
        <w:tc>
          <w:tcPr>
            <w:tcW w:w="2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(3)</w:t>
            </w: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(91,859)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line="122" w:lineRule="exact"/>
              <w:rPr>
                <w:sz w:val="20"/>
                <w:szCs w:val="20"/>
                <w:color w:val="auto"/>
              </w:rPr>
            </w:pPr>
            <w:r>
              <w:rPr>
                <w:rFonts w:ascii="Arial" w:cs="Arial" w:eastAsia="Arial" w:hAnsi="Arial"/>
                <w:sz w:val="11"/>
                <w:szCs w:val="11"/>
                <w:color w:val="auto"/>
              </w:rPr>
              <w:t>Unrealized gain on short-term</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ind w:left="340"/>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ind w:left="4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60" w:type="dxa"/>
            <w:vAlign w:val="bottom"/>
            <w:vMerge w:val="restart"/>
          </w:tcPr>
          <w:p>
            <w:pPr>
              <w:jc w:val="right"/>
              <w:ind w:right="2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54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0"/>
                <w:szCs w:val="10"/>
                <w:color w:val="auto"/>
              </w:rPr>
            </w:pPr>
          </w:p>
        </w:tc>
        <w:tc>
          <w:tcPr>
            <w:tcW w:w="260" w:type="dxa"/>
            <w:vAlign w:val="bottom"/>
            <w:vMerge w:val="restart"/>
          </w:tcPr>
          <w:p>
            <w:pPr>
              <w:jc w:val="right"/>
              <w:ind w:right="63"/>
              <w:spacing w:after="0"/>
              <w:rPr>
                <w:sz w:val="20"/>
                <w:szCs w:val="20"/>
                <w:color w:val="auto"/>
              </w:rPr>
            </w:pPr>
            <w:r>
              <w:rPr>
                <w:rFonts w:ascii="Arial" w:cs="Arial" w:eastAsia="Arial" w:hAnsi="Arial"/>
                <w:sz w:val="11"/>
                <w:szCs w:val="11"/>
                <w:color w:val="auto"/>
                <w:w w:val="97"/>
              </w:rPr>
              <w:t>27</w:t>
            </w:r>
          </w:p>
        </w:tc>
        <w:tc>
          <w:tcPr>
            <w:tcW w:w="2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spacing w:after="0"/>
              <w:rPr>
                <w:sz w:val="20"/>
                <w:szCs w:val="20"/>
                <w:color w:val="auto"/>
              </w:rPr>
            </w:pPr>
            <w:r>
              <w:rPr>
                <w:rFonts w:ascii="Arial" w:cs="Arial" w:eastAsia="Arial" w:hAnsi="Arial"/>
                <w:sz w:val="11"/>
                <w:szCs w:val="11"/>
                <w:color w:val="auto"/>
              </w:rPr>
              <w:t>Stock 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221</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20"/>
                <w:szCs w:val="20"/>
                <w:color w:val="auto"/>
              </w:rPr>
            </w:pPr>
            <w:r>
              <w:rPr>
                <w:rFonts w:ascii="Arial" w:cs="Arial" w:eastAsia="Arial" w:hAnsi="Arial"/>
                <w:sz w:val="11"/>
                <w:szCs w:val="11"/>
                <w:color w:val="auto"/>
              </w:rPr>
              <w:t>Net loss</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ind w:left="3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00" w:type="dxa"/>
            <w:vAlign w:val="bottom"/>
          </w:tcPr>
          <w:p>
            <w:pPr>
              <w:ind w:left="160"/>
              <w:spacing w:after="0"/>
              <w:rPr>
                <w:sz w:val="20"/>
                <w:szCs w:val="20"/>
                <w:color w:val="auto"/>
              </w:rPr>
            </w:pPr>
            <w:r>
              <w:rPr>
                <w:rFonts w:ascii="Arial" w:cs="Arial" w:eastAsia="Arial" w:hAnsi="Arial"/>
                <w:sz w:val="11"/>
                <w:szCs w:val="11"/>
                <w:color w:val="auto"/>
              </w:rPr>
              <w:t>—</w:t>
            </w: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5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(9,673)</w:t>
            </w:r>
          </w:p>
        </w:tc>
        <w:tc>
          <w:tcPr>
            <w:tcW w:w="720" w:type="dxa"/>
            <w:vAlign w:val="bottom"/>
          </w:tcPr>
          <w:p>
            <w:pPr>
              <w:spacing w:after="0"/>
              <w:rPr>
                <w:sz w:val="13"/>
                <w:szCs w:val="13"/>
                <w:color w:val="auto"/>
              </w:rPr>
            </w:pPr>
          </w:p>
        </w:tc>
        <w:tc>
          <w:tcPr>
            <w:tcW w:w="2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(9,673)</w:t>
            </w:r>
          </w:p>
        </w:tc>
        <w:tc>
          <w:tcPr>
            <w:tcW w:w="0" w:type="dxa"/>
            <w:vAlign w:val="bottom"/>
          </w:tcPr>
          <w:p>
            <w:pPr>
              <w:spacing w:after="0"/>
              <w:rPr>
                <w:sz w:val="1"/>
                <w:szCs w:val="1"/>
                <w:color w:val="auto"/>
              </w:rPr>
            </w:pPr>
          </w:p>
        </w:tc>
      </w:tr>
      <w:tr>
        <w:trPr>
          <w:trHeight w:val="146"/>
        </w:trPr>
        <w:tc>
          <w:tcPr>
            <w:tcW w:w="1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March 31, 2020</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35,000,000</w:t>
            </w: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$ 34,922 26,143,790</w:t>
            </w:r>
          </w:p>
        </w:tc>
        <w:tc>
          <w:tcPr>
            <w:tcW w:w="62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$144,839</w:t>
            </w:r>
          </w:p>
        </w:tc>
        <w:tc>
          <w:tcPr>
            <w:tcW w:w="30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w:t>
            </w:r>
          </w:p>
        </w:tc>
        <w:tc>
          <w:tcPr>
            <w:tcW w:w="1180" w:type="dxa"/>
            <w:vAlign w:val="bottom"/>
            <w:tcBorders>
              <w:top w:val="single" w:sz="8" w:color="auto"/>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 — 7,481,861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217,131</w:t>
            </w:r>
          </w:p>
        </w:tc>
        <w:tc>
          <w:tcPr>
            <w:tcW w:w="2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(70,000)</w:t>
            </w:r>
          </w:p>
        </w:tc>
        <w:tc>
          <w:tcPr>
            <w:tcW w:w="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62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(248,440)</w:t>
            </w:r>
          </w:p>
        </w:tc>
        <w:tc>
          <w:tcPr>
            <w:tcW w:w="720" w:type="dxa"/>
            <w:vAlign w:val="bottom"/>
            <w:tcBorders>
              <w:top w:val="single" w:sz="8" w:color="auto"/>
              <w:bottom w:val="single" w:sz="8" w:color="CCEEFF"/>
            </w:tcBorders>
            <w:shd w:val="clear" w:color="auto" w:fill="CCEEFF"/>
          </w:tcPr>
          <w:p>
            <w:pPr>
              <w:jc w:val="center"/>
              <w:ind w:left="525"/>
              <w:spacing w:after="0"/>
              <w:rPr>
                <w:sz w:val="20"/>
                <w:szCs w:val="20"/>
                <w:color w:val="auto"/>
              </w:rPr>
            </w:pPr>
            <w:r>
              <w:rPr>
                <w:rFonts w:ascii="Arial" w:cs="Arial" w:eastAsia="Arial" w:hAnsi="Arial"/>
                <w:sz w:val="11"/>
                <w:szCs w:val="11"/>
                <w:b w:val="1"/>
                <w:bCs w:val="1"/>
                <w:color w:val="auto"/>
                <w:w w:val="97"/>
              </w:rPr>
              <w:t>$</w:t>
            </w:r>
          </w:p>
        </w:tc>
        <w:tc>
          <w:tcPr>
            <w:tcW w:w="26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24</w:t>
            </w:r>
          </w:p>
        </w:tc>
        <w:tc>
          <w:tcPr>
            <w:tcW w:w="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(101,284)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-128270</wp:posOffset>
            </wp:positionV>
            <wp:extent cx="101981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1981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-624840</wp:posOffset>
            </wp:positionV>
            <wp:extent cx="101981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1981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7063740"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063740" cy="38735"/>
                    </a:xfrm>
                    <a:prstGeom prst="rect">
                      <a:avLst/>
                    </a:prstGeom>
                    <a:noFill/>
                  </pic:spPr>
                </pic:pic>
              </a:graphicData>
            </a:graphic>
          </wp:anchor>
        </w:drawing>
      </w:r>
    </w:p>
    <w:p>
      <w:pPr>
        <w:sectPr>
          <w:pgSz w:w="11900" w:h="16838" w:orient="portrait"/>
          <w:cols w:equalWidth="0" w:num="1">
            <w:col w:w="11080"/>
          </w:cols>
          <w:pgMar w:left="400" w:top="134" w:right="419" w:bottom="1440" w:gutter="0" w:footer="0" w:header="0"/>
        </w:sectPr>
      </w:pPr>
    </w:p>
    <w:bookmarkStart w:id="248" w:name="page249"/>
    <w:bookmarkEnd w:id="248"/>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1959"/>
        <w:spacing w:after="0" w:line="234" w:lineRule="auto"/>
        <w:rPr>
          <w:sz w:val="20"/>
          <w:szCs w:val="20"/>
          <w:color w:val="auto"/>
        </w:rPr>
      </w:pPr>
      <w:r>
        <w:rPr>
          <w:rFonts w:ascii="Arial" w:cs="Arial" w:eastAsia="Arial" w:hAnsi="Arial"/>
          <w:sz w:val="23"/>
          <w:szCs w:val="23"/>
          <w:b w:val="1"/>
          <w:bCs w:val="1"/>
          <w:color w:val="auto"/>
        </w:rPr>
        <w:t>Century Therapeutics, Inc. and Subsidiary Consolidated statements of cash flows (unaudited) (In thousands)</w:t>
      </w:r>
    </w:p>
    <w:p>
      <w:pPr>
        <w:spacing w:after="0" w:line="84"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580" w:type="dxa"/>
            <w:vAlign w:val="bottom"/>
            <w:gridSpan w:val="2"/>
          </w:tcPr>
          <w:p>
            <w:pPr>
              <w:jc w:val="right"/>
              <w:ind w:right="189"/>
              <w:spacing w:after="0"/>
              <w:rPr>
                <w:sz w:val="20"/>
                <w:szCs w:val="20"/>
                <w:color w:val="auto"/>
              </w:rPr>
            </w:pPr>
            <w:r>
              <w:rPr>
                <w:rFonts w:ascii="Arial" w:cs="Arial" w:eastAsia="Arial" w:hAnsi="Arial"/>
                <w:sz w:val="13"/>
                <w:szCs w:val="13"/>
                <w:b w:val="1"/>
                <w:bCs w:val="1"/>
                <w:color w:val="auto"/>
              </w:rPr>
              <w:t>March 31, 2021</w:t>
            </w: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8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(unaudited)</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b w:val="1"/>
                <w:bCs w:val="1"/>
                <w:color w:val="auto"/>
              </w:rPr>
              <w:t>Adjustments to reconcile net loss to net cash used in</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operating activities:</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718</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deferred financing cost</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75</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Non-cash operating lease expense</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230</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95</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Change in operating assets and liabilities: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assets</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173</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Operating lease liability</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127</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(4,938)</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Accrued expenses and other liabilities</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(311)</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Borders>
              <w:bottom w:val="single" w:sz="8" w:color="CCEEFF"/>
            </w:tcBorders>
            <w:shd w:val="clear" w:color="auto" w:fill="CCEEFF"/>
          </w:tcPr>
          <w:p>
            <w:pPr>
              <w:ind w:left="420"/>
              <w:spacing w:after="0" w:line="151" w:lineRule="exact"/>
              <w:rPr>
                <w:sz w:val="20"/>
                <w:szCs w:val="20"/>
                <w:color w:val="auto"/>
              </w:rPr>
            </w:pPr>
            <w:r>
              <w:rPr>
                <w:rFonts w:ascii="Arial" w:cs="Arial" w:eastAsia="Arial" w:hAnsi="Arial"/>
                <w:sz w:val="14"/>
                <w:szCs w:val="14"/>
                <w:b w:val="1"/>
                <w:bCs w:val="1"/>
                <w:color w:val="auto"/>
              </w:rPr>
              <w:t>Net cash used in operating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9"/>
              <w:spacing w:after="0" w:line="151" w:lineRule="exact"/>
              <w:rPr>
                <w:sz w:val="20"/>
                <w:szCs w:val="20"/>
                <w:color w:val="auto"/>
              </w:rPr>
            </w:pPr>
            <w:r>
              <w:rPr>
                <w:rFonts w:ascii="Arial" w:cs="Arial" w:eastAsia="Arial" w:hAnsi="Arial"/>
                <w:sz w:val="14"/>
                <w:szCs w:val="14"/>
                <w:b w:val="1"/>
                <w:bCs w:val="1"/>
                <w:color w:val="auto"/>
              </w:rPr>
              <w:t>(22,179)</w:t>
            </w:r>
          </w:p>
        </w:tc>
        <w:tc>
          <w:tcPr>
            <w:tcW w:w="6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(6,884)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and equipment</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(1,884)</w:t>
            </w: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Payments for purchase of fixed maturity securities, available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for sale</w:t>
            </w:r>
          </w:p>
        </w:tc>
        <w:tc>
          <w:tcPr>
            <w:tcW w:w="7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(124,850)</w:t>
            </w:r>
          </w:p>
        </w:tc>
        <w:tc>
          <w:tcPr>
            <w:tcW w:w="6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 of fixed maturity securities, available for sale</w:t>
            </w: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7,700</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b w:val="1"/>
                <w:bCs w:val="1"/>
                <w:color w:val="auto"/>
              </w:rPr>
              <w:t>Net cash used in investing activities</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9"/>
              <w:spacing w:after="0" w:line="151" w:lineRule="exact"/>
              <w:rPr>
                <w:sz w:val="20"/>
                <w:szCs w:val="20"/>
                <w:color w:val="auto"/>
              </w:rPr>
            </w:pPr>
            <w:r>
              <w:rPr>
                <w:rFonts w:ascii="Arial" w:cs="Arial" w:eastAsia="Arial" w:hAnsi="Arial"/>
                <w:sz w:val="14"/>
                <w:szCs w:val="14"/>
                <w:b w:val="1"/>
                <w:bCs w:val="1"/>
                <w:color w:val="auto"/>
              </w:rPr>
              <w:t>(119,034)</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(4,178)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Payments of deferred offering costs</w:t>
            </w:r>
          </w:p>
        </w:tc>
        <w:tc>
          <w:tcPr>
            <w:tcW w:w="7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(554)</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47</w:t>
            </w: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Proceeds from early exercises of common stock options, net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of expense</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138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subscription receivable</w:t>
            </w: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31,900</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Proceeds from issuance of Series C preferred stock, net of</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159,628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contributed as a result of merger</w:t>
            </w:r>
          </w:p>
        </w:tc>
        <w:tc>
          <w:tcPr>
            <w:tcW w:w="7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2,326</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4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Net cash provided by financing activities</w:t>
            </w:r>
          </w:p>
        </w:tc>
        <w:tc>
          <w:tcPr>
            <w:tcW w:w="740" w:type="dxa"/>
            <w:vAlign w:val="bottom"/>
          </w:tcPr>
          <w:p>
            <w:pPr>
              <w:spacing w:after="0"/>
              <w:rPr>
                <w:sz w:val="13"/>
                <w:szCs w:val="13"/>
                <w:color w:val="auto"/>
              </w:rPr>
            </w:pPr>
          </w:p>
        </w:tc>
        <w:tc>
          <w:tcPr>
            <w:tcW w:w="840" w:type="dxa"/>
            <w:vAlign w:val="bottom"/>
          </w:tcPr>
          <w:p>
            <w:pPr>
              <w:jc w:val="right"/>
              <w:ind w:right="129"/>
              <w:spacing w:after="0" w:line="151" w:lineRule="exact"/>
              <w:rPr>
                <w:sz w:val="20"/>
                <w:szCs w:val="20"/>
                <w:color w:val="auto"/>
              </w:rPr>
            </w:pPr>
            <w:r>
              <w:rPr>
                <w:rFonts w:ascii="Arial" w:cs="Arial" w:eastAsia="Arial" w:hAnsi="Arial"/>
                <w:sz w:val="14"/>
                <w:szCs w:val="14"/>
                <w:b w:val="1"/>
                <w:bCs w:val="1"/>
                <w:color w:val="auto"/>
              </w:rPr>
              <w:t>193,485</w:t>
            </w:r>
          </w:p>
        </w:tc>
        <w:tc>
          <w:tcPr>
            <w:tcW w:w="62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ind w:left="420"/>
              <w:spacing w:after="0" w:line="153" w:lineRule="exact"/>
              <w:rPr>
                <w:sz w:val="20"/>
                <w:szCs w:val="20"/>
                <w:color w:val="auto"/>
              </w:rPr>
            </w:pPr>
            <w:r>
              <w:rPr>
                <w:rFonts w:ascii="Arial" w:cs="Arial" w:eastAsia="Arial" w:hAnsi="Arial"/>
                <w:sz w:val="14"/>
                <w:szCs w:val="14"/>
                <w:b w:val="1"/>
                <w:bCs w:val="1"/>
                <w:color w:val="auto"/>
              </w:rPr>
              <w:t>Net increase (decrease) in cash, cash equivalents,</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and restricted cash</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52,272</w:t>
            </w: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27,728</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424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Cash, cash equivalents and restricted cash, end of period</w:t>
            </w:r>
          </w:p>
        </w:tc>
        <w:tc>
          <w:tcPr>
            <w:tcW w:w="740" w:type="dxa"/>
            <w:vAlign w:val="bottom"/>
            <w:tcBorders>
              <w:bottom w:val="single" w:sz="8" w:color="auto"/>
            </w:tcBorders>
            <w:shd w:val="clear" w:color="auto" w:fill="CCEEFF"/>
          </w:tcPr>
          <w:p>
            <w:pPr>
              <w:jc w:val="right"/>
              <w:ind w:right="11"/>
              <w:spacing w:after="0" w:line="130"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30" w:lineRule="exact"/>
              <w:rPr>
                <w:sz w:val="20"/>
                <w:szCs w:val="20"/>
                <w:color w:val="auto"/>
              </w:rPr>
            </w:pPr>
            <w:r>
              <w:rPr>
                <w:rFonts w:ascii="Arial" w:cs="Arial" w:eastAsia="Arial" w:hAnsi="Arial"/>
                <w:sz w:val="14"/>
                <w:szCs w:val="14"/>
                <w:b w:val="1"/>
                <w:bCs w:val="1"/>
                <w:color w:val="auto"/>
              </w:rPr>
              <w:t>80,000</w:t>
            </w:r>
          </w:p>
        </w:tc>
        <w:tc>
          <w:tcPr>
            <w:tcW w:w="6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b w:val="1"/>
                <w:bCs w:val="1"/>
                <w:color w:val="auto"/>
              </w:rPr>
              <w:t>33,002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b w:val="1"/>
                <w:bCs w:val="1"/>
                <w:color w:val="auto"/>
              </w:rPr>
              <w:t>Supplemental disclosure of cash and non-cash operating</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activities:</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line="131" w:lineRule="exact"/>
              <w:rPr>
                <w:sz w:val="20"/>
                <w:szCs w:val="20"/>
                <w:color w:val="auto"/>
              </w:rPr>
            </w:pPr>
            <w:r>
              <w:rPr>
                <w:rFonts w:ascii="Arial" w:cs="Arial" w:eastAsia="Arial" w:hAnsi="Arial"/>
                <w:sz w:val="14"/>
                <w:szCs w:val="14"/>
                <w:color w:val="auto"/>
              </w:rPr>
              <w:t>Cash paid for interest</w:t>
            </w:r>
          </w:p>
        </w:tc>
        <w:tc>
          <w:tcPr>
            <w:tcW w:w="740" w:type="dxa"/>
            <w:vAlign w:val="bottom"/>
            <w:tcBorders>
              <w:bottom w:val="single" w:sz="8" w:color="auto"/>
            </w:tcBorders>
            <w:shd w:val="clear" w:color="auto" w:fill="CCEEFF"/>
          </w:tcPr>
          <w:p>
            <w:pPr>
              <w:jc w:val="right"/>
              <w:ind w:right="11"/>
              <w:spacing w:after="0" w:line="131"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31" w:lineRule="exact"/>
              <w:rPr>
                <w:sz w:val="20"/>
                <w:szCs w:val="20"/>
                <w:color w:val="auto"/>
              </w:rPr>
            </w:pPr>
            <w:r>
              <w:rPr>
                <w:rFonts w:ascii="Arial" w:cs="Arial" w:eastAsia="Arial" w:hAnsi="Arial"/>
                <w:sz w:val="14"/>
                <w:szCs w:val="14"/>
                <w:b w:val="1"/>
                <w:bCs w:val="1"/>
                <w:color w:val="auto"/>
              </w:rPr>
              <w:t>239</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b w:val="1"/>
                <w:bCs w:val="1"/>
                <w:color w:val="auto"/>
              </w:rPr>
              <w:t>Supplemental disclosure of non-cash investing and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Arial" w:cs="Arial" w:eastAsia="Arial" w:hAnsi="Arial"/>
                <w:sz w:val="14"/>
                <w:szCs w:val="14"/>
                <w:b w:val="1"/>
                <w:bCs w:val="1"/>
                <w:color w:val="auto"/>
              </w:rPr>
              <w:t>financing activities:</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4240" w:type="dxa"/>
            <w:vAlign w:val="bottom"/>
            <w:tcBorders>
              <w:bottom w:val="single" w:sz="8" w:color="CCEEFF"/>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Purchase of property and equipment, accrued and unpaid</w:t>
            </w:r>
          </w:p>
        </w:tc>
        <w:tc>
          <w:tcPr>
            <w:tcW w:w="740" w:type="dxa"/>
            <w:vAlign w:val="bottom"/>
            <w:tcBorders>
              <w:bottom w:val="single" w:sz="8" w:color="auto"/>
            </w:tcBorders>
            <w:shd w:val="clear" w:color="auto" w:fill="CCEEFF"/>
          </w:tcPr>
          <w:p>
            <w:pPr>
              <w:jc w:val="right"/>
              <w:ind w:right="11"/>
              <w:spacing w:after="0" w:line="151"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129"/>
              <w:spacing w:after="0" w:line="151" w:lineRule="exact"/>
              <w:rPr>
                <w:sz w:val="20"/>
                <w:szCs w:val="20"/>
                <w:color w:val="auto"/>
              </w:rPr>
            </w:pPr>
            <w:r>
              <w:rPr>
                <w:rFonts w:ascii="Arial" w:cs="Arial" w:eastAsia="Arial" w:hAnsi="Arial"/>
                <w:sz w:val="14"/>
                <w:szCs w:val="14"/>
                <w:b w:val="1"/>
                <w:bCs w:val="1"/>
                <w:color w:val="auto"/>
              </w:rPr>
              <w:t>4,107</w:t>
            </w:r>
          </w:p>
        </w:tc>
        <w:tc>
          <w:tcPr>
            <w:tcW w:w="6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rPr>
              <w:t>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Deferred offering cost, accrued and unpaid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240" w:type="dxa"/>
            <w:vAlign w:val="bottom"/>
            <w:vMerge w:val="continue"/>
          </w:tcPr>
          <w:p>
            <w:pPr>
              <w:spacing w:after="0"/>
              <w:rPr>
                <w:sz w:val="13"/>
                <w:szCs w:val="13"/>
                <w:color w:val="auto"/>
              </w:rPr>
            </w:pPr>
          </w:p>
        </w:tc>
        <w:tc>
          <w:tcPr>
            <w:tcW w:w="740" w:type="dxa"/>
            <w:vAlign w:val="bottom"/>
            <w:tcBorders>
              <w:bottom w:val="single" w:sz="8" w:color="auto"/>
            </w:tcBorders>
          </w:tcPr>
          <w:p>
            <w:pPr>
              <w:jc w:val="right"/>
              <w:ind w:right="11"/>
              <w:spacing w:after="0" w:line="154"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29"/>
              <w:spacing w:after="0" w:line="154" w:lineRule="exact"/>
              <w:rPr>
                <w:sz w:val="20"/>
                <w:szCs w:val="20"/>
                <w:color w:val="auto"/>
              </w:rPr>
            </w:pPr>
            <w:r>
              <w:rPr>
                <w:rFonts w:ascii="Arial" w:cs="Arial" w:eastAsia="Arial" w:hAnsi="Arial"/>
                <w:sz w:val="14"/>
                <w:szCs w:val="14"/>
                <w:b w:val="1"/>
                <w:bCs w:val="1"/>
                <w:color w:val="auto"/>
              </w:rPr>
              <w:t>1,565</w:t>
            </w:r>
          </w:p>
        </w:tc>
        <w:tc>
          <w:tcPr>
            <w:tcW w:w="6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-923925</wp:posOffset>
            </wp:positionV>
            <wp:extent cx="269303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-2318385</wp:posOffset>
            </wp:positionV>
            <wp:extent cx="269303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-3073400</wp:posOffset>
            </wp:positionV>
            <wp:extent cx="269303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-4480560</wp:posOffset>
            </wp:positionV>
            <wp:extent cx="269303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93035" cy="6985"/>
                    </a:xfrm>
                    <a:prstGeom prst="rect">
                      <a:avLst/>
                    </a:prstGeom>
                    <a:noFill/>
                  </pic:spPr>
                </pic:pic>
              </a:graphicData>
            </a:graphic>
          </wp:anchor>
        </w:drawing>
      </w: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9" w:name="page250"/>
    <w:bookmarkEnd w:id="249"/>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right="2459"/>
        <w:spacing w:after="0" w:line="222"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(unaudited)</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18"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40" w:right="1399"/>
        <w:spacing w:after="0" w:line="256" w:lineRule="auto"/>
        <w:rPr>
          <w:sz w:val="20"/>
          <w:szCs w:val="20"/>
          <w:color w:val="auto"/>
        </w:rPr>
      </w:pPr>
      <w:r>
        <w:rPr>
          <w:rFonts w:ascii="Arial" w:cs="Arial" w:eastAsia="Arial" w:hAnsi="Arial"/>
          <w:sz w:val="14"/>
          <w:szCs w:val="14"/>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285" w:lineRule="exact"/>
        <w:rPr>
          <w:sz w:val="20"/>
          <w:szCs w:val="20"/>
          <w:color w:val="auto"/>
        </w:rPr>
      </w:pPr>
    </w:p>
    <w:p>
      <w:pPr>
        <w:ind w:left="1240" w:right="1539"/>
        <w:spacing w:after="0" w:line="270"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88" w:lineRule="exact"/>
        <w:rPr>
          <w:sz w:val="20"/>
          <w:szCs w:val="20"/>
          <w:color w:val="auto"/>
        </w:rPr>
      </w:pPr>
    </w:p>
    <w:p>
      <w:pPr>
        <w:ind w:left="1240" w:right="1459"/>
        <w:spacing w:after="0" w:line="258"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3" w:lineRule="exact"/>
        <w:rPr>
          <w:sz w:val="20"/>
          <w:szCs w:val="20"/>
          <w:color w:val="auto"/>
        </w:rPr>
      </w:pPr>
    </w:p>
    <w:p>
      <w:pPr>
        <w:ind w:left="1240" w:right="1799"/>
        <w:spacing w:after="0" w:line="263"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33"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95" w:lineRule="exact"/>
        <w:rPr>
          <w:sz w:val="20"/>
          <w:szCs w:val="20"/>
          <w:color w:val="auto"/>
        </w:rPr>
      </w:pPr>
    </w:p>
    <w:p>
      <w:pPr>
        <w:ind w:left="1240" w:right="1319"/>
        <w:spacing w:after="0" w:line="257" w:lineRule="auto"/>
        <w:rPr>
          <w:sz w:val="20"/>
          <w:szCs w:val="20"/>
          <w:color w:val="auto"/>
        </w:rPr>
      </w:pPr>
      <w:r>
        <w:rPr>
          <w:rFonts w:ascii="Arial" w:cs="Arial" w:eastAsia="Arial" w:hAnsi="Arial"/>
          <w:sz w:val="14"/>
          <w:szCs w:val="14"/>
          <w:color w:val="auto"/>
        </w:rPr>
        <w:t>Since inception, the Company has incurred net losses and negative cash flows from operations. During the three months ended March 31, 2021, the Company incurred a net loss of $18,348 and used $22,179 of cash for operations. During the three months ended March 31, 2020, the Company incurred a net loss of $9,673 and used $6,884 of cash for operations. Management expects to incur additional losses in the future to fund its operations and conduct product research and development and recognizes the need to raise additional capital to fully implement its business plan. As further described in Note 3, Prior Century obtained a cash capital commitment from Bayer totaling $215,000, from which net proceeds of $74,839 were received in June 2019, $38,100 were received in November 2020 and $31,900 were received in</w:t>
      </w:r>
    </w:p>
    <w:p>
      <w:pPr>
        <w:spacing w:after="0" w:line="163" w:lineRule="exact"/>
        <w:rPr>
          <w:sz w:val="20"/>
          <w:szCs w:val="20"/>
          <w:color w:val="auto"/>
        </w:rPr>
      </w:pPr>
    </w:p>
    <w:p>
      <w:pPr>
        <w:ind w:left="1240" w:right="1659"/>
        <w:spacing w:after="0" w:line="263" w:lineRule="auto"/>
        <w:rPr>
          <w:sz w:val="20"/>
          <w:szCs w:val="20"/>
          <w:color w:val="auto"/>
        </w:rPr>
      </w:pPr>
      <w:r>
        <w:rPr>
          <w:rFonts w:ascii="Arial" w:cs="Arial" w:eastAsia="Arial" w:hAnsi="Arial"/>
          <w:sz w:val="14"/>
          <w:szCs w:val="14"/>
          <w:color w:val="auto"/>
        </w:rPr>
        <w:t>January 2021. Bayer has no continuing obligation to invest any additional amounts under its commitment, which terminated on February 25, 2021. As further described in Note 9, the Company entered into a Loan Agreement pursuant to which it received net proceeds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0" w:name="page251"/>
    <w:bookmarkEnd w:id="250"/>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of $9,734 in September 2020. Beginning January 1, 2021 and upon the achievement of certain development milestones and continuing through September 30, 2021 the Company may borrow an additional $10.0 million under the Loan Agreement. As described in Note 10,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08" w:lineRule="exact"/>
        <w:rPr>
          <w:sz w:val="20"/>
          <w:szCs w:val="20"/>
          <w:color w:val="auto"/>
        </w:rPr>
      </w:pPr>
    </w:p>
    <w:p>
      <w:pPr>
        <w:ind w:left="1240" w:right="2219"/>
        <w:spacing w:after="0" w:line="259"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3"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33" w:lineRule="exact"/>
        <w:rPr>
          <w:sz w:val="20"/>
          <w:szCs w:val="20"/>
          <w:color w:val="auto"/>
        </w:rPr>
      </w:pPr>
    </w:p>
    <w:p>
      <w:pPr>
        <w:ind w:left="1240" w:right="1279"/>
        <w:spacing w:after="0" w:line="257"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Reverse Stock Split</w:t>
      </w:r>
    </w:p>
    <w:p>
      <w:pPr>
        <w:spacing w:after="0" w:line="133" w:lineRule="exact"/>
        <w:rPr>
          <w:sz w:val="20"/>
          <w:szCs w:val="20"/>
          <w:color w:val="auto"/>
        </w:rPr>
      </w:pPr>
    </w:p>
    <w:p>
      <w:pPr>
        <w:ind w:left="1240" w:right="1299"/>
        <w:spacing w:after="0" w:line="256" w:lineRule="auto"/>
        <w:rPr>
          <w:sz w:val="20"/>
          <w:szCs w:val="20"/>
          <w:color w:val="auto"/>
        </w:rPr>
      </w:pPr>
      <w:r>
        <w:rPr>
          <w:rFonts w:ascii="Arial" w:cs="Arial" w:eastAsia="Arial" w:hAnsi="Arial"/>
          <w:sz w:val="14"/>
          <w:szCs w:val="14"/>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will receive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All common share and per share data have been retrospectively revised to reflect the reverse stock split.</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23" w:lineRule="exact"/>
        <w:rPr>
          <w:sz w:val="20"/>
          <w:szCs w:val="20"/>
          <w:color w:val="auto"/>
        </w:rPr>
      </w:pPr>
    </w:p>
    <w:p>
      <w:pPr>
        <w:ind w:left="1240" w:right="1459"/>
        <w:spacing w:after="0" w:line="260"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3"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1" w:name="page252"/>
    <w:bookmarkEnd w:id="251"/>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23" w:lineRule="exact"/>
        <w:rPr>
          <w:sz w:val="20"/>
          <w:szCs w:val="20"/>
          <w:color w:val="auto"/>
        </w:rPr>
      </w:pPr>
    </w:p>
    <w:p>
      <w:pPr>
        <w:ind w:left="1240" w:right="1279"/>
        <w:spacing w:after="0" w:line="258"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2021 and 2020, the Company has not experienced any losses on its deposits of cash and cash equivalents.</w:t>
      </w:r>
    </w:p>
    <w:p>
      <w:pPr>
        <w:spacing w:after="0" w:line="10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7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95"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33" w:lineRule="exact"/>
        <w:rPr>
          <w:sz w:val="20"/>
          <w:szCs w:val="20"/>
          <w:color w:val="auto"/>
        </w:rPr>
      </w:pPr>
    </w:p>
    <w:p>
      <w:pPr>
        <w:ind w:left="1240" w:right="1299"/>
        <w:spacing w:after="0" w:line="259"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33" w:lineRule="exact"/>
        <w:rPr>
          <w:sz w:val="20"/>
          <w:szCs w:val="20"/>
          <w:color w:val="auto"/>
        </w:rPr>
      </w:pPr>
    </w:p>
    <w:p>
      <w:pPr>
        <w:ind w:left="1240" w:right="1499"/>
        <w:spacing w:after="0" w:line="258" w:lineRule="auto"/>
        <w:rPr>
          <w:sz w:val="20"/>
          <w:szCs w:val="20"/>
          <w:color w:val="auto"/>
        </w:rPr>
      </w:pPr>
      <w:r>
        <w:rPr>
          <w:rFonts w:ascii="Arial" w:cs="Arial" w:eastAsia="Arial" w:hAnsi="Arial"/>
          <w:sz w:val="14"/>
          <w:szCs w:val="14"/>
          <w:color w:val="auto"/>
        </w:rPr>
        <w:t>Deferred offering costs, which primarily consist of direct incremental legal and accounting fees relating to the initial public offering (IPO) of the Company’s common stock are capitalized. The deferred offering costs will be offset against IPO proceeds upon the consummation of the offering. In the event the offering is terminated, deferred offering costs will be expensed. The Company had $2,119 deferred offering costs recorded as of March 31, 2021. There were no deferred offering costs recorded as of December 31, 2020.</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20" w:lineRule="exact"/>
        <w:rPr>
          <w:sz w:val="20"/>
          <w:szCs w:val="20"/>
          <w:color w:val="auto"/>
        </w:rPr>
      </w:pPr>
    </w:p>
    <w:p>
      <w:pPr>
        <w:ind w:left="1760" w:right="1719" w:hanging="513"/>
        <w:spacing w:after="0" w:line="286" w:lineRule="auto"/>
        <w:rPr>
          <w:sz w:val="20"/>
          <w:szCs w:val="20"/>
          <w:color w:val="auto"/>
        </w:rPr>
      </w:pPr>
      <w:r>
        <w:rPr>
          <w:rFonts w:ascii="Arial" w:cs="Arial" w:eastAsia="Arial" w:hAnsi="Arial"/>
          <w:sz w:val="14"/>
          <w:szCs w:val="14"/>
          <w:color w:val="auto"/>
        </w:rPr>
        <w:t>Level 1 Inputs that reflect unadjusted quoted prices in active markets for identical assets or liabilities that the Company has the ability to access at the measurement date;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2" w:name="page253"/>
    <w:bookmarkEnd w:id="252"/>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right="1339" w:hanging="513"/>
        <w:spacing w:after="0" w:line="286" w:lineRule="auto"/>
        <w:rPr>
          <w:sz w:val="20"/>
          <w:szCs w:val="20"/>
          <w:color w:val="auto"/>
        </w:rPr>
      </w:pPr>
      <w:r>
        <w:rPr>
          <w:rFonts w:ascii="Arial" w:cs="Arial" w:eastAsia="Arial" w:hAnsi="Arial"/>
          <w:sz w:val="14"/>
          <w:szCs w:val="14"/>
          <w:color w:val="auto"/>
        </w:rPr>
        <w:t>Level 2 Inputs other than quoted prices that are observable for the asset or liability either directly or indirectly, including inputs in markets that are not considered to be active;</w:t>
      </w:r>
    </w:p>
    <w:p>
      <w:pPr>
        <w:spacing w:after="0" w:line="87" w:lineRule="exact"/>
        <w:rPr>
          <w:sz w:val="20"/>
          <w:szCs w:val="20"/>
          <w:color w:val="auto"/>
        </w:rPr>
      </w:pPr>
    </w:p>
    <w:p>
      <w:pPr>
        <w:ind w:left="1760" w:right="1359" w:hanging="513"/>
        <w:spacing w:after="0" w:line="286" w:lineRule="auto"/>
        <w:rPr>
          <w:sz w:val="20"/>
          <w:szCs w:val="20"/>
          <w:color w:val="auto"/>
        </w:rPr>
      </w:pPr>
      <w:r>
        <w:rPr>
          <w:rFonts w:ascii="Arial" w:cs="Arial" w:eastAsia="Arial" w:hAnsi="Arial"/>
          <w:sz w:val="14"/>
          <w:szCs w:val="14"/>
          <w:color w:val="auto"/>
        </w:rPr>
        <w:t>Level 3 Inputs are unobservable in which there is little or no market data available, which require the reporting entity to develop its own assumptions that are unobservable.</w:t>
      </w:r>
    </w:p>
    <w:p>
      <w:pPr>
        <w:spacing w:after="0" w:line="87"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23" w:lineRule="exact"/>
        <w:rPr>
          <w:sz w:val="20"/>
          <w:szCs w:val="20"/>
          <w:color w:val="auto"/>
        </w:rPr>
      </w:pPr>
    </w:p>
    <w:p>
      <w:pPr>
        <w:ind w:left="1240" w:right="1579"/>
        <w:spacing w:after="0" w:line="27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33" w:lineRule="exact"/>
        <w:rPr>
          <w:sz w:val="20"/>
          <w:szCs w:val="20"/>
          <w:color w:val="auto"/>
        </w:rPr>
      </w:pPr>
    </w:p>
    <w:p>
      <w:pPr>
        <w:jc w:val="both"/>
        <w:ind w:left="1240" w:right="1619"/>
        <w:spacing w:after="0" w:line="263" w:lineRule="auto"/>
        <w:rPr>
          <w:sz w:val="20"/>
          <w:szCs w:val="20"/>
          <w:color w:val="auto"/>
        </w:rPr>
      </w:pPr>
      <w:r>
        <w:rPr>
          <w:rFonts w:ascii="Arial" w:cs="Arial" w:eastAsia="Arial" w:hAnsi="Arial"/>
          <w:sz w:val="14"/>
          <w:szCs w:val="14"/>
          <w:color w:val="auto"/>
        </w:rPr>
        <w:t>As of March 31, 2021 and December 31, 2020, the Company had $517 in cash on deposit to secure certain lease commitments. Restricted cash is recorded separately in the Company’s consolidated balance sheets.</w:t>
      </w:r>
    </w:p>
    <w:p>
      <w:pPr>
        <w:spacing w:after="0" w:line="103"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85725</wp:posOffset>
            </wp:positionV>
            <wp:extent cx="4134485" cy="133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4"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$ 79,483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$ 27,211</w:t>
            </w:r>
          </w:p>
        </w:tc>
      </w:tr>
      <w:tr>
        <w:trPr>
          <w:trHeight w:val="187"/>
        </w:trPr>
        <w:tc>
          <w:tcPr>
            <w:tcW w:w="4100" w:type="dxa"/>
            <w:vAlign w:val="bottom"/>
            <w:gridSpan w:val="2"/>
          </w:tcPr>
          <w:p>
            <w:pPr>
              <w:spacing w:after="0"/>
              <w:rPr>
                <w:sz w:val="20"/>
                <w:szCs w:val="20"/>
                <w:color w:val="auto"/>
              </w:rPr>
            </w:pPr>
            <w:r>
              <w:rPr>
                <w:rFonts w:ascii="Arial" w:cs="Arial" w:eastAsia="Arial" w:hAnsi="Arial"/>
                <w:sz w:val="14"/>
                <w:szCs w:val="14"/>
                <w:color w:val="auto"/>
              </w:rPr>
              <w:t>Restricted cash</w:t>
            </w:r>
          </w:p>
        </w:tc>
        <w:tc>
          <w:tcPr>
            <w:tcW w:w="1440" w:type="dxa"/>
            <w:vAlign w:val="bottom"/>
          </w:tcPr>
          <w:p>
            <w:pPr>
              <w:jc w:val="right"/>
              <w:ind w:right="330"/>
              <w:spacing w:after="0"/>
              <w:rPr>
                <w:sz w:val="20"/>
                <w:szCs w:val="20"/>
                <w:color w:val="auto"/>
              </w:rPr>
            </w:pPr>
            <w:r>
              <w:rPr>
                <w:rFonts w:ascii="Arial" w:cs="Arial" w:eastAsia="Arial" w:hAnsi="Arial"/>
                <w:sz w:val="14"/>
                <w:szCs w:val="14"/>
                <w:color w:val="auto"/>
              </w:rPr>
              <w:t>517</w:t>
            </w:r>
          </w:p>
        </w:tc>
        <w:tc>
          <w:tcPr>
            <w:tcW w:w="98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225"/>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4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$ 80,000</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$ 27,728</w:t>
            </w: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59778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9778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-414020</wp:posOffset>
            </wp:positionV>
            <wp:extent cx="259778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97785"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33"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33" w:lineRule="exact"/>
        <w:rPr>
          <w:sz w:val="20"/>
          <w:szCs w:val="20"/>
          <w:color w:val="auto"/>
        </w:rPr>
      </w:pPr>
    </w:p>
    <w:p>
      <w:pPr>
        <w:jc w:val="both"/>
        <w:ind w:left="1240" w:right="1519"/>
        <w:spacing w:after="0" w:line="260"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95"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3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3" w:lineRule="exact"/>
        <w:rPr>
          <w:sz w:val="20"/>
          <w:szCs w:val="20"/>
          <w:color w:val="auto"/>
        </w:rPr>
      </w:pPr>
    </w:p>
    <w:p>
      <w:pPr>
        <w:ind w:left="1240" w:right="1659"/>
        <w:spacing w:after="0" w:line="263"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3" w:name="page254"/>
    <w:bookmarkEnd w:id="253"/>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379"/>
        <w:spacing w:after="0" w:line="278" w:lineRule="auto"/>
        <w:rPr>
          <w:sz w:val="20"/>
          <w:szCs w:val="20"/>
          <w:color w:val="auto"/>
        </w:rPr>
      </w:pPr>
      <w:r>
        <w:rPr>
          <w:rFonts w:ascii="Arial" w:cs="Arial" w:eastAsia="Arial" w:hAnsi="Arial"/>
          <w:sz w:val="14"/>
          <w:szCs w:val="14"/>
          <w:color w:val="auto"/>
        </w:rPr>
        <w:t>materials, supplies, rent, depreciation on and maintenance of research equipment, and the cost of services provided by outside contractors. All costs associated with research and development are expensed as incurred.</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33" w:lineRule="exact"/>
        <w:rPr>
          <w:sz w:val="20"/>
          <w:szCs w:val="20"/>
          <w:color w:val="auto"/>
        </w:rPr>
      </w:pPr>
    </w:p>
    <w:p>
      <w:pPr>
        <w:ind w:left="1240" w:right="1339"/>
        <w:spacing w:after="0" w:line="272" w:lineRule="auto"/>
        <w:rPr>
          <w:sz w:val="20"/>
          <w:szCs w:val="20"/>
          <w:color w:val="auto"/>
        </w:rPr>
      </w:pPr>
      <w:r>
        <w:rPr>
          <w:rFonts w:ascii="Arial" w:cs="Arial" w:eastAsia="Arial" w:hAnsi="Arial"/>
          <w:sz w:val="14"/>
          <w:szCs w:val="14"/>
          <w:color w:val="auto"/>
        </w:rPr>
        <w:t>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95" w:lineRule="exact"/>
        <w:rPr>
          <w:sz w:val="20"/>
          <w:szCs w:val="20"/>
          <w:color w:val="auto"/>
        </w:rPr>
      </w:pPr>
    </w:p>
    <w:p>
      <w:pPr>
        <w:ind w:left="1240" w:right="1279"/>
        <w:spacing w:after="0" w:line="271"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spacing w:after="0" w:line="1" w:lineRule="exact"/>
        <w:rPr>
          <w:sz w:val="20"/>
          <w:szCs w:val="20"/>
          <w:color w:val="auto"/>
        </w:rPr>
      </w:pPr>
    </w:p>
    <w:p>
      <w:pPr>
        <w:ind w:left="1240" w:right="1299" w:firstLine="9"/>
        <w:spacing w:after="0" w:line="272" w:lineRule="auto"/>
        <w:tabs>
          <w:tab w:leader="none" w:pos="149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295" w:lineRule="exact"/>
        <w:rPr>
          <w:sz w:val="20"/>
          <w:szCs w:val="20"/>
          <w:color w:val="auto"/>
        </w:rPr>
      </w:pPr>
    </w:p>
    <w:p>
      <w:pPr>
        <w:ind w:left="1240" w:right="1379"/>
        <w:spacing w:after="0" w:line="272" w:lineRule="auto"/>
        <w:rPr>
          <w:sz w:val="20"/>
          <w:szCs w:val="20"/>
          <w:color w:val="auto"/>
        </w:rPr>
      </w:pPr>
      <w:r>
        <w:rPr>
          <w:rFonts w:ascii="Arial" w:cs="Arial" w:eastAsia="Arial" w:hAnsi="Arial"/>
          <w:sz w:val="14"/>
          <w:szCs w:val="14"/>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Warrants</w:t>
      </w:r>
    </w:p>
    <w:p>
      <w:pPr>
        <w:spacing w:after="0" w:line="133" w:lineRule="exact"/>
        <w:rPr>
          <w:sz w:val="20"/>
          <w:szCs w:val="20"/>
          <w:color w:val="auto"/>
        </w:rPr>
      </w:pPr>
    </w:p>
    <w:p>
      <w:pPr>
        <w:ind w:left="1240" w:right="1319"/>
        <w:spacing w:after="0" w:line="274" w:lineRule="auto"/>
        <w:rPr>
          <w:sz w:val="20"/>
          <w:szCs w:val="20"/>
          <w:color w:val="auto"/>
        </w:rPr>
      </w:pPr>
      <w:r>
        <w:rPr>
          <w:rFonts w:ascii="Arial" w:cs="Arial" w:eastAsia="Arial" w:hAnsi="Arial"/>
          <w:sz w:val="14"/>
          <w:szCs w:val="14"/>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as either derivative liabilities or as equity instruments depending on the specific terms of the warrant agreement. The Company’s warrants issued in connection with its long-term debt are equity classified</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4" w:name="page255"/>
    <w:bookmarkEnd w:id="254"/>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240" w:right="1359"/>
        <w:spacing w:after="0" w:line="278" w:lineRule="auto"/>
        <w:rPr>
          <w:sz w:val="20"/>
          <w:szCs w:val="20"/>
          <w:color w:val="auto"/>
        </w:rPr>
      </w:pPr>
      <w:r>
        <w:rPr>
          <w:rFonts w:ascii="Arial" w:cs="Arial" w:eastAsia="Arial" w:hAnsi="Arial"/>
          <w:sz w:val="14"/>
          <w:szCs w:val="14"/>
          <w:color w:val="auto"/>
        </w:rPr>
        <w:t>on the accompanying consolidated balance sheets. Equity classified warrants are accounted for at fair value on the issuance date, using Black Scholes, with no changes in fair value recognized after the issuance date.</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3" w:lineRule="exact"/>
        <w:rPr>
          <w:sz w:val="20"/>
          <w:szCs w:val="20"/>
          <w:color w:val="auto"/>
        </w:rPr>
      </w:pPr>
    </w:p>
    <w:p>
      <w:pPr>
        <w:ind w:left="1240" w:right="1279"/>
        <w:spacing w:after="0" w:line="273"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91"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Basic and diluted net loss per common shares</w:t>
      </w:r>
    </w:p>
    <w:p>
      <w:pPr>
        <w:spacing w:after="0" w:line="144" w:lineRule="exact"/>
        <w:rPr>
          <w:sz w:val="20"/>
          <w:szCs w:val="20"/>
          <w:color w:val="auto"/>
        </w:rPr>
      </w:pPr>
    </w:p>
    <w:p>
      <w:pPr>
        <w:ind w:left="1240" w:right="1319"/>
        <w:spacing w:after="0" w:line="273" w:lineRule="auto"/>
        <w:rPr>
          <w:sz w:val="20"/>
          <w:szCs w:val="20"/>
          <w:color w:val="auto"/>
        </w:rPr>
      </w:pPr>
      <w:r>
        <w:rPr>
          <w:rFonts w:ascii="Arial" w:cs="Arial" w:eastAsia="Arial" w:hAnsi="Arial"/>
          <w:sz w:val="14"/>
          <w:szCs w:val="14"/>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months ended March 31, 2021 and 2020.</w:t>
      </w:r>
    </w:p>
    <w:p>
      <w:pPr>
        <w:spacing w:after="0" w:line="3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Early exercised options</w:t>
      </w:r>
    </w:p>
    <w:p>
      <w:pPr>
        <w:spacing w:after="0" w:line="133"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The Company allows certain of its employees and its consultants to exercise options granted under the 2018 Plan (Note 15) prior to vesting.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March 31, 2021, $1,136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200" w:lineRule="exact"/>
        <w:rPr>
          <w:sz w:val="20"/>
          <w:szCs w:val="20"/>
          <w:color w:val="auto"/>
        </w:rPr>
      </w:pPr>
    </w:p>
    <w:p>
      <w:pPr>
        <w:spacing w:after="0" w:line="276" w:lineRule="exact"/>
        <w:rPr>
          <w:sz w:val="20"/>
          <w:szCs w:val="20"/>
          <w:color w:val="auto"/>
        </w:rPr>
      </w:pPr>
    </w:p>
    <w:p>
      <w:pPr>
        <w:ind w:left="1240" w:right="1379"/>
        <w:spacing w:after="0" w:line="278" w:lineRule="auto"/>
        <w:rPr>
          <w:sz w:val="20"/>
          <w:szCs w:val="20"/>
          <w:color w:val="auto"/>
        </w:rPr>
      </w:pPr>
      <w:r>
        <w:rPr>
          <w:rFonts w:ascii="Arial" w:cs="Arial" w:eastAsia="Arial" w:hAnsi="Arial"/>
          <w:sz w:val="14"/>
          <w:szCs w:val="14"/>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86995</wp:posOffset>
            </wp:positionV>
            <wp:extent cx="4134485" cy="133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2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 2021  December 31, 2020</w:t>
            </w:r>
          </w:p>
        </w:tc>
      </w:tr>
      <w:tr>
        <w:trPr>
          <w:trHeight w:val="182"/>
        </w:trPr>
        <w:tc>
          <w:tcPr>
            <w:tcW w:w="1000" w:type="dxa"/>
            <w:vAlign w:val="bottom"/>
          </w:tcPr>
          <w:p>
            <w:pPr>
              <w:spacing w:after="0"/>
              <w:rPr>
                <w:sz w:val="15"/>
                <w:szCs w:val="15"/>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legally outstanding</w:t>
            </w:r>
          </w:p>
        </w:tc>
        <w:tc>
          <w:tcPr>
            <w:tcW w:w="12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9,727,754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8,865,992</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Less: unvested early exercised shares</w:t>
            </w:r>
          </w:p>
        </w:tc>
        <w:tc>
          <w:tcPr>
            <w:tcW w:w="2720" w:type="dxa"/>
            <w:vAlign w:val="bottom"/>
            <w:gridSpan w:val="2"/>
          </w:tcPr>
          <w:p>
            <w:pPr>
              <w:jc w:val="right"/>
              <w:ind w:right="272"/>
              <w:spacing w:after="0"/>
              <w:rPr>
                <w:sz w:val="20"/>
                <w:szCs w:val="20"/>
                <w:color w:val="auto"/>
              </w:rPr>
            </w:pPr>
            <w:r>
              <w:rPr>
                <w:rFonts w:ascii="Arial" w:cs="Arial" w:eastAsia="Arial" w:hAnsi="Arial"/>
                <w:sz w:val="14"/>
                <w:szCs w:val="14"/>
                <w:color w:val="auto"/>
              </w:rPr>
              <w:t>(952,518)</w:t>
            </w:r>
          </w:p>
        </w:tc>
        <w:tc>
          <w:tcPr>
            <w:tcW w:w="980" w:type="dxa"/>
            <w:vAlign w:val="bottom"/>
          </w:tcPr>
          <w:p>
            <w:pPr>
              <w:jc w:val="right"/>
              <w:spacing w:after="0"/>
              <w:rPr>
                <w:sz w:val="20"/>
                <w:szCs w:val="20"/>
                <w:color w:val="auto"/>
              </w:rPr>
            </w:pPr>
            <w:r>
              <w:rPr>
                <w:rFonts w:ascii="Arial" w:cs="Arial" w:eastAsia="Arial" w:hAnsi="Arial"/>
                <w:sz w:val="14"/>
                <w:szCs w:val="14"/>
                <w:color w:val="auto"/>
              </w:rPr>
              <w:t>(330,629)</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2"/>
          </w:tcPr>
          <w:p>
            <w:pPr>
              <w:jc w:val="right"/>
              <w:ind w:right="2072"/>
              <w:spacing w:after="0"/>
              <w:rPr>
                <w:sz w:val="20"/>
                <w:szCs w:val="20"/>
                <w:color w:val="auto"/>
              </w:rPr>
            </w:pPr>
            <w:r>
              <w:rPr>
                <w:rFonts w:ascii="Arial" w:cs="Arial" w:eastAsia="Arial" w:hAnsi="Arial"/>
                <w:sz w:val="14"/>
                <w:szCs w:val="14"/>
                <w:color w:val="auto"/>
              </w:rPr>
              <w:t>F-39</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59778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9778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5" w:name="page256"/>
    <w:bookmarkEnd w:id="255"/>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419735</wp:posOffset>
            </wp:positionV>
            <wp:extent cx="4134485" cy="133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5"/>
        </w:trPr>
        <w:tc>
          <w:tcPr>
            <w:tcW w:w="20" w:type="dxa"/>
            <w:vAlign w:val="bottom"/>
          </w:tcPr>
          <w:p>
            <w:pPr>
              <w:spacing w:after="0"/>
              <w:rPr>
                <w:sz w:val="15"/>
                <w:szCs w:val="15"/>
                <w:color w:val="auto"/>
              </w:rPr>
            </w:pPr>
          </w:p>
        </w:tc>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unvested restricted stock</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(902,703)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(1,053,502)</w:t>
            </w:r>
          </w:p>
        </w:tc>
        <w:tc>
          <w:tcPr>
            <w:tcW w:w="40" w:type="dxa"/>
            <w:vAlign w:val="bottom"/>
          </w:tcPr>
          <w:p>
            <w:pPr>
              <w:spacing w:after="0"/>
              <w:rPr>
                <w:sz w:val="15"/>
                <w:szCs w:val="15"/>
                <w:color w:val="auto"/>
              </w:rPr>
            </w:pPr>
          </w:p>
        </w:tc>
      </w:tr>
      <w:tr>
        <w:trPr>
          <w:trHeight w:val="178"/>
        </w:trPr>
        <w:tc>
          <w:tcPr>
            <w:tcW w:w="4100" w:type="dxa"/>
            <w:vAlign w:val="bottom"/>
            <w:gridSpan w:val="3"/>
          </w:tcPr>
          <w:p>
            <w:pPr>
              <w:spacing w:after="0"/>
              <w:rPr>
                <w:sz w:val="20"/>
                <w:szCs w:val="20"/>
                <w:color w:val="auto"/>
              </w:rPr>
            </w:pPr>
            <w:r>
              <w:rPr>
                <w:rFonts w:ascii="Arial" w:cs="Arial" w:eastAsia="Arial" w:hAnsi="Arial"/>
                <w:sz w:val="14"/>
                <w:szCs w:val="14"/>
                <w:color w:val="auto"/>
              </w:rPr>
              <w:t>Total shares issued and outstanding</w:t>
            </w:r>
          </w:p>
        </w:tc>
        <w:tc>
          <w:tcPr>
            <w:tcW w:w="14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7,872,533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-271145</wp:posOffset>
            </wp:positionV>
            <wp:extent cx="259080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90800" cy="6985"/>
                    </a:xfrm>
                    <a:prstGeom prst="rect">
                      <a:avLst/>
                    </a:prstGeom>
                    <a:noFill/>
                  </pic:spPr>
                </pic:pic>
              </a:graphicData>
            </a:graphic>
          </wp:anchor>
        </w:drawing>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44"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As of March 31, 2021, the number of restricted stock awards vested were 1,353,783.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$39, for the three months ended March 31, 2021 and 2020, in the statements of operations and comprehensive loss.</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31" w:lineRule="exact"/>
        <w:rPr>
          <w:sz w:val="20"/>
          <w:szCs w:val="20"/>
          <w:color w:val="auto"/>
        </w:rPr>
      </w:pPr>
    </w:p>
    <w:p>
      <w:pPr>
        <w:ind w:left="1240" w:right="1279"/>
        <w:spacing w:after="0" w:line="272"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Recent Accounting Pronouncements</w:t>
      </w:r>
    </w:p>
    <w:p>
      <w:pPr>
        <w:spacing w:after="0" w:line="142" w:lineRule="exact"/>
        <w:rPr>
          <w:sz w:val="20"/>
          <w:szCs w:val="20"/>
          <w:color w:val="auto"/>
        </w:rPr>
      </w:pPr>
    </w:p>
    <w:p>
      <w:pPr>
        <w:ind w:left="1240" w:right="1339"/>
        <w:spacing w:after="0" w:line="274"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this standard on January 1, 2021 and adoption had no impact on its consolidated financial statements.</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3—Initial capitalization</w:t>
      </w:r>
    </w:p>
    <w:p>
      <w:pPr>
        <w:spacing w:after="0" w:line="140" w:lineRule="exact"/>
        <w:rPr>
          <w:sz w:val="20"/>
          <w:szCs w:val="20"/>
          <w:color w:val="auto"/>
        </w:rPr>
      </w:pPr>
    </w:p>
    <w:p>
      <w:pPr>
        <w:ind w:left="1240" w:right="1479"/>
        <w:spacing w:after="0" w:line="278"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33" w:lineRule="exact"/>
        <w:rPr>
          <w:sz w:val="20"/>
          <w:szCs w:val="20"/>
          <w:color w:val="auto"/>
        </w:rPr>
      </w:pPr>
    </w:p>
    <w:p>
      <w:pPr>
        <w:ind w:left="1240" w:right="1779"/>
        <w:spacing w:after="0" w:line="278"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105"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6" w:name="page257"/>
    <w:bookmarkEnd w:id="256"/>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40" w:right="1699"/>
        <w:spacing w:after="0" w:line="270" w:lineRule="auto"/>
        <w:rPr>
          <w:sz w:val="20"/>
          <w:szCs w:val="20"/>
          <w:color w:val="auto"/>
        </w:rPr>
      </w:pPr>
      <w:r>
        <w:rPr>
          <w:rFonts w:ascii="Arial" w:cs="Arial" w:eastAsia="Arial" w:hAnsi="Arial"/>
          <w:sz w:val="14"/>
          <w:szCs w:val="14"/>
          <w:color w:val="auto"/>
        </w:rPr>
        <w:t>development (“IPR&amp;D”) asset. In an asset acquisition, the total transaction cost is allocated between the acquired identified tangible and intangible assets based on relative fair value.</w:t>
      </w:r>
    </w:p>
    <w:p>
      <w:pPr>
        <w:spacing w:after="0" w:line="88"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94615</wp:posOffset>
            </wp:positionV>
            <wp:extent cx="4134485" cy="133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57"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1"/>
        </w:trPr>
        <w:tc>
          <w:tcPr>
            <w:tcW w:w="20" w:type="dxa"/>
            <w:vAlign w:val="bottom"/>
          </w:tcPr>
          <w:p>
            <w:pPr>
              <w:spacing w:after="0"/>
              <w:rPr>
                <w:sz w:val="14"/>
                <w:szCs w:val="14"/>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40" w:type="dxa"/>
            <w:vAlign w:val="bottom"/>
          </w:tcPr>
          <w:p>
            <w:pPr>
              <w:spacing w:after="0"/>
              <w:rPr>
                <w:sz w:val="14"/>
                <w:szCs w:val="14"/>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IPR&amp;D</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0" w:type="dxa"/>
            <w:vAlign w:val="bottom"/>
          </w:tcPr>
          <w:p>
            <w:pPr>
              <w:spacing w:after="0"/>
              <w:rPr>
                <w:sz w:val="15"/>
                <w:szCs w:val="15"/>
                <w:color w:val="auto"/>
              </w:rPr>
            </w:pPr>
          </w:p>
        </w:tc>
      </w:tr>
      <w:tr>
        <w:trPr>
          <w:trHeight w:val="181"/>
        </w:trPr>
        <w:tc>
          <w:tcPr>
            <w:tcW w:w="51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7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40" w:type="dxa"/>
            <w:vAlign w:val="bottom"/>
          </w:tcPr>
          <w:p>
            <w:pPr>
              <w:spacing w:after="0"/>
              <w:rPr>
                <w:sz w:val="15"/>
                <w:szCs w:val="15"/>
                <w:color w:val="auto"/>
              </w:rPr>
            </w:pPr>
          </w:p>
        </w:tc>
      </w:tr>
      <w:tr>
        <w:trPr>
          <w:trHeight w:val="183"/>
        </w:trPr>
        <w:tc>
          <w:tcPr>
            <w:tcW w:w="51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205"/>
        </w:trPr>
        <w:tc>
          <w:tcPr>
            <w:tcW w:w="20" w:type="dxa"/>
            <w:vAlign w:val="bottom"/>
          </w:tcPr>
          <w:p>
            <w:pPr>
              <w:spacing w:after="0"/>
              <w:rPr>
                <w:sz w:val="17"/>
                <w:szCs w:val="17"/>
                <w:color w:val="auto"/>
              </w:rPr>
            </w:pPr>
          </w:p>
        </w:tc>
        <w:tc>
          <w:tcPr>
            <w:tcW w:w="51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327787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7787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-917575</wp:posOffset>
            </wp:positionV>
            <wp:extent cx="327787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277870" cy="6985"/>
                    </a:xfrm>
                    <a:prstGeom prst="rect">
                      <a:avLst/>
                    </a:prstGeom>
                    <a:noFill/>
                  </pic:spPr>
                </pic:pic>
              </a:graphicData>
            </a:graphic>
          </wp:anchor>
        </w:drawing>
      </w:r>
    </w:p>
    <w:p>
      <w:pPr>
        <w:spacing w:after="0" w:line="76"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01" w:lineRule="exact"/>
        <w:rPr>
          <w:sz w:val="20"/>
          <w:szCs w:val="20"/>
          <w:color w:val="auto"/>
        </w:rPr>
      </w:pPr>
    </w:p>
    <w:p>
      <w:pPr>
        <w:ind w:left="1240" w:right="1379"/>
        <w:spacing w:after="0" w:line="259"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March 31, 2021. Tranche 2 was eliminated in connection with the Series C preferred financing. See Note 10.</w: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Rights</w:t>
      </w:r>
    </w:p>
    <w:p>
      <w:pPr>
        <w:spacing w:after="0" w:line="112"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92" w:lineRule="exact"/>
        <w:rPr>
          <w:sz w:val="20"/>
          <w:szCs w:val="20"/>
          <w:color w:val="auto"/>
        </w:rPr>
      </w:pPr>
    </w:p>
    <w:p>
      <w:pPr>
        <w:ind w:left="1240" w:right="1319"/>
        <w:spacing w:after="0" w:line="270"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7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10"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changes in convertible preferred stock and stockholders’ deficit.</w:t>
      </w:r>
    </w:p>
    <w:p>
      <w:pPr>
        <w:spacing w:after="0" w:line="103" w:lineRule="exact"/>
        <w:rPr>
          <w:sz w:val="20"/>
          <w:szCs w:val="20"/>
          <w:color w:val="auto"/>
        </w:rPr>
      </w:pPr>
    </w:p>
    <w:p>
      <w:pPr>
        <w:ind w:left="1240" w:right="1319"/>
        <w:spacing w:after="0" w:line="258"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01" w:lineRule="exact"/>
        <w:rPr>
          <w:sz w:val="20"/>
          <w:szCs w:val="20"/>
          <w:color w:val="auto"/>
        </w:rPr>
      </w:pPr>
    </w:p>
    <w:p>
      <w:pPr>
        <w:ind w:left="1240" w:right="1459"/>
        <w:spacing w:after="0" w:line="263"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7" w:name="page258"/>
    <w:bookmarkEnd w:id="257"/>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97"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March 31, 2021 and December 31, 2020, accrued compensation expense on the promissory note was $407 and $282, which is presented within accrued expenses and other liabilities on the consolidated balance sheets.</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1"/>
        </w:trPr>
        <w:tc>
          <w:tcPr>
            <w:tcW w:w="562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5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3"/>
        </w:trPr>
        <w:tc>
          <w:tcPr>
            <w:tcW w:w="20" w:type="dxa"/>
            <w:vAlign w:val="bottom"/>
          </w:tcPr>
          <w:p>
            <w:pPr>
              <w:spacing w:after="0"/>
              <w:rPr>
                <w:sz w:val="15"/>
                <w:szCs w:val="15"/>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1"/>
        </w:trPr>
        <w:tc>
          <w:tcPr>
            <w:tcW w:w="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356362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6362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-652145</wp:posOffset>
            </wp:positionV>
            <wp:extent cx="356362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63620" cy="6985"/>
                    </a:xfrm>
                    <a:prstGeom prst="rect">
                      <a:avLst/>
                    </a:prstGeom>
                    <a:noFill/>
                  </pic:spPr>
                </pic:pic>
              </a:graphicData>
            </a:graphic>
          </wp:anchor>
        </w:drawing>
      </w:r>
    </w:p>
    <w:p>
      <w:pPr>
        <w:spacing w:after="0" w:line="65" w:lineRule="exact"/>
        <w:rPr>
          <w:sz w:val="20"/>
          <w:szCs w:val="20"/>
          <w:color w:val="auto"/>
        </w:rPr>
      </w:pPr>
    </w:p>
    <w:p>
      <w:pPr>
        <w:ind w:left="1240" w:right="1419"/>
        <w:spacing w:after="0" w:line="259"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40" w:right="1519"/>
        <w:spacing w:after="0" w:line="260"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 There was no write off of in-process research and development asset for the three months ended March 31, 2021 and 2020.</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9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March 31, 2021,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$75,686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75,686</w:t>
            </w:r>
          </w:p>
        </w:tc>
      </w:tr>
      <w:tr>
        <w:trPr>
          <w:trHeight w:val="181"/>
        </w:trPr>
        <w:tc>
          <w:tcPr>
            <w:tcW w:w="36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11,999</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11,999</w:t>
            </w:r>
          </w:p>
        </w:tc>
      </w:tr>
      <w:tr>
        <w:trPr>
          <w:trHeight w:val="22"/>
        </w:trPr>
        <w:tc>
          <w:tcPr>
            <w:tcW w:w="3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154,598</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154,598</w:t>
            </w:r>
          </w:p>
        </w:tc>
      </w:tr>
      <w:tr>
        <w:trPr>
          <w:trHeight w:val="178"/>
        </w:trPr>
        <w:tc>
          <w:tcPr>
            <w:tcW w:w="3680" w:type="dxa"/>
            <w:vAlign w:val="bottom"/>
            <w:gridSpan w:val="2"/>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$87,685</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$154,598</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242,283</w:t>
            </w:r>
          </w:p>
        </w:tc>
      </w:tr>
      <w:tr>
        <w:trPr>
          <w:trHeight w:val="22"/>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232600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26005" cy="6985"/>
                    </a:xfrm>
                    <a:prstGeom prst="rect">
                      <a:avLst/>
                    </a:prstGeom>
                    <a:noFill/>
                  </pic:spPr>
                </pic:pic>
              </a:graphicData>
            </a:graphic>
          </wp:anchor>
        </w:drawing>
      </w:r>
    </w:p>
    <w:p>
      <w:pPr>
        <w:spacing w:after="0" w:line="65"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$24,284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9,525</w:t>
            </w:r>
          </w:p>
        </w:tc>
        <w:tc>
          <w:tcPr>
            <w:tcW w:w="180" w:type="dxa"/>
            <w:vAlign w:val="bottom"/>
          </w:tcPr>
          <w:p>
            <w:pPr>
              <w:spacing w:after="0"/>
              <w:rPr>
                <w:sz w:val="15"/>
                <w:szCs w:val="15"/>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2"/>
        </w:trPr>
        <w:tc>
          <w:tcPr>
            <w:tcW w:w="38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7"/>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$33,809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w w:val="97"/>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4"/>
        </w:trPr>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-529590</wp:posOffset>
            </wp:positionV>
            <wp:extent cx="243459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34590" cy="6985"/>
                    </a:xfrm>
                    <a:prstGeom prst="rect">
                      <a:avLst/>
                    </a:prstGeom>
                    <a:noFill/>
                  </pic:spPr>
                </pic:pic>
              </a:graphicData>
            </a:graphic>
          </wp:anchor>
        </w:drawing>
      </w:r>
    </w:p>
    <w:p>
      <w:pPr>
        <w:spacing w:after="0" w:line="65" w:lineRule="exact"/>
        <w:rPr>
          <w:sz w:val="20"/>
          <w:szCs w:val="20"/>
          <w:color w:val="auto"/>
        </w:rPr>
      </w:pPr>
    </w:p>
    <w:p>
      <w:pPr>
        <w:ind w:left="1240" w:right="1279"/>
        <w:spacing w:after="0" w:line="263" w:lineRule="auto"/>
        <w:rPr>
          <w:sz w:val="20"/>
          <w:szCs w:val="20"/>
          <w:color w:val="auto"/>
        </w:rPr>
      </w:pPr>
      <w:r>
        <w:rPr>
          <w:rFonts w:ascii="Arial" w:cs="Arial" w:eastAsia="Arial" w:hAnsi="Arial"/>
          <w:sz w:val="14"/>
          <w:szCs w:val="14"/>
          <w:color w:val="auto"/>
        </w:rPr>
        <w:t>There were no transfers between levels during the period ended March 31, 2021. The Company uses the services of its investment manager, which uses widely accepted models for assumptions in valuing securities with inputs from major third-party data providers.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8" w:name="page259"/>
    <w:bookmarkEnd w:id="258"/>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539"/>
        <w:spacing w:after="0" w:line="302"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87"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March 31, 2021:</w:t>
      </w:r>
    </w:p>
    <w:p>
      <w:pPr>
        <w:spacing w:after="0" w:line="11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Fair Value</w:t>
            </w: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11,996</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11,999</w:t>
            </w:r>
          </w:p>
        </w:tc>
      </w:tr>
      <w:tr>
        <w:trPr>
          <w:trHeight w:val="187"/>
        </w:trPr>
        <w:tc>
          <w:tcPr>
            <w:tcW w:w="288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50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154,628</w:t>
            </w:r>
          </w:p>
        </w:tc>
        <w:tc>
          <w:tcPr>
            <w:tcW w:w="620" w:type="dxa"/>
            <w:vAlign w:val="bottom"/>
          </w:tcPr>
          <w:p>
            <w:pPr>
              <w:spacing w:after="0"/>
              <w:rPr>
                <w:sz w:val="16"/>
                <w:szCs w:val="16"/>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5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154,598</w:t>
            </w:r>
          </w:p>
        </w:tc>
      </w:tr>
      <w:tr>
        <w:trPr>
          <w:trHeight w:val="180"/>
        </w:trPr>
        <w:tc>
          <w:tcPr>
            <w:tcW w:w="20" w:type="dxa"/>
            <w:vAlign w:val="bottom"/>
          </w:tcPr>
          <w:p>
            <w:pPr>
              <w:spacing w:after="0"/>
              <w:rPr>
                <w:sz w:val="15"/>
                <w:szCs w:val="15"/>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166,624</w:t>
            </w:r>
          </w:p>
        </w:tc>
        <w:tc>
          <w:tcPr>
            <w:tcW w:w="620" w:type="dxa"/>
            <w:vAlign w:val="bottom"/>
            <w:tcBorders>
              <w:top w:val="single" w:sz="8" w:color="auto"/>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166,597</w:t>
            </w:r>
          </w:p>
        </w:tc>
      </w:tr>
      <w:tr>
        <w:trPr>
          <w:trHeight w:val="21"/>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-149225</wp:posOffset>
            </wp:positionV>
            <wp:extent cx="182245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8224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-400685</wp:posOffset>
            </wp:positionV>
            <wp:extent cx="182245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822450" cy="6985"/>
                    </a:xfrm>
                    <a:prstGeom prst="rect">
                      <a:avLst/>
                    </a:prstGeom>
                    <a:noFill/>
                  </pic:spPr>
                </pic:pic>
              </a:graphicData>
            </a:graphic>
          </wp:anchor>
        </w:drawing>
      </w:r>
    </w:p>
    <w:p>
      <w:pPr>
        <w:spacing w:after="0" w:line="119" w:lineRule="exact"/>
        <w:rPr>
          <w:sz w:val="20"/>
          <w:szCs w:val="20"/>
          <w:color w:val="auto"/>
        </w:rPr>
      </w:pPr>
    </w:p>
    <w:p>
      <w:pPr>
        <w:ind w:left="1240" w:right="1619"/>
        <w:spacing w:after="0" w:line="302"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00"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rPr>
              <w:t>Gross</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Unrealized</w:t>
            </w:r>
          </w:p>
        </w:tc>
        <w:tc>
          <w:tcPr>
            <w:tcW w:w="900" w:type="dxa"/>
            <w:vAlign w:val="bottom"/>
          </w:tcPr>
          <w:p>
            <w:pPr>
              <w:jc w:val="right"/>
              <w:ind w:right="7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Gains</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7"/>
        </w:trPr>
        <w:tc>
          <w:tcPr>
            <w:tcW w:w="288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58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40,069</w:t>
            </w:r>
          </w:p>
        </w:tc>
        <w:tc>
          <w:tcPr>
            <w:tcW w:w="620" w:type="dxa"/>
            <w:vAlign w:val="bottom"/>
          </w:tcPr>
          <w:p>
            <w:pPr>
              <w:spacing w:after="0"/>
              <w:rPr>
                <w:sz w:val="16"/>
                <w:szCs w:val="16"/>
                <w:color w:val="auto"/>
              </w:rPr>
            </w:pPr>
          </w:p>
        </w:tc>
        <w:tc>
          <w:tcPr>
            <w:tcW w:w="26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r>
      <w:tr>
        <w:trPr>
          <w:trHeight w:val="225"/>
        </w:trPr>
        <w:tc>
          <w:tcPr>
            <w:tcW w:w="20" w:type="dxa"/>
            <w:vAlign w:val="bottom"/>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49,587</w:t>
            </w:r>
          </w:p>
        </w:tc>
        <w:tc>
          <w:tcPr>
            <w:tcW w:w="620" w:type="dxa"/>
            <w:vAlign w:val="bottom"/>
            <w:tcBorders>
              <w:top w:val="single" w:sz="8" w:color="auto"/>
              <w:bottom w:val="single" w:sz="8" w:color="CCEEFF"/>
            </w:tcBorders>
            <w:shd w:val="clear" w:color="auto" w:fill="CCEEFF"/>
          </w:tcPr>
          <w:p>
            <w:pPr>
              <w:jc w:val="center"/>
              <w:ind w:left="433"/>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182245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82245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-414020</wp:posOffset>
            </wp:positionV>
            <wp:extent cx="182245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822450" cy="6985"/>
                    </a:xfrm>
                    <a:prstGeom prst="rect">
                      <a:avLst/>
                    </a:prstGeom>
                    <a:noFill/>
                  </pic:spPr>
                </pic:pic>
              </a:graphicData>
            </a:graphic>
          </wp:anchor>
        </w:drawing>
      </w:r>
    </w:p>
    <w:p>
      <w:pPr>
        <w:spacing w:after="0" w:line="11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103,459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$ 48,542</w:t>
            </w:r>
          </w:p>
        </w:tc>
      </w:tr>
      <w:tr>
        <w:trPr>
          <w:trHeight w:val="187"/>
        </w:trPr>
        <w:tc>
          <w:tcPr>
            <w:tcW w:w="4080" w:type="dxa"/>
            <w:vAlign w:val="bottom"/>
            <w:gridSpan w:val="2"/>
          </w:tcPr>
          <w:p>
            <w:pPr>
              <w:spacing w:after="0"/>
              <w:rPr>
                <w:sz w:val="20"/>
                <w:szCs w:val="20"/>
                <w:color w:val="auto"/>
              </w:rPr>
            </w:pPr>
            <w:r>
              <w:rPr>
                <w:rFonts w:ascii="Arial" w:cs="Arial" w:eastAsia="Arial" w:hAnsi="Arial"/>
                <w:sz w:val="14"/>
                <w:szCs w:val="14"/>
                <w:color w:val="auto"/>
              </w:rPr>
              <w:t>One to five years</w:t>
            </w:r>
          </w:p>
        </w:tc>
        <w:tc>
          <w:tcPr>
            <w:tcW w:w="480" w:type="dxa"/>
            <w:vAlign w:val="bottom"/>
          </w:tcPr>
          <w:p>
            <w:pPr>
              <w:spacing w:after="0"/>
              <w:rPr>
                <w:sz w:val="16"/>
                <w:szCs w:val="16"/>
                <w:color w:val="auto"/>
              </w:rPr>
            </w:pPr>
          </w:p>
        </w:tc>
        <w:tc>
          <w:tcPr>
            <w:tcW w:w="980" w:type="dxa"/>
            <w:vAlign w:val="bottom"/>
          </w:tcPr>
          <w:p>
            <w:pPr>
              <w:jc w:val="right"/>
              <w:ind w:right="349"/>
              <w:spacing w:after="0"/>
              <w:rPr>
                <w:sz w:val="20"/>
                <w:szCs w:val="20"/>
                <w:color w:val="auto"/>
              </w:rPr>
            </w:pPr>
            <w:r>
              <w:rPr>
                <w:rFonts w:ascii="Arial" w:cs="Arial" w:eastAsia="Arial" w:hAnsi="Arial"/>
                <w:sz w:val="14"/>
                <w:szCs w:val="14"/>
                <w:color w:val="auto"/>
              </w:rPr>
              <w:t>63,138</w:t>
            </w:r>
          </w:p>
        </w:tc>
        <w:tc>
          <w:tcPr>
            <w:tcW w:w="980" w:type="dxa"/>
            <w:vAlign w:val="bottom"/>
          </w:tcPr>
          <w:p>
            <w:pPr>
              <w:jc w:val="right"/>
              <w:spacing w:after="0"/>
              <w:rPr>
                <w:sz w:val="20"/>
                <w:szCs w:val="20"/>
                <w:color w:val="auto"/>
              </w:rPr>
            </w:pPr>
            <w:r>
              <w:rPr>
                <w:rFonts w:ascii="Arial" w:cs="Arial" w:eastAsia="Arial" w:hAnsi="Arial"/>
                <w:sz w:val="14"/>
                <w:szCs w:val="14"/>
                <w:color w:val="auto"/>
              </w:rPr>
              <w:t>1,053</w:t>
            </w:r>
          </w:p>
        </w:tc>
      </w:tr>
      <w:tr>
        <w:trPr>
          <w:trHeight w:val="180"/>
        </w:trPr>
        <w:tc>
          <w:tcPr>
            <w:tcW w:w="20" w:type="dxa"/>
            <w:vAlign w:val="bottom"/>
          </w:tcPr>
          <w:p>
            <w:pPr>
              <w:spacing w:after="0"/>
              <w:rPr>
                <w:sz w:val="15"/>
                <w:szCs w:val="15"/>
                <w:color w:val="auto"/>
              </w:rPr>
            </w:pPr>
          </w:p>
        </w:tc>
        <w:tc>
          <w:tcPr>
            <w:tcW w:w="40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166,597</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$ 49,595</w:t>
            </w: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257746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7746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257746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77465" cy="6985"/>
                    </a:xfrm>
                    <a:prstGeom prst="rect">
                      <a:avLst/>
                    </a:prstGeom>
                    <a:noFill/>
                  </pic:spPr>
                </pic:pic>
              </a:graphicData>
            </a:graphic>
          </wp:anchor>
        </w:drawing>
      </w:r>
    </w:p>
    <w:p>
      <w:pPr>
        <w:spacing w:after="0" w:line="119" w:lineRule="exact"/>
        <w:rPr>
          <w:sz w:val="20"/>
          <w:szCs w:val="20"/>
          <w:color w:val="auto"/>
        </w:rPr>
      </w:pPr>
    </w:p>
    <w:p>
      <w:pPr>
        <w:ind w:left="1240" w:right="1299"/>
        <w:spacing w:after="0" w:line="294"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141" w:lineRule="exact"/>
        <w:rPr>
          <w:sz w:val="20"/>
          <w:szCs w:val="20"/>
          <w:color w:val="auto"/>
        </w:rPr>
      </w:pPr>
    </w:p>
    <w:tbl>
      <w:tblPr>
        <w:tblLayout w:type="fixed"/>
        <w:tblInd w:w="260" w:type="dxa"/>
        <w:tblCellMar>
          <w:top w:w="0" w:type="dxa"/>
          <w:left w:w="0" w:type="dxa"/>
          <w:bottom w:w="0" w:type="dxa"/>
          <w:right w:w="0" w:type="dxa"/>
        </w:tblCellMar>
      </w:tblPr>
      <w:tr>
        <w:trPr>
          <w:trHeight w:val="168"/>
        </w:trPr>
        <w:tc>
          <w:tcPr>
            <w:tcW w:w="1000" w:type="dxa"/>
            <w:vAlign w:val="bottom"/>
          </w:tcPr>
          <w:p>
            <w:pPr>
              <w:spacing w:after="0"/>
              <w:rPr>
                <w:sz w:val="14"/>
                <w:szCs w:val="14"/>
                <w:color w:val="auto"/>
              </w:rPr>
            </w:pPr>
          </w:p>
        </w:tc>
        <w:tc>
          <w:tcPr>
            <w:tcW w:w="46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4"/>
                <w:szCs w:val="14"/>
                <w:color w:val="auto"/>
              </w:rPr>
            </w:pPr>
          </w:p>
        </w:tc>
      </w:tr>
      <w:tr>
        <w:trPr>
          <w:trHeight w:val="178"/>
        </w:trPr>
        <w:tc>
          <w:tcPr>
            <w:tcW w:w="100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130</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0" w:type="dxa"/>
            <w:vAlign w:val="bottom"/>
          </w:tcPr>
          <w:p>
            <w:pPr>
              <w:spacing w:after="0"/>
              <w:rPr>
                <w:sz w:val="14"/>
                <w:szCs w:val="14"/>
                <w:color w:val="auto"/>
              </w:rPr>
            </w:pPr>
          </w:p>
        </w:tc>
      </w:tr>
      <w:tr>
        <w:trPr>
          <w:trHeight w:val="181"/>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Software licenses and other</w:t>
            </w:r>
          </w:p>
        </w:tc>
        <w:tc>
          <w:tcPr>
            <w:tcW w:w="34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1,145</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760</w:t>
            </w:r>
          </w:p>
        </w:tc>
        <w:tc>
          <w:tcPr>
            <w:tcW w:w="1000" w:type="dxa"/>
            <w:vAlign w:val="bottom"/>
          </w:tcPr>
          <w:p>
            <w:pPr>
              <w:spacing w:after="0"/>
              <w:rPr>
                <w:sz w:val="15"/>
                <w:szCs w:val="15"/>
                <w:color w:val="auto"/>
              </w:rPr>
            </w:pPr>
          </w:p>
        </w:tc>
      </w:tr>
      <w:tr>
        <w:trPr>
          <w:trHeight w:val="22"/>
        </w:trPr>
        <w:tc>
          <w:tcPr>
            <w:tcW w:w="5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Reimbursement receivable</w:t>
            </w:r>
          </w:p>
        </w:tc>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137</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0" w:type="dxa"/>
            <w:vAlign w:val="bottom"/>
          </w:tcPr>
          <w:p>
            <w:pPr>
              <w:spacing w:after="0"/>
              <w:rPr>
                <w:sz w:val="15"/>
                <w:szCs w:val="15"/>
                <w:color w:val="auto"/>
              </w:rPr>
            </w:pPr>
          </w:p>
        </w:tc>
      </w:tr>
      <w:tr>
        <w:trPr>
          <w:trHeight w:val="181"/>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Warranties</w:t>
            </w:r>
          </w:p>
        </w:tc>
        <w:tc>
          <w:tcPr>
            <w:tcW w:w="34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299</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c>
          <w:tcPr>
            <w:tcW w:w="1000" w:type="dxa"/>
            <w:vAlign w:val="bottom"/>
          </w:tcPr>
          <w:p>
            <w:pPr>
              <w:spacing w:after="0"/>
              <w:rPr>
                <w:sz w:val="15"/>
                <w:szCs w:val="15"/>
                <w:color w:val="auto"/>
              </w:rPr>
            </w:pPr>
          </w:p>
        </w:tc>
      </w:tr>
      <w:tr>
        <w:trPr>
          <w:trHeight w:val="22"/>
        </w:trPr>
        <w:tc>
          <w:tcPr>
            <w:tcW w:w="5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7"/>
        </w:trPr>
        <w:tc>
          <w:tcPr>
            <w:tcW w:w="100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269</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0" w:type="dxa"/>
            <w:vAlign w:val="bottom"/>
          </w:tcPr>
          <w:p>
            <w:pPr>
              <w:spacing w:after="0"/>
              <w:rPr>
                <w:sz w:val="16"/>
                <w:szCs w:val="16"/>
                <w:color w:val="auto"/>
              </w:rPr>
            </w:pPr>
          </w:p>
        </w:tc>
      </w:tr>
      <w:tr>
        <w:trPr>
          <w:trHeight w:val="178"/>
        </w:trPr>
        <w:tc>
          <w:tcPr>
            <w:tcW w:w="5680" w:type="dxa"/>
            <w:vAlign w:val="bottom"/>
            <w:gridSpan w:val="2"/>
          </w:tcPr>
          <w:p>
            <w:pPr>
              <w:ind w:left="980"/>
              <w:spacing w:after="0"/>
              <w:rPr>
                <w:sz w:val="20"/>
                <w:szCs w:val="20"/>
                <w:color w:val="auto"/>
              </w:rPr>
            </w:pPr>
            <w:r>
              <w:rPr>
                <w:rFonts w:ascii="Arial" w:cs="Arial" w:eastAsia="Arial" w:hAnsi="Arial"/>
                <w:sz w:val="14"/>
                <w:szCs w:val="14"/>
                <w:color w:val="auto"/>
              </w:rPr>
              <w:t>Total prepaid expenses and other current assets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1,980</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2,261</w:t>
            </w:r>
          </w:p>
        </w:tc>
        <w:tc>
          <w:tcPr>
            <w:tcW w:w="1000" w:type="dxa"/>
            <w:vAlign w:val="bottom"/>
          </w:tcPr>
          <w:p>
            <w:pPr>
              <w:spacing w:after="0"/>
              <w:rPr>
                <w:sz w:val="15"/>
                <w:szCs w:val="15"/>
                <w:color w:val="auto"/>
              </w:rPr>
            </w:pPr>
          </w:p>
        </w:tc>
      </w:tr>
      <w:tr>
        <w:trPr>
          <w:trHeight w:val="22"/>
        </w:trPr>
        <w:tc>
          <w:tcPr>
            <w:tcW w:w="1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25"/>
        </w:trPr>
        <w:tc>
          <w:tcPr>
            <w:tcW w:w="1000" w:type="dxa"/>
            <w:vAlign w:val="bottom"/>
          </w:tcPr>
          <w:p>
            <w:pPr>
              <w:spacing w:after="0"/>
              <w:rPr>
                <w:sz w:val="24"/>
                <w:szCs w:val="24"/>
                <w:color w:val="auto"/>
              </w:rPr>
            </w:pPr>
          </w:p>
        </w:tc>
        <w:tc>
          <w:tcPr>
            <w:tcW w:w="4680" w:type="dxa"/>
            <w:vAlign w:val="bottom"/>
          </w:tcPr>
          <w:p>
            <w:pPr>
              <w:ind w:left="3080"/>
              <w:spacing w:after="0"/>
              <w:rPr>
                <w:sz w:val="20"/>
                <w:szCs w:val="20"/>
                <w:color w:val="auto"/>
              </w:rPr>
            </w:pPr>
            <w:r>
              <w:rPr>
                <w:rFonts w:ascii="Arial" w:cs="Arial" w:eastAsia="Arial" w:hAnsi="Arial"/>
                <w:sz w:val="14"/>
                <w:szCs w:val="14"/>
                <w:color w:val="auto"/>
              </w:rPr>
              <w:t>F-43</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-1420495</wp:posOffset>
            </wp:positionV>
            <wp:extent cx="297878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97878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9" w:name="page260"/>
    <w:bookmarkEnd w:id="259"/>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7—Property and equipment, net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3"/>
                <w:szCs w:val="13"/>
                <w:b w:val="1"/>
                <w:bCs w:val="1"/>
                <w:color w:val="auto"/>
              </w:rPr>
              <w:t>March 31,</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11,427</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40" w:type="dxa"/>
            <w:vAlign w:val="bottom"/>
          </w:tcPr>
          <w:p>
            <w:pPr>
              <w:spacing w:after="0"/>
              <w:rPr>
                <w:sz w:val="14"/>
                <w:szCs w:val="14"/>
                <w:color w:val="auto"/>
              </w:rPr>
            </w:pPr>
          </w:p>
        </w:tc>
      </w:tr>
      <w:tr>
        <w:trPr>
          <w:trHeight w:val="181"/>
        </w:trPr>
        <w:tc>
          <w:tcPr>
            <w:tcW w:w="468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7,746</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1,964</w:t>
            </w:r>
          </w:p>
        </w:tc>
        <w:tc>
          <w:tcPr>
            <w:tcW w:w="40" w:type="dxa"/>
            <w:vAlign w:val="bottom"/>
          </w:tcPr>
          <w:p>
            <w:pPr>
              <w:spacing w:after="0"/>
              <w:rPr>
                <w:sz w:val="15"/>
                <w:szCs w:val="15"/>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3,401</w:t>
            </w:r>
          </w:p>
        </w:tc>
        <w:tc>
          <w:tcPr>
            <w:tcW w:w="4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40" w:type="dxa"/>
            <w:vAlign w:val="bottom"/>
          </w:tcPr>
          <w:p>
            <w:pPr>
              <w:spacing w:after="0"/>
              <w:rPr>
                <w:sz w:val="15"/>
                <w:szCs w:val="15"/>
                <w:color w:val="auto"/>
              </w:rPr>
            </w:pPr>
          </w:p>
        </w:tc>
      </w:tr>
      <w:tr>
        <w:trPr>
          <w:trHeight w:val="181"/>
        </w:trPr>
        <w:tc>
          <w:tcPr>
            <w:tcW w:w="468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260" w:type="dxa"/>
            <w:vAlign w:val="bottom"/>
          </w:tcPr>
          <w:p>
            <w:pPr>
              <w:spacing w:after="0"/>
              <w:rPr>
                <w:sz w:val="15"/>
                <w:szCs w:val="15"/>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228</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214</w:t>
            </w:r>
          </w:p>
        </w:tc>
        <w:tc>
          <w:tcPr>
            <w:tcW w:w="40" w:type="dxa"/>
            <w:vAlign w:val="bottom"/>
          </w:tcPr>
          <w:p>
            <w:pPr>
              <w:spacing w:after="0"/>
              <w:rPr>
                <w:sz w:val="15"/>
                <w:szCs w:val="15"/>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22,955</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16,966</w:t>
            </w:r>
          </w:p>
        </w:tc>
        <w:tc>
          <w:tcPr>
            <w:tcW w:w="40" w:type="dxa"/>
            <w:vAlign w:val="bottom"/>
          </w:tcPr>
          <w:p>
            <w:pPr>
              <w:spacing w:after="0"/>
              <w:rPr>
                <w:sz w:val="14"/>
                <w:szCs w:val="14"/>
                <w:color w:val="auto"/>
              </w:rPr>
            </w:pPr>
          </w:p>
        </w:tc>
      </w:tr>
      <w:tr>
        <w:trPr>
          <w:trHeight w:val="22"/>
        </w:trPr>
        <w:tc>
          <w:tcPr>
            <w:tcW w:w="4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4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20,657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4"/>
                <w:szCs w:val="1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-1039495</wp:posOffset>
            </wp:positionV>
            <wp:extent cx="295783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97" w:lineRule="exact"/>
        <w:rPr>
          <w:sz w:val="20"/>
          <w:szCs w:val="20"/>
          <w:color w:val="auto"/>
        </w:rPr>
      </w:pPr>
    </w:p>
    <w:p>
      <w:pPr>
        <w:ind w:left="1240" w:right="1319"/>
        <w:spacing w:after="0" w:line="286" w:lineRule="auto"/>
        <w:rPr>
          <w:sz w:val="20"/>
          <w:szCs w:val="20"/>
          <w:color w:val="auto"/>
        </w:rPr>
      </w:pPr>
      <w:r>
        <w:rPr>
          <w:rFonts w:ascii="Arial" w:cs="Arial" w:eastAsia="Arial" w:hAnsi="Arial"/>
          <w:sz w:val="14"/>
          <w:szCs w:val="14"/>
          <w:color w:val="auto"/>
        </w:rPr>
        <w:t>Depreciation expense was $718 and $200 for the three months ended March 31, 2021 and 2020, respectively.</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accrued expenses: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8"/>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868</w:t>
            </w:r>
          </w:p>
        </w:tc>
        <w:tc>
          <w:tcPr>
            <w:tcW w:w="600" w:type="dxa"/>
            <w:vAlign w:val="bottom"/>
            <w:tcBorders>
              <w:bottom w:val="single" w:sz="8" w:color="CCEEFF"/>
            </w:tcBorders>
            <w:shd w:val="clear" w:color="auto" w:fill="CCEEFF"/>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r>
      <w:tr>
        <w:trPr>
          <w:trHeight w:val="181"/>
        </w:trPr>
        <w:tc>
          <w:tcPr>
            <w:tcW w:w="474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3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2"/>
        </w:trPr>
        <w:tc>
          <w:tcPr>
            <w:tcW w:w="4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3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2,213</w:t>
            </w:r>
          </w:p>
        </w:tc>
        <w:tc>
          <w:tcPr>
            <w:tcW w:w="6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1"/>
        </w:trPr>
        <w:tc>
          <w:tcPr>
            <w:tcW w:w="474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3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596</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2"/>
        </w:trPr>
        <w:tc>
          <w:tcPr>
            <w:tcW w:w="4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78"/>
        </w:trPr>
        <w:tc>
          <w:tcPr>
            <w:tcW w:w="4740" w:type="dxa"/>
            <w:vAlign w:val="bottom"/>
            <w:gridSpan w:val="2"/>
          </w:tcPr>
          <w:p>
            <w:pPr>
              <w:spacing w:after="0"/>
              <w:rPr>
                <w:sz w:val="20"/>
                <w:szCs w:val="20"/>
                <w:color w:val="auto"/>
              </w:rPr>
            </w:pPr>
            <w:r>
              <w:rPr>
                <w:rFonts w:ascii="Arial" w:cs="Arial" w:eastAsia="Arial" w:hAnsi="Arial"/>
                <w:sz w:val="14"/>
                <w:szCs w:val="14"/>
                <w:color w:val="auto"/>
              </w:rPr>
              <w:t>Total accrued expenses and other liabilities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3,815</w:t>
            </w:r>
          </w:p>
        </w:tc>
        <w:tc>
          <w:tcPr>
            <w:tcW w:w="600" w:type="dxa"/>
            <w:vAlign w:val="bottom"/>
          </w:tcPr>
          <w:p>
            <w:pPr>
              <w:jc w:val="center"/>
              <w:ind w:left="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4,030</w:t>
            </w:r>
          </w:p>
        </w:tc>
      </w:tr>
      <w:tr>
        <w:trPr>
          <w:trHeight w:val="22"/>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-802005</wp:posOffset>
            </wp:positionV>
            <wp:extent cx="300545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005455"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9—Long-term debt</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4134485" cy="133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6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1"/>
        </w:trPr>
        <w:tc>
          <w:tcPr>
            <w:tcW w:w="20" w:type="dxa"/>
            <w:vAlign w:val="bottom"/>
          </w:tcPr>
          <w:p>
            <w:pPr>
              <w:spacing w:after="0"/>
              <w:rPr>
                <w:sz w:val="14"/>
                <w:szCs w:val="14"/>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Principal</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rPr>
              <w:t>10,000</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r>
      <w:tr>
        <w:trPr>
          <w:trHeight w:val="181"/>
        </w:trPr>
        <w:tc>
          <w:tcPr>
            <w:tcW w:w="4200" w:type="dxa"/>
            <w:vAlign w:val="bottom"/>
            <w:gridSpan w:val="3"/>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540" w:type="dxa"/>
            <w:vAlign w:val="bottom"/>
          </w:tcPr>
          <w:p>
            <w:pPr>
              <w:spacing w:after="0"/>
              <w:rPr>
                <w:sz w:val="15"/>
                <w:szCs w:val="15"/>
                <w:color w:val="auto"/>
              </w:rPr>
            </w:pPr>
          </w:p>
        </w:tc>
        <w:tc>
          <w:tcPr>
            <w:tcW w:w="860" w:type="dxa"/>
            <w:vAlign w:val="bottom"/>
          </w:tcPr>
          <w:p>
            <w:pPr>
              <w:jc w:val="right"/>
              <w:ind w:right="269"/>
              <w:spacing w:after="0"/>
              <w:rPr>
                <w:sz w:val="20"/>
                <w:szCs w:val="20"/>
                <w:color w:val="auto"/>
              </w:rPr>
            </w:pPr>
            <w:r>
              <w:rPr>
                <w:rFonts w:ascii="Arial" w:cs="Arial" w:eastAsia="Arial" w:hAnsi="Arial"/>
                <w:sz w:val="14"/>
                <w:szCs w:val="14"/>
                <w:color w:val="auto"/>
              </w:rPr>
              <w:t>(39)</w:t>
            </w:r>
          </w:p>
        </w:tc>
        <w:tc>
          <w:tcPr>
            <w:tcW w:w="4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2"/>
        </w:trPr>
        <w:tc>
          <w:tcPr>
            <w:tcW w:w="4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6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(250)</w:t>
            </w:r>
          </w:p>
        </w:tc>
        <w:tc>
          <w:tcPr>
            <w:tcW w:w="4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40" w:type="dxa"/>
            <w:vAlign w:val="bottom"/>
          </w:tcPr>
          <w:p>
            <w:pPr>
              <w:spacing w:after="0"/>
              <w:rPr>
                <w:sz w:val="16"/>
                <w:szCs w:val="16"/>
                <w:color w:val="auto"/>
              </w:rPr>
            </w:pPr>
          </w:p>
        </w:tc>
      </w:tr>
      <w:tr>
        <w:trPr>
          <w:trHeight w:val="178"/>
        </w:trPr>
        <w:tc>
          <w:tcPr>
            <w:tcW w:w="420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9"/>
              <w:spacing w:after="0"/>
              <w:rPr>
                <w:sz w:val="20"/>
                <w:szCs w:val="20"/>
                <w:color w:val="auto"/>
              </w:rPr>
            </w:pPr>
            <w:r>
              <w:rPr>
                <w:rFonts w:ascii="Arial" w:cs="Arial" w:eastAsia="Arial" w:hAnsi="Arial"/>
                <w:sz w:val="14"/>
                <w:szCs w:val="14"/>
                <w:color w:val="auto"/>
              </w:rPr>
              <w:t>9,711</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9,636</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-162560</wp:posOffset>
            </wp:positionV>
            <wp:extent cx="2730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-543560</wp:posOffset>
            </wp:positionV>
            <wp:extent cx="265239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52395" cy="6985"/>
                    </a:xfrm>
                    <a:prstGeom prst="rect">
                      <a:avLst/>
                    </a:prstGeom>
                    <a:noFill/>
                  </pic:spPr>
                </pic:pic>
              </a:graphicData>
            </a:graphic>
          </wp:anchor>
        </w:drawing>
      </w:r>
    </w:p>
    <w:p>
      <w:pPr>
        <w:spacing w:after="0" w:line="108"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100" w:lineRule="exact"/>
        <w:rPr>
          <w:sz w:val="20"/>
          <w:szCs w:val="20"/>
          <w:color w:val="auto"/>
        </w:rPr>
      </w:pPr>
    </w:p>
    <w:p>
      <w:pPr>
        <w:ind w:left="1240" w:right="1419"/>
        <w:spacing w:after="0" w:line="275" w:lineRule="auto"/>
        <w:rPr>
          <w:sz w:val="20"/>
          <w:szCs w:val="20"/>
          <w:color w:val="auto"/>
        </w:rPr>
      </w:pPr>
      <w:r>
        <w:rPr>
          <w:rFonts w:ascii="Arial" w:cs="Arial" w:eastAsia="Arial" w:hAnsi="Arial"/>
          <w:sz w:val="14"/>
          <w:szCs w:val="14"/>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March 31, 2021. Amounts borrowed under the Loan Agreement accrue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0" w:name="page261"/>
    <w:bookmarkEnd w:id="260"/>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359"/>
        <w:spacing w:after="0" w:line="260" w:lineRule="auto"/>
        <w:rPr>
          <w:sz w:val="20"/>
          <w:szCs w:val="20"/>
          <w:color w:val="auto"/>
        </w:rPr>
      </w:pPr>
      <w:r>
        <w:rPr>
          <w:rFonts w:ascii="Arial" w:cs="Arial" w:eastAsia="Arial" w:hAnsi="Arial"/>
          <w:sz w:val="14"/>
          <w:szCs w:val="14"/>
          <w:color w:val="auto"/>
        </w:rPr>
        <w:t xml:space="preserve">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March 31, 2021 was 9.55%.</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89" w:lineRule="exact"/>
        <w:rPr>
          <w:sz w:val="20"/>
          <w:szCs w:val="20"/>
          <w:color w:val="auto"/>
        </w:rPr>
      </w:pPr>
    </w:p>
    <w:p>
      <w:pPr>
        <w:ind w:left="1240" w:right="1559"/>
        <w:spacing w:after="0" w:line="286"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8" w:lineRule="exact"/>
        <w:rPr>
          <w:sz w:val="20"/>
          <w:szCs w:val="20"/>
          <w:color w:val="auto"/>
        </w:rPr>
      </w:pPr>
    </w:p>
    <w:p>
      <w:pPr>
        <w:ind w:left="1240" w:right="1299"/>
        <w:spacing w:after="0" w:line="273" w:lineRule="auto"/>
        <w:rPr>
          <w:sz w:val="20"/>
          <w:szCs w:val="20"/>
          <w:color w:val="auto"/>
        </w:rPr>
      </w:pPr>
      <w:r>
        <w:rPr>
          <w:rFonts w:ascii="Arial" w:cs="Arial" w:eastAsia="Arial" w:hAnsi="Arial"/>
          <w:sz w:val="14"/>
          <w:szCs w:val="14"/>
          <w:color w:val="auto"/>
        </w:rPr>
        <w:t>The Company issued to Hercules warrants to purchase up to an aggregate of 16,112 shares of common stock. The warrants are exercisable for a period of ten years from the date of the issuance of each warrant at a per-unit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8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Interest expense of the Loan Agreement is as follows: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For the Three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 Three</w:t>
            </w:r>
          </w:p>
        </w:tc>
      </w:tr>
      <w:tr>
        <w:trPr>
          <w:trHeight w:val="150"/>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32"/>
              <w:spacing w:after="0"/>
              <w:rPr>
                <w:sz w:val="20"/>
                <w:szCs w:val="20"/>
                <w:color w:val="auto"/>
              </w:rPr>
            </w:pPr>
            <w:r>
              <w:rPr>
                <w:rFonts w:ascii="Arial" w:cs="Arial" w:eastAsia="Arial" w:hAnsi="Arial"/>
                <w:sz w:val="13"/>
                <w:szCs w:val="13"/>
                <w:b w:val="1"/>
                <w:bCs w:val="1"/>
                <w:color w:val="auto"/>
              </w:rPr>
              <w:t>Months Ended</w:t>
            </w: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Months Ended</w:t>
            </w:r>
          </w:p>
        </w:tc>
      </w:tr>
      <w:tr>
        <w:trPr>
          <w:trHeight w:val="178"/>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March 31, 2021</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March 31, 2020</w:t>
            </w: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expense for loan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4380" w:type="dxa"/>
            <w:vAlign w:val="bottom"/>
            <w:gridSpan w:val="3"/>
          </w:tcPr>
          <w:p>
            <w:pPr>
              <w:spacing w:after="0"/>
              <w:rPr>
                <w:sz w:val="20"/>
                <w:szCs w:val="20"/>
                <w:color w:val="auto"/>
              </w:rPr>
            </w:pPr>
            <w:r>
              <w:rPr>
                <w:rFonts w:ascii="Arial" w:cs="Arial" w:eastAsia="Arial" w:hAnsi="Arial"/>
                <w:sz w:val="14"/>
                <w:szCs w:val="14"/>
                <w:color w:val="auto"/>
              </w:rPr>
              <w:t>Amortization of debt issuance costs, including end of term fee</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4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w:t>
            </w:r>
          </w:p>
        </w:tc>
        <w:tc>
          <w:tcPr>
            <w:tcW w:w="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$ 314</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32"/>
        </w:trPr>
        <w:tc>
          <w:tcPr>
            <w:tcW w:w="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-142240</wp:posOffset>
            </wp:positionV>
            <wp:extent cx="3429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-523240</wp:posOffset>
            </wp:positionV>
            <wp:extent cx="277431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74315" cy="6985"/>
                    </a:xfrm>
                    <a:prstGeom prst="rect">
                      <a:avLst/>
                    </a:prstGeom>
                    <a:noFill/>
                  </pic:spPr>
                </pic:pic>
              </a:graphicData>
            </a:graphic>
          </wp:anchor>
        </w:drawing>
      </w:r>
    </w:p>
    <w:p>
      <w:pPr>
        <w:spacing w:after="0" w:line="97" w:lineRule="exact"/>
        <w:rPr>
          <w:sz w:val="20"/>
          <w:szCs w:val="20"/>
          <w:color w:val="auto"/>
        </w:rPr>
      </w:pPr>
    </w:p>
    <w:p>
      <w:pPr>
        <w:ind w:left="1240" w:right="1339"/>
        <w:spacing w:after="0" w:line="286" w:lineRule="auto"/>
        <w:rPr>
          <w:sz w:val="20"/>
          <w:szCs w:val="20"/>
          <w:color w:val="auto"/>
        </w:rPr>
      </w:pPr>
      <w:r>
        <w:rPr>
          <w:rFonts w:ascii="Arial" w:cs="Arial" w:eastAsia="Arial" w:hAnsi="Arial"/>
          <w:sz w:val="14"/>
          <w:szCs w:val="14"/>
          <w:color w:val="auto"/>
        </w:rPr>
        <w:t>Included in accrued expenses in the accompanying consolidated balance sheets as of March 31, 2021 and December 31, 2020 were both $82 of accrued interest.</w:t>
      </w:r>
    </w:p>
    <w:p>
      <w:pPr>
        <w:spacing w:after="0" w:line="98" w:lineRule="exact"/>
        <w:rPr>
          <w:sz w:val="20"/>
          <w:szCs w:val="20"/>
          <w:color w:val="auto"/>
        </w:rPr>
      </w:pPr>
    </w:p>
    <w:p>
      <w:pPr>
        <w:ind w:left="1240" w:right="1419"/>
        <w:spacing w:after="0" w:line="286"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134485" cy="133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2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Principal Payments</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180" w:type="dxa"/>
            <w:vAlign w:val="bottom"/>
            <w:gridSpan w:val="2"/>
          </w:tcPr>
          <w:p>
            <w:pPr>
              <w:jc w:val="right"/>
              <w:ind w:right="4769"/>
              <w:spacing w:after="0"/>
              <w:rPr>
                <w:sz w:val="20"/>
                <w:szCs w:val="20"/>
                <w:color w:val="auto"/>
              </w:rPr>
            </w:pPr>
            <w:r>
              <w:rPr>
                <w:rFonts w:ascii="Arial" w:cs="Arial" w:eastAsia="Arial" w:hAnsi="Arial"/>
                <w:sz w:val="14"/>
                <w:szCs w:val="14"/>
                <w:color w:val="auto"/>
              </w:rPr>
              <w:t>2022</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2"/>
        </w:trPr>
        <w:tc>
          <w:tcPr>
            <w:tcW w:w="5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2023</w:t>
            </w:r>
          </w:p>
        </w:tc>
        <w:tc>
          <w:tcPr>
            <w:tcW w:w="8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181"/>
        </w:trPr>
        <w:tc>
          <w:tcPr>
            <w:tcW w:w="5180" w:type="dxa"/>
            <w:vAlign w:val="bottom"/>
            <w:gridSpan w:val="2"/>
          </w:tcPr>
          <w:p>
            <w:pPr>
              <w:jc w:val="right"/>
              <w:ind w:right="4769"/>
              <w:spacing w:after="0"/>
              <w:rPr>
                <w:sz w:val="20"/>
                <w:szCs w:val="20"/>
                <w:color w:val="auto"/>
              </w:rPr>
            </w:pPr>
            <w:r>
              <w:rPr>
                <w:rFonts w:ascii="Arial" w:cs="Arial" w:eastAsia="Arial" w:hAnsi="Arial"/>
                <w:sz w:val="14"/>
                <w:szCs w:val="14"/>
                <w:color w:val="auto"/>
              </w:rPr>
              <w:t>2024</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w:t>
            </w:r>
          </w:p>
        </w:tc>
      </w:tr>
      <w:tr>
        <w:trPr>
          <w:trHeight w:val="22"/>
        </w:trPr>
        <w:tc>
          <w:tcPr>
            <w:tcW w:w="5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tcBorders>
              <w:bottom w:val="single" w:sz="8" w:color="CCEEFF"/>
            </w:tcBorders>
            <w:shd w:val="clear" w:color="auto" w:fill="CCEEFF"/>
          </w:tcPr>
          <w:p>
            <w:pPr>
              <w:jc w:val="right"/>
              <w:ind w:right="4769"/>
              <w:spacing w:after="0"/>
              <w:rPr>
                <w:sz w:val="20"/>
                <w:szCs w:val="20"/>
                <w:color w:val="auto"/>
              </w:rPr>
            </w:pPr>
            <w:r>
              <w:rPr>
                <w:rFonts w:ascii="Arial" w:cs="Arial" w:eastAsia="Arial" w:hAnsi="Arial"/>
                <w:sz w:val="14"/>
                <w:szCs w:val="14"/>
                <w:color w:val="auto"/>
                <w:w w:val="96"/>
              </w:rPr>
              <w:t>2025</w:t>
            </w: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20" w:type="dxa"/>
            <w:vAlign w:val="bottom"/>
          </w:tcPr>
          <w:p>
            <w:pPr>
              <w:spacing w:after="0"/>
              <w:rPr>
                <w:sz w:val="14"/>
                <w:szCs w:val="14"/>
                <w:color w:val="auto"/>
              </w:rPr>
            </w:pPr>
          </w:p>
        </w:tc>
        <w:tc>
          <w:tcPr>
            <w:tcW w:w="5160" w:type="dxa"/>
            <w:vAlign w:val="bottom"/>
          </w:tcPr>
          <w:p>
            <w:pPr>
              <w:jc w:val="right"/>
              <w:ind w:right="3529"/>
              <w:spacing w:after="0"/>
              <w:rPr>
                <w:sz w:val="20"/>
                <w:szCs w:val="20"/>
                <w:color w:val="auto"/>
              </w:rPr>
            </w:pPr>
            <w:r>
              <w:rPr>
                <w:rFonts w:ascii="Arial" w:cs="Arial" w:eastAsia="Arial" w:hAnsi="Arial"/>
                <w:sz w:val="14"/>
                <w:szCs w:val="14"/>
                <w:color w:val="auto"/>
              </w:rPr>
              <w:t>Total future payments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10,395</w:t>
            </w:r>
          </w:p>
        </w:tc>
      </w:tr>
      <w:tr>
        <w:trPr>
          <w:trHeight w:val="34"/>
        </w:trPr>
        <w:tc>
          <w:tcPr>
            <w:tcW w:w="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10—Stockholders’ Equity</w:t>
      </w:r>
    </w:p>
    <w:p>
      <w:pPr>
        <w:spacing w:after="0" w:line="129" w:lineRule="exact"/>
        <w:rPr>
          <w:sz w:val="20"/>
          <w:szCs w:val="20"/>
          <w:color w:val="auto"/>
        </w:rPr>
      </w:pPr>
    </w:p>
    <w:p>
      <w:pPr>
        <w:ind w:left="1240" w:right="1559"/>
        <w:spacing w:after="0" w:line="276"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1" w:name="page262"/>
    <w:bookmarkEnd w:id="261"/>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359"/>
        <w:spacing w:after="0" w:line="276" w:lineRule="auto"/>
        <w:rPr>
          <w:sz w:val="20"/>
          <w:szCs w:val="20"/>
          <w:color w:val="auto"/>
        </w:rPr>
      </w:pPr>
      <w:r>
        <w:rPr>
          <w:rFonts w:ascii="Arial" w:cs="Arial" w:eastAsia="Arial" w:hAnsi="Arial"/>
          <w:sz w:val="14"/>
          <w:szCs w:val="14"/>
          <w:color w:val="auto"/>
        </w:rPr>
        <w:t>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95"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105" w:lineRule="exact"/>
        <w:rPr>
          <w:sz w:val="20"/>
          <w:szCs w:val="20"/>
          <w:color w:val="auto"/>
        </w:rPr>
      </w:pPr>
    </w:p>
    <w:p>
      <w:pPr>
        <w:ind w:left="1240" w:right="1319"/>
        <w:spacing w:after="0" w:line="275"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06"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 respectively. No dividends have been declared or paid as of December 31, 2020.</w:t>
      </w:r>
    </w:p>
    <w:p>
      <w:pPr>
        <w:spacing w:after="0" w:line="97"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88" w:lineRule="exact"/>
        <w:rPr>
          <w:sz w:val="20"/>
          <w:szCs w:val="20"/>
          <w:color w:val="auto"/>
        </w:rPr>
      </w:pPr>
    </w:p>
    <w:p>
      <w:pPr>
        <w:ind w:left="1240" w:right="1439"/>
        <w:spacing w:after="0" w:line="276"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5" w:lineRule="exact"/>
        <w:rPr>
          <w:sz w:val="20"/>
          <w:szCs w:val="20"/>
          <w:color w:val="auto"/>
        </w:rPr>
      </w:pPr>
    </w:p>
    <w:p>
      <w:pPr>
        <w:ind w:left="1240" w:right="1339"/>
        <w:spacing w:after="0" w:line="275"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95"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105" w:lineRule="exact"/>
        <w:rPr>
          <w:sz w:val="20"/>
          <w:szCs w:val="20"/>
          <w:color w:val="auto"/>
        </w:rPr>
      </w:pPr>
    </w:p>
    <w:p>
      <w:pPr>
        <w:ind w:left="1240" w:right="1459"/>
        <w:spacing w:after="0" w:line="278"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2" w:name="page263"/>
    <w:bookmarkEnd w:id="262"/>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01" w:lineRule="exact"/>
        <w:rPr>
          <w:sz w:val="20"/>
          <w:szCs w:val="20"/>
          <w:color w:val="auto"/>
        </w:rPr>
      </w:pPr>
    </w:p>
    <w:p>
      <w:pPr>
        <w:ind w:left="1240" w:right="1299"/>
        <w:spacing w:after="0" w:line="258"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40" w:right="1359"/>
        <w:spacing w:after="0" w:line="263" w:lineRule="auto"/>
        <w:rPr>
          <w:sz w:val="20"/>
          <w:szCs w:val="20"/>
          <w:color w:val="auto"/>
        </w:rPr>
      </w:pPr>
      <w:r>
        <w:rPr>
          <w:rFonts w:ascii="Arial" w:cs="Arial" w:eastAsia="Arial" w:hAnsi="Arial"/>
          <w:sz w:val="14"/>
          <w:szCs w:val="14"/>
          <w:color w:val="auto"/>
        </w:rPr>
        <w:t>The Company had accrued expenses of $420 and $244 within accrued expenses and other liabilities as of March 31, 2021 and December 31, 2020, respectively, in its consolidated balance sheets related to the Master Service Agreement.</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12" w:lineRule="exact"/>
        <w:rPr>
          <w:sz w:val="20"/>
          <w:szCs w:val="20"/>
          <w:color w:val="auto"/>
        </w:rPr>
      </w:pPr>
    </w:p>
    <w:p>
      <w:pPr>
        <w:ind w:left="1240" w:right="1339"/>
        <w:spacing w:after="0" w:line="258"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12—Leases</w:t>
      </w:r>
    </w:p>
    <w:p>
      <w:pPr>
        <w:spacing w:after="0" w:line="97"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$1,142 and $909 within security deposits in its consolidated balance sheets at March 31, 2021 and December 31, 2020,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For the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w:t>
            </w:r>
          </w:p>
        </w:tc>
      </w:tr>
      <w:tr>
        <w:trPr>
          <w:trHeight w:val="150"/>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2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78"/>
        </w:trPr>
        <w:tc>
          <w:tcPr>
            <w:tcW w:w="20" w:type="dxa"/>
            <w:vAlign w:val="bottom"/>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tcPr>
          <w:p>
            <w:pPr>
              <w:jc w:val="center"/>
              <w:ind w:left="333"/>
              <w:spacing w:after="0"/>
              <w:rPr>
                <w:sz w:val="20"/>
                <w:szCs w:val="20"/>
                <w:color w:val="auto"/>
              </w:rPr>
            </w:pPr>
            <w:r>
              <w:rPr>
                <w:rFonts w:ascii="Arial" w:cs="Arial" w:eastAsia="Arial" w:hAnsi="Arial"/>
                <w:sz w:val="13"/>
                <w:szCs w:val="13"/>
                <w:b w:val="1"/>
                <w:bCs w:val="1"/>
                <w:color w:val="auto"/>
              </w:rPr>
              <w:t>March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10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52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1040" w:type="dxa"/>
            <w:vAlign w:val="bottom"/>
          </w:tcPr>
          <w:p>
            <w:pPr>
              <w:jc w:val="center"/>
              <w:ind w:left="773"/>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548</w:t>
            </w:r>
          </w:p>
        </w:tc>
        <w:tc>
          <w:tcPr>
            <w:tcW w:w="1460" w:type="dxa"/>
            <w:vAlign w:val="bottom"/>
          </w:tcPr>
          <w:p>
            <w:pPr>
              <w:jc w:val="right"/>
              <w:spacing w:after="0"/>
              <w:rPr>
                <w:sz w:val="20"/>
                <w:szCs w:val="20"/>
                <w:color w:val="auto"/>
              </w:rPr>
            </w:pPr>
            <w:r>
              <w:rPr>
                <w:rFonts w:ascii="Arial" w:cs="Arial" w:eastAsia="Arial" w:hAnsi="Arial"/>
                <w:sz w:val="14"/>
                <w:szCs w:val="14"/>
                <w:color w:val="auto"/>
              </w:rPr>
              <w:t>$ 126</w:t>
            </w:r>
          </w:p>
        </w:tc>
      </w:tr>
      <w:tr>
        <w:trPr>
          <w:trHeight w:val="22"/>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668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r>
      <w:tr>
        <w:trPr>
          <w:trHeight w:val="225"/>
        </w:trPr>
        <w:tc>
          <w:tcPr>
            <w:tcW w:w="20" w:type="dxa"/>
            <w:vAlign w:val="bottom"/>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104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1,488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$ 622</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24409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440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-672465</wp:posOffset>
            </wp:positionV>
            <wp:extent cx="224409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244090" cy="6985"/>
                    </a:xfrm>
                    <a:prstGeom prst="rect">
                      <a:avLst/>
                    </a:prstGeom>
                    <a:noFill/>
                  </pic:spPr>
                </pic:pic>
              </a:graphicData>
            </a:graphic>
          </wp:anchor>
        </w:drawing>
      </w:r>
    </w:p>
    <w:p>
      <w:pPr>
        <w:spacing w:after="0" w:line="7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As of</w:t>
            </w: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As of</w:t>
            </w:r>
          </w:p>
        </w:tc>
      </w:tr>
      <w:tr>
        <w:trPr>
          <w:trHeight w:val="15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80" w:type="dxa"/>
            <w:vAlign w:val="bottom"/>
            <w:gridSpan w:val="4"/>
          </w:tcPr>
          <w:p>
            <w:pPr>
              <w:jc w:val="right"/>
              <w:spacing w:after="0"/>
              <w:rPr>
                <w:sz w:val="20"/>
                <w:szCs w:val="20"/>
                <w:color w:val="auto"/>
              </w:rPr>
            </w:pPr>
            <w:r>
              <w:rPr>
                <w:rFonts w:ascii="Arial" w:cs="Arial" w:eastAsia="Arial" w:hAnsi="Arial"/>
                <w:sz w:val="13"/>
                <w:szCs w:val="13"/>
                <w:b w:val="1"/>
                <w:bCs w:val="1"/>
                <w:color w:val="auto"/>
              </w:rPr>
              <w:t>March 31, December 31,</w:t>
            </w:r>
          </w:p>
        </w:tc>
      </w:tr>
      <w:tr>
        <w:trPr>
          <w:trHeight w:val="178"/>
        </w:trPr>
        <w:tc>
          <w:tcPr>
            <w:tcW w:w="20" w:type="dxa"/>
            <w:vAlign w:val="bottom"/>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gridSpan w:val="2"/>
          </w:tcPr>
          <w:p>
            <w:pPr>
              <w:ind w:left="880"/>
              <w:spacing w:after="0"/>
              <w:rPr>
                <w:sz w:val="20"/>
                <w:szCs w:val="20"/>
                <w:color w:val="auto"/>
              </w:rPr>
            </w:pPr>
            <w:r>
              <w:rPr>
                <w:rFonts w:ascii="Arial" w:cs="Arial" w:eastAsia="Arial" w:hAnsi="Arial"/>
                <w:sz w:val="13"/>
                <w:szCs w:val="13"/>
                <w:b w:val="1"/>
                <w:bCs w:val="1"/>
                <w:color w:val="auto"/>
              </w:rPr>
              <w:t>Location in Balance Sheet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5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Operating lease right-of-use asset, netOperating lease right-of-use asset, net $</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12,460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9,392</w:t>
            </w:r>
          </w:p>
        </w:tc>
      </w:tr>
      <w:tr>
        <w:trPr>
          <w:trHeight w:val="181"/>
        </w:trPr>
        <w:tc>
          <w:tcPr>
            <w:tcW w:w="242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2920" w:type="dxa"/>
            <w:vAlign w:val="bottom"/>
            <w:gridSpan w:val="3"/>
          </w:tcPr>
          <w:p>
            <w:pPr>
              <w:ind w:left="160"/>
              <w:spacing w:after="0"/>
              <w:rPr>
                <w:sz w:val="20"/>
                <w:szCs w:val="20"/>
                <w:color w:val="auto"/>
              </w:rPr>
            </w:pPr>
            <w:r>
              <w:rPr>
                <w:rFonts w:ascii="Arial" w:cs="Arial" w:eastAsia="Arial" w:hAnsi="Arial"/>
                <w:sz w:val="14"/>
                <w:szCs w:val="14"/>
                <w:color w:val="auto"/>
              </w:rPr>
              <w:t>Accrued expenses and other liabilities</w:t>
            </w: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596</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2"/>
        </w:trPr>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14,745</w:t>
            </w:r>
          </w:p>
        </w:tc>
        <w:tc>
          <w:tcPr>
            <w:tcW w:w="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11,679</w:t>
            </w:r>
          </w:p>
        </w:tc>
      </w:tr>
      <w:tr>
        <w:trPr>
          <w:trHeight w:val="178"/>
        </w:trPr>
        <w:tc>
          <w:tcPr>
            <w:tcW w:w="2420" w:type="dxa"/>
            <w:vAlign w:val="bottom"/>
            <w:gridSpan w:val="2"/>
          </w:tcPr>
          <w:p>
            <w:pPr>
              <w:spacing w:after="0"/>
              <w:rPr>
                <w:sz w:val="20"/>
                <w:szCs w:val="20"/>
                <w:color w:val="auto"/>
              </w:rPr>
            </w:pPr>
            <w:r>
              <w:rPr>
                <w:rFonts w:ascii="Arial" w:cs="Arial" w:eastAsia="Arial" w:hAnsi="Arial"/>
                <w:sz w:val="14"/>
                <w:szCs w:val="14"/>
                <w:color w:val="auto"/>
              </w:rPr>
              <w:t>Total operating lease liability</w:t>
            </w: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15,341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11,919</w:t>
            </w:r>
          </w:p>
        </w:tc>
      </w:tr>
      <w:tr>
        <w:trPr>
          <w:trHeight w:val="22"/>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163195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631950" cy="6985"/>
                    </a:xfrm>
                    <a:prstGeom prst="rect">
                      <a:avLst/>
                    </a:prstGeom>
                    <a:noFill/>
                  </pic:spPr>
                </pic:pic>
              </a:graphicData>
            </a:graphic>
          </wp:anchor>
        </w:drawing>
      </w:r>
    </w:p>
    <w:p>
      <w:pPr>
        <w:spacing w:after="0" w:line="65" w:lineRule="exact"/>
        <w:rPr>
          <w:sz w:val="20"/>
          <w:szCs w:val="20"/>
          <w:color w:val="auto"/>
        </w:rPr>
      </w:pPr>
    </w:p>
    <w:p>
      <w:pPr>
        <w:ind w:left="1240" w:right="1759"/>
        <w:spacing w:after="0" w:line="286" w:lineRule="auto"/>
        <w:rPr>
          <w:sz w:val="20"/>
          <w:szCs w:val="20"/>
          <w:color w:val="auto"/>
        </w:rPr>
      </w:pPr>
      <w:r>
        <w:rPr>
          <w:rFonts w:ascii="Arial" w:cs="Arial" w:eastAsia="Arial" w:hAnsi="Arial"/>
          <w:sz w:val="14"/>
          <w:szCs w:val="14"/>
          <w:color w:val="auto"/>
        </w:rPr>
        <w:t>The following table reflects supplement lease term and discount rate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406265" cy="133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406265" cy="13335"/>
                    </a:xfrm>
                    <a:prstGeom prst="rect">
                      <a:avLst/>
                    </a:prstGeom>
                    <a:noFill/>
                  </pic:spPr>
                </pic:pic>
              </a:graphicData>
            </a:graphic>
          </wp:anchor>
        </w:drawing>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100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 of March 31, 2021As of December 31, 2020</w:t>
            </w:r>
          </w:p>
        </w:tc>
        <w:tc>
          <w:tcPr>
            <w:tcW w:w="560" w:type="dxa"/>
            <w:vAlign w:val="bottom"/>
          </w:tcPr>
          <w:p>
            <w:pPr>
              <w:spacing w:after="0"/>
              <w:rPr>
                <w:sz w:val="15"/>
                <w:szCs w:val="15"/>
                <w:color w:val="auto"/>
              </w:rPr>
            </w:pPr>
          </w:p>
        </w:tc>
      </w:tr>
      <w:tr>
        <w:trPr>
          <w:trHeight w:val="182"/>
        </w:trPr>
        <w:tc>
          <w:tcPr>
            <w:tcW w:w="1000" w:type="dxa"/>
            <w:vAlign w:val="bottom"/>
          </w:tcPr>
          <w:p>
            <w:pPr>
              <w:spacing w:after="0"/>
              <w:rPr>
                <w:sz w:val="15"/>
                <w:szCs w:val="15"/>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420" w:type="dxa"/>
            <w:vAlign w:val="bottom"/>
            <w:shd w:val="clear" w:color="auto" w:fill="CCEEFF"/>
          </w:tcPr>
          <w:p>
            <w:pPr>
              <w:jc w:val="center"/>
              <w:ind w:right="11"/>
              <w:spacing w:after="0"/>
              <w:rPr>
                <w:sz w:val="20"/>
                <w:szCs w:val="20"/>
                <w:color w:val="auto"/>
              </w:rPr>
            </w:pPr>
            <w:r>
              <w:rPr>
                <w:rFonts w:ascii="Arial" w:cs="Arial" w:eastAsia="Arial" w:hAnsi="Arial"/>
                <w:sz w:val="14"/>
                <w:szCs w:val="14"/>
                <w:color w:val="auto"/>
              </w:rPr>
              <w:t>8.74 years</w:t>
            </w:r>
          </w:p>
        </w:tc>
        <w:tc>
          <w:tcPr>
            <w:tcW w:w="154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rPr>
              <w:t>10.2 years</w:t>
            </w:r>
          </w:p>
        </w:tc>
        <w:tc>
          <w:tcPr>
            <w:tcW w:w="56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Weighted-average discount rate—operating leases</w:t>
            </w:r>
          </w:p>
        </w:tc>
        <w:tc>
          <w:tcPr>
            <w:tcW w:w="1420" w:type="dxa"/>
            <w:vAlign w:val="bottom"/>
          </w:tcPr>
          <w:p>
            <w:pPr>
              <w:jc w:val="right"/>
              <w:ind w:right="571"/>
              <w:spacing w:after="0"/>
              <w:rPr>
                <w:sz w:val="20"/>
                <w:szCs w:val="20"/>
                <w:color w:val="auto"/>
              </w:rPr>
            </w:pPr>
            <w:r>
              <w:rPr>
                <w:rFonts w:ascii="Arial" w:cs="Arial" w:eastAsia="Arial" w:hAnsi="Arial"/>
                <w:sz w:val="14"/>
                <w:szCs w:val="14"/>
                <w:color w:val="auto"/>
              </w:rPr>
              <w:t>9%</w:t>
            </w:r>
          </w:p>
        </w:tc>
        <w:tc>
          <w:tcPr>
            <w:tcW w:w="1540" w:type="dxa"/>
            <w:vAlign w:val="bottom"/>
          </w:tcPr>
          <w:p>
            <w:pPr>
              <w:jc w:val="right"/>
              <w:ind w:right="629"/>
              <w:spacing w:after="0"/>
              <w:rPr>
                <w:sz w:val="20"/>
                <w:szCs w:val="20"/>
                <w:color w:val="auto"/>
              </w:rPr>
            </w:pPr>
            <w:r>
              <w:rPr>
                <w:rFonts w:ascii="Arial" w:cs="Arial" w:eastAsia="Arial" w:hAnsi="Arial"/>
                <w:sz w:val="14"/>
                <w:szCs w:val="14"/>
                <w:color w:val="auto"/>
              </w:rPr>
              <w:t>9%</w:t>
            </w:r>
          </w:p>
        </w:tc>
        <w:tc>
          <w:tcPr>
            <w:tcW w:w="56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4"/>
        </w:trPr>
        <w:tc>
          <w:tcPr>
            <w:tcW w:w="1000" w:type="dxa"/>
            <w:vAlign w:val="bottom"/>
          </w:tcPr>
          <w:p>
            <w:pPr>
              <w:spacing w:after="0"/>
              <w:rPr>
                <w:sz w:val="24"/>
                <w:szCs w:val="24"/>
                <w:color w:val="auto"/>
              </w:rPr>
            </w:pPr>
          </w:p>
        </w:tc>
        <w:tc>
          <w:tcPr>
            <w:tcW w:w="3980" w:type="dxa"/>
            <w:vAlign w:val="bottom"/>
          </w:tcPr>
          <w:p>
            <w:pPr>
              <w:ind w:left="3080"/>
              <w:spacing w:after="0"/>
              <w:rPr>
                <w:sz w:val="20"/>
                <w:szCs w:val="20"/>
                <w:color w:val="auto"/>
              </w:rPr>
            </w:pPr>
            <w:r>
              <w:rPr>
                <w:rFonts w:ascii="Arial" w:cs="Arial" w:eastAsia="Arial" w:hAnsi="Arial"/>
                <w:sz w:val="14"/>
                <w:szCs w:val="14"/>
                <w:color w:val="auto"/>
              </w:rPr>
              <w:t>F-47</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53619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36190"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3" w:name="page264"/>
    <w:bookmarkEnd w:id="263"/>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0" w:right="1279"/>
        <w:spacing w:after="0" w:line="286"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76200</wp:posOffset>
            </wp:positionV>
            <wp:extent cx="4209415" cy="133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209415" cy="13335"/>
                    </a:xfrm>
                    <a:prstGeom prst="rect">
                      <a:avLst/>
                    </a:prstGeom>
                    <a:noFill/>
                  </pic:spPr>
                </pic:pic>
              </a:graphicData>
            </a:graphic>
          </wp:anchor>
        </w:drawing>
      </w:r>
    </w:p>
    <w:p>
      <w:pPr>
        <w:spacing w:after="0" w:line="118" w:lineRule="exact"/>
        <w:rPr>
          <w:sz w:val="20"/>
          <w:szCs w:val="20"/>
          <w:color w:val="auto"/>
        </w:rPr>
      </w:pPr>
    </w:p>
    <w:p>
      <w:pPr>
        <w:ind w:left="6000"/>
        <w:spacing w:after="0"/>
        <w:tabs>
          <w:tab w:leader="none" w:pos="6960" w:val="left"/>
        </w:tabs>
        <w:rPr>
          <w:sz w:val="20"/>
          <w:szCs w:val="20"/>
          <w:color w:val="auto"/>
        </w:rPr>
      </w:pPr>
      <w:r>
        <w:rPr>
          <w:rFonts w:ascii="Arial" w:cs="Arial" w:eastAsia="Arial" w:hAnsi="Arial"/>
          <w:sz w:val="13"/>
          <w:szCs w:val="13"/>
          <w:b w:val="1"/>
          <w:bCs w:val="1"/>
          <w:color w:val="auto"/>
        </w:rPr>
        <w:t>For the Three</w:t>
        <w:tab/>
        <w:t>For the Three</w:t>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3"/>
          <w:szCs w:val="13"/>
          <w:b w:val="1"/>
          <w:bCs w:val="1"/>
          <w:color w:val="auto"/>
        </w:rPr>
        <w:t>Months Ended Months Ended</w:t>
      </w:r>
    </w:p>
    <w:p>
      <w:pPr>
        <w:jc w:val="right"/>
        <w:ind w:right="1159"/>
        <w:spacing w:after="0"/>
        <w:rPr>
          <w:sz w:val="20"/>
          <w:szCs w:val="20"/>
          <w:color w:val="auto"/>
        </w:rPr>
      </w:pPr>
      <w:r>
        <w:rPr>
          <w:rFonts w:ascii="Arial" w:cs="Arial" w:eastAsia="Arial" w:hAnsi="Arial"/>
          <w:sz w:val="13"/>
          <w:szCs w:val="13"/>
          <w:b w:val="1"/>
          <w:bCs w:val="1"/>
          <w:color w:val="auto"/>
        </w:rPr>
        <w:t>March 31, 2021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12700</wp:posOffset>
            </wp:positionV>
            <wp:extent cx="297180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71800" cy="6985"/>
                    </a:xfrm>
                    <a:prstGeom prst="rect">
                      <a:avLst/>
                    </a:prstGeom>
                    <a:noFill/>
                  </pic:spPr>
                </pic:pic>
              </a:graphicData>
            </a:graphic>
          </wp:anchor>
        </w:drawing>
      </w:r>
    </w:p>
    <w:tbl>
      <w:tblPr>
        <w:tblLayout w:type="fixed"/>
        <w:tblInd w:w="124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181"/>
        </w:trPr>
        <w:tc>
          <w:tcPr>
            <w:tcW w:w="4700" w:type="dxa"/>
            <w:vAlign w:val="bottom"/>
            <w:gridSpan w:val="2"/>
          </w:tcPr>
          <w:p>
            <w:pPr>
              <w:spacing w:after="0"/>
              <w:rPr>
                <w:sz w:val="20"/>
                <w:szCs w:val="20"/>
                <w:color w:val="auto"/>
              </w:rPr>
            </w:pPr>
            <w:r>
              <w:rPr>
                <w:rFonts w:ascii="Arial" w:cs="Arial" w:eastAsia="Arial" w:hAnsi="Arial"/>
                <w:sz w:val="14"/>
                <w:szCs w:val="14"/>
                <w:color w:val="auto"/>
              </w:rPr>
              <w:t>Operating cash flows from operating leases</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9"/>
              <w:spacing w:after="0"/>
              <w:rPr>
                <w:sz w:val="20"/>
                <w:szCs w:val="20"/>
                <w:color w:val="auto"/>
              </w:rPr>
            </w:pPr>
            <w:r>
              <w:rPr>
                <w:rFonts w:ascii="Arial" w:cs="Arial" w:eastAsia="Arial" w:hAnsi="Arial"/>
                <w:sz w:val="14"/>
                <w:szCs w:val="14"/>
                <w:color w:val="auto"/>
              </w:rPr>
              <w:t>127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4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3,295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2,998</w:t>
            </w: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1"/>
        </w:trPr>
        <w:tc>
          <w:tcPr>
            <w:tcW w:w="20" w:type="dxa"/>
            <w:vAlign w:val="bottom"/>
          </w:tcPr>
          <w:p>
            <w:pPr>
              <w:spacing w:after="0"/>
              <w:rPr>
                <w:sz w:val="14"/>
                <w:szCs w:val="14"/>
                <w:color w:val="auto"/>
              </w:rPr>
            </w:pPr>
          </w:p>
        </w:tc>
        <w:tc>
          <w:tcPr>
            <w:tcW w:w="5180" w:type="dxa"/>
            <w:vAlign w:val="bottom"/>
            <w:tcBorders>
              <w:top w:val="single" w:sz="8" w:color="CCEEFF"/>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40" w:type="dxa"/>
            <w:vAlign w:val="bottom"/>
          </w:tcPr>
          <w:p>
            <w:pPr>
              <w:spacing w:after="0"/>
              <w:rPr>
                <w:sz w:val="14"/>
                <w:szCs w:val="14"/>
                <w:color w:val="auto"/>
              </w:rPr>
            </w:pPr>
          </w:p>
        </w:tc>
      </w:tr>
      <w:tr>
        <w:trPr>
          <w:trHeight w:val="181"/>
        </w:trPr>
        <w:tc>
          <w:tcPr>
            <w:tcW w:w="5200" w:type="dxa"/>
            <w:vAlign w:val="bottom"/>
            <w:gridSpan w:val="2"/>
          </w:tcPr>
          <w:p>
            <w:pPr>
              <w:jc w:val="right"/>
              <w:ind w:right="4789"/>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2,813</w:t>
            </w:r>
          </w:p>
        </w:tc>
        <w:tc>
          <w:tcPr>
            <w:tcW w:w="40" w:type="dxa"/>
            <w:vAlign w:val="bottom"/>
          </w:tcPr>
          <w:p>
            <w:pPr>
              <w:spacing w:after="0"/>
              <w:rPr>
                <w:sz w:val="15"/>
                <w:szCs w:val="15"/>
                <w:color w:val="auto"/>
              </w:rPr>
            </w:pP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40" w:type="dxa"/>
            <w:vAlign w:val="bottom"/>
          </w:tcPr>
          <w:p>
            <w:pPr>
              <w:spacing w:after="0"/>
              <w:rPr>
                <w:sz w:val="15"/>
                <w:szCs w:val="15"/>
                <w:color w:val="auto"/>
              </w:rPr>
            </w:pPr>
          </w:p>
        </w:tc>
      </w:tr>
      <w:tr>
        <w:trPr>
          <w:trHeight w:val="181"/>
        </w:trPr>
        <w:tc>
          <w:tcPr>
            <w:tcW w:w="5200" w:type="dxa"/>
            <w:vAlign w:val="bottom"/>
            <w:gridSpan w:val="2"/>
          </w:tcPr>
          <w:p>
            <w:pPr>
              <w:jc w:val="right"/>
              <w:ind w:right="4789"/>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2,708</w:t>
            </w:r>
          </w:p>
        </w:tc>
        <w:tc>
          <w:tcPr>
            <w:tcW w:w="40" w:type="dxa"/>
            <w:vAlign w:val="bottom"/>
          </w:tcPr>
          <w:p>
            <w:pPr>
              <w:spacing w:after="0"/>
              <w:rPr>
                <w:sz w:val="15"/>
                <w:szCs w:val="15"/>
                <w:color w:val="auto"/>
              </w:rPr>
            </w:pP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jc w:val="right"/>
              <w:ind w:right="4789"/>
              <w:spacing w:after="0"/>
              <w:rPr>
                <w:sz w:val="20"/>
                <w:szCs w:val="20"/>
                <w:color w:val="auto"/>
              </w:rPr>
            </w:pPr>
            <w:r>
              <w:rPr>
                <w:rFonts w:ascii="Arial" w:cs="Arial" w:eastAsia="Arial" w:hAnsi="Arial"/>
                <w:sz w:val="14"/>
                <w:szCs w:val="14"/>
                <w:color w:val="auto"/>
                <w:w w:val="96"/>
              </w:rPr>
              <w:t>2025</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40" w:type="dxa"/>
            <w:vAlign w:val="bottom"/>
          </w:tcPr>
          <w:p>
            <w:pPr>
              <w:spacing w:after="0"/>
              <w:rPr>
                <w:sz w:val="15"/>
                <w:szCs w:val="15"/>
                <w:color w:val="auto"/>
              </w:rPr>
            </w:pPr>
          </w:p>
        </w:tc>
      </w:tr>
      <w:tr>
        <w:trPr>
          <w:trHeight w:val="187"/>
        </w:trPr>
        <w:tc>
          <w:tcPr>
            <w:tcW w:w="5300" w:type="dxa"/>
            <w:vAlign w:val="bottom"/>
            <w:gridSpan w:val="3"/>
          </w:tcPr>
          <w:p>
            <w:pPr>
              <w:spacing w:after="0"/>
              <w:rPr>
                <w:sz w:val="20"/>
                <w:szCs w:val="20"/>
                <w:color w:val="auto"/>
              </w:rPr>
            </w:pPr>
            <w:r>
              <w:rPr>
                <w:rFonts w:ascii="Arial" w:cs="Arial" w:eastAsia="Arial" w:hAnsi="Arial"/>
                <w:sz w:val="14"/>
                <w:szCs w:val="14"/>
                <w:color w:val="auto"/>
              </w:rPr>
              <w:t>Thereafter</w:t>
            </w:r>
          </w:p>
        </w:tc>
        <w:tc>
          <w:tcPr>
            <w:tcW w:w="6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18,300</w:t>
            </w:r>
          </w:p>
        </w:tc>
        <w:tc>
          <w:tcPr>
            <w:tcW w:w="4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31,111</w:t>
            </w:r>
          </w:p>
        </w:tc>
        <w:tc>
          <w:tcPr>
            <w:tcW w:w="40" w:type="dxa"/>
            <w:vAlign w:val="bottom"/>
          </w:tcPr>
          <w:p>
            <w:pPr>
              <w:spacing w:after="0"/>
              <w:rPr>
                <w:sz w:val="14"/>
                <w:szCs w:val="14"/>
                <w:color w:val="auto"/>
              </w:rPr>
            </w:pPr>
          </w:p>
        </w:tc>
      </w:tr>
      <w:tr>
        <w:trPr>
          <w:trHeight w:val="181"/>
        </w:trPr>
        <w:tc>
          <w:tcPr>
            <w:tcW w:w="5300" w:type="dxa"/>
            <w:vAlign w:val="bottom"/>
            <w:gridSpan w:val="3"/>
          </w:tcPr>
          <w:p>
            <w:pPr>
              <w:spacing w:after="0"/>
              <w:rPr>
                <w:sz w:val="20"/>
                <w:szCs w:val="20"/>
                <w:color w:val="auto"/>
              </w:rPr>
            </w:pPr>
            <w:r>
              <w:rPr>
                <w:rFonts w:ascii="Arial" w:cs="Arial" w:eastAsia="Arial" w:hAnsi="Arial"/>
                <w:sz w:val="14"/>
                <w:szCs w:val="14"/>
                <w:color w:val="auto"/>
              </w:rPr>
              <w:t>Less: imputed Interest</w:t>
            </w:r>
          </w:p>
        </w:tc>
        <w:tc>
          <w:tcPr>
            <w:tcW w:w="6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(12,065)</w:t>
            </w:r>
          </w:p>
        </w:tc>
      </w:tr>
      <w:tr>
        <w:trPr>
          <w:trHeight w:val="22"/>
        </w:trPr>
        <w:tc>
          <w:tcPr>
            <w:tcW w:w="5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tenant incentive receivable</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40" w:type="dxa"/>
            <w:vAlign w:val="bottom"/>
          </w:tcPr>
          <w:p>
            <w:pPr>
              <w:spacing w:after="0"/>
              <w:rPr>
                <w:sz w:val="16"/>
                <w:szCs w:val="16"/>
                <w:color w:val="auto"/>
              </w:rPr>
            </w:pPr>
          </w:p>
        </w:tc>
      </w:tr>
      <w:tr>
        <w:trPr>
          <w:trHeight w:val="178"/>
        </w:trPr>
        <w:tc>
          <w:tcPr>
            <w:tcW w:w="5300" w:type="dxa"/>
            <w:vAlign w:val="bottom"/>
            <w:gridSpan w:val="3"/>
          </w:tcPr>
          <w:p>
            <w:pPr>
              <w:spacing w:after="0"/>
              <w:rPr>
                <w:sz w:val="20"/>
                <w:szCs w:val="20"/>
                <w:color w:val="auto"/>
              </w:rPr>
            </w:pPr>
            <w:r>
              <w:rPr>
                <w:rFonts w:ascii="Arial" w:cs="Arial" w:eastAsia="Arial" w:hAnsi="Arial"/>
                <w:sz w:val="14"/>
                <w:szCs w:val="14"/>
                <w:color w:val="auto"/>
              </w:rPr>
              <w:t>Total</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15,341</w:t>
            </w:r>
          </w:p>
        </w:tc>
        <w:tc>
          <w:tcPr>
            <w:tcW w:w="4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-543560</wp:posOffset>
            </wp:positionV>
            <wp:extent cx="335280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35280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-1311910</wp:posOffset>
            </wp:positionV>
            <wp:extent cx="335280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52800" cy="6985"/>
                    </a:xfrm>
                    <a:prstGeom prst="rect">
                      <a:avLst/>
                    </a:prstGeom>
                    <a:noFill/>
                  </pic:spPr>
                </pic:pic>
              </a:graphicData>
            </a:graphic>
          </wp:anchor>
        </w:drawing>
      </w:r>
    </w:p>
    <w:p>
      <w:pPr>
        <w:spacing w:after="0" w:line="108" w:lineRule="exact"/>
        <w:rPr>
          <w:sz w:val="20"/>
          <w:szCs w:val="20"/>
          <w:color w:val="auto"/>
        </w:rPr>
      </w:pPr>
    </w:p>
    <w:p>
      <w:pPr>
        <w:ind w:left="1240" w:right="1339"/>
        <w:spacing w:after="0" w:line="298" w:lineRule="auto"/>
        <w:rPr>
          <w:sz w:val="20"/>
          <w:szCs w:val="20"/>
          <w:color w:val="auto"/>
        </w:rPr>
      </w:pPr>
      <w:r>
        <w:rPr>
          <w:rFonts w:ascii="Arial" w:cs="Arial" w:eastAsia="Arial" w:hAnsi="Arial"/>
          <w:sz w:val="14"/>
          <w:szCs w:val="14"/>
          <w:color w:val="auto"/>
        </w:rPr>
        <w:t>The Company entered into one lease that had not commenced at March 31, 2021. As a result, future lease payments of approximately $17.3 million are not recorded on the Company’s consolidated balance sheets. The lease commences in January 2022 with a non-cancelable term of 10 years.</w:t>
      </w:r>
    </w:p>
    <w:p>
      <w:pPr>
        <w:spacing w:after="0" w:line="30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13—Basic and diluted net loss per common share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3"/>
                <w:szCs w:val="13"/>
                <w:b w:val="1"/>
                <w:bCs w:val="1"/>
                <w:color w:val="auto"/>
              </w:rPr>
              <w:t>Three Months</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30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Ended March 31, Ended March 31,</w:t>
            </w:r>
          </w:p>
        </w:tc>
      </w:tr>
      <w:tr>
        <w:trPr>
          <w:trHeight w:val="178"/>
        </w:trPr>
        <w:tc>
          <w:tcPr>
            <w:tcW w:w="20" w:type="dxa"/>
            <w:vAlign w:val="bottom"/>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4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(18,348)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2"/>
        </w:trPr>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Weighted-average common share for basic and diluted net loss per</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620" w:type="dxa"/>
            <w:vAlign w:val="bottom"/>
          </w:tcPr>
          <w:p>
            <w:pPr>
              <w:ind w:left="280"/>
              <w:spacing w:after="0"/>
              <w:rPr>
                <w:sz w:val="20"/>
                <w:szCs w:val="20"/>
                <w:color w:val="auto"/>
              </w:rPr>
            </w:pPr>
            <w:r>
              <w:rPr>
                <w:rFonts w:ascii="Arial" w:cs="Arial" w:eastAsia="Arial" w:hAnsi="Arial"/>
                <w:sz w:val="14"/>
                <w:szCs w:val="14"/>
                <w:color w:val="auto"/>
              </w:rPr>
              <w:t>share</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7,677,196</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7,481,861</w:t>
            </w:r>
          </w:p>
        </w:tc>
        <w:tc>
          <w:tcPr>
            <w:tcW w:w="40" w:type="dxa"/>
            <w:vAlign w:val="bottom"/>
          </w:tcPr>
          <w:p>
            <w:pPr>
              <w:spacing w:after="0"/>
              <w:rPr>
                <w:sz w:val="14"/>
                <w:szCs w:val="14"/>
                <w:color w:val="auto"/>
              </w:rPr>
            </w:pPr>
          </w:p>
        </w:tc>
      </w:tr>
      <w:tr>
        <w:trPr>
          <w:trHeight w:val="22"/>
        </w:trPr>
        <w:tc>
          <w:tcPr>
            <w:tcW w:w="4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19"/>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(2.39)</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-162560</wp:posOffset>
            </wp:positionV>
            <wp:extent cx="295783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957830" cy="6985"/>
                    </a:xfrm>
                    <a:prstGeom prst="rect">
                      <a:avLst/>
                    </a:prstGeom>
                    <a:noFill/>
                  </pic:spPr>
                </pic:pic>
              </a:graphicData>
            </a:graphic>
          </wp:anchor>
        </w:drawing>
      </w:r>
    </w:p>
    <w:p>
      <w:pPr>
        <w:spacing w:after="0" w:line="119" w:lineRule="exact"/>
        <w:rPr>
          <w:sz w:val="20"/>
          <w:szCs w:val="20"/>
          <w:color w:val="auto"/>
        </w:rPr>
      </w:pPr>
    </w:p>
    <w:p>
      <w:pPr>
        <w:ind w:left="1240" w:right="1339"/>
        <w:spacing w:after="0" w:line="290" w:lineRule="auto"/>
        <w:rPr>
          <w:sz w:val="20"/>
          <w:szCs w:val="20"/>
          <w:color w:val="auto"/>
        </w:rPr>
      </w:pPr>
      <w:r>
        <w:rPr>
          <w:rFonts w:ascii="Arial" w:cs="Arial" w:eastAsia="Arial" w:hAnsi="Arial"/>
          <w:sz w:val="14"/>
          <w:szCs w:val="14"/>
          <w:color w:val="auto"/>
        </w:rPr>
        <w:t>The Company’s potentially dilutive securities, which include the Preferred Stock, restricted stock, warrants, early exercised stock options and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2021 and 2020 because including them would have had an anti-dilutive effect.</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4" w:name="page265"/>
    <w:bookmarkEnd w:id="264"/>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Three Months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w:t>
            </w:r>
          </w:p>
        </w:tc>
      </w:tr>
      <w:tr>
        <w:trPr>
          <w:trHeight w:val="150"/>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31"/>
              <w:spacing w:after="0"/>
              <w:rPr>
                <w:sz w:val="20"/>
                <w:szCs w:val="20"/>
                <w:color w:val="auto"/>
              </w:rPr>
            </w:pPr>
            <w:r>
              <w:rPr>
                <w:rFonts w:ascii="Arial" w:cs="Arial" w:eastAsia="Arial" w:hAnsi="Arial"/>
                <w:sz w:val="13"/>
                <w:szCs w:val="13"/>
                <w:b w:val="1"/>
                <w:bCs w:val="1"/>
                <w:color w:val="auto"/>
              </w:rPr>
              <w:t>Ended March 31,</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Ended March 31,</w:t>
            </w:r>
          </w:p>
        </w:tc>
      </w:tr>
      <w:tr>
        <w:trPr>
          <w:trHeight w:val="178"/>
        </w:trPr>
        <w:tc>
          <w:tcPr>
            <w:tcW w:w="20" w:type="dxa"/>
            <w:vAlign w:val="bottom"/>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1"/>
        </w:trPr>
        <w:tc>
          <w:tcPr>
            <w:tcW w:w="20" w:type="dxa"/>
            <w:vAlign w:val="bottom"/>
          </w:tcPr>
          <w:p>
            <w:pPr>
              <w:spacing w:after="0"/>
              <w:rPr>
                <w:sz w:val="14"/>
                <w:szCs w:val="14"/>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3,419,208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2,424,405</w:t>
            </w:r>
          </w:p>
        </w:tc>
      </w:tr>
      <w:tr>
        <w:trPr>
          <w:trHeight w:val="181"/>
        </w:trPr>
        <w:tc>
          <w:tcPr>
            <w:tcW w:w="4140" w:type="dxa"/>
            <w:vAlign w:val="bottom"/>
            <w:gridSpan w:val="3"/>
          </w:tcPr>
          <w:p>
            <w:pPr>
              <w:spacing w:after="0"/>
              <w:rPr>
                <w:sz w:val="20"/>
                <w:szCs w:val="20"/>
                <w:color w:val="auto"/>
              </w:rPr>
            </w:pPr>
            <w:r>
              <w:rPr>
                <w:rFonts w:ascii="Arial" w:cs="Arial" w:eastAsia="Arial" w:hAnsi="Arial"/>
                <w:sz w:val="14"/>
                <w:szCs w:val="14"/>
                <w:color w:val="auto"/>
              </w:rPr>
              <w:t>Early exercised stock options subject to future vesting</w:t>
            </w:r>
          </w:p>
        </w:tc>
        <w:tc>
          <w:tcPr>
            <w:tcW w:w="1220" w:type="dxa"/>
            <w:vAlign w:val="bottom"/>
          </w:tcPr>
          <w:p>
            <w:pPr>
              <w:jc w:val="right"/>
              <w:spacing w:after="0"/>
              <w:rPr>
                <w:sz w:val="20"/>
                <w:szCs w:val="20"/>
                <w:color w:val="auto"/>
              </w:rPr>
            </w:pPr>
            <w:r>
              <w:rPr>
                <w:rFonts w:ascii="Arial" w:cs="Arial" w:eastAsia="Arial" w:hAnsi="Arial"/>
                <w:sz w:val="14"/>
                <w:szCs w:val="14"/>
                <w:color w:val="auto"/>
              </w:rPr>
              <w:t>952,518</w:t>
            </w:r>
          </w:p>
        </w:tc>
        <w:tc>
          <w:tcPr>
            <w:tcW w:w="1160" w:type="dxa"/>
            <w:vAlign w:val="bottom"/>
          </w:tcPr>
          <w:p>
            <w:pPr>
              <w:jc w:val="right"/>
              <w:spacing w:after="0"/>
              <w:rPr>
                <w:sz w:val="20"/>
                <w:szCs w:val="20"/>
                <w:color w:val="auto"/>
              </w:rPr>
            </w:pPr>
            <w:r>
              <w:rPr>
                <w:rFonts w:ascii="Arial" w:cs="Arial" w:eastAsia="Arial" w:hAnsi="Arial"/>
                <w:sz w:val="14"/>
                <w:szCs w:val="14"/>
                <w:color w:val="auto"/>
              </w:rPr>
              <w:t>222,656</w:t>
            </w:r>
          </w:p>
        </w:tc>
      </w:tr>
      <w:tr>
        <w:trPr>
          <w:trHeight w:val="22"/>
        </w:trPr>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Restricted stock award subject to future vesting</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902,703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1,536,337</w:t>
            </w:r>
          </w:p>
        </w:tc>
      </w:tr>
      <w:tr>
        <w:trPr>
          <w:trHeight w:val="181"/>
        </w:trPr>
        <w:tc>
          <w:tcPr>
            <w:tcW w:w="4140" w:type="dxa"/>
            <w:vAlign w:val="bottom"/>
            <w:gridSpan w:val="3"/>
          </w:tcPr>
          <w:p>
            <w:pPr>
              <w:spacing w:after="0"/>
              <w:rPr>
                <w:sz w:val="20"/>
                <w:szCs w:val="20"/>
                <w:color w:val="auto"/>
              </w:rPr>
            </w:pPr>
            <w:r>
              <w:rPr>
                <w:rFonts w:ascii="Arial" w:cs="Arial" w:eastAsia="Arial" w:hAnsi="Arial"/>
                <w:sz w:val="14"/>
                <w:szCs w:val="14"/>
                <w:color w:val="auto"/>
              </w:rPr>
              <w:t>Warrants on long term debt</w:t>
            </w:r>
          </w:p>
        </w:tc>
        <w:tc>
          <w:tcPr>
            <w:tcW w:w="1220" w:type="dxa"/>
            <w:vAlign w:val="bottom"/>
          </w:tcPr>
          <w:p>
            <w:pPr>
              <w:jc w:val="right"/>
              <w:spacing w:after="0"/>
              <w:rPr>
                <w:sz w:val="20"/>
                <w:szCs w:val="20"/>
                <w:color w:val="auto"/>
              </w:rPr>
            </w:pPr>
            <w:r>
              <w:rPr>
                <w:rFonts w:ascii="Arial" w:cs="Arial" w:eastAsia="Arial" w:hAnsi="Arial"/>
                <w:sz w:val="14"/>
                <w:szCs w:val="14"/>
                <w:color w:val="auto"/>
              </w:rPr>
              <w:t>16,112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6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85,865,789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r>
      <w:tr>
        <w:trPr>
          <w:trHeight w:val="178"/>
        </w:trPr>
        <w:tc>
          <w:tcPr>
            <w:tcW w:w="4140" w:type="dxa"/>
            <w:vAlign w:val="bottom"/>
            <w:gridSpan w:val="3"/>
          </w:tcPr>
          <w:p>
            <w:pPr>
              <w:spacing w:after="0"/>
              <w:rPr>
                <w:sz w:val="20"/>
                <w:szCs w:val="20"/>
                <w:color w:val="auto"/>
              </w:rPr>
            </w:pPr>
            <w:r>
              <w:rPr>
                <w:rFonts w:ascii="Arial" w:cs="Arial" w:eastAsia="Arial" w:hAnsi="Arial"/>
                <w:sz w:val="14"/>
                <w:szCs w:val="14"/>
                <w:color w:val="auto"/>
              </w:rPr>
              <w:t>Total</w:t>
            </w:r>
          </w:p>
        </w:tc>
        <w:tc>
          <w:tcPr>
            <w:tcW w:w="1220" w:type="dxa"/>
            <w:vAlign w:val="bottom"/>
          </w:tcPr>
          <w:p>
            <w:pPr>
              <w:jc w:val="right"/>
              <w:spacing w:after="0"/>
              <w:rPr>
                <w:sz w:val="20"/>
                <w:szCs w:val="20"/>
                <w:color w:val="auto"/>
              </w:rPr>
            </w:pPr>
            <w:r>
              <w:rPr>
                <w:rFonts w:ascii="Arial" w:cs="Arial" w:eastAsia="Arial" w:hAnsi="Arial"/>
                <w:sz w:val="14"/>
                <w:szCs w:val="14"/>
                <w:color w:val="auto"/>
              </w:rPr>
              <w:t>91,156,330</w:t>
            </w:r>
          </w:p>
        </w:tc>
        <w:tc>
          <w:tcPr>
            <w:tcW w:w="1160" w:type="dxa"/>
            <w:vAlign w:val="bottom"/>
          </w:tcPr>
          <w:p>
            <w:pPr>
              <w:jc w:val="right"/>
              <w:spacing w:after="0"/>
              <w:rPr>
                <w:sz w:val="20"/>
                <w:szCs w:val="20"/>
                <w:color w:val="auto"/>
              </w:rPr>
            </w:pPr>
            <w:r>
              <w:rPr>
                <w:rFonts w:ascii="Arial" w:cs="Arial" w:eastAsia="Arial" w:hAnsi="Arial"/>
                <w:sz w:val="14"/>
                <w:szCs w:val="14"/>
                <w:color w:val="auto"/>
              </w:rPr>
              <w:t>65,327,188</w:t>
            </w:r>
          </w:p>
        </w:tc>
      </w:tr>
      <w:tr>
        <w:trPr>
          <w:trHeight w:val="22"/>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-162560</wp:posOffset>
            </wp:positionV>
            <wp:extent cx="3429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-802005</wp:posOffset>
            </wp:positionV>
            <wp:extent cx="261810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18105" cy="6985"/>
                    </a:xfrm>
                    <a:prstGeom prst="rect">
                      <a:avLst/>
                    </a:prstGeom>
                    <a:noFill/>
                  </pic:spPr>
                </pic:pic>
              </a:graphicData>
            </a:graphic>
          </wp:anchor>
        </w:drawing>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14—Defined contribution plan</w:t>
      </w:r>
    </w:p>
    <w:p>
      <w:pPr>
        <w:spacing w:after="0" w:line="118" w:lineRule="exact"/>
        <w:rPr>
          <w:sz w:val="20"/>
          <w:szCs w:val="20"/>
          <w:color w:val="auto"/>
        </w:rPr>
      </w:pPr>
    </w:p>
    <w:p>
      <w:pPr>
        <w:ind w:left="1240" w:right="1359"/>
        <w:spacing w:after="0" w:line="257"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$212 and $63 for the three months ended March 31, 2021 and 2020, respectively. Such contribution expense has been recognized in the consolidated statement of operations for each period.</w:t>
      </w:r>
    </w:p>
    <w:p>
      <w:pPr>
        <w:spacing w:after="0" w:line="31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15—Stock-based compensation</w:t>
      </w:r>
    </w:p>
    <w:p>
      <w:pPr>
        <w:spacing w:after="0" w:line="118" w:lineRule="exact"/>
        <w:rPr>
          <w:sz w:val="20"/>
          <w:szCs w:val="20"/>
          <w:color w:val="auto"/>
        </w:rPr>
      </w:pPr>
    </w:p>
    <w:p>
      <w:pPr>
        <w:ind w:left="1240" w:right="1299"/>
        <w:spacing w:after="0" w:line="257" w:lineRule="auto"/>
        <w:rPr>
          <w:sz w:val="20"/>
          <w:szCs w:val="20"/>
          <w:color w:val="auto"/>
        </w:rPr>
      </w:pPr>
      <w:r>
        <w:rPr>
          <w:rFonts w:ascii="Arial" w:cs="Arial" w:eastAsia="Arial" w:hAnsi="Arial"/>
          <w:sz w:val="14"/>
          <w:szCs w:val="14"/>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As of March 31, 2021 the Company had 9,339,366 shares authorized for issuance under the Plan.</w:t>
      </w:r>
    </w:p>
    <w:p>
      <w:pPr>
        <w:spacing w:after="0" w:line="269" w:lineRule="exact"/>
        <w:rPr>
          <w:sz w:val="20"/>
          <w:szCs w:val="20"/>
          <w:color w:val="auto"/>
        </w:rPr>
      </w:pPr>
    </w:p>
    <w:p>
      <w:pPr>
        <w:ind w:left="1240" w:right="1499"/>
        <w:spacing w:after="0" w:line="255" w:lineRule="auto"/>
        <w:rPr>
          <w:sz w:val="20"/>
          <w:szCs w:val="20"/>
          <w:color w:val="auto"/>
        </w:rPr>
      </w:pPr>
      <w:r>
        <w:rPr>
          <w:rFonts w:ascii="Arial" w:cs="Arial" w:eastAsia="Arial" w:hAnsi="Arial"/>
          <w:sz w:val="14"/>
          <w:szCs w:val="14"/>
          <w:color w:val="auto"/>
        </w:rPr>
        <w:t>The Company recognizes the costs of the stock-based payments as the employees vest in the awards. For the three months ended March 31, 2021, the Company recognized $95 of stock-based compensation expense within the consolidated statement of operations. For the</w:t>
      </w:r>
    </w:p>
    <w:p>
      <w:pPr>
        <w:spacing w:after="0" w:line="1" w:lineRule="exact"/>
        <w:rPr>
          <w:sz w:val="20"/>
          <w:szCs w:val="20"/>
          <w:color w:val="auto"/>
        </w:rPr>
      </w:pPr>
    </w:p>
    <w:p>
      <w:pPr>
        <w:ind w:left="1240" w:right="2199"/>
        <w:spacing w:after="0" w:line="270" w:lineRule="auto"/>
        <w:rPr>
          <w:sz w:val="20"/>
          <w:szCs w:val="20"/>
          <w:color w:val="auto"/>
        </w:rPr>
      </w:pPr>
      <w:r>
        <w:rPr>
          <w:rFonts w:ascii="Arial" w:cs="Arial" w:eastAsia="Arial" w:hAnsi="Arial"/>
          <w:sz w:val="14"/>
          <w:szCs w:val="14"/>
          <w:color w:val="auto"/>
        </w:rPr>
        <w:t>three months ended March 31, 2020, the Company recognized $221 of stock-based compensation expense within the consolidated statement of operations.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Stock Options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following table summarizes stock option activity for the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109220</wp:posOffset>
            </wp:positionV>
            <wp:extent cx="4134485" cy="133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64"/>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4"/>
                <w:szCs w:val="14"/>
                <w:color w:val="auto"/>
              </w:rPr>
            </w:pPr>
          </w:p>
        </w:tc>
      </w:tr>
      <w:tr>
        <w:trPr>
          <w:trHeight w:val="126"/>
        </w:trPr>
        <w:tc>
          <w:tcPr>
            <w:tcW w:w="10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0"/>
                <w:szCs w:val="10"/>
                <w:color w:val="auto"/>
              </w:rPr>
            </w:pPr>
          </w:p>
        </w:tc>
      </w:tr>
      <w:tr>
        <w:trPr>
          <w:trHeight w:val="150"/>
        </w:trPr>
        <w:tc>
          <w:tcPr>
            <w:tcW w:w="10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Contractual Term</w:t>
            </w:r>
          </w:p>
        </w:tc>
        <w:tc>
          <w:tcPr>
            <w:tcW w:w="1000" w:type="dxa"/>
            <w:vAlign w:val="bottom"/>
          </w:tcPr>
          <w:p>
            <w:pPr>
              <w:spacing w:after="0"/>
              <w:rPr>
                <w:sz w:val="13"/>
                <w:szCs w:val="13"/>
                <w:color w:val="auto"/>
              </w:rPr>
            </w:pPr>
          </w:p>
        </w:tc>
      </w:tr>
      <w:tr>
        <w:trPr>
          <w:trHeight w:val="170"/>
        </w:trPr>
        <w:tc>
          <w:tcPr>
            <w:tcW w:w="100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Shares</w:t>
            </w:r>
          </w:p>
        </w:tc>
        <w:tc>
          <w:tcPr>
            <w:tcW w:w="10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Exercise Price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4"/>
                <w:szCs w:val="14"/>
                <w:color w:val="auto"/>
              </w:rPr>
            </w:pPr>
          </w:p>
        </w:tc>
      </w:tr>
      <w:tr>
        <w:trPr>
          <w:trHeight w:val="178"/>
        </w:trPr>
        <w:tc>
          <w:tcPr>
            <w:tcW w:w="1000" w:type="dxa"/>
            <w:vAlign w:val="bottom"/>
          </w:tcPr>
          <w:p>
            <w:pPr>
              <w:spacing w:after="0"/>
              <w:rPr>
                <w:sz w:val="15"/>
                <w:szCs w:val="15"/>
                <w:color w:val="auto"/>
              </w:rPr>
            </w:pPr>
          </w:p>
        </w:tc>
        <w:tc>
          <w:tcPr>
            <w:tcW w:w="25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Outstanding January 1, 2021</w:t>
            </w:r>
          </w:p>
        </w:tc>
        <w:tc>
          <w:tcPr>
            <w:tcW w:w="800" w:type="dxa"/>
            <w:vAlign w:val="bottom"/>
            <w:gridSpan w:val="2"/>
            <w:shd w:val="clear" w:color="auto" w:fill="CCEEFF"/>
          </w:tcPr>
          <w:p>
            <w:pPr>
              <w:spacing w:after="0"/>
              <w:rPr>
                <w:sz w:val="15"/>
                <w:szCs w:val="15"/>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3,882,328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Granted</w:t>
            </w:r>
          </w:p>
        </w:tc>
        <w:tc>
          <w:tcPr>
            <w:tcW w:w="1620" w:type="dxa"/>
            <w:vAlign w:val="bottom"/>
            <w:gridSpan w:val="3"/>
          </w:tcPr>
          <w:p>
            <w:pPr>
              <w:jc w:val="right"/>
              <w:ind w:right="10"/>
              <w:spacing w:after="0"/>
              <w:rPr>
                <w:sz w:val="20"/>
                <w:szCs w:val="20"/>
                <w:color w:val="auto"/>
              </w:rPr>
            </w:pPr>
            <w:r>
              <w:rPr>
                <w:rFonts w:ascii="Arial" w:cs="Arial" w:eastAsia="Arial" w:hAnsi="Arial"/>
                <w:sz w:val="14"/>
                <w:szCs w:val="14"/>
                <w:color w:val="auto"/>
              </w:rPr>
              <w:t>420,914</w:t>
            </w:r>
          </w:p>
        </w:tc>
        <w:tc>
          <w:tcPr>
            <w:tcW w:w="680" w:type="dxa"/>
            <w:vAlign w:val="bottom"/>
          </w:tcPr>
          <w:p>
            <w:pPr>
              <w:spacing w:after="0"/>
              <w:rPr>
                <w:sz w:val="14"/>
                <w:szCs w:val="1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7.27</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(172,883)</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Exercised—unvested</w:t>
            </w: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(688,886)</w:t>
            </w:r>
          </w:p>
        </w:tc>
        <w:tc>
          <w:tcPr>
            <w:tcW w:w="680" w:type="dxa"/>
            <w:vAlign w:val="bottom"/>
          </w:tcPr>
          <w:p>
            <w:pPr>
              <w:spacing w:after="0"/>
              <w:rPr>
                <w:sz w:val="14"/>
                <w:szCs w:val="14"/>
                <w:color w:val="auto"/>
              </w:rPr>
            </w:pPr>
          </w:p>
        </w:tc>
        <w:tc>
          <w:tcPr>
            <w:tcW w:w="400" w:type="dxa"/>
            <w:vAlign w:val="bottom"/>
          </w:tcPr>
          <w:p>
            <w:pPr>
              <w:jc w:val="right"/>
              <w:ind w:right="9"/>
              <w:spacing w:after="0"/>
              <w:rPr>
                <w:sz w:val="20"/>
                <w:szCs w:val="20"/>
                <w:color w:val="auto"/>
              </w:rPr>
            </w:pPr>
            <w:r>
              <w:rPr>
                <w:rFonts w:ascii="Arial" w:cs="Arial" w:eastAsia="Arial" w:hAnsi="Arial"/>
                <w:sz w:val="14"/>
                <w:szCs w:val="14"/>
                <w:color w:val="auto"/>
              </w:rPr>
              <w:t>1.42</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3"/>
        </w:trPr>
        <w:tc>
          <w:tcPr>
            <w:tcW w:w="1000" w:type="dxa"/>
            <w:vAlign w:val="bottom"/>
          </w:tcPr>
          <w:p>
            <w:pPr>
              <w:spacing w:after="0"/>
              <w:rPr>
                <w:sz w:val="16"/>
                <w:szCs w:val="16"/>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(22,265)</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61"/>
        </w:trPr>
        <w:tc>
          <w:tcPr>
            <w:tcW w:w="1000" w:type="dxa"/>
            <w:vAlign w:val="bottom"/>
          </w:tcPr>
          <w:p>
            <w:pPr>
              <w:spacing w:after="0"/>
              <w:rPr>
                <w:sz w:val="13"/>
                <w:szCs w:val="13"/>
                <w:color w:val="auto"/>
              </w:rPr>
            </w:pPr>
          </w:p>
        </w:tc>
        <w:tc>
          <w:tcPr>
            <w:tcW w:w="2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Cancelled</w:t>
            </w:r>
          </w:p>
        </w:tc>
        <w:tc>
          <w:tcPr>
            <w:tcW w:w="7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58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Outstanding, March 31, 2021</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0"/>
              <w:spacing w:after="0" w:line="151" w:lineRule="exact"/>
              <w:rPr>
                <w:sz w:val="20"/>
                <w:szCs w:val="20"/>
                <w:color w:val="auto"/>
              </w:rPr>
            </w:pPr>
            <w:r>
              <w:rPr>
                <w:rFonts w:ascii="Arial" w:cs="Arial" w:eastAsia="Arial" w:hAnsi="Arial"/>
                <w:sz w:val="14"/>
                <w:szCs w:val="14"/>
                <w:color w:val="auto"/>
              </w:rPr>
              <w:t>3,419,208</w:t>
            </w:r>
          </w:p>
        </w:tc>
        <w:tc>
          <w:tcPr>
            <w:tcW w:w="6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9"/>
              <w:spacing w:after="0" w:line="151" w:lineRule="exact"/>
              <w:rPr>
                <w:sz w:val="20"/>
                <w:szCs w:val="20"/>
                <w:color w:val="auto"/>
              </w:rPr>
            </w:pPr>
            <w:r>
              <w:rPr>
                <w:rFonts w:ascii="Arial" w:cs="Arial" w:eastAsia="Arial" w:hAnsi="Arial"/>
                <w:sz w:val="14"/>
                <w:szCs w:val="14"/>
                <w:color w:val="auto"/>
              </w:rPr>
              <w:t>1.83</w:t>
            </w:r>
          </w:p>
        </w:tc>
        <w:tc>
          <w:tcPr>
            <w:tcW w:w="12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8.94</w:t>
            </w:r>
          </w:p>
        </w:tc>
        <w:tc>
          <w:tcPr>
            <w:tcW w:w="1000" w:type="dxa"/>
            <w:vAlign w:val="bottom"/>
          </w:tcPr>
          <w:p>
            <w:pPr>
              <w:spacing w:after="0"/>
              <w:rPr>
                <w:sz w:val="13"/>
                <w:szCs w:val="13"/>
                <w:color w:val="auto"/>
              </w:rPr>
            </w:pPr>
          </w:p>
        </w:tc>
      </w:tr>
      <w:tr>
        <w:trPr>
          <w:trHeight w:val="185"/>
        </w:trPr>
        <w:tc>
          <w:tcPr>
            <w:tcW w:w="1000" w:type="dxa"/>
            <w:vAlign w:val="bottom"/>
          </w:tcPr>
          <w:p>
            <w:pPr>
              <w:spacing w:after="0"/>
              <w:rPr>
                <w:sz w:val="16"/>
                <w:szCs w:val="16"/>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March 31, 2021</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2,021,936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000" w:type="dxa"/>
            <w:vAlign w:val="bottom"/>
          </w:tcPr>
          <w:p>
            <w:pPr>
              <w:spacing w:after="0"/>
              <w:rPr>
                <w:sz w:val="16"/>
                <w:szCs w:val="16"/>
                <w:color w:val="auto"/>
              </w:rPr>
            </w:pPr>
          </w:p>
        </w:tc>
      </w:tr>
      <w:tr>
        <w:trPr>
          <w:trHeight w:val="513"/>
        </w:trPr>
        <w:tc>
          <w:tcPr>
            <w:tcW w:w="10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20" w:type="dxa"/>
            <w:vAlign w:val="bottom"/>
            <w:gridSpan w:val="3"/>
          </w:tcPr>
          <w:p>
            <w:pPr>
              <w:jc w:val="right"/>
              <w:ind w:right="750"/>
              <w:spacing w:after="0"/>
              <w:rPr>
                <w:sz w:val="20"/>
                <w:szCs w:val="20"/>
                <w:color w:val="auto"/>
              </w:rPr>
            </w:pPr>
            <w:r>
              <w:rPr>
                <w:rFonts w:ascii="Arial" w:cs="Arial" w:eastAsia="Arial" w:hAnsi="Arial"/>
                <w:sz w:val="14"/>
                <w:szCs w:val="14"/>
                <w:color w:val="auto"/>
              </w:rPr>
              <w:t>F-49</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3"/>
        </w:trPr>
        <w:tc>
          <w:tcPr>
            <w:tcW w:w="10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-788035</wp:posOffset>
            </wp:positionV>
            <wp:extent cx="215582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582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-1475105</wp:posOffset>
            </wp:positionV>
            <wp:extent cx="215582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5825" cy="698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-25400</wp:posOffset>
            </wp:positionV>
            <wp:extent cx="3238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-25400</wp:posOffset>
            </wp:positionV>
            <wp:extent cx="3238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5" w:name="page266"/>
    <w:bookmarkEnd w:id="265"/>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right="1279"/>
        <w:spacing w:after="0" w:line="260" w:lineRule="auto"/>
        <w:rPr>
          <w:sz w:val="20"/>
          <w:szCs w:val="20"/>
          <w:color w:val="auto"/>
        </w:rPr>
      </w:pPr>
      <w:r>
        <w:rPr>
          <w:rFonts w:ascii="Arial" w:cs="Arial" w:eastAsia="Arial" w:hAnsi="Arial"/>
          <w:sz w:val="14"/>
          <w:szCs w:val="14"/>
          <w:color w:val="auto"/>
        </w:rPr>
        <w:t>The weighted average grant date fair value of awards for options granted during the period ended March 31, 2021 was $4.52. As of March 31, 2021, there was $3,553 of total unrecognized compensation expense related to unvested stock options with time-based vesting terms, which is expected to be recognized over a weighted average period of 2.74 years.</w:t>
      </w:r>
    </w:p>
    <w:p>
      <w:pPr>
        <w:spacing w:after="0" w:line="95" w:lineRule="exact"/>
        <w:rPr>
          <w:sz w:val="20"/>
          <w:szCs w:val="20"/>
          <w:color w:val="auto"/>
        </w:rPr>
      </w:pPr>
    </w:p>
    <w:p>
      <w:pPr>
        <w:ind w:left="1240" w:right="1319"/>
        <w:spacing w:after="0" w:line="259" w:lineRule="auto"/>
        <w:rPr>
          <w:sz w:val="20"/>
          <w:szCs w:val="20"/>
          <w:color w:val="auto"/>
        </w:rPr>
      </w:pPr>
      <w:r>
        <w:rPr>
          <w:rFonts w:ascii="Arial" w:cs="Arial" w:eastAsia="Arial" w:hAnsi="Arial"/>
          <w:sz w:val="14"/>
          <w:szCs w:val="14"/>
          <w:color w:val="auto"/>
        </w:rPr>
        <w:t>During 2020, the Company issued 213,624 performance-based awards, respectively, that vest upon contingent events. The Company determined the performance condition for these awards is not probable of being achieved. As a result, the Company has not recorded any compensation cost related to the awards. As of March 31, 2021, there was $213 of total unrecognized compensation expense related to the performance-based awards.</w:t>
      </w:r>
    </w:p>
    <w:p>
      <w:pPr>
        <w:spacing w:after="0" w:line="106" w:lineRule="exact"/>
        <w:rPr>
          <w:sz w:val="20"/>
          <w:szCs w:val="20"/>
          <w:color w:val="auto"/>
        </w:rPr>
      </w:pPr>
    </w:p>
    <w:p>
      <w:pPr>
        <w:ind w:left="1240" w:right="1279"/>
        <w:spacing w:after="0" w:line="256" w:lineRule="auto"/>
        <w:rPr>
          <w:sz w:val="20"/>
          <w:szCs w:val="20"/>
          <w:color w:val="auto"/>
        </w:rPr>
      </w:pPr>
      <w:r>
        <w:rPr>
          <w:rFonts w:ascii="Arial" w:cs="Arial" w:eastAsia="Arial" w:hAnsi="Arial"/>
          <w:sz w:val="14"/>
          <w:szCs w:val="14"/>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114" w:lineRule="exact"/>
        <w:rPr>
          <w:sz w:val="20"/>
          <w:szCs w:val="20"/>
          <w:color w:val="auto"/>
        </w:rPr>
      </w:pPr>
    </w:p>
    <w:p>
      <w:pPr>
        <w:jc w:val="both"/>
        <w:ind w:left="1240" w:right="1459"/>
        <w:spacing w:after="0" w:line="258" w:lineRule="auto"/>
        <w:rPr>
          <w:sz w:val="20"/>
          <w:szCs w:val="20"/>
          <w:color w:val="auto"/>
        </w:rPr>
      </w:pPr>
      <w:r>
        <w:rPr>
          <w:rFonts w:ascii="Arial" w:cs="Arial" w:eastAsia="Arial" w:hAnsi="Arial"/>
          <w:sz w:val="14"/>
          <w:szCs w:val="14"/>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07" w:lineRule="exact"/>
        <w:rPr>
          <w:sz w:val="20"/>
          <w:szCs w:val="20"/>
          <w:color w:val="auto"/>
        </w:rPr>
      </w:pPr>
    </w:p>
    <w:p>
      <w:pPr>
        <w:ind w:left="1240" w:right="1399"/>
        <w:spacing w:after="0" w:line="286"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83185</wp:posOffset>
            </wp:positionV>
            <wp:extent cx="4134485" cy="133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134485" cy="13335"/>
                    </a:xfrm>
                    <a:prstGeom prst="rect">
                      <a:avLst/>
                    </a:prstGeom>
                    <a:noFill/>
                  </pic:spPr>
                </pic:pic>
              </a:graphicData>
            </a:graphic>
          </wp:anchor>
        </w:drawing>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 2021</w:t>
            </w:r>
          </w:p>
        </w:tc>
      </w:tr>
      <w:tr>
        <w:trPr>
          <w:trHeight w:val="171"/>
        </w:trPr>
        <w:tc>
          <w:tcPr>
            <w:tcW w:w="20" w:type="dxa"/>
            <w:vAlign w:val="bottom"/>
          </w:tcPr>
          <w:p>
            <w:pPr>
              <w:spacing w:after="0"/>
              <w:rPr>
                <w:sz w:val="14"/>
                <w:szCs w:val="14"/>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81"/>
        </w:trPr>
        <w:tc>
          <w:tcPr>
            <w:tcW w:w="5460" w:type="dxa"/>
            <w:vAlign w:val="bottom"/>
            <w:gridSpan w:val="2"/>
          </w:tcPr>
          <w:p>
            <w:pPr>
              <w:spacing w:after="0"/>
              <w:rPr>
                <w:sz w:val="20"/>
                <w:szCs w:val="20"/>
                <w:color w:val="auto"/>
              </w:rPr>
            </w:pPr>
            <w:r>
              <w:rPr>
                <w:rFonts w:ascii="Arial" w:cs="Arial" w:eastAsia="Arial" w:hAnsi="Arial"/>
                <w:sz w:val="14"/>
                <w:szCs w:val="14"/>
                <w:color w:val="auto"/>
              </w:rPr>
              <w:t>Expected option term (years)</w:t>
            </w:r>
          </w:p>
        </w:tc>
        <w:tc>
          <w:tcPr>
            <w:tcW w:w="106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Expected volatility</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69.81%</w:t>
            </w:r>
          </w:p>
        </w:tc>
      </w:tr>
      <w:tr>
        <w:trPr>
          <w:trHeight w:val="203"/>
        </w:trPr>
        <w:tc>
          <w:tcPr>
            <w:tcW w:w="5460" w:type="dxa"/>
            <w:vAlign w:val="bottom"/>
            <w:gridSpan w:val="2"/>
          </w:tcPr>
          <w:p>
            <w:pPr>
              <w:spacing w:after="0"/>
              <w:rPr>
                <w:sz w:val="20"/>
                <w:szCs w:val="20"/>
                <w:color w:val="auto"/>
              </w:rPr>
            </w:pPr>
            <w:r>
              <w:rPr>
                <w:rFonts w:ascii="Arial" w:cs="Arial" w:eastAsia="Arial" w:hAnsi="Arial"/>
                <w:sz w:val="14"/>
                <w:szCs w:val="14"/>
                <w:color w:val="auto"/>
              </w:rPr>
              <w:t>Risk-free interest rate</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1.07%</w:t>
            </w:r>
          </w:p>
        </w:tc>
      </w:tr>
      <w:tr>
        <w:trPr>
          <w:trHeight w:val="33"/>
        </w:trPr>
        <w:tc>
          <w:tcPr>
            <w:tcW w:w="2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-271145</wp:posOffset>
            </wp:positionV>
            <wp:extent cx="4134485" cy="1289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134485" cy="12890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-529590</wp:posOffset>
            </wp:positionV>
            <wp:extent cx="346138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61385" cy="6985"/>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12" w:lineRule="exact"/>
        <w:rPr>
          <w:sz w:val="20"/>
          <w:szCs w:val="20"/>
          <w:color w:val="auto"/>
        </w:rPr>
      </w:pPr>
    </w:p>
    <w:p>
      <w:pPr>
        <w:ind w:left="1240" w:right="1379"/>
        <w:spacing w:after="0" w:line="263" w:lineRule="auto"/>
        <w:rPr>
          <w:sz w:val="20"/>
          <w:szCs w:val="20"/>
          <w:color w:val="auto"/>
        </w:rPr>
      </w:pPr>
      <w:r>
        <w:rPr>
          <w:rFonts w:ascii="Arial" w:cs="Arial" w:eastAsia="Arial" w:hAnsi="Arial"/>
          <w:sz w:val="14"/>
          <w:szCs w:val="14"/>
          <w:color w:val="auto"/>
        </w:rPr>
        <w:t>The following table summarizes restricted stock activity as of March 31, 2021 and December 31, 2020:</w:t>
      </w:r>
    </w:p>
    <w:p>
      <w:pPr>
        <w:spacing w:after="0" w:line="318" w:lineRule="exact"/>
        <w:rPr>
          <w:sz w:val="20"/>
          <w:szCs w:val="20"/>
          <w:color w:val="auto"/>
        </w:rPr>
      </w:pPr>
    </w:p>
    <w:tbl>
      <w:tblPr>
        <w:tblLayout w:type="fixed"/>
        <w:tblInd w:w="12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8"/>
        </w:trPr>
        <w:tc>
          <w:tcPr>
            <w:tcW w:w="20" w:type="dxa"/>
            <w:vAlign w:val="bottom"/>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1"/>
        </w:trPr>
        <w:tc>
          <w:tcPr>
            <w:tcW w:w="20" w:type="dxa"/>
            <w:vAlign w:val="bottom"/>
          </w:tcPr>
          <w:p>
            <w:pPr>
              <w:spacing w:after="0"/>
              <w:rPr>
                <w:sz w:val="14"/>
                <w:szCs w:val="14"/>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December 31, 2020</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1,053,502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r>
      <w:tr>
        <w:trPr>
          <w:trHeight w:val="187"/>
        </w:trPr>
        <w:tc>
          <w:tcPr>
            <w:tcW w:w="4240" w:type="dxa"/>
            <w:vAlign w:val="bottom"/>
            <w:gridSpan w:val="2"/>
          </w:tcPr>
          <w:p>
            <w:pPr>
              <w:spacing w:after="0"/>
              <w:rPr>
                <w:sz w:val="20"/>
                <w:szCs w:val="20"/>
                <w:color w:val="auto"/>
              </w:rPr>
            </w:pPr>
            <w:r>
              <w:rPr>
                <w:rFonts w:ascii="Arial" w:cs="Arial" w:eastAsia="Arial" w:hAnsi="Arial"/>
                <w:sz w:val="14"/>
                <w:szCs w:val="14"/>
                <w:color w:val="auto"/>
              </w:rPr>
              <w:t>Vested</w:t>
            </w:r>
          </w:p>
        </w:tc>
        <w:tc>
          <w:tcPr>
            <w:tcW w:w="840" w:type="dxa"/>
            <w:vAlign w:val="bottom"/>
          </w:tcPr>
          <w:p>
            <w:pPr>
              <w:jc w:val="right"/>
              <w:spacing w:after="0"/>
              <w:rPr>
                <w:sz w:val="20"/>
                <w:szCs w:val="20"/>
                <w:color w:val="auto"/>
              </w:rPr>
            </w:pPr>
            <w:r>
              <w:rPr>
                <w:rFonts w:ascii="Arial" w:cs="Arial" w:eastAsia="Arial" w:hAnsi="Arial"/>
                <w:sz w:val="14"/>
                <w:szCs w:val="14"/>
                <w:color w:val="auto"/>
              </w:rPr>
              <w:t>(150,799)</w:t>
            </w:r>
          </w:p>
        </w:tc>
        <w:tc>
          <w:tcPr>
            <w:tcW w:w="1440" w:type="dxa"/>
            <w:vAlign w:val="bottom"/>
          </w:tcPr>
          <w:p>
            <w:pPr>
              <w:jc w:val="right"/>
              <w:spacing w:after="0"/>
              <w:rPr>
                <w:sz w:val="20"/>
                <w:szCs w:val="20"/>
                <w:color w:val="auto"/>
              </w:rPr>
            </w:pPr>
            <w:r>
              <w:rPr>
                <w:rFonts w:ascii="Arial" w:cs="Arial" w:eastAsia="Arial" w:hAnsi="Arial"/>
                <w:sz w:val="14"/>
                <w:szCs w:val="14"/>
                <w:color w:val="auto"/>
              </w:rPr>
              <w:t>0.25</w:t>
            </w:r>
          </w:p>
        </w:tc>
      </w:tr>
      <w:tr>
        <w:trPr>
          <w:trHeight w:val="180"/>
        </w:trPr>
        <w:tc>
          <w:tcPr>
            <w:tcW w:w="20" w:type="dxa"/>
            <w:vAlign w:val="bottom"/>
          </w:tcPr>
          <w:p>
            <w:pPr>
              <w:spacing w:after="0"/>
              <w:rPr>
                <w:sz w:val="15"/>
                <w:szCs w:val="15"/>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March 31, 2021</w:t>
            </w:r>
          </w:p>
        </w:tc>
        <w:tc>
          <w:tcPr>
            <w:tcW w:w="8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902,703</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$ 0.38</w:t>
            </w: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267906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7906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-393700</wp:posOffset>
            </wp:positionV>
            <wp:extent cx="267906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79065" cy="6985"/>
                    </a:xfrm>
                    <a:prstGeom prst="rect">
                      <a:avLst/>
                    </a:prstGeom>
                    <a:noFill/>
                  </pic:spPr>
                </pic:pic>
              </a:graphicData>
            </a:graphic>
          </wp:anchor>
        </w:drawing>
      </w:r>
    </w:p>
    <w:p>
      <w:pPr>
        <w:spacing w:after="0" w:line="54" w:lineRule="exact"/>
        <w:rPr>
          <w:sz w:val="20"/>
          <w:szCs w:val="20"/>
          <w:color w:val="auto"/>
        </w:rPr>
      </w:pPr>
    </w:p>
    <w:p>
      <w:pPr>
        <w:ind w:left="1240" w:right="1679"/>
        <w:spacing w:after="0" w:line="270" w:lineRule="auto"/>
        <w:rPr>
          <w:sz w:val="20"/>
          <w:szCs w:val="20"/>
          <w:color w:val="auto"/>
        </w:rPr>
      </w:pPr>
      <w:r>
        <w:rPr>
          <w:rFonts w:ascii="Arial" w:cs="Arial" w:eastAsia="Arial" w:hAnsi="Arial"/>
          <w:sz w:val="14"/>
          <w:szCs w:val="14"/>
          <w:color w:val="auto"/>
        </w:rPr>
        <w:t>Pursuant to certain stock purchase agreements containing vesting and other provisions, the Company has the right to repurchase unvested shares.</w:t>
      </w:r>
    </w:p>
    <w:p>
      <w:pPr>
        <w:spacing w:after="0" w:line="88" w:lineRule="exact"/>
        <w:rPr>
          <w:sz w:val="20"/>
          <w:szCs w:val="20"/>
          <w:color w:val="auto"/>
        </w:rPr>
      </w:pPr>
    </w:p>
    <w:p>
      <w:pPr>
        <w:jc w:val="both"/>
        <w:ind w:left="1240" w:right="1279"/>
        <w:spacing w:after="0" w:line="263" w:lineRule="auto"/>
        <w:rPr>
          <w:sz w:val="20"/>
          <w:szCs w:val="20"/>
          <w:color w:val="auto"/>
        </w:rPr>
      </w:pPr>
      <w:r>
        <w:rPr>
          <w:rFonts w:ascii="Arial" w:cs="Arial" w:eastAsia="Arial" w:hAnsi="Arial"/>
          <w:sz w:val="14"/>
          <w:szCs w:val="14"/>
          <w:color w:val="auto"/>
        </w:rPr>
        <w:t>As of March 31, 2021, there was $333 of total unrecognized compensation expense related to the unvested restricted stock with time-based vesting terms, which is expected to be recognized over a weighted average period of 1.71 years. All restricted stock vests over a four-year period.</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Early-Exercise of Unvested Equity Awards</w:t>
      </w:r>
    </w:p>
    <w:p>
      <w:pPr>
        <w:spacing w:after="0" w:line="101" w:lineRule="exact"/>
        <w:rPr>
          <w:sz w:val="20"/>
          <w:szCs w:val="20"/>
          <w:color w:val="auto"/>
        </w:rPr>
      </w:pPr>
    </w:p>
    <w:p>
      <w:pPr>
        <w:ind w:left="1240" w:right="1299"/>
        <w:spacing w:after="0" w:line="263" w:lineRule="auto"/>
        <w:rPr>
          <w:sz w:val="20"/>
          <w:szCs w:val="20"/>
          <w:color w:val="auto"/>
        </w:rPr>
      </w:pPr>
      <w:r>
        <w:rPr>
          <w:rFonts w:ascii="Arial" w:cs="Arial" w:eastAsia="Arial" w:hAnsi="Arial"/>
          <w:sz w:val="14"/>
          <w:szCs w:val="14"/>
          <w:color w:val="auto"/>
        </w:rPr>
        <w:t>As part of the merger, the Company assumed a deposit liability from Prior Century. Certain equity award holders early exercised unvested equity awards. The cash received upon early exercise of options of $1,136 was recorded as a deposit liability on the Company’s balance sheet as of March 31, 2021.</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6" w:name="page267"/>
    <w:bookmarkEnd w:id="266"/>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16—Related party transactions</w:t>
      </w:r>
    </w:p>
    <w:p>
      <w:pPr>
        <w:spacing w:after="0" w:line="156" w:lineRule="exact"/>
        <w:rPr>
          <w:sz w:val="20"/>
          <w:szCs w:val="20"/>
          <w:color w:val="auto"/>
        </w:rPr>
      </w:pPr>
    </w:p>
    <w:p>
      <w:pPr>
        <w:ind w:left="1240" w:right="1599"/>
        <w:spacing w:after="0" w:line="262"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3"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24"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Licenses</w:t>
      </w:r>
    </w:p>
    <w:p>
      <w:pPr>
        <w:spacing w:after="0" w:line="142"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7" w:lineRule="exact"/>
        <w:rPr>
          <w:sz w:val="20"/>
          <w:szCs w:val="20"/>
          <w:color w:val="auto"/>
        </w:rPr>
      </w:pPr>
    </w:p>
    <w:p>
      <w:pPr>
        <w:ind w:left="1240" w:right="1439"/>
        <w:spacing w:after="0" w:line="278"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4" w:lineRule="exact"/>
        <w:rPr>
          <w:sz w:val="20"/>
          <w:szCs w:val="20"/>
          <w:color w:val="auto"/>
        </w:rPr>
      </w:pPr>
    </w:p>
    <w:p>
      <w:pPr>
        <w:ind w:left="1240" w:right="1619"/>
        <w:spacing w:after="0" w:line="286"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FCDI Collaboration Agreement</w:t>
      </w:r>
    </w:p>
    <w:p>
      <w:pPr>
        <w:spacing w:after="0" w:line="142"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$30,400.</w:t>
      </w:r>
    </w:p>
    <w:p>
      <w:pPr>
        <w:spacing w:after="0" w:line="106" w:lineRule="exact"/>
        <w:rPr>
          <w:sz w:val="20"/>
          <w:szCs w:val="20"/>
          <w:color w:val="auto"/>
        </w:rPr>
      </w:pPr>
    </w:p>
    <w:p>
      <w:pPr>
        <w:ind w:left="1240" w:right="1359"/>
        <w:spacing w:after="0" w:line="275" w:lineRule="auto"/>
        <w:rPr>
          <w:sz w:val="20"/>
          <w:szCs w:val="20"/>
          <w:color w:val="auto"/>
        </w:rPr>
      </w:pPr>
      <w:r>
        <w:rPr>
          <w:rFonts w:ascii="Arial" w:cs="Arial" w:eastAsia="Arial" w:hAnsi="Arial"/>
          <w:sz w:val="14"/>
          <w:szCs w:val="14"/>
          <w:color w:val="auto"/>
        </w:rPr>
        <w:t>During the three months ended March 31, 2021, the Company made payments of $3,223 and incurred research and development expenses of $2,781 and legal fees of $21 recorded within general and administrative expenses in its consolidated statements of operations and comprehensive loss. As of March 31, 2021, there was $1,423 in accounts payable related to this agreement on the consolidated balance sheets.</w:t>
      </w:r>
    </w:p>
    <w:p>
      <w:pPr>
        <w:spacing w:after="0" w:line="95" w:lineRule="exact"/>
        <w:rPr>
          <w:sz w:val="20"/>
          <w:szCs w:val="20"/>
          <w:color w:val="auto"/>
        </w:rPr>
      </w:pPr>
    </w:p>
    <w:p>
      <w:pPr>
        <w:ind w:left="1240" w:right="1639"/>
        <w:spacing w:after="0" w:line="281" w:lineRule="auto"/>
        <w:rPr>
          <w:sz w:val="20"/>
          <w:szCs w:val="20"/>
          <w:color w:val="auto"/>
        </w:rPr>
      </w:pPr>
      <w:r>
        <w:rPr>
          <w:rFonts w:ascii="Arial" w:cs="Arial" w:eastAsia="Arial" w:hAnsi="Arial"/>
          <w:sz w:val="14"/>
          <w:szCs w:val="14"/>
          <w:color w:val="auto"/>
        </w:rPr>
        <w:t>During the three months ended March 31, 2020, the Company made payments of $35 and incurred research and development expenses of $2,877 and legal fees of $3 recorded within general and administrative expenses in its consolidated statements of operations and comprehensive loss.</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4" w:lineRule="exact"/>
        <w:rPr>
          <w:sz w:val="20"/>
          <w:szCs w:val="20"/>
          <w:color w:val="auto"/>
        </w:rPr>
      </w:pPr>
    </w:p>
    <w:p>
      <w:pPr>
        <w:ind w:left="1240" w:right="1279"/>
        <w:spacing w:after="0" w:line="274" w:lineRule="auto"/>
        <w:rPr>
          <w:sz w:val="20"/>
          <w:szCs w:val="20"/>
          <w:color w:val="auto"/>
        </w:rPr>
      </w:pPr>
      <w:r>
        <w:rPr>
          <w:rFonts w:ascii="Arial" w:cs="Arial" w:eastAsia="Arial" w:hAnsi="Arial"/>
          <w:sz w:val="14"/>
          <w:szCs w:val="14"/>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$38 and $13 related to these consulting arrangements that were included in research and development expenses in the consolidated statements of operations and comprehensive loss for the three months ended March 31, 2021 and March 31, 2020, respectively.</w:t>
      </w: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Note 17—Subsequent Events</w:t>
      </w:r>
    </w:p>
    <w:p>
      <w:pPr>
        <w:spacing w:after="0" w:line="140" w:lineRule="exact"/>
        <w:rPr>
          <w:sz w:val="20"/>
          <w:szCs w:val="20"/>
          <w:color w:val="auto"/>
        </w:rPr>
      </w:pPr>
    </w:p>
    <w:p>
      <w:pPr>
        <w:jc w:val="both"/>
        <w:ind w:left="1240" w:right="1819"/>
        <w:spacing w:after="0" w:line="278" w:lineRule="auto"/>
        <w:rPr>
          <w:sz w:val="20"/>
          <w:szCs w:val="20"/>
          <w:color w:val="auto"/>
        </w:rPr>
      </w:pPr>
      <w:r>
        <w:rPr>
          <w:rFonts w:ascii="Arial" w:cs="Arial" w:eastAsia="Arial" w:hAnsi="Arial"/>
          <w:sz w:val="14"/>
          <w:szCs w:val="14"/>
          <w:color w:val="auto"/>
        </w:rPr>
        <w:t>The Company has evaluated subsequent events as of March 31, 2021—the date of these consolidated financial statements—through May 5, 2021, which represents the date these consolidated financial statements were issued.</w:t>
      </w:r>
    </w:p>
    <w:p>
      <w:pPr>
        <w:spacing w:after="0" w:line="94" w:lineRule="exact"/>
        <w:rPr>
          <w:sz w:val="20"/>
          <w:szCs w:val="20"/>
          <w:color w:val="auto"/>
        </w:rPr>
      </w:pPr>
    </w:p>
    <w:p>
      <w:pPr>
        <w:ind w:left="1240" w:right="1279"/>
        <w:spacing w:after="0" w:line="281" w:lineRule="auto"/>
        <w:rPr>
          <w:sz w:val="20"/>
          <w:szCs w:val="20"/>
          <w:color w:val="auto"/>
        </w:rPr>
      </w:pPr>
      <w:r>
        <w:rPr>
          <w:rFonts w:ascii="Arial" w:cs="Arial" w:eastAsia="Arial" w:hAnsi="Arial"/>
          <w:sz w:val="14"/>
          <w:szCs w:val="14"/>
          <w:color w:val="auto"/>
        </w:rPr>
        <w:t>In connection with the reissuance of these consolidated financial statements to reflect the 2.5161-for-1 reverse stock split as described in Note 2, the Company has evaluated subsequent events through June 14, 2021, the date these consolidated financial statements were available to be reissued.</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7" w:name="page268"/>
    <w:bookmarkEnd w:id="267"/>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Arial" w:cs="Arial" w:eastAsia="Arial" w:hAnsi="Arial"/>
          <w:sz w:val="14"/>
          <w:szCs w:val="14"/>
          <w:i w:val="1"/>
          <w:iCs w:val="1"/>
          <w:color w:val="auto"/>
        </w:rPr>
        <w:t>Stock Plan</w:t>
      </w:r>
    </w:p>
    <w:p>
      <w:pPr>
        <w:spacing w:after="0" w:line="131" w:lineRule="exact"/>
        <w:rPr>
          <w:sz w:val="20"/>
          <w:szCs w:val="20"/>
          <w:color w:val="auto"/>
        </w:rPr>
      </w:pPr>
    </w:p>
    <w:p>
      <w:pPr>
        <w:jc w:val="both"/>
        <w:ind w:left="1240" w:right="1819"/>
        <w:spacing w:after="0" w:line="286" w:lineRule="auto"/>
        <w:rPr>
          <w:sz w:val="20"/>
          <w:szCs w:val="20"/>
          <w:color w:val="auto"/>
        </w:rPr>
      </w:pPr>
      <w:r>
        <w:rPr>
          <w:rFonts w:ascii="Arial" w:cs="Arial" w:eastAsia="Arial" w:hAnsi="Arial"/>
          <w:sz w:val="14"/>
          <w:szCs w:val="14"/>
          <w:color w:val="auto"/>
        </w:rPr>
        <w:t>The Board of Directors of the Company, pursuant to a meeting held in April 2021, granted 2,036,524 options to new and existing employees at an exercise price of $7.27 per share.</w:t>
      </w:r>
    </w:p>
    <w:p>
      <w:pPr>
        <w:spacing w:after="0" w:line="98" w:lineRule="exact"/>
        <w:rPr>
          <w:sz w:val="20"/>
          <w:szCs w:val="20"/>
          <w:color w:val="auto"/>
        </w:rPr>
      </w:pPr>
    </w:p>
    <w:p>
      <w:pPr>
        <w:ind w:left="1240" w:right="1839"/>
        <w:spacing w:after="0" w:line="286" w:lineRule="auto"/>
        <w:rPr>
          <w:sz w:val="20"/>
          <w:szCs w:val="20"/>
          <w:color w:val="auto"/>
        </w:rPr>
      </w:pPr>
      <w:r>
        <w:rPr>
          <w:rFonts w:ascii="Arial" w:cs="Arial" w:eastAsia="Arial" w:hAnsi="Arial"/>
          <w:sz w:val="14"/>
          <w:szCs w:val="14"/>
          <w:color w:val="auto"/>
        </w:rPr>
        <w:t>The Board of Directors of the Company, pursuant to a meeting held in May 2021, granted 205,402 options to new and existing employees at an exercise price of $7.27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191770</wp:posOffset>
            </wp:positionV>
            <wp:extent cx="5417820"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8" w:name="page269"/>
    <w:bookmarkEnd w:id="268"/>
    <w:p>
      <w:pPr>
        <w:ind w:left="260"/>
        <w:spacing w:after="0"/>
        <w:rPr>
          <w:rFonts w:ascii="Arial" w:cs="Arial" w:eastAsia="Arial" w:hAnsi="Arial"/>
          <w:sz w:val="11"/>
          <w:szCs w:val="11"/>
          <w:color w:val="003366"/>
        </w:rPr>
      </w:pPr>
      <w:hyperlink w:anchor="page244">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243205</wp:posOffset>
            </wp:positionV>
            <wp:extent cx="4134485" cy="203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134485" cy="2032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297815</wp:posOffset>
            </wp:positionV>
            <wp:extent cx="4134485"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1344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10,550,000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420370</wp:posOffset>
            </wp:positionV>
            <wp:extent cx="2332355" cy="6254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323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June 17, 2021</w:t>
      </w:r>
    </w:p>
    <w:p>
      <w:pPr>
        <w:spacing w:after="0" w:line="200" w:lineRule="exact"/>
        <w:rPr>
          <w:sz w:val="20"/>
          <w:szCs w:val="20"/>
          <w:color w:val="auto"/>
        </w:rPr>
      </w:pPr>
    </w:p>
    <w:p>
      <w:pPr>
        <w:spacing w:after="0" w:line="306" w:lineRule="exact"/>
        <w:rPr>
          <w:sz w:val="20"/>
          <w:szCs w:val="20"/>
          <w:color w:val="auto"/>
        </w:rPr>
      </w:pPr>
    </w:p>
    <w:p>
      <w:pPr>
        <w:ind w:left="1240" w:right="1299"/>
        <w:spacing w:after="0" w:line="265" w:lineRule="auto"/>
        <w:rPr>
          <w:sz w:val="20"/>
          <w:szCs w:val="20"/>
          <w:color w:val="auto"/>
        </w:rPr>
      </w:pPr>
      <w:r>
        <w:rPr>
          <w:rFonts w:ascii="Arial" w:cs="Arial" w:eastAsia="Arial" w:hAnsi="Arial"/>
          <w:sz w:val="14"/>
          <w:szCs w:val="14"/>
          <w:b w:val="1"/>
          <w:bCs w:val="1"/>
          <w:color w:val="auto"/>
        </w:rPr>
        <w:t>Through and including July 12, 2021 (the 25th day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80010</wp:posOffset>
            </wp:positionV>
            <wp:extent cx="413448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34485" cy="69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120650</wp:posOffset>
            </wp:positionV>
            <wp:extent cx="4134485" cy="20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134485" cy="2032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325755</wp:posOffset>
            </wp:positionV>
            <wp:extent cx="5417820"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417820" cy="38735"/>
                    </a:xfrm>
                    <a:prstGeom prst="rect">
                      <a:avLst/>
                    </a:prstGeom>
                    <a:noFill/>
                  </pic:spPr>
                </pic:pic>
              </a:graphicData>
            </a:graphic>
          </wp:anchor>
        </w:drawing>
      </w:r>
    </w:p>
    <w:sectPr>
      <w:pgSz w:w="11900" w:h="16838" w:orient="portrait"/>
      <w:cols w:equalWidth="0" w:num="1">
        <w:col w:w="9019"/>
      </w:cols>
      <w:pgMar w:left="1440" w:top="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1)"/>
      <w:numFmt w:val="decimal"/>
      <w:start w:val="1"/>
    </w:lvl>
  </w:abstractNum>
  <w:abstractNum w:abstractNumId="54">
    <w:nsid w:val="1716703B"/>
    <w:multiLevelType w:val="hybridMultilevel"/>
    <w:lvl w:ilvl="0">
      <w:lvlJc w:val="left"/>
      <w:lvlText w:val="(%1)"/>
      <w:numFmt w:val="decimal"/>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1)"/>
      <w:numFmt w:val="decimal"/>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decimal"/>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1"/>
      <w:numFmt w:val="decimal"/>
      <w:start w:val="50"/>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1)"/>
      <w:numFmt w:val="decimal"/>
      <w:start w:val="1"/>
    </w:lvl>
  </w:abstractNum>
  <w:abstractNum w:abstractNumId="87">
    <w:nsid w:val="71C91298"/>
    <w:multiLevelType w:val="hybridMultilevel"/>
    <w:lvl w:ilvl="0">
      <w:lvlJc w:val="left"/>
      <w:lvlText w:val="(%1)"/>
      <w:numFmt w:val="lowerRoman"/>
      <w:start w:val="2"/>
    </w:lvl>
  </w:abstractNum>
  <w:abstractNum w:abstractNumId="88">
    <w:nsid w:val="9DAF632"/>
    <w:multiLevelType w:val="hybridMultilevel"/>
    <w:lvl w:ilvl="0">
      <w:lvlJc w:val="left"/>
      <w:lvlText w:val="(%1)"/>
      <w:numFmt w:val="lowerRoman"/>
      <w:start w:val="2"/>
    </w:lvl>
  </w:abstractNum>
  <w:abstractNum w:abstractNumId="89">
    <w:nsid w:val="53299938"/>
    <w:multiLevelType w:val="hybridMultilevel"/>
    <w:lvl w:ilvl="0">
      <w:lvlJc w:val="left"/>
      <w:lvlText w:val="(%1)"/>
      <w:numFmt w:val="lowerRoman"/>
      <w:start w:val="1"/>
    </w:lvl>
  </w:abstractNum>
  <w:abstractNum w:abstractNumId="90">
    <w:nsid w:val="1FBFE8E0"/>
    <w:multiLevelType w:val="hybridMultilevel"/>
    <w:lvl w:ilvl="0">
      <w:lvlJc w:val="left"/>
      <w:lvlText w:val="(%1)"/>
      <w:numFmt w:val="decimal"/>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1)"/>
      <w:numFmt w:val="lowerRoman"/>
      <w:start w:val="2"/>
    </w:lvl>
  </w:abstractNum>
  <w:abstractNum w:abstractNumId="93">
    <w:nsid w:val="59ADEA3D"/>
    <w:multiLevelType w:val="hybridMultilevel"/>
    <w:lvl w:ilvl="0">
      <w:lvlJc w:val="left"/>
      <w:lvlText w:val="(%1)"/>
      <w:numFmt w:val="lowerRoman"/>
      <w:start w:val="2"/>
    </w:lvl>
  </w:abstractNum>
  <w:abstractNum w:abstractNumId="94">
    <w:nsid w:val="288F1A34"/>
    <w:multiLevelType w:val="hybridMultilevel"/>
    <w:lvl w:ilvl="0">
      <w:lvlJc w:val="left"/>
      <w:lvlText w:val="(%1)"/>
      <w:numFmt w:val="lowerRoman"/>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decimal"/>
      <w:start w:val="5"/>
    </w:lvl>
  </w:abstractNum>
  <w:abstractNum w:abstractNumId="98">
    <w:nsid w:val="51088277"/>
    <w:multiLevelType w:val="hybridMultilevel"/>
    <w:lvl w:ilvl="0">
      <w:lvlJc w:val="left"/>
      <w:lvlText w:val="(%1)"/>
      <w:numFmt w:val="decimal"/>
      <w:start w:val="3"/>
    </w:lvl>
  </w:abstractNum>
  <w:abstractNum w:abstractNumId="99">
    <w:nsid w:val="1CA0C5FA"/>
    <w:multiLevelType w:val="hybridMultilevel"/>
    <w:lvl w:ilvl="0">
      <w:lvlJc w:val="left"/>
      <w:lvlText w:val="(%1)"/>
      <w:numFmt w:val="decimal"/>
      <w:start w:val="2"/>
    </w:lvl>
  </w:abstractNum>
  <w:abstractNum w:abstractNumId="100">
    <w:nsid w:val="53584BCB"/>
    <w:multiLevelType w:val="hybridMultilevel"/>
    <w:lvl w:ilvl="0">
      <w:lvlJc w:val="left"/>
      <w:lvlText w:val="(%1)"/>
      <w:numFmt w:val="lowerRoman"/>
      <w:start w:val="5"/>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
      <w:numFmt w:val="bullet"/>
      <w:start w:val="1"/>
    </w:lvl>
  </w:abstractNum>
  <w:abstractNum w:abstractNumId="105">
    <w:nsid w:val="5C10FE21"/>
    <w:multiLevelType w:val="hybridMultilevel"/>
    <w:lvl w:ilvl="0">
      <w:lvlJc w:val="left"/>
      <w:lvlText w:val="(%1)"/>
      <w:numFmt w:val="lowerRoman"/>
      <w:start w:val="4"/>
    </w:lvl>
  </w:abstractNum>
  <w:abstractNum w:abstractNumId="106">
    <w:nsid w:val="E7FFA2B"/>
    <w:multiLevelType w:val="hybridMultilevel"/>
    <w:lvl w:ilvl="0">
      <w:lvlJc w:val="left"/>
      <w:lvlText w:val="(%1)"/>
      <w:numFmt w:val="lowerRoman"/>
      <w:start w:val="1"/>
    </w:lvl>
  </w:abstractNum>
  <w:abstractNum w:abstractNumId="107">
    <w:nsid w:val="3C5991AA"/>
    <w:multiLevelType w:val="hybridMultilevel"/>
    <w:lvl w:ilvl="0">
      <w:lvlJc w:val="left"/>
      <w:lvlText w:val="(%1)"/>
      <w:numFmt w:val="lowerRoman"/>
      <w:start w:val="11"/>
    </w:lvl>
  </w:abstractNum>
  <w:abstractNum w:abstractNumId="108">
    <w:nsid w:val="4BD8591A"/>
    <w:multiLevelType w:val="hybridMultilevel"/>
    <w:lvl w:ilvl="0">
      <w:lvlJc w:val="left"/>
      <w:lvlText w:val="(%1)"/>
      <w:numFmt w:val="lowerLetter"/>
      <w:start w:val="4"/>
    </w:lvl>
  </w:abstractNum>
  <w:abstractNum w:abstractNumId="109">
    <w:nsid w:val="78DF6A55"/>
    <w:multiLevelType w:val="hybridMultilevel"/>
    <w:lvl w:ilvl="0">
      <w:lvlJc w:val="left"/>
      <w:lvlText w:val="•"/>
      <w:numFmt w:val="bullet"/>
      <w:start w:val="1"/>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lowerLetter"/>
      <w:start w:val="4"/>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4"/>
    </w:lvl>
    <w:lvl w:ilvl="1">
      <w:lvlJc w:val="left"/>
      <w:lvlText w:val="(%2)"/>
      <w:numFmt w:val="lowerRoman"/>
      <w:start w:val="1"/>
    </w:lvl>
  </w:abstractNum>
  <w:abstractNum w:abstractNumId="115">
    <w:nsid w:val="2C27173B"/>
    <w:multiLevelType w:val="hybridMultilevel"/>
    <w:lvl w:ilvl="0">
      <w:lvlJc w:val="left"/>
      <w:lvlText w:val="(%1)"/>
      <w:numFmt w:val="lowerRoman"/>
      <w:start w:val="1"/>
    </w:lvl>
  </w:abstractNum>
  <w:abstractNum w:abstractNumId="116">
    <w:nsid w:val="4C9B0904"/>
    <w:multiLevelType w:val="hybridMultilevel"/>
    <w:lvl w:ilvl="0">
      <w:lvlJc w:val="left"/>
      <w:lvlText w:val="(%1)"/>
      <w:numFmt w:val="lowerLetter"/>
      <w:start w:val="9"/>
    </w:lvl>
  </w:abstractNum>
  <w:abstractNum w:abstractNumId="117">
    <w:nsid w:val="6AA7B75C"/>
    <w:multiLevelType w:val="hybridMultilevel"/>
    <w:lvl w:ilvl="0">
      <w:lvlJc w:val="left"/>
      <w:lvlText w:val="%1"/>
      <w:numFmt w:val="decimal"/>
      <w:start w:val="783"/>
    </w:lvl>
  </w:abstractNum>
  <w:abstractNum w:abstractNumId="118">
    <w:nsid w:val="1DF029D3"/>
    <w:multiLevelType w:val="hybridMultilevel"/>
    <w:lvl w:ilvl="0">
      <w:lvlJc w:val="left"/>
      <w:lvlText w:val="(%1)"/>
      <w:numFmt w:val="decimal"/>
      <w:start w:val="3"/>
    </w:lvl>
  </w:abstractNum>
  <w:abstractNum w:abstractNumId="119">
    <w:nsid w:val="5675FF36"/>
    <w:multiLevelType w:val="hybridMultilevel"/>
    <w:lvl w:ilvl="0">
      <w:lvlJc w:val="left"/>
      <w:lvlText w:val="(%1)"/>
      <w:numFmt w:val="lowerRoman"/>
      <w:start w:val="4"/>
    </w:lvl>
  </w:abstractNum>
  <w:abstractNum w:abstractNumId="120">
    <w:nsid w:val="3DD1509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2021-06-21T05:05:51Z</dcterms:created>
  <dcterms:modified xsi:type="dcterms:W3CDTF">2021-06-21T05:05:51Z</dcterms:modified>
</cp:coreProperties>
</file>