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0" w:right="339" w:bottom="1440" w:gutter="0" w:footer="0" w:header="0"/>
          <w:type w:val="continuous"/>
        </w:sectPr>
      </w:pPr>
    </w:p>
    <w:p>
      <w:pPr>
        <w:spacing w:after="0" w:line="1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08"/>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08"/>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08"/>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08"/>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6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IPSC</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June 9, 2022, Century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2022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As of April 18, 2022, the record date for the Annual Meeting, there were 58,831,828 outstanding shares of the Company’s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21, 2022.</w:t>
      </w:r>
    </w:p>
    <w:p>
      <w:pPr>
        <w:spacing w:after="0" w:line="181" w:lineRule="exact"/>
        <w:rPr>
          <w:sz w:val="20"/>
          <w:szCs w:val="20"/>
          <w:color w:val="auto"/>
        </w:rPr>
      </w:pPr>
    </w:p>
    <w:p>
      <w:pPr>
        <w:ind w:right="320" w:firstLine="8"/>
        <w:spacing w:after="0" w:line="26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 Election of Class I Directors</w:t>
      </w:r>
      <w:r>
        <w:rPr>
          <w:rFonts w:ascii="Times New Roman" w:cs="Times New Roman" w:eastAsia="Times New Roman" w:hAnsi="Times New Roman"/>
          <w:sz w:val="18"/>
          <w:szCs w:val="18"/>
          <w:color w:val="auto"/>
        </w:rPr>
        <w:t>. Each of Eli Casdin, Osvaldo Flores, Ph.D. and Carlo Rizzuto, Ph.D. were elected to the Board to serve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 directors until the 2025 Annual Meeting of Stockholders and until their successors, if any, are elected or appointed, or their earlier death, resignation, retirement, disqualification or removal,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Casdin</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51,117,169</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3,296,278</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1,450,563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Osvaldo Flores, Ph.D.</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53,227,032</w:t>
            </w:r>
          </w:p>
        </w:tc>
        <w:tc>
          <w:tcPr>
            <w:tcW w:w="260" w:type="dxa"/>
            <w:vAlign w:val="bottom"/>
          </w:tcPr>
          <w:p>
            <w:pPr>
              <w:spacing w:after="0"/>
              <w:rPr>
                <w:sz w:val="18"/>
                <w:szCs w:val="18"/>
                <w:color w:val="auto"/>
              </w:rPr>
            </w:pPr>
          </w:p>
        </w:tc>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1,186,415</w:t>
            </w:r>
          </w:p>
        </w:tc>
        <w:tc>
          <w:tcPr>
            <w:tcW w:w="200" w:type="dxa"/>
            <w:vAlign w:val="bottom"/>
          </w:tcPr>
          <w:p>
            <w:pPr>
              <w:spacing w:after="0"/>
              <w:rPr>
                <w:sz w:val="18"/>
                <w:szCs w:val="18"/>
                <w:color w:val="auto"/>
              </w:rPr>
            </w:pPr>
          </w:p>
        </w:tc>
        <w:tc>
          <w:tcPr>
            <w:tcW w:w="1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1,450,563</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 Rizzuto, Ph.D.</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53,208,059</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1,205,388</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1,450,563</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560" w:firstLine="8"/>
        <w:spacing w:after="0" w:line="28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 Ratification of Independent Registered Public Accountants</w:t>
      </w:r>
      <w:r>
        <w:rPr>
          <w:rFonts w:ascii="Times New Roman" w:cs="Times New Roman" w:eastAsia="Times New Roman" w:hAnsi="Times New Roman"/>
          <w:sz w:val="18"/>
          <w:szCs w:val="18"/>
          <w:color w:val="auto"/>
        </w:rPr>
        <w:t>. The appointment of Ernst &amp; Young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2022 fiscal year was ratified,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55,523,112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340,683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56"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2022-06-10T15:22:42Z</dcterms:created>
  <dcterms:modified xsi:type="dcterms:W3CDTF">2022-06-10T15:22:42Z</dcterms:modified>
</cp:coreProperties>
</file>