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122026_090652.xml.htm"/>
      <w:bookmarkStart w:id="1" w:name="ksform406122026_09065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Quimi Daphne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CENTURY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 N 38TH STREET, 11TH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Century Therapeutics, Inc.</w:t>
              </w:r>
            </w:hyperlink>
            <w:r>
              <w:rPr/>
              <w:t xml:space="preserve"> [ </w:t>
            </w:r>
            <w:r>
              <w:rPr>
                <w:rFonts w:ascii="Times;serif" w:hAnsi="Times;serif"/>
                <w:color w:val="0000FF"/>
                <w:sz w:val="24"/>
                <w:shd w:fill="FFFFFF" w:val="clear"/>
              </w:rPr>
              <w:t>IPSC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2.24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74,000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06/11/2036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74,000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vests on the earlier of (a) June 11, 2027, or (b) the next annual meeting of stockholders, in each case subject to the Reporting Person's continued service through the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Carr,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43031" TargetMode="External"/><Relationship Id="rId5" Type="http://schemas.openxmlformats.org/officeDocument/2006/relationships/hyperlink" Target="http://www.sec.gov/cgi-bin/browse-edgar?action=getcompany&amp;CIK=000185011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605</Words>
  <Characters>3282</Characters>
  <CharactersWithSpaces>3825</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