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United States Securities and Exchange Commission on March 12, 2026</w:t>
      </w:r>
    </w:p>
    <w:p>
      <w:pPr>
        <w:spacing w:after="0" w:line="2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53340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5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FORM S-8</w:t>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CENTURY THERAPEUTICS,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456" w:right="339" w:bottom="1440" w:gutter="0" w:footer="0" w:header="0"/>
        </w:sectPr>
      </w:pPr>
    </w:p>
    <w:p>
      <w:pPr>
        <w:spacing w:after="0" w:line="19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1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organization)</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b w:val="1"/>
          <w:bCs w:val="1"/>
          <w:color w:val="auto"/>
        </w:rPr>
        <w:t>84-2040295</w:t>
      </w:r>
    </w:p>
    <w:p>
      <w:pPr>
        <w:spacing w:after="0" w:line="32"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51" w:lineRule="exact"/>
        <w:rPr>
          <w:sz w:val="24"/>
          <w:szCs w:val="24"/>
          <w:color w:val="auto"/>
        </w:rPr>
      </w:pPr>
    </w:p>
    <w:p>
      <w:pPr>
        <w:sectPr>
          <w:pgSz w:w="11900" w:h="16838" w:orient="portrait"/>
          <w:cols w:equalWidth="0" w:num="2">
            <w:col w:w="6460" w:space="720"/>
            <w:col w:w="4060"/>
          </w:cols>
          <w:pgMar w:left="320" w:top="456"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25 North 38th Street, 11</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Philadelphia, Pennsylvania 19104</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(267) 817-5790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including zip code, of principal executive offices)</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CENTURY THERAPEUTICS, INC. 2021 EQUITY INCENTIVE PLAN</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(Full title of the plans)</w:t>
      </w:r>
    </w:p>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Brent Pfeiffenberger, Pharm.D.</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Century Therapeutics, Inc.</w:t>
      </w:r>
    </w:p>
    <w:p>
      <w:pPr>
        <w:jc w:val="center"/>
        <w:ind w:right="40"/>
        <w:spacing w:after="0" w:line="193" w:lineRule="auto"/>
        <w:rPr>
          <w:sz w:val="20"/>
          <w:szCs w:val="20"/>
          <w:color w:val="auto"/>
        </w:rPr>
      </w:pPr>
      <w:r>
        <w:rPr>
          <w:rFonts w:ascii="Times New Roman" w:cs="Times New Roman" w:eastAsia="Times New Roman" w:hAnsi="Times New Roman"/>
          <w:sz w:val="17"/>
          <w:szCs w:val="17"/>
          <w:b w:val="1"/>
          <w:bCs w:val="1"/>
          <w:color w:val="auto"/>
        </w:rPr>
        <w:t>25 North 38th Street, 11</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Philadelphia, Pennsylvania 19104</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(267) 817-5790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(Name, address and telephone number, including area code, of agent for service)</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Copies to:</w:t>
      </w:r>
    </w:p>
    <w:p>
      <w:pPr>
        <w:spacing w:after="0" w:line="3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7"/>
          <w:szCs w:val="17"/>
          <w:b w:val="1"/>
          <w:bCs w:val="1"/>
          <w:color w:val="auto"/>
        </w:rPr>
        <w:t>Rachael M. Bushey</w:t>
      </w:r>
    </w:p>
    <w:p>
      <w:pPr>
        <w:spacing w:after="0" w:line="1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Jennifer Porter</w:t>
      </w:r>
    </w:p>
    <w:p>
      <w:pPr>
        <w:spacing w:after="0" w:line="1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Goodwin Procter LLP</w:t>
      </w:r>
    </w:p>
    <w:p>
      <w:pPr>
        <w:spacing w:after="0" w:line="1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3025 John F Kennedy Blvd</w:t>
      </w:r>
    </w:p>
    <w:p>
      <w:pPr>
        <w:spacing w:after="0" w:line="1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Philadelphia, PA 19104</w:t>
      </w:r>
    </w:p>
    <w:p>
      <w:pPr>
        <w:spacing w:after="0" w:line="12"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(445) 207-7805</w:t>
      </w:r>
    </w:p>
    <w:p>
      <w:pPr>
        <w:spacing w:after="0" w:line="200"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w:t>
      </w:r>
    </w:p>
    <w:p>
      <w:pPr>
        <w:spacing w:after="0" w:line="123" w:lineRule="exact"/>
        <w:rPr>
          <w:sz w:val="24"/>
          <w:szCs w:val="24"/>
          <w:color w:val="auto"/>
        </w:rPr>
      </w:pPr>
    </w:p>
    <w:p>
      <w:pPr>
        <w:spacing w:after="0" w:line="196" w:lineRule="exact"/>
        <w:tabs>
          <w:tab w:leader="none" w:pos="2240" w:val="left"/>
          <w:tab w:leader="none" w:pos="4500" w:val="left"/>
          <w:tab w:leader="none" w:pos="6740" w:val="left"/>
          <w:tab w:leader="none" w:pos="8980" w:val="left"/>
        </w:tabs>
        <w:rPr>
          <w:sz w:val="20"/>
          <w:szCs w:val="20"/>
          <w:color w:val="auto"/>
        </w:rPr>
      </w:pPr>
      <w:r>
        <w:rPr>
          <w:rFonts w:ascii="Times New Roman" w:cs="Times New Roman" w:eastAsia="Times New Roman" w:hAnsi="Times New Roman"/>
          <w:sz w:val="17"/>
          <w:szCs w:val="17"/>
          <w:color w:val="auto"/>
        </w:rPr>
        <w:t>Large 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Non-accelerated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Smaller reporting company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Emerging growth company </w:t>
      </w:r>
      <w:r>
        <w:rPr>
          <w:rFonts w:ascii="MS PGothic" w:cs="MS PGothic" w:eastAsia="MS PGothic" w:hAnsi="MS PGothic"/>
          <w:sz w:val="16"/>
          <w:szCs w:val="16"/>
          <w:color w:val="auto"/>
        </w:rPr>
        <w:t>☒</w:t>
      </w:r>
    </w:p>
    <w:p>
      <w:pPr>
        <w:spacing w:after="0" w:line="274" w:lineRule="exact"/>
        <w:rPr>
          <w:sz w:val="24"/>
          <w:szCs w:val="24"/>
          <w:color w:val="auto"/>
        </w:rPr>
      </w:pPr>
    </w:p>
    <w:p>
      <w:pPr>
        <w:jc w:val="both"/>
        <w:spacing w:after="0" w:line="274" w:lineRule="exact"/>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71380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541655</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This Registration Statement is being filed for the purpose of (i) registering an additional 4,375,954 shares of common stock, $0.0001 par value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of Century Therapeutics, Inc. (the “</w:t>
      </w:r>
      <w:r>
        <w:rPr>
          <w:rFonts w:ascii="Times New Roman" w:cs="Times New Roman" w:eastAsia="Times New Roman" w:hAnsi="Times New Roman"/>
          <w:sz w:val="17"/>
          <w:szCs w:val="17"/>
          <w:u w:val="single" w:color="auto"/>
          <w:color w:val="auto"/>
        </w:rPr>
        <w:t>Registrant</w:t>
      </w:r>
      <w:r>
        <w:rPr>
          <w:rFonts w:ascii="Times New Roman" w:cs="Times New Roman" w:eastAsia="Times New Roman" w:hAnsi="Times New Roman"/>
          <w:sz w:val="17"/>
          <w:szCs w:val="17"/>
          <w:color w:val="auto"/>
        </w:rPr>
        <w:t>”) that were added to the shares authorized for issuance under the Century Therapeutics, Inc. 2021 Equity Incentive Plan (the “</w:t>
      </w:r>
      <w:r>
        <w:rPr>
          <w:rFonts w:ascii="Times New Roman" w:cs="Times New Roman" w:eastAsia="Times New Roman" w:hAnsi="Times New Roman"/>
          <w:sz w:val="17"/>
          <w:szCs w:val="17"/>
          <w:u w:val="single" w:color="auto"/>
          <w:color w:val="auto"/>
        </w:rPr>
        <w:t>2021 Plan</w:t>
      </w:r>
      <w:r>
        <w:rPr>
          <w:rFonts w:ascii="Times New Roman" w:cs="Times New Roman" w:eastAsia="Times New Roman" w:hAnsi="Times New Roman"/>
          <w:sz w:val="17"/>
          <w:szCs w:val="17"/>
          <w:color w:val="auto"/>
        </w:rPr>
        <w:t>”) for which a Registration Statement on Form S-8 relating to the same employee benefit plan is effective.</w:t>
      </w:r>
    </w:p>
    <w:p>
      <w:pPr>
        <w:spacing w:after="0" w:line="162" w:lineRule="exact"/>
        <w:rPr>
          <w:sz w:val="20"/>
          <w:szCs w:val="20"/>
          <w:color w:val="auto"/>
        </w:rPr>
      </w:pPr>
    </w:p>
    <w:p>
      <w:pPr>
        <w:jc w:val="both"/>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 previously filed Registration Statements on Form S-8 (File Nos. 333-257644, 333-263666, 333-270649, 333-277930 and 333-285936) with the Securities and Exchange Commission (the “Commission”) to register 18,662,816 shares of Common Stock that were authorized for issuance under the 2021 Plan. Upon the effectiveness of this Registration Statement, an aggregate of 23,038,770 shares of Common Stock will be registered for issuance from time to time under the 2021 Plan. Pursuant to General Instruction E to Form S-8, the contents of the Registration Statement on Form S-8 (File Nos. 333-257644, 333-263666 and 333-270649 and 333-277930) filed with the Commission on </w:t>
      </w:r>
      <w:hyperlink r:id="rId13">
        <w:r>
          <w:rPr>
            <w:rFonts w:ascii="Times New Roman" w:cs="Times New Roman" w:eastAsia="Times New Roman" w:hAnsi="Times New Roman"/>
            <w:sz w:val="17"/>
            <w:szCs w:val="17"/>
            <w:u w:val="single" w:color="auto"/>
            <w:color w:val="0000EE"/>
          </w:rPr>
          <w:t>July 2, 2021</w:t>
        </w:r>
      </w:hyperlink>
      <w:r>
        <w:rPr>
          <w:rFonts w:ascii="Times New Roman" w:cs="Times New Roman" w:eastAsia="Times New Roman" w:hAnsi="Times New Roman"/>
          <w:sz w:val="17"/>
          <w:szCs w:val="17"/>
          <w:color w:val="auto"/>
        </w:rPr>
        <w:t xml:space="preserve">, </w:t>
      </w:r>
      <w:hyperlink r:id="rId14">
        <w:r>
          <w:rPr>
            <w:rFonts w:ascii="Times New Roman" w:cs="Times New Roman" w:eastAsia="Times New Roman" w:hAnsi="Times New Roman"/>
            <w:sz w:val="17"/>
            <w:szCs w:val="17"/>
            <w:u w:val="single" w:color="auto"/>
            <w:color w:val="0000EE"/>
          </w:rPr>
          <w:t>March 17, 2022</w:t>
        </w:r>
      </w:hyperlink>
      <w:r>
        <w:rPr>
          <w:rFonts w:ascii="Times New Roman" w:cs="Times New Roman" w:eastAsia="Times New Roman" w:hAnsi="Times New Roman"/>
          <w:sz w:val="17"/>
          <w:szCs w:val="17"/>
          <w:color w:val="auto"/>
        </w:rPr>
        <w:t xml:space="preserve">, </w:t>
      </w:r>
      <w:hyperlink r:id="rId15">
        <w:r>
          <w:rPr>
            <w:rFonts w:ascii="Times New Roman" w:cs="Times New Roman" w:eastAsia="Times New Roman" w:hAnsi="Times New Roman"/>
            <w:sz w:val="17"/>
            <w:szCs w:val="17"/>
            <w:u w:val="single" w:color="auto"/>
            <w:color w:val="0000EE"/>
          </w:rPr>
          <w:t>March 17, 2023</w:t>
        </w:r>
      </w:hyperlink>
      <w:r>
        <w:rPr>
          <w:rFonts w:ascii="Times New Roman" w:cs="Times New Roman" w:eastAsia="Times New Roman" w:hAnsi="Times New Roman"/>
          <w:sz w:val="17"/>
          <w:szCs w:val="17"/>
          <w:color w:val="auto"/>
        </w:rPr>
        <w:t xml:space="preserve">, </w:t>
      </w:r>
      <w:hyperlink r:id="rId16">
        <w:r>
          <w:rPr>
            <w:rFonts w:ascii="Times New Roman" w:cs="Times New Roman" w:eastAsia="Times New Roman" w:hAnsi="Times New Roman"/>
            <w:sz w:val="17"/>
            <w:szCs w:val="17"/>
            <w:u w:val="single" w:color="auto"/>
            <w:color w:val="0000EE"/>
          </w:rPr>
          <w:t>March 14,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17">
        <w:r>
          <w:rPr>
            <w:rFonts w:ascii="Times New Roman" w:cs="Times New Roman" w:eastAsia="Times New Roman" w:hAnsi="Times New Roman"/>
            <w:sz w:val="17"/>
            <w:szCs w:val="17"/>
            <w:u w:val="single" w:color="auto"/>
            <w:color w:val="0000EE"/>
          </w:rPr>
          <w:t>March 20, 2025</w:t>
        </w:r>
      </w:hyperlink>
      <w:r>
        <w:rPr>
          <w:rFonts w:ascii="Times New Roman" w:cs="Times New Roman" w:eastAsia="Times New Roman" w:hAnsi="Times New Roman"/>
          <w:sz w:val="17"/>
          <w:szCs w:val="17"/>
          <w:color w:val="auto"/>
        </w:rPr>
        <w:t>, respectively, are incorporated herein by reference except to the extent supplemented, amended or superseded by the information set forth herein. Only those items of Form S-8 containing new information not contained in the earlier registration statement are presented herein.</w:t>
      </w:r>
    </w:p>
    <w:p>
      <w:pPr>
        <w:spacing w:after="0" w:line="17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2"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198" w:lineRule="exact"/>
        <w:rPr>
          <w:rFonts w:ascii="Times New Roman" w:cs="Times New Roman" w:eastAsia="Times New Roman" w:hAnsi="Times New Roman"/>
          <w:sz w:val="17"/>
          <w:szCs w:val="17"/>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Plan Information.</w:t>
      </w:r>
    </w:p>
    <w:p>
      <w:pPr>
        <w:spacing w:after="0" w:line="221" w:lineRule="exact"/>
        <w:rPr>
          <w:rFonts w:ascii="Times New Roman" w:cs="Times New Roman" w:eastAsia="Times New Roman" w:hAnsi="Times New Roman"/>
          <w:sz w:val="17"/>
          <w:szCs w:val="17"/>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information specified in Part I of Form S-8 is omitted from this filing in accordance with the provisions of Rule 428 under the Securities Act and the introductory note to Part I of the Form S-8 instructions. The documents containing the information specified in Part I will be delivered to the participants in the 2021 Plan as required by Rule 428(b)(1) under the Securities Act.</w:t>
      </w:r>
    </w:p>
    <w:p>
      <w:pPr>
        <w:spacing w:after="0" w:line="160"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198" w:lineRule="exact"/>
        <w:rPr>
          <w:rFonts w:ascii="Times New Roman" w:cs="Times New Roman" w:eastAsia="Times New Roman" w:hAnsi="Times New Roman"/>
          <w:sz w:val="17"/>
          <w:szCs w:val="17"/>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1" w:lineRule="exact"/>
        <w:rPr>
          <w:rFonts w:ascii="Times New Roman" w:cs="Times New Roman" w:eastAsia="Times New Roman" w:hAnsi="Times New Roman"/>
          <w:sz w:val="17"/>
          <w:szCs w:val="17"/>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following documents of the Registrant, filed or to be filed with the Commission, are incorporated by reference in this Registration Statement as of their respective dates:</w:t>
      </w:r>
    </w:p>
    <w:p>
      <w:pPr>
        <w:spacing w:after="0" w:line="148"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hyperlink r:id="rId18">
        <w:r>
          <w:rPr>
            <w:rFonts w:ascii="Times New Roman" w:cs="Times New Roman" w:eastAsia="Times New Roman" w:hAnsi="Times New Roman"/>
            <w:sz w:val="17"/>
            <w:szCs w:val="17"/>
            <w:color w:val="auto"/>
          </w:rPr>
          <w:t xml:space="preserve">(a)            The Registrant’s </w:t>
        </w:r>
        <w:r>
          <w:rPr>
            <w:rFonts w:ascii="Times New Roman" w:cs="Times New Roman" w:eastAsia="Times New Roman" w:hAnsi="Times New Roman"/>
            <w:sz w:val="17"/>
            <w:szCs w:val="17"/>
            <w:u w:val="single" w:color="auto"/>
            <w:color w:val="0000EE"/>
          </w:rPr>
          <w:t>Annual Report on Form 10-K for the fiscal year ended December 31, 2025, filed with the Commission on March 12,</w:t>
        </w:r>
      </w:hyperlink>
    </w:p>
    <w:p>
      <w:pPr>
        <w:spacing w:after="0" w:line="30"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00"/>
          </w:rPr>
          <w:t>;</w:t>
        </w:r>
      </w:hyperlink>
    </w:p>
    <w:p>
      <w:pPr>
        <w:spacing w:after="0" w:line="200"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            the Registrant’s Current Report on Form 8-K filed with the Commission on </w:t>
      </w:r>
      <w:hyperlink r:id="rId19">
        <w:r>
          <w:rPr>
            <w:rFonts w:ascii="Times New Roman" w:cs="Times New Roman" w:eastAsia="Times New Roman" w:hAnsi="Times New Roman"/>
            <w:sz w:val="17"/>
            <w:szCs w:val="17"/>
            <w:u w:val="single" w:color="auto"/>
            <w:color w:val="0000EE"/>
          </w:rPr>
          <w:t>January 8, 2026</w:t>
        </w:r>
      </w:hyperlink>
      <w:r>
        <w:rPr>
          <w:rFonts w:ascii="Times New Roman" w:cs="Times New Roman" w:eastAsia="Times New Roman" w:hAnsi="Times New Roman"/>
          <w:sz w:val="17"/>
          <w:szCs w:val="17"/>
          <w:color w:val="auto"/>
        </w:rPr>
        <w:t xml:space="preserve">, </w:t>
      </w:r>
      <w:hyperlink r:id="rId20">
        <w:r>
          <w:rPr>
            <w:rFonts w:ascii="Times New Roman" w:cs="Times New Roman" w:eastAsia="Times New Roman" w:hAnsi="Times New Roman"/>
            <w:sz w:val="17"/>
            <w:szCs w:val="17"/>
            <w:u w:val="single" w:color="auto"/>
            <w:color w:val="0000EE"/>
          </w:rPr>
          <w:t>January 12, 2026</w:t>
        </w:r>
      </w:hyperlink>
      <w:r>
        <w:rPr>
          <w:rFonts w:ascii="Times New Roman" w:cs="Times New Roman" w:eastAsia="Times New Roman" w:hAnsi="Times New Roman"/>
          <w:sz w:val="17"/>
          <w:szCs w:val="17"/>
          <w:color w:val="auto"/>
        </w:rPr>
        <w:t xml:space="preserve">, and </w:t>
      </w:r>
      <w:hyperlink r:id="rId21">
        <w:r>
          <w:rPr>
            <w:rFonts w:ascii="Times New Roman" w:cs="Times New Roman" w:eastAsia="Times New Roman" w:hAnsi="Times New Roman"/>
            <w:sz w:val="17"/>
            <w:szCs w:val="17"/>
            <w:u w:val="single" w:color="auto"/>
            <w:color w:val="0000EE"/>
          </w:rPr>
          <w:t>January 23, 2026</w:t>
        </w:r>
      </w:hyperlink>
      <w:r>
        <w:rPr>
          <w:rFonts w:ascii="Times New Roman" w:cs="Times New Roman" w:eastAsia="Times New Roman" w:hAnsi="Times New Roman"/>
          <w:sz w:val="17"/>
          <w:szCs w:val="17"/>
          <w:color w:val="auto"/>
        </w:rPr>
        <w:t>;</w:t>
      </w:r>
    </w:p>
    <w:p>
      <w:pPr>
        <w:spacing w:after="0" w:line="219" w:lineRule="exact"/>
        <w:rPr>
          <w:rFonts w:ascii="Times New Roman" w:cs="Times New Roman" w:eastAsia="Times New Roman" w:hAnsi="Times New Roman"/>
          <w:sz w:val="17"/>
          <w:szCs w:val="17"/>
          <w:color w:val="auto"/>
        </w:rPr>
      </w:pPr>
    </w:p>
    <w:p>
      <w:pPr>
        <w:jc w:val="both"/>
        <w:ind w:left="620" w:firstLine="622"/>
        <w:spacing w:after="0" w:line="291" w:lineRule="auto"/>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auto"/>
          </w:rPr>
          <w:t xml:space="preserve">(c)            the description of the Common Stock contained in the Company’s </w:t>
        </w:r>
        <w:r>
          <w:rPr>
            <w:rFonts w:ascii="Times New Roman" w:cs="Times New Roman" w:eastAsia="Times New Roman" w:hAnsi="Times New Roman"/>
            <w:sz w:val="17"/>
            <w:szCs w:val="17"/>
            <w:u w:val="single" w:color="auto"/>
            <w:color w:val="0000EE"/>
          </w:rPr>
          <w:t>Registration Statement on Form 8-A filed with the Commission on</w:t>
        </w:r>
      </w:hyperlink>
      <w:r>
        <w:rPr>
          <w:rFonts w:ascii="Times New Roman" w:cs="Times New Roman" w:eastAsia="Times New Roman" w:hAnsi="Times New Roman"/>
          <w:sz w:val="17"/>
          <w:szCs w:val="17"/>
          <w:color w:val="auto"/>
        </w:rPr>
        <w:t xml:space="preserve"> </w:t>
      </w:r>
      <w:hyperlink r:id="rId22">
        <w:r>
          <w:rPr>
            <w:rFonts w:ascii="Times New Roman" w:cs="Times New Roman" w:eastAsia="Times New Roman" w:hAnsi="Times New Roman"/>
            <w:sz w:val="17"/>
            <w:szCs w:val="17"/>
            <w:u w:val="single" w:color="auto"/>
            <w:color w:val="0000EE"/>
          </w:rPr>
          <w:t>June 14, 2021 (File No. 001-40498)</w:t>
        </w:r>
        <w:r>
          <w:rPr>
            <w:rFonts w:ascii="Times New Roman" w:cs="Times New Roman" w:eastAsia="Times New Roman" w:hAnsi="Times New Roman"/>
            <w:sz w:val="17"/>
            <w:szCs w:val="17"/>
            <w:color w:val="000000"/>
          </w:rPr>
          <w:t>, together with any amendment thereto filed with the Commission for the purpose of updating such description; and</w:t>
        </w:r>
      </w:hyperlink>
    </w:p>
    <w:p>
      <w:pPr>
        <w:spacing w:after="0" w:line="148" w:lineRule="exact"/>
        <w:rPr>
          <w:sz w:val="20"/>
          <w:szCs w:val="20"/>
          <w:color w:val="auto"/>
        </w:rPr>
      </w:pPr>
    </w:p>
    <w:p>
      <w:pPr>
        <w:jc w:val="both"/>
        <w:ind w:left="620" w:firstLine="622"/>
        <w:spacing w:after="0" w:line="263" w:lineRule="auto"/>
        <w:rPr>
          <w:sz w:val="20"/>
          <w:szCs w:val="20"/>
          <w:color w:val="auto"/>
        </w:rPr>
      </w:pPr>
      <w:r>
        <w:rPr>
          <w:rFonts w:ascii="Times New Roman" w:cs="Times New Roman" w:eastAsia="Times New Roman" w:hAnsi="Times New Roman"/>
          <w:sz w:val="17"/>
          <w:szCs w:val="17"/>
          <w:color w:val="auto"/>
        </w:rPr>
        <w:t>(d)            All documents subsequently filed by the Registrant pursuant to Sections 13(a), 13(c), 14 and 15(d) of the Securities Exchange Act of 1934, as amended (the “Exchange Act”),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provided, however, that documents, reports and definitive proxy or information statements, or portions thereof, which are furnished and not filed in accordance with the rules of the Commission shall not be deemed incorporated by reference into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384175</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7"/>
          <w:szCs w:val="17"/>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382270</wp:posOffset>
            </wp:positionV>
            <wp:extent cx="713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 w:name="page4"/>
    <w:bookmarkEnd w:id="3"/>
    <w:p>
      <w:pPr>
        <w:spacing w:after="0"/>
        <w:tabs>
          <w:tab w:leader="none" w:pos="590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documents are filed as exhibits to this Registration Statement: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8"/>
        </w:trPr>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240" w:type="dxa"/>
            <w:vAlign w:val="bottom"/>
          </w:tcPr>
          <w:p>
            <w:pPr>
              <w:spacing w:after="0"/>
              <w:rPr>
                <w:sz w:val="19"/>
                <w:szCs w:val="19"/>
                <w:color w:val="auto"/>
              </w:rPr>
            </w:pPr>
          </w:p>
        </w:tc>
        <w:tc>
          <w:tcPr>
            <w:tcW w:w="7640" w:type="dxa"/>
            <w:vAlign w:val="bottom"/>
            <w:gridSpan w:val="11"/>
          </w:tcPr>
          <w:p>
            <w:pPr>
              <w:ind w:left="1880"/>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r>
      <w:tr>
        <w:trPr>
          <w:trHeight w:val="337"/>
        </w:trPr>
        <w:tc>
          <w:tcPr>
            <w:tcW w:w="300" w:type="dxa"/>
            <w:vAlign w:val="bottom"/>
            <w:gridSpan w:val="2"/>
          </w:tcPr>
          <w:p>
            <w:pPr>
              <w:spacing w:after="0"/>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80" w:type="dxa"/>
            <w:vAlign w:val="bottom"/>
            <w:gridSpan w:val="12"/>
          </w:tcPr>
          <w:p>
            <w:pPr>
              <w:spacing w:after="0"/>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Second Amended and Restated Certificate of Incorporation of Century Therapeutics, Inc. (incorporated herein by reference to Exhibit 3.1 to</w:t>
              </w:r>
            </w:hyperlink>
          </w:p>
        </w:tc>
      </w:tr>
      <w:tr>
        <w:trPr>
          <w:trHeight w:val="187"/>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80" w:type="dxa"/>
            <w:vAlign w:val="bottom"/>
            <w:tcBorders>
              <w:top w:val="single" w:sz="8" w:color="0000EE"/>
            </w:tcBorders>
            <w:gridSpan w:val="12"/>
          </w:tcPr>
          <w:p>
            <w:pPr>
              <w:spacing w:after="0" w:line="187"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the Company’s Current Report on Form 8-K (File No. 001-40498) filed on June 25, 2021)</w:t>
              </w:r>
            </w:hyperlink>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76"/>
        </w:trPr>
        <w:tc>
          <w:tcPr>
            <w:tcW w:w="300" w:type="dxa"/>
            <w:vAlign w:val="bottom"/>
            <w:gridSpan w:val="2"/>
          </w:tcPr>
          <w:p>
            <w:pPr>
              <w:spacing w:after="0"/>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80" w:type="dxa"/>
            <w:vAlign w:val="bottom"/>
            <w:gridSpan w:val="12"/>
          </w:tcPr>
          <w:p>
            <w:pPr>
              <w:spacing w:after="0"/>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Second Amended and Restated Bylaws of Century Therapeutics, Inc. (incorporated herein by reference to Exhibit 3.2 to the Company’s</w:t>
              </w:r>
            </w:hyperlink>
          </w:p>
        </w:tc>
      </w:tr>
      <w:tr>
        <w:trPr>
          <w:trHeight w:val="167"/>
        </w:trPr>
        <w:tc>
          <w:tcPr>
            <w:tcW w:w="2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80" w:type="dxa"/>
            <w:vAlign w:val="bottom"/>
            <w:tcBorders>
              <w:top w:val="single" w:sz="8" w:color="0000EE"/>
            </w:tcBorders>
            <w:gridSpan w:val="12"/>
          </w:tcPr>
          <w:p>
            <w:pPr>
              <w:spacing w:after="0" w:line="167" w:lineRule="exact"/>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Annual Report on Form 10-K (File No. 001-40498) filed on March 16, 2023)</w:t>
              </w:r>
            </w:hyperlink>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56"/>
        </w:trPr>
        <w:tc>
          <w:tcPr>
            <w:tcW w:w="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Opinion of Goodwin Procter LLP as to the legality of the securities being registered</w:t>
            </w:r>
          </w:p>
        </w:tc>
        <w:tc>
          <w:tcPr>
            <w:tcW w:w="4080" w:type="dxa"/>
            <w:vAlign w:val="bottom"/>
            <w:gridSpan w:val="6"/>
          </w:tcPr>
          <w:p>
            <w:pPr>
              <w:spacing w:after="0"/>
              <w:rPr>
                <w:sz w:val="24"/>
                <w:szCs w:val="24"/>
                <w:color w:val="auto"/>
              </w:rPr>
            </w:pPr>
          </w:p>
        </w:tc>
      </w:tr>
      <w:tr>
        <w:trPr>
          <w:trHeight w:val="356"/>
        </w:trPr>
        <w:tc>
          <w:tcPr>
            <w:tcW w:w="4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1*</w:t>
            </w:r>
          </w:p>
        </w:tc>
        <w:tc>
          <w:tcPr>
            <w:tcW w:w="96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Consent of Ernst &amp; Young LLP, independent registered public accounting firm for Century Therapeutics, Inc.</w:t>
            </w:r>
          </w:p>
        </w:tc>
      </w:tr>
      <w:tr>
        <w:trPr>
          <w:trHeight w:val="356"/>
        </w:trPr>
        <w:tc>
          <w:tcPr>
            <w:tcW w:w="4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2*</w:t>
            </w:r>
          </w:p>
        </w:tc>
        <w:tc>
          <w:tcPr>
            <w:tcW w:w="960" w:type="dxa"/>
            <w:vAlign w:val="bottom"/>
          </w:tcPr>
          <w:p>
            <w:pPr>
              <w:spacing w:after="0"/>
              <w:rPr>
                <w:sz w:val="24"/>
                <w:szCs w:val="24"/>
                <w:color w:val="auto"/>
              </w:rPr>
            </w:pPr>
          </w:p>
        </w:tc>
        <w:tc>
          <w:tcPr>
            <w:tcW w:w="75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Consent of Goodwin Procter LLP (contained in Exhibit 5.1)</w:t>
            </w:r>
          </w:p>
        </w:tc>
        <w:tc>
          <w:tcPr>
            <w:tcW w:w="2320" w:type="dxa"/>
            <w:vAlign w:val="bottom"/>
            <w:gridSpan w:val="2"/>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56"/>
        </w:trPr>
        <w:tc>
          <w:tcPr>
            <w:tcW w:w="4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3"/>
              </w:rPr>
              <w:t>24.</w:t>
            </w:r>
            <w:r>
              <w:rPr>
                <w:rFonts w:ascii="Times New Roman" w:cs="Times New Roman" w:eastAsia="Times New Roman" w:hAnsi="Times New Roman"/>
                <w:sz w:val="17"/>
                <w:szCs w:val="17"/>
                <w:u w:val="single" w:color="auto"/>
                <w:color w:val="0000EE"/>
                <w:w w:val="93"/>
              </w:rPr>
              <w:t>1*</w:t>
            </w:r>
          </w:p>
        </w:tc>
        <w:tc>
          <w:tcPr>
            <w:tcW w:w="96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Powers of Attorney (included on the signature page of the Registration Statement)</w:t>
            </w: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56"/>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27">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0000EE"/>
                </w:rPr>
                <w:t>Century Therapeutics, Inc. 2021 Equity Incentive Plan (incorporated herein by reference to Exhibit 10.8 to the Company’s Registration</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80" w:type="dxa"/>
            <w:vAlign w:val="bottom"/>
            <w:gridSpan w:val="12"/>
          </w:tcPr>
          <w:p>
            <w:pPr>
              <w:spacing w:after="0" w:line="187" w:lineRule="exact"/>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0000EE"/>
                </w:rPr>
                <w:t>Statement on Form S-1/A (File No. 333-256648) filed on June 14, 2021)</w:t>
              </w:r>
            </w:hyperlink>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76"/>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28">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2</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Form of Stock Option Grant Notice and Award Agreement, under the 2021 Plan (incorporated herein by reference to Exhibit 10.13 to the</w:t>
              </w:r>
            </w:hyperlink>
          </w:p>
        </w:tc>
      </w:tr>
      <w:tr>
        <w:trPr>
          <w:trHeight w:val="167"/>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80" w:type="dxa"/>
            <w:vAlign w:val="bottom"/>
            <w:gridSpan w:val="12"/>
          </w:tcPr>
          <w:p>
            <w:pPr>
              <w:spacing w:after="0" w:line="167" w:lineRule="exact"/>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Company’s Registration Statement on Form S-1 (File No. 333-256648) filed on May 28, 2021)</w:t>
              </w:r>
            </w:hyperlink>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432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56"/>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29">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3</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Form of Restricted Stock Unit Grant Notice and Award Agreement, under the 2021 Plan (incorporated herein by reference to Exhibit 10.14 to</w:t>
              </w:r>
            </w:hyperlink>
          </w:p>
        </w:tc>
      </w:tr>
      <w:tr>
        <w:trPr>
          <w:trHeight w:val="187"/>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80" w:type="dxa"/>
            <w:vAlign w:val="bottom"/>
            <w:gridSpan w:val="12"/>
          </w:tcPr>
          <w:p>
            <w:pPr>
              <w:spacing w:after="0" w:line="187" w:lineRule="exact"/>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the Company’s Registration Statement on Form S-1 (File No. 333-256648) filed on May 28, 2021)</w:t>
              </w:r>
            </w:hyperlink>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4580" w:type="dxa"/>
            <w:vAlign w:val="bottom"/>
            <w:gridSpan w:val="8"/>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76"/>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30">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4</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Form of Performance-Based Restricted Stock Unit Grant Notice and Award Agreement, under the 2021 Plan (incorporated by reference to</w:t>
              </w:r>
            </w:hyperlink>
          </w:p>
        </w:tc>
      </w:tr>
      <w:tr>
        <w:trPr>
          <w:trHeight w:val="167"/>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80" w:type="dxa"/>
            <w:vAlign w:val="bottom"/>
            <w:gridSpan w:val="12"/>
          </w:tcPr>
          <w:p>
            <w:pPr>
              <w:spacing w:after="0" w:line="167" w:lineRule="exact"/>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Exhibit 10.3 to the Company’s Quarterly Report on Form 10-Q (File No. 001-40498) filed on November 5, 2024)</w:t>
              </w:r>
            </w:hyperlink>
          </w:p>
        </w:tc>
      </w:tr>
      <w:tr>
        <w:trPr>
          <w:trHeight w:val="356"/>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107*</w:t>
            </w:r>
          </w:p>
        </w:tc>
        <w:tc>
          <w:tcPr>
            <w:tcW w:w="960" w:type="dxa"/>
            <w:vAlign w:val="bottom"/>
          </w:tcPr>
          <w:p>
            <w:pPr>
              <w:spacing w:after="0"/>
              <w:rPr>
                <w:sz w:val="24"/>
                <w:szCs w:val="24"/>
                <w:color w:val="auto"/>
              </w:rPr>
            </w:pPr>
          </w:p>
        </w:tc>
        <w:tc>
          <w:tcPr>
            <w:tcW w:w="22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rPr>
              <w:t>Calculation of Registration Fees</w:t>
            </w:r>
          </w:p>
        </w:tc>
        <w:tc>
          <w:tcPr>
            <w:tcW w:w="5600" w:type="dxa"/>
            <w:vAlign w:val="bottom"/>
            <w:tcBorders>
              <w:top w:val="single" w:sz="8" w:color="0000EE"/>
            </w:tcBorders>
            <w:gridSpan w:val="10"/>
          </w:tcPr>
          <w:p>
            <w:pPr>
              <w:spacing w:after="0"/>
              <w:rPr>
                <w:sz w:val="24"/>
                <w:szCs w:val="24"/>
                <w:color w:val="auto"/>
              </w:rPr>
            </w:pPr>
          </w:p>
        </w:tc>
        <w:tc>
          <w:tcPr>
            <w:tcW w:w="2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164465</wp:posOffset>
            </wp:positionV>
            <wp:extent cx="1784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290195</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this 12th day of March,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CENTURY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Brent Pfeiffenberger,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19050</wp:posOffset>
            </wp:positionV>
            <wp:extent cx="33470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Brent Pfeiffenberger, Pharm.D.</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9"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i w:val="1"/>
          <w:iCs w:val="1"/>
          <w:color w:val="auto"/>
        </w:rPr>
        <w:t>KNOW ALL PERSONS BY THESE PRESENTS</w:t>
      </w:r>
      <w:r>
        <w:rPr>
          <w:rFonts w:ascii="Times New Roman" w:cs="Times New Roman" w:eastAsia="Times New Roman" w:hAnsi="Times New Roman"/>
          <w:sz w:val="17"/>
          <w:szCs w:val="17"/>
          <w:color w:val="auto"/>
        </w:rPr>
        <w:t>, that each person whose signature appears below hereby constitutes and appoints Brent Pfeiffenberger,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Pharm.D. and Douglas Carr and each of them, as his or her true and lawful attorney-in-fact and agent with full power of substitution, for him or her in any and all capacities, to sign any and all amendments to this Registration Statement (including post-effective amendments thereto) under the Securities Act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72"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368300</wp:posOffset>
            </wp:positionV>
            <wp:extent cx="7138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 w:name="page6"/>
    <w:bookmarkEnd w:id="5"/>
    <w:p>
      <w:pPr>
        <w:ind w:left="8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28575</wp:posOffset>
            </wp:positionV>
            <wp:extent cx="2713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 Brent Pfeiffenberger,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19050</wp:posOffset>
            </wp:positionV>
            <wp:extent cx="2713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Brent Pfeiffenberger, Pharm.D.</w:t>
      </w: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 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19050</wp:posOffset>
            </wp:positionV>
            <wp:extent cx="2713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Douglas Carr</w:t>
      </w:r>
    </w:p>
    <w:p>
      <w:pPr>
        <w:spacing w:after="0" w:line="200" w:lineRule="exact"/>
        <w:rPr>
          <w:sz w:val="20"/>
          <w:szCs w:val="20"/>
          <w:color w:val="auto"/>
        </w:rPr>
      </w:pPr>
    </w:p>
    <w:p>
      <w:pPr>
        <w:spacing w:after="0" w:line="20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 Kimberly Blackwell,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19050</wp:posOffset>
            </wp:positionV>
            <wp:extent cx="2713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Kimberly Blackwell, M.D.</w:t>
      </w: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 Martin Murphy,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19050</wp:posOffset>
            </wp:positionV>
            <wp:extent cx="2713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Martin Murphy, Ph.D.</w:t>
      </w: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 Alessandro Riva,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19050</wp:posOffset>
            </wp:positionV>
            <wp:extent cx="2713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Alessandro Riva, M.D.</w:t>
      </w: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 Han Lee,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19050</wp:posOffset>
            </wp:positionV>
            <wp:extent cx="2713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Han Lee, Ph.D. MBA</w:t>
      </w: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 Timothy Walbert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19050</wp:posOffset>
            </wp:positionV>
            <wp:extent cx="2713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Timothy Walbert</w:t>
      </w: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 Daphne Quimi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19050</wp:posOffset>
            </wp:positionV>
            <wp:extent cx="2713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Daphne Quimi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395"/>
        </w:trPr>
        <w:tc>
          <w:tcPr>
            <w:tcW w:w="4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President, Chief Executive Officer and Chairman of the</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12, 2026</w:t>
            </w:r>
          </w:p>
        </w:tc>
        <w:tc>
          <w:tcPr>
            <w:tcW w:w="0" w:type="dxa"/>
            <w:vAlign w:val="bottom"/>
          </w:tcPr>
          <w:p>
            <w:pPr>
              <w:spacing w:after="0"/>
              <w:rPr>
                <w:sz w:val="1"/>
                <w:szCs w:val="1"/>
                <w:color w:val="auto"/>
              </w:rPr>
            </w:pPr>
          </w:p>
        </w:tc>
      </w:tr>
      <w:tr>
        <w:trPr>
          <w:trHeight w:val="207"/>
        </w:trPr>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Board</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Senior Vice President, Finance and Operations</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12, 2026</w:t>
            </w:r>
          </w:p>
        </w:tc>
        <w:tc>
          <w:tcPr>
            <w:tcW w:w="0" w:type="dxa"/>
            <w:vAlign w:val="bottom"/>
          </w:tcPr>
          <w:p>
            <w:pPr>
              <w:spacing w:after="0"/>
              <w:rPr>
                <w:sz w:val="1"/>
                <w:szCs w:val="1"/>
                <w:color w:val="auto"/>
              </w:rPr>
            </w:pPr>
          </w:p>
        </w:tc>
      </w:tr>
      <w:tr>
        <w:trPr>
          <w:trHeight w:val="207"/>
        </w:trPr>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(Principal Financial Officer and Principal Accounting</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Officer)</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12, 2026</w:t>
            </w:r>
          </w:p>
        </w:tc>
        <w:tc>
          <w:tcPr>
            <w:tcW w:w="0" w:type="dxa"/>
            <w:vAlign w:val="bottom"/>
          </w:tcPr>
          <w:p>
            <w:pPr>
              <w:spacing w:after="0"/>
              <w:rPr>
                <w:sz w:val="1"/>
                <w:szCs w:val="1"/>
                <w:color w:val="auto"/>
              </w:rPr>
            </w:pPr>
          </w:p>
        </w:tc>
      </w:tr>
      <w:tr>
        <w:trPr>
          <w:trHeight w:val="207"/>
        </w:trPr>
        <w:tc>
          <w:tcPr>
            <w:tcW w:w="44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4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12, 2026</w:t>
            </w:r>
          </w:p>
        </w:tc>
        <w:tc>
          <w:tcPr>
            <w:tcW w:w="0" w:type="dxa"/>
            <w:vAlign w:val="bottom"/>
          </w:tcPr>
          <w:p>
            <w:pPr>
              <w:spacing w:after="0"/>
              <w:rPr>
                <w:sz w:val="1"/>
                <w:szCs w:val="1"/>
                <w:color w:val="auto"/>
              </w:rPr>
            </w:pPr>
          </w:p>
        </w:tc>
      </w:tr>
      <w:tr>
        <w:trPr>
          <w:trHeight w:val="207"/>
        </w:trPr>
        <w:tc>
          <w:tcPr>
            <w:tcW w:w="44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4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12, 2026</w:t>
            </w:r>
          </w:p>
        </w:tc>
        <w:tc>
          <w:tcPr>
            <w:tcW w:w="0" w:type="dxa"/>
            <w:vAlign w:val="bottom"/>
          </w:tcPr>
          <w:p>
            <w:pPr>
              <w:spacing w:after="0"/>
              <w:rPr>
                <w:sz w:val="1"/>
                <w:szCs w:val="1"/>
                <w:color w:val="auto"/>
              </w:rPr>
            </w:pPr>
          </w:p>
        </w:tc>
      </w:tr>
      <w:tr>
        <w:trPr>
          <w:trHeight w:val="207"/>
        </w:trPr>
        <w:tc>
          <w:tcPr>
            <w:tcW w:w="44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4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12, 2026</w:t>
            </w:r>
          </w:p>
        </w:tc>
        <w:tc>
          <w:tcPr>
            <w:tcW w:w="0" w:type="dxa"/>
            <w:vAlign w:val="bottom"/>
          </w:tcPr>
          <w:p>
            <w:pPr>
              <w:spacing w:after="0"/>
              <w:rPr>
                <w:sz w:val="1"/>
                <w:szCs w:val="1"/>
                <w:color w:val="auto"/>
              </w:rPr>
            </w:pPr>
          </w:p>
        </w:tc>
      </w:tr>
      <w:tr>
        <w:trPr>
          <w:trHeight w:val="207"/>
        </w:trPr>
        <w:tc>
          <w:tcPr>
            <w:tcW w:w="44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4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12, 2026</w:t>
            </w:r>
          </w:p>
        </w:tc>
        <w:tc>
          <w:tcPr>
            <w:tcW w:w="0" w:type="dxa"/>
            <w:vAlign w:val="bottom"/>
          </w:tcPr>
          <w:p>
            <w:pPr>
              <w:spacing w:after="0"/>
              <w:rPr>
                <w:sz w:val="1"/>
                <w:szCs w:val="1"/>
                <w:color w:val="auto"/>
              </w:rPr>
            </w:pPr>
          </w:p>
        </w:tc>
      </w:tr>
      <w:tr>
        <w:trPr>
          <w:trHeight w:val="207"/>
        </w:trPr>
        <w:tc>
          <w:tcPr>
            <w:tcW w:w="44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4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12, 2026</w:t>
            </w:r>
          </w:p>
        </w:tc>
        <w:tc>
          <w:tcPr>
            <w:tcW w:w="0" w:type="dxa"/>
            <w:vAlign w:val="bottom"/>
          </w:tcPr>
          <w:p>
            <w:pPr>
              <w:spacing w:after="0"/>
              <w:rPr>
                <w:sz w:val="1"/>
                <w:szCs w:val="1"/>
                <w:color w:val="auto"/>
              </w:rPr>
            </w:pPr>
          </w:p>
        </w:tc>
      </w:tr>
      <w:tr>
        <w:trPr>
          <w:trHeight w:val="207"/>
        </w:trPr>
        <w:tc>
          <w:tcPr>
            <w:tcW w:w="44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402590</wp:posOffset>
            </wp:positionV>
            <wp:extent cx="7138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2">
            <w:col w:w="2840" w:space="720"/>
            <w:col w:w="6720"/>
          </w:cols>
          <w:pgMar w:left="1280" w:top="84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1940560" cy="452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1940560" cy="45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March 12,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Century Therapeutics, Inc.</w:t>
      </w:r>
    </w:p>
    <w:p>
      <w:pPr>
        <w:spacing w:after="0" w:line="207" w:lineRule="auto"/>
        <w:rPr>
          <w:sz w:val="20"/>
          <w:szCs w:val="20"/>
          <w:color w:val="auto"/>
        </w:rPr>
      </w:pPr>
      <w:r>
        <w:rPr>
          <w:rFonts w:ascii="Times New Roman" w:cs="Times New Roman" w:eastAsia="Times New Roman" w:hAnsi="Times New Roman"/>
          <w:sz w:val="17"/>
          <w:szCs w:val="17"/>
          <w:color w:val="auto"/>
        </w:rPr>
        <w:t>25 North 38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Philadelphia, Pennsylvania 19104</w:t>
      </w:r>
    </w:p>
    <w:p>
      <w:pPr>
        <w:spacing w:after="0" w:line="19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S-8</w:t>
      </w:r>
    </w:p>
    <w:p>
      <w:pPr>
        <w:spacing w:after="0" w:line="2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7"/>
          <w:szCs w:val="17"/>
          <w:color w:val="auto"/>
        </w:rPr>
        <w:t>We have acted as your counsel in connection with your filing of a Registration Statement on Form S-8 (the “Registration Statement”) pursuant to the Securities Act of 1933, as amended (the “Securities Act”), on or about the date hereof relating to an aggregate of 4,375,954 shares (the “Shares”) of Common Stock, $0.0001 par value per share (“Common Stock”), of Century Therapeutics, Inc., a Delaware corporation (the “Company”), that may be issued pursuant to the Company’s 2021 Equity Incentive Plan (the “Plan”).</w:t>
      </w:r>
    </w:p>
    <w:p>
      <w:pPr>
        <w:spacing w:after="0" w:line="169" w:lineRule="exact"/>
        <w:rPr>
          <w:sz w:val="20"/>
          <w:szCs w:val="20"/>
          <w:color w:val="auto"/>
        </w:rPr>
      </w:pPr>
    </w:p>
    <w:p>
      <w:pPr>
        <w:jc w:val="both"/>
        <w:ind w:right="500"/>
        <w:spacing w:after="0" w:line="273" w:lineRule="auto"/>
        <w:rPr>
          <w:sz w:val="20"/>
          <w:szCs w:val="20"/>
          <w:color w:val="auto"/>
        </w:rPr>
      </w:pPr>
      <w:r>
        <w:rPr>
          <w:rFonts w:ascii="Times New Roman" w:cs="Times New Roman" w:eastAsia="Times New Roman" w:hAnsi="Times New Roman"/>
          <w:sz w:val="17"/>
          <w:szCs w:val="17"/>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and other inquiries of officers of the Company.</w:t>
      </w:r>
    </w:p>
    <w:p>
      <w:pPr>
        <w:spacing w:after="0" w:line="162" w:lineRule="exact"/>
        <w:rPr>
          <w:sz w:val="20"/>
          <w:szCs w:val="20"/>
          <w:color w:val="auto"/>
        </w:rPr>
      </w:pPr>
    </w:p>
    <w:p>
      <w:pPr>
        <w:jc w:val="both"/>
        <w:ind w:right="300"/>
        <w:spacing w:after="0" w:line="273" w:lineRule="auto"/>
        <w:rPr>
          <w:sz w:val="20"/>
          <w:szCs w:val="20"/>
          <w:color w:val="auto"/>
        </w:rPr>
      </w:pPr>
      <w:r>
        <w:rPr>
          <w:rFonts w:ascii="Times New Roman" w:cs="Times New Roman" w:eastAsia="Times New Roman" w:hAnsi="Times New Roman"/>
          <w:sz w:val="17"/>
          <w:szCs w:val="17"/>
          <w:color w:val="auto"/>
        </w:rPr>
        <w:t>For purposes of the opinion set forth below, we have assumed that, at the time Shares are issued, the total number of then unissued Shares, when added to the number of authorized shares of Common Stock issued, subscribed for, or otherwise committed to be issued, does not exceed the number of shares of Common Stock authorized by the Company’s certificate of incorporation.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opinion set forth below is limited to the Delaware General Corporation Law.</w:t>
      </w:r>
    </w:p>
    <w:p>
      <w:pPr>
        <w:spacing w:after="0" w:line="219"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7"/>
          <w:szCs w:val="17"/>
          <w:color w:val="auto"/>
        </w:rPr>
        <w:t>Based on the foregoing, we are of the opinion that the Shares have been duly authorized and, when delivered against payment therefor in accordance with the terms of the Plan, will be validly issued, fully paid and nonassessable.</w:t>
      </w:r>
    </w:p>
    <w:p>
      <w:pPr>
        <w:spacing w:after="0" w:line="146"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7"/>
          <w:szCs w:val="17"/>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7"/>
          <w:szCs w:val="17"/>
          <w:i w:val="1"/>
          <w:iCs w:val="1"/>
          <w:color w:val="auto"/>
        </w:rPr>
        <w:t>Business Lawyer</w:t>
      </w:r>
      <w:r>
        <w:rPr>
          <w:rFonts w:ascii="Times New Roman" w:cs="Times New Roman" w:eastAsia="Times New Roman" w:hAnsi="Times New Roman"/>
          <w:sz w:val="17"/>
          <w:szCs w:val="17"/>
          <w:color w:val="auto"/>
        </w:rPr>
        <w:t xml:space="preserve"> 815 (Summer 2019).</w:t>
      </w:r>
    </w:p>
    <w:p>
      <w:pPr>
        <w:spacing w:after="0" w:line="145"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7"/>
          <w:szCs w:val="17"/>
          <w:color w:val="auto"/>
        </w:rPr>
        <w:t>/ G</w:t>
      </w:r>
      <w:r>
        <w:rPr>
          <w:rFonts w:ascii="Times New Roman" w:cs="Times New Roman" w:eastAsia="Times New Roman" w:hAnsi="Times New Roman"/>
          <w:sz w:val="11"/>
          <w:szCs w:val="11"/>
          <w:color w:val="auto"/>
        </w:rPr>
        <w:t>oodwin</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rocter</w:t>
      </w:r>
      <w:r>
        <w:rPr>
          <w:rFonts w:ascii="Times New Roman" w:cs="Times New Roman" w:eastAsia="Times New Roman" w:hAnsi="Times New Roman"/>
          <w:sz w:val="17"/>
          <w:szCs w:val="17"/>
          <w:color w:val="auto"/>
        </w:rPr>
        <w:t xml:space="preserve"> LLP</w:t>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414020</wp:posOffset>
            </wp:positionV>
            <wp:extent cx="7138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2021 Equity Incentive Plan of Century Therapeutics, Inc. of our report dated March 12, 2026, with respect to the consolidated financial statements of Century Therapeutics, Inc., included in its Annual Report (Form 10-</w:t>
      </w:r>
    </w:p>
    <w:p>
      <w:pPr>
        <w:spacing w:after="0" w:line="1" w:lineRule="exact"/>
        <w:rPr>
          <w:sz w:val="20"/>
          <w:szCs w:val="20"/>
          <w:color w:val="auto"/>
        </w:rPr>
      </w:pPr>
    </w:p>
    <w:p>
      <w:pPr>
        <w:ind w:right="4660" w:firstLine="4"/>
        <w:spacing w:after="0" w:line="497" w:lineRule="auto"/>
        <w:tabs>
          <w:tab w:leader="none" w:pos="22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2025, filed with the Securities and Exchange Commission. /s/ Ernst &amp; Young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401955</wp:posOffset>
            </wp:positionV>
            <wp:extent cx="71380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 w:name="page9"/>
    <w:bookmarkEnd w:id="8"/>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Century Therapeutics,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jc w:val="right"/>
              <w:ind w:right="56"/>
              <w:spacing w:after="0" w:line="208" w:lineRule="exact"/>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5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4,375,954</w:t>
            </w:r>
          </w:p>
        </w:tc>
        <w:tc>
          <w:tcPr>
            <w:tcW w:w="40" w:type="dxa"/>
            <w:vAlign w:val="bottom"/>
          </w:tcPr>
          <w:p>
            <w:pPr>
              <w:spacing w:after="0"/>
              <w:rPr>
                <w:sz w:val="20"/>
                <w:szCs w:val="20"/>
                <w:color w:val="auto"/>
              </w:rPr>
            </w:pPr>
          </w:p>
        </w:tc>
        <w:tc>
          <w:tcPr>
            <w:tcW w:w="14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$ 2.52</w:t>
            </w:r>
          </w:p>
        </w:tc>
        <w:tc>
          <w:tcPr>
            <w:tcW w:w="20" w:type="dxa"/>
            <w:vAlign w:val="bottom"/>
          </w:tcPr>
          <w:p>
            <w:pPr>
              <w:spacing w:after="0"/>
              <w:rPr>
                <w:sz w:val="20"/>
                <w:szCs w:val="20"/>
                <w:color w:val="auto"/>
              </w:rPr>
            </w:pPr>
          </w:p>
        </w:tc>
        <w:tc>
          <w:tcPr>
            <w:tcW w:w="15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7"/>
              </w:rPr>
              <w:t>$ 11,027,404.08</w:t>
            </w:r>
          </w:p>
        </w:tc>
        <w:tc>
          <w:tcPr>
            <w:tcW w:w="20" w:type="dxa"/>
            <w:vAlign w:val="bottom"/>
          </w:tcPr>
          <w:p>
            <w:pPr>
              <w:spacing w:after="0"/>
              <w:rPr>
                <w:sz w:val="20"/>
                <w:szCs w:val="20"/>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$ 1,522.88</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tcPr>
          <w:p>
            <w:pPr>
              <w:spacing w:after="0"/>
              <w:rPr>
                <w:sz w:val="13"/>
                <w:szCs w:val="13"/>
                <w:color w:val="auto"/>
              </w:rPr>
            </w:pPr>
          </w:p>
        </w:tc>
        <w:tc>
          <w:tcPr>
            <w:tcW w:w="1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13"/>
                <w:szCs w:val="13"/>
                <w:color w:val="auto"/>
              </w:rPr>
            </w:pPr>
          </w:p>
        </w:tc>
        <w:tc>
          <w:tcPr>
            <w:tcW w:w="11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vMerge w:val="continue"/>
            <w:shd w:val="clear" w:color="auto" w:fill="E7E7E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6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shd w:val="clear" w:color="auto" w:fill="E7E7E2"/>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$0.0001</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21"/>
                <w:szCs w:val="21"/>
                <w:color w:val="auto"/>
                <w:w w:val="97"/>
              </w:rPr>
              <w:t>$ 11,027,404.08</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$ 1,522.88</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$ 1,522.88</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820" w:right="840"/>
        <w:spacing w:after="0" w:line="238" w:lineRule="auto"/>
        <w:rPr>
          <w:sz w:val="20"/>
          <w:szCs w:val="20"/>
          <w:color w:val="auto"/>
        </w:rPr>
      </w:pPr>
      <w:r>
        <w:rPr>
          <w:rFonts w:ascii="Arial" w:cs="Arial" w:eastAsia="Arial" w:hAnsi="Arial"/>
          <w:sz w:val="21"/>
          <w:szCs w:val="21"/>
          <w:color w:val="auto"/>
        </w:rPr>
        <w:t>Pursuant to Rule 416(a) promulgated under the Securities Act of 1933, as amended (the "Securities Act"), this Registration Statement also covers an indeterminate number of additional shares of common stock, par value $0.0001 (the "Common Stock") of Century Therapeutics, Inc. (the "Registrant") issuable under the Century Therapeutics, Inc. 2021 Equity Incentive Plan (the "Plan") in the event the number of outstanding shares of the Registrant is increased by reason of any stock dividend, stock split, recapitalization, merger, consolidation or reorganization or similar transaction.</w:t>
      </w:r>
    </w:p>
    <w:p>
      <w:pPr>
        <w:spacing w:after="0" w:line="195" w:lineRule="exact"/>
        <w:rPr>
          <w:sz w:val="20"/>
          <w:szCs w:val="20"/>
          <w:color w:val="auto"/>
        </w:rPr>
      </w:pPr>
    </w:p>
    <w:p>
      <w:pPr>
        <w:ind w:left="820" w:right="1100"/>
        <w:spacing w:after="0" w:line="288" w:lineRule="auto"/>
        <w:rPr>
          <w:sz w:val="20"/>
          <w:szCs w:val="20"/>
          <w:color w:val="auto"/>
        </w:rPr>
      </w:pPr>
      <w:r>
        <w:rPr>
          <w:rFonts w:ascii="Arial" w:cs="Arial" w:eastAsia="Arial" w:hAnsi="Arial"/>
          <w:sz w:val="20"/>
          <w:szCs w:val="20"/>
          <w:color w:val="auto"/>
        </w:rPr>
        <w:t>Represents 4,375,954 shares of Common Stock that were added to the shares authorized for issuance under the Plan on January 1, 2026 pursuant to an "evergreen" provision contained in the Plan.</w:t>
      </w:r>
    </w:p>
    <w:p>
      <w:pPr>
        <w:spacing w:after="0" w:line="147" w:lineRule="exact"/>
        <w:rPr>
          <w:sz w:val="20"/>
          <w:szCs w:val="20"/>
          <w:color w:val="auto"/>
        </w:rPr>
      </w:pPr>
    </w:p>
    <w:p>
      <w:pPr>
        <w:ind w:left="820" w:right="820"/>
        <w:spacing w:after="0" w:line="247" w:lineRule="auto"/>
        <w:rPr>
          <w:sz w:val="20"/>
          <w:szCs w:val="20"/>
          <w:color w:val="auto"/>
        </w:rPr>
      </w:pPr>
      <w:r>
        <w:rPr>
          <w:rFonts w:ascii="Arial" w:cs="Arial" w:eastAsia="Arial" w:hAnsi="Arial"/>
          <w:sz w:val="21"/>
          <w:szCs w:val="21"/>
          <w:color w:val="auto"/>
        </w:rPr>
        <w:t>This estimate is made pursuant to Rule 457(h) and Rule 457(c) of the Securities Act. The price shown is based upon the average of the high and low prices reported for the Common Stock on the Nasdaq Capital Market on March 6, 2026.</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21"/>
          <w:szCs w:val="21"/>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97155</wp:posOffset>
            </wp:positionV>
            <wp:extent cx="6398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1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jpe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13" Type="http://schemas.openxmlformats.org/officeDocument/2006/relationships/hyperlink" Target="https://www.sec.gov/Archives/edgar/data/1850119/000110465921088864/tm2121116d1_s8.htm" TargetMode="External"/><Relationship Id="rId14" Type="http://schemas.openxmlformats.org/officeDocument/2006/relationships/hyperlink" Target="https://www.sec.gov/Archives/edgar/data/1850119/000110465922035119/tm229514d1_s8.htm" TargetMode="External"/><Relationship Id="rId15" Type="http://schemas.openxmlformats.org/officeDocument/2006/relationships/hyperlink" Target="https://www.sec.gov/Archives/edgar/data/1850119/000110465923033846/tm239615d1_s8.htm" TargetMode="External"/><Relationship Id="rId16" Type="http://schemas.openxmlformats.org/officeDocument/2006/relationships/hyperlink" Target="https://www.sec.gov/Archives/edgar/data/1850119/000110465924034491/tm248573d1_s8.htm" TargetMode="External"/><Relationship Id="rId17" Type="http://schemas.openxmlformats.org/officeDocument/2006/relationships/hyperlink" Target="https://www.sec.gov/Archives/edgar/data/1850119/000110465925025838/tm259659d1_s8.htm" TargetMode="External"/><Relationship Id="rId18" Type="http://schemas.openxmlformats.org/officeDocument/2006/relationships/hyperlink" Target="https://www.sec.gov/ix?doc=/Archives/edgar/data/1850119/000110465926026759/ipsc-20251231x10k.htm" TargetMode="External"/><Relationship Id="rId19" Type="http://schemas.openxmlformats.org/officeDocument/2006/relationships/hyperlink" Target="https://www.sec.gov/ix?doc=/Archives/edgar/data/1850119/000110465926001952/tm262422d2_8k.htm" TargetMode="External"/><Relationship Id="rId20" Type="http://schemas.openxmlformats.org/officeDocument/2006/relationships/hyperlink" Target="https://www.sec.gov/ix?doc=/Archives/edgar/data/1850119/000110465926002748/tm262422d3_8k.htm" TargetMode="External"/><Relationship Id="rId21" Type="http://schemas.openxmlformats.org/officeDocument/2006/relationships/hyperlink" Target="https://www.sec.gov/ix?doc=/Archives/edgar/data/1850119/000110465926006236/tm263921d1_8k.htm" TargetMode="External"/><Relationship Id="rId22" Type="http://schemas.openxmlformats.org/officeDocument/2006/relationships/hyperlink" Target="https://www.sec.gov/Archives/edgar/data/1850119/000110465921080760/tm218551d12_8a12b.htm" TargetMode="External"/><Relationship Id="rId25" Type="http://schemas.openxmlformats.org/officeDocument/2006/relationships/hyperlink" Target="https://www.sec.gov/Archives/edgar/data/1850119/000110465921085744/tm2120666d1_ex3-1.htm" TargetMode="External"/><Relationship Id="rId26" Type="http://schemas.openxmlformats.org/officeDocument/2006/relationships/hyperlink" Target="https://www.sec.gov/Archives/edgar/data/1850119/000155837023003962/ipsc-20221231xex3d2.htm" TargetMode="External"/><Relationship Id="rId27" Type="http://schemas.openxmlformats.org/officeDocument/2006/relationships/hyperlink" Target="https://www.sec.gov/Archives/edgar/data/1850119/000110465921080429/tm218551d10_ex10-8.htm" TargetMode="External"/><Relationship Id="rId28" Type="http://schemas.openxmlformats.org/officeDocument/2006/relationships/hyperlink" Target="https://www.sec.gov/Archives/edgar/data/1850119/000110465921074278/tm218551d7_ex10-13.htm" TargetMode="External"/><Relationship Id="rId29" Type="http://schemas.openxmlformats.org/officeDocument/2006/relationships/hyperlink" Target="https://www.sec.gov/Archives/edgar/data/1850119/000110465921074278/tm218551d7_ex10-14.htm" TargetMode="External"/><Relationship Id="rId30" Type="http://schemas.openxmlformats.org/officeDocument/2006/relationships/hyperlink" Target="https://www.sec.gov/Archives/edgar/data/1850119/000155837024014345/ipsc-20240930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2026-03-12T07:28:58Z</dcterms:created>
  <dcterms:modified xsi:type="dcterms:W3CDTF">2026-03-12T07:28:58Z</dcterms:modified>
</cp:coreProperties>
</file>