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Cowan Chad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09/18/2025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762,543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992,489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10,697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Issuer common stock. The RSUs vest 50% on October 1, 2026, with the remaining 50% vesting on October 1, 2027, in each case subject the Reporting Person's continued service through the applicable vesting date. The RSUs will be settled on each applicable vesting date in shares of the Issuer's common stock.</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09/22/2025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929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2025-09-22T16:04:25Z</dcterms:created>
  <dcterms:modified xsi:type="dcterms:W3CDTF">2025-09-22T16:04:25Z</dcterms:modified>
</cp:coreProperties>
</file>