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4" w:lineRule="exact"/>
        <w:rPr>
          <w:sz w:val="24"/>
          <w:szCs w:val="24"/>
          <w:color w:val="auto"/>
        </w:rPr>
      </w:pPr>
    </w:p>
    <w:p>
      <w:pPr>
        <w:jc w:val="right"/>
        <w:ind w:right="359"/>
        <w:spacing w:after="0"/>
        <w:rPr>
          <w:sz w:val="20"/>
          <w:szCs w:val="20"/>
          <w:color w:val="auto"/>
        </w:rPr>
      </w:pPr>
      <w:r>
        <w:rPr>
          <w:rFonts w:ascii="Arial" w:cs="Arial" w:eastAsia="Arial" w:hAnsi="Arial"/>
          <w:sz w:val="18"/>
          <w:szCs w:val="18"/>
          <w:b w:val="1"/>
          <w:bCs w:val="1"/>
          <w:color w:val="auto"/>
        </w:rPr>
        <w:t> Filed Pursuant to Rule 424(b)(3)​</w:t>
      </w:r>
    </w:p>
    <w:p>
      <w:pPr>
        <w:jc w:val="right"/>
        <w:ind w:right="359"/>
        <w:spacing w:after="0"/>
        <w:rPr>
          <w:sz w:val="20"/>
          <w:szCs w:val="20"/>
          <w:color w:val="auto"/>
        </w:rPr>
      </w:pPr>
      <w:r>
        <w:rPr>
          <w:rFonts w:ascii="Arial" w:cs="Arial" w:eastAsia="Arial" w:hAnsi="Arial"/>
          <w:sz w:val="18"/>
          <w:szCs w:val="18"/>
          <w:b w:val="1"/>
          <w:bCs w:val="1"/>
          <w:color w:val="auto"/>
        </w:rPr>
        <w:t> Registration No. 333-280310​</w:t>
      </w:r>
    </w:p>
    <w:p>
      <w:pPr>
        <w:spacing w:after="0" w:line="180"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70" w:lineRule="exact"/>
        <w:rPr>
          <w:sz w:val="24"/>
          <w:szCs w:val="24"/>
          <w:color w:val="auto"/>
        </w:rPr>
      </w:pPr>
    </w:p>
    <w:p>
      <w:pPr>
        <w:ind w:left="1260"/>
        <w:spacing w:after="0"/>
        <w:rPr>
          <w:sz w:val="20"/>
          <w:szCs w:val="20"/>
          <w:color w:val="auto"/>
        </w:rPr>
      </w:pPr>
      <w:r>
        <w:rPr>
          <w:rFonts w:ascii="Arial" w:cs="Arial" w:eastAsia="Arial" w:hAnsi="Arial"/>
          <w:sz w:val="5"/>
          <w:szCs w:val="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240"/>
        <w:spacing w:after="0"/>
        <w:rPr>
          <w:sz w:val="20"/>
          <w:szCs w:val="20"/>
          <w:color w:val="auto"/>
        </w:rPr>
      </w:pPr>
      <w:r>
        <w:rPr>
          <w:rFonts w:ascii="Arial" w:cs="Arial" w:eastAsia="Arial" w:hAnsi="Arial"/>
          <w:sz w:val="25"/>
          <w:szCs w:val="25"/>
          <w:b w:val="1"/>
          <w:bCs w:val="1"/>
          <w:color w:val="auto"/>
        </w:rPr>
        <w:t>7,868,666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175895</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260" w:right="599"/>
        <w:spacing w:after="0" w:line="237" w:lineRule="auto"/>
        <w:rPr>
          <w:sz w:val="20"/>
          <w:szCs w:val="20"/>
          <w:color w:val="auto"/>
        </w:rPr>
      </w:pPr>
      <w:r>
        <w:rPr>
          <w:rFonts w:ascii="Arial" w:cs="Arial" w:eastAsia="Arial" w:hAnsi="Arial"/>
          <w:sz w:val="17"/>
          <w:szCs w:val="17"/>
          <w:color w:val="auto"/>
        </w:rPr>
        <w:t>This prospectus of Century Therapeutics, Inc. a Delaware corporation, or the Company, we, or us, relates to the offer and resale from time to time by the selling stockholders identified in this prospectus, or collectively the selling stockholders, of up to 7,868,666 shares of our common stock, par value $0.0001 per share, or the common stock. The shares offered by the selling stockholders consist of:</w:t>
      </w:r>
    </w:p>
    <w:p>
      <w:pPr>
        <w:spacing w:after="0" w:line="2" w:lineRule="exact"/>
        <w:rPr>
          <w:sz w:val="24"/>
          <w:szCs w:val="24"/>
          <w:color w:val="auto"/>
        </w:rPr>
      </w:pPr>
    </w:p>
    <w:p>
      <w:pPr>
        <w:ind w:left="1260" w:right="459"/>
        <w:spacing w:after="0" w:line="236" w:lineRule="auto"/>
        <w:tabs>
          <w:tab w:leader="none" w:pos="1464" w:val="left"/>
        </w:tabs>
        <w:numPr>
          <w:ilvl w:val="0"/>
          <w:numId w:val="1"/>
        </w:numPr>
        <w:rPr>
          <w:rFonts w:ascii="Arial" w:cs="Arial" w:eastAsia="Arial" w:hAnsi="Arial"/>
          <w:sz w:val="17"/>
          <w:szCs w:val="17"/>
          <w:color w:val="auto"/>
        </w:rPr>
      </w:pPr>
      <w:r>
        <w:rPr>
          <w:rFonts w:ascii="Arial" w:cs="Arial" w:eastAsia="Arial" w:hAnsi="Arial"/>
          <w:sz w:val="17"/>
          <w:szCs w:val="17"/>
          <w:color w:val="auto"/>
        </w:rPr>
        <w:t>3,741,646 shares that were privately issued pursuant to an Agreement and Plan of Merger, dated as of April 11, 2024, or the Merger Agreement, by and among the Company, Clarent Intermediate Sub, Inc., or Intermediate Sub, a wholly owned subsidiary of Company, Clarent Merger Sub, Inc., or Merger Sub, a wholly owned subsidiary of Intermediate Sub, Clade Therapeutics, Inc., or Clade, and Fortis Advisors LLC, solely in its capacity as securityholders’ agent, in connection with our acquisition of Clade, or the Merger, (ii) 793,687 shares that were withheld at the closing of the Merger as recourse to satisfy certain indemnification obligations of the Clade securityholders under the Merger Agreement, and (iii) 3,333,333 shares of common stock that may be issued to the selling stockholders upon the potential achievement of a clinical development milestone, or collectively clauses (i), (ii) and (iii), the Merger Shares.</w:t>
      </w:r>
    </w:p>
    <w:p>
      <w:pPr>
        <w:spacing w:after="0" w:line="88" w:lineRule="exact"/>
        <w:rPr>
          <w:sz w:val="24"/>
          <w:szCs w:val="24"/>
          <w:color w:val="auto"/>
        </w:rPr>
      </w:pPr>
    </w:p>
    <w:p>
      <w:pPr>
        <w:ind w:left="1260" w:right="479"/>
        <w:spacing w:after="0" w:line="226" w:lineRule="auto"/>
        <w:rPr>
          <w:sz w:val="20"/>
          <w:szCs w:val="20"/>
          <w:color w:val="auto"/>
        </w:rPr>
      </w:pPr>
      <w:r>
        <w:rPr>
          <w:rFonts w:ascii="Arial" w:cs="Arial" w:eastAsia="Arial" w:hAnsi="Arial"/>
          <w:sz w:val="18"/>
          <w:szCs w:val="18"/>
          <w:color w:val="auto"/>
        </w:rPr>
        <w:t>The shares of common stock described in this prospectus or in any supplement to this prospectus may be sold from time to time pursuant to this prospectus by the selling stockholders in ordinary brokerage transactions, in transactions in which brokers solicit purchases, in negotiated transactions, or in a combination of such methods of sale, at market prices prevailing at the time of sale, at prices related to such prevailing market prices, at fixed prices or prices subject to change, or at negotiated prices. See “Plan of Distribution” for more information about how the selling stockholders may sell or dispose of their shares of common stock. We cannot predict when or in what amounts the selling stockholders may sell any of the shares offered by this prospectus.</w:t>
      </w:r>
    </w:p>
    <w:p>
      <w:pPr>
        <w:spacing w:after="0" w:line="101" w:lineRule="exact"/>
        <w:rPr>
          <w:sz w:val="24"/>
          <w:szCs w:val="24"/>
          <w:color w:val="auto"/>
        </w:rPr>
      </w:pPr>
    </w:p>
    <w:p>
      <w:pPr>
        <w:ind w:left="1260" w:right="419"/>
        <w:spacing w:after="0" w:line="238" w:lineRule="auto"/>
        <w:rPr>
          <w:sz w:val="20"/>
          <w:szCs w:val="20"/>
          <w:color w:val="auto"/>
        </w:rPr>
      </w:pPr>
      <w:r>
        <w:rPr>
          <w:rFonts w:ascii="Arial" w:cs="Arial" w:eastAsia="Arial" w:hAnsi="Arial"/>
          <w:sz w:val="18"/>
          <w:szCs w:val="18"/>
          <w:color w:val="auto"/>
        </w:rPr>
        <w:t>We are not selling any shares of our common stock, and we will not receive any of the proceeds from the sale of shares by the selling stockholders. The selling stockholders will pay all brokerage fees and commissions and similar sale-related expenses.</w:t>
      </w:r>
    </w:p>
    <w:p>
      <w:pPr>
        <w:spacing w:after="0" w:line="100" w:lineRule="exact"/>
        <w:rPr>
          <w:sz w:val="24"/>
          <w:szCs w:val="24"/>
          <w:color w:val="auto"/>
        </w:rPr>
      </w:pPr>
    </w:p>
    <w:p>
      <w:pPr>
        <w:ind w:left="1260" w:right="599"/>
        <w:spacing w:after="0" w:line="285" w:lineRule="auto"/>
        <w:rPr>
          <w:sz w:val="20"/>
          <w:szCs w:val="20"/>
          <w:color w:val="auto"/>
        </w:rPr>
      </w:pPr>
      <w:r>
        <w:rPr>
          <w:rFonts w:ascii="Arial" w:cs="Arial" w:eastAsia="Arial" w:hAnsi="Arial"/>
          <w:sz w:val="17"/>
          <w:szCs w:val="17"/>
          <w:color w:val="auto"/>
        </w:rPr>
        <w:t>Our common stock is listed on the Nasdaq Global Select Market, or Nasdaq, under the symbol “IPSC.” On June 25, 2024, the last reported sale price of our common stock on Nasdaq was $2.56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163195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80" w:lineRule="exact"/>
        <w:rPr>
          <w:sz w:val="24"/>
          <w:szCs w:val="24"/>
          <w:color w:val="auto"/>
        </w:rPr>
      </w:pPr>
    </w:p>
    <w:p>
      <w:pPr>
        <w:ind w:left="1260" w:right="439"/>
        <w:spacing w:after="0" w:line="242"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federal securities laws and, as such, may elect to comply with certain reduced public company reporting requirements for future filings.</w:t>
      </w:r>
    </w:p>
    <w:p>
      <w:pPr>
        <w:spacing w:after="0" w:line="49" w:lineRule="exact"/>
        <w:rPr>
          <w:sz w:val="24"/>
          <w:szCs w:val="24"/>
          <w:color w:val="auto"/>
        </w:rPr>
      </w:pPr>
    </w:p>
    <w:p>
      <w:pPr>
        <w:ind w:left="1260" w:right="559"/>
        <w:spacing w:after="0" w:line="232" w:lineRule="auto"/>
        <w:rPr>
          <w:sz w:val="20"/>
          <w:szCs w:val="20"/>
          <w:color w:val="auto"/>
        </w:rPr>
      </w:pPr>
      <w:r>
        <w:rPr>
          <w:rFonts w:ascii="Arial" w:cs="Arial" w:eastAsia="Arial" w:hAnsi="Arial"/>
          <w:sz w:val="18"/>
          <w:szCs w:val="18"/>
          <w:b w:val="1"/>
          <w:bCs w:val="1"/>
          <w:color w:val="auto"/>
        </w:rPr>
        <w:t xml:space="preserve">INVESTING IN OUR SECURITIES INVOLVES RISKS. SEE THE “RISK FACTORS” ON PAGE </w:t>
      </w:r>
      <w:r>
        <w:rPr>
          <w:rFonts w:ascii="Arial" w:cs="Arial" w:eastAsia="Arial" w:hAnsi="Arial"/>
          <w:sz w:val="18"/>
          <w:szCs w:val="18"/>
          <w:b w:val="1"/>
          <w:bCs w:val="1"/>
          <w:u w:val="single" w:color="auto"/>
          <w:color w:val="0000EE"/>
        </w:rPr>
        <w:t>7</w:t>
      </w:r>
      <w:r>
        <w:rPr>
          <w:rFonts w:ascii="Arial" w:cs="Arial" w:eastAsia="Arial" w:hAnsi="Arial"/>
          <w:sz w:val="18"/>
          <w:szCs w:val="18"/>
          <w:b w:val="1"/>
          <w:bCs w:val="1"/>
          <w:color w:val="auto"/>
        </w:rPr>
        <w:t xml:space="preserve"> OF THIS PROSPECTUS AND ANY SIMILAR SECTION CONTAINED IN ANY APPLICABLE PROSPECTUS SUPPLEMENT OR IN ANY DOCUMENTS INCORPORATED BY REFERENCE HEREIN AND THEREIN CONCERNING FACTORS YOU SHOULD CONSIDER BEFORE INVESTING IN OUR SECURITIES.</w:t>
      </w:r>
    </w:p>
    <w:p>
      <w:pPr>
        <w:spacing w:after="0" w:line="66" w:lineRule="exact"/>
        <w:rPr>
          <w:sz w:val="24"/>
          <w:szCs w:val="24"/>
          <w:color w:val="auto"/>
        </w:rPr>
      </w:pPr>
    </w:p>
    <w:p>
      <w:pPr>
        <w:ind w:left="1260" w:right="619"/>
        <w:spacing w:after="0" w:line="24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180340</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The date of this prospectus is June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8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820" w:type="dxa"/>
            <w:vAlign w:val="bottom"/>
            <w:gridSpan w:val="13"/>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ABOUT THIS PROSPECTUS</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13"/>
          </w:tcPr>
          <w:p>
            <w:pPr>
              <w:spacing w:after="0" w:line="202" w:lineRule="exact"/>
              <w:rPr>
                <w:sz w:val="20"/>
                <w:szCs w:val="20"/>
                <w:color w:val="auto"/>
              </w:rPr>
            </w:pPr>
            <w:r>
              <w:rPr>
                <w:rFonts w:ascii="Arial" w:cs="Arial" w:eastAsia="Arial" w:hAnsi="Arial"/>
                <w:sz w:val="18"/>
                <w:szCs w:val="18"/>
                <w:color w:val="0000EE"/>
              </w:rPr>
              <w:t>CAUTIONARY NOTE REGARDING FORWARD-LOOKING STATEMENTS</w:t>
            </w:r>
          </w:p>
        </w:tc>
        <w:tc>
          <w:tcPr>
            <w:tcW w:w="1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line="202"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7"/>
        </w:trPr>
        <w:tc>
          <w:tcPr>
            <w:tcW w:w="588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40" w:type="dxa"/>
            <w:vAlign w:val="bottom"/>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ABOUT THE COMPANY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6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RISK FACTORS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7"/>
        </w:trPr>
        <w:tc>
          <w:tcPr>
            <w:tcW w:w="130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0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SELLING STOCKHOLDERS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rPr>
              <w:t>9</w:t>
            </w:r>
          </w:p>
        </w:tc>
        <w:tc>
          <w:tcPr>
            <w:tcW w:w="0" w:type="dxa"/>
            <w:vAlign w:val="bottom"/>
          </w:tcPr>
          <w:p>
            <w:pPr>
              <w:spacing w:after="0"/>
              <w:rPr>
                <w:sz w:val="1"/>
                <w:szCs w:val="1"/>
                <w:color w:val="auto"/>
              </w:rPr>
            </w:pPr>
          </w:p>
        </w:tc>
      </w:tr>
      <w:tr>
        <w:trPr>
          <w:trHeight w:val="27"/>
        </w:trPr>
        <w:tc>
          <w:tcPr>
            <w:tcW w:w="226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88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DESCRIPTION OF CAPITAL STOCK</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16</w:t>
            </w:r>
          </w:p>
        </w:tc>
        <w:tc>
          <w:tcPr>
            <w:tcW w:w="0" w:type="dxa"/>
            <w:vAlign w:val="bottom"/>
          </w:tcPr>
          <w:p>
            <w:pPr>
              <w:spacing w:after="0"/>
              <w:rPr>
                <w:sz w:val="1"/>
                <w:szCs w:val="1"/>
                <w:color w:val="auto"/>
              </w:rPr>
            </w:pPr>
          </w:p>
        </w:tc>
      </w:tr>
      <w:tr>
        <w:trPr>
          <w:trHeight w:val="27"/>
        </w:trPr>
        <w:tc>
          <w:tcPr>
            <w:tcW w:w="2940" w:type="dxa"/>
            <w:vAlign w:val="bottom"/>
            <w:gridSpan w:val="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460" w:type="dxa"/>
            <w:vAlign w:val="bottom"/>
            <w:tcBorders>
              <w:bottom w:val="single" w:sz="8" w:color="CCEEFF"/>
            </w:tcBorders>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380" w:type="dxa"/>
            <w:vAlign w:val="bottom"/>
            <w:tcBorders>
              <w:bottom w:val="single" w:sz="8" w:color="CCEEFF"/>
            </w:tcBorders>
            <w:gridSpan w:val="7"/>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EXPERTS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20</w:t>
            </w:r>
          </w:p>
        </w:tc>
        <w:tc>
          <w:tcPr>
            <w:tcW w:w="0" w:type="dxa"/>
            <w:vAlign w:val="bottom"/>
          </w:tcPr>
          <w:p>
            <w:pPr>
              <w:spacing w:after="0"/>
              <w:rPr>
                <w:sz w:val="1"/>
                <w:szCs w:val="1"/>
                <w:color w:val="auto"/>
              </w:rPr>
            </w:pPr>
          </w:p>
        </w:tc>
      </w:tr>
      <w:tr>
        <w:trPr>
          <w:trHeight w:val="27"/>
        </w:trPr>
        <w:tc>
          <w:tcPr>
            <w:tcW w:w="820" w:type="dxa"/>
            <w:vAlign w:val="bottom"/>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020" w:type="dxa"/>
            <w:vAlign w:val="bottom"/>
            <w:gridSpan w:val="9"/>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13"/>
            <w:shd w:val="clear" w:color="auto" w:fill="CCEEFF"/>
          </w:tcPr>
          <w:p>
            <w:pPr>
              <w:spacing w:after="0"/>
              <w:rPr>
                <w:sz w:val="20"/>
                <w:szCs w:val="20"/>
                <w:color w:val="auto"/>
              </w:rPr>
            </w:pPr>
            <w:r>
              <w:rPr>
                <w:rFonts w:ascii="Arial" w:cs="Arial" w:eastAsia="Arial" w:hAnsi="Arial"/>
                <w:sz w:val="18"/>
                <w:szCs w:val="18"/>
                <w:color w:val="0000EE"/>
              </w:rPr>
              <w:t>WHERE YOU CAN FIND MORE INFORMATION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w w:val="79"/>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60" w:type="dxa"/>
            <w:vAlign w:val="bottom"/>
            <w:tcBorders>
              <w:bottom w:val="single" w:sz="8" w:color="CCEEFF"/>
            </w:tcBorders>
            <w:shd w:val="clear" w:color="auto" w:fill="CCEEFF"/>
          </w:tcPr>
          <w:p>
            <w:pPr>
              <w:spacing w:after="0"/>
              <w:rPr>
                <w:sz w:val="2"/>
                <w:szCs w:val="2"/>
                <w:color w:val="auto"/>
              </w:rPr>
            </w:pPr>
          </w:p>
        </w:tc>
        <w:tc>
          <w:tcPr>
            <w:tcW w:w="1520" w:type="dxa"/>
            <w:vAlign w:val="bottom"/>
            <w:tcBorders>
              <w:bottom w:val="single" w:sz="8" w:color="CCEEFF"/>
            </w:tcBorders>
            <w:gridSpan w:val="2"/>
            <w:shd w:val="clear" w:color="auto" w:fill="CCEEFF"/>
          </w:tcPr>
          <w:p>
            <w:pPr>
              <w:spacing w:after="0"/>
              <w:rPr>
                <w:sz w:val="2"/>
                <w:szCs w:val="2"/>
                <w:color w:val="auto"/>
              </w:rPr>
            </w:pPr>
          </w:p>
        </w:tc>
        <w:tc>
          <w:tcPr>
            <w:tcW w:w="1120" w:type="dxa"/>
            <w:vAlign w:val="bottom"/>
            <w:tcBorders>
              <w:bottom w:val="single" w:sz="8" w:color="CCEEFF"/>
            </w:tcBorders>
            <w:shd w:val="clear" w:color="auto" w:fill="CCEEFF"/>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820" w:type="dxa"/>
            <w:vAlign w:val="bottom"/>
            <w:gridSpan w:val="13"/>
          </w:tcPr>
          <w:p>
            <w:pPr>
              <w:spacing w:after="0"/>
              <w:rPr>
                <w:sz w:val="20"/>
                <w:szCs w:val="20"/>
                <w:color w:val="auto"/>
              </w:rPr>
            </w:pPr>
            <w:r>
              <w:rPr>
                <w:rFonts w:ascii="Arial" w:cs="Arial" w:eastAsia="Arial" w:hAnsi="Arial"/>
                <w:sz w:val="18"/>
                <w:szCs w:val="18"/>
                <w:color w:val="0000EE"/>
              </w:rPr>
              <w:t>INCORPORATION OF CERTAIN INFORMATION BY REFERENCE</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3"/>
          </w:tcPr>
          <w:p>
            <w:pPr>
              <w:jc w:val="right"/>
              <w:ind w:right="47"/>
              <w:spacing w:after="0"/>
              <w:rPr>
                <w:sz w:val="20"/>
                <w:szCs w:val="20"/>
                <w:color w:val="auto"/>
              </w:rPr>
            </w:pPr>
            <w:r>
              <w:rPr>
                <w:rFonts w:ascii="Arial" w:cs="Arial" w:eastAsia="Arial" w:hAnsi="Arial"/>
                <w:sz w:val="18"/>
                <w:szCs w:val="18"/>
                <w:color w:val="0000EE"/>
                <w:w w:val="79"/>
              </w:rPr>
              <w:t>21</w:t>
            </w:r>
          </w:p>
        </w:tc>
        <w:tc>
          <w:tcPr>
            <w:tcW w:w="0" w:type="dxa"/>
            <w:vAlign w:val="bottom"/>
          </w:tcPr>
          <w:p>
            <w:pPr>
              <w:spacing w:after="0"/>
              <w:rPr>
                <w:sz w:val="1"/>
                <w:szCs w:val="1"/>
                <w:color w:val="auto"/>
              </w:rPr>
            </w:pPr>
          </w:p>
        </w:tc>
      </w:tr>
      <w:tr>
        <w:trPr>
          <w:trHeight w:val="27"/>
        </w:trPr>
        <w:tc>
          <w:tcPr>
            <w:tcW w:w="5300" w:type="dxa"/>
            <w:vAlign w:val="bottom"/>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520" w:type="dxa"/>
            <w:vAlign w:val="bottom"/>
            <w:gridSpan w:val="2"/>
          </w:tcPr>
          <w:p>
            <w:pPr>
              <w:spacing w:after="0"/>
              <w:rPr>
                <w:sz w:val="2"/>
                <w:szCs w:val="2"/>
                <w:color w:val="auto"/>
              </w:rPr>
            </w:pPr>
          </w:p>
        </w:tc>
        <w:tc>
          <w:tcPr>
            <w:tcW w:w="1120" w:type="dxa"/>
            <w:vAlign w:val="bottom"/>
          </w:tcPr>
          <w:p>
            <w:pPr>
              <w:ind w:left="960"/>
              <w:spacing w:after="0" w:line="7" w:lineRule="exact"/>
              <w:rPr>
                <w:sz w:val="20"/>
                <w:szCs w:val="20"/>
                <w:color w:val="auto"/>
              </w:rPr>
            </w:pPr>
            <w:r>
              <w:rPr>
                <w:rFonts w:ascii="Arial" w:cs="Arial" w:eastAsia="Arial" w:hAnsi="Arial"/>
                <w:sz w:val="1"/>
                <w:szCs w:val="1"/>
                <w:color w:val="auto"/>
              </w:rPr>
              <w:t>​ ​</w:t>
            </w: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5790565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pursuant to which the selling stockholders named herein may, from time to time, offer and sell or otherwise dispose of the shares of our common stock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p>
    <w:p>
      <w:pPr>
        <w:spacing w:after="0" w:line="56" w:lineRule="exact"/>
        <w:rPr>
          <w:sz w:val="20"/>
          <w:szCs w:val="20"/>
          <w:color w:val="auto"/>
        </w:rPr>
      </w:pPr>
    </w:p>
    <w:p>
      <w:pPr>
        <w:ind w:left="1260" w:right="419"/>
        <w:spacing w:after="0" w:line="245" w:lineRule="auto"/>
        <w:rPr>
          <w:sz w:val="20"/>
          <w:szCs w:val="20"/>
          <w:color w:val="auto"/>
        </w:rPr>
      </w:pPr>
      <w:r>
        <w:rPr>
          <w:rFonts w:ascii="Arial" w:cs="Arial" w:eastAsia="Arial" w:hAnsi="Arial"/>
          <w:sz w:val="18"/>
          <w:szCs w:val="18"/>
          <w:color w:val="auto"/>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p>
    <w:p>
      <w:pPr>
        <w:spacing w:after="0" w:line="56"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p>
    <w:p>
      <w:pPr>
        <w:spacing w:after="0" w:line="57"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51"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Unless otherwise indicated or the context otherwise requires, when we refer to “Century,” “we,” “our,” “us” and the “Company” in this prospectus, we mean Century Therapeutics, Inc., and its wholly owned subsidiaries unless otherwise specified. When we refer to “you,” we mean the potential holders of the applicable series of securities.</w:t>
      </w:r>
    </w:p>
    <w:p>
      <w:pPr>
        <w:spacing w:after="0" w:line="49" w:lineRule="exact"/>
        <w:rPr>
          <w:sz w:val="20"/>
          <w:szCs w:val="20"/>
          <w:color w:val="auto"/>
        </w:rPr>
      </w:pPr>
    </w:p>
    <w:p>
      <w:pPr>
        <w:ind w:left="1260" w:right="439"/>
        <w:spacing w:after="0" w:line="263" w:lineRule="auto"/>
        <w:rPr>
          <w:sz w:val="20"/>
          <w:szCs w:val="20"/>
          <w:color w:val="auto"/>
        </w:rPr>
      </w:pPr>
      <w:r>
        <w:rPr>
          <w:rFonts w:ascii="Arial" w:cs="Arial" w:eastAsia="Arial" w:hAnsi="Arial"/>
          <w:sz w:val="17"/>
          <w:szCs w:val="17"/>
          <w:color w:val="auto"/>
        </w:rPr>
        <w:t>“Century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including those regarding our strategy, future operations, future financial position, future revenues, projected costs, prospects, plans and objectives of management,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 looking statements, although not all forward 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 Forward-looking statements include, but are not limited to, statements concerning:</w:t>
      </w:r>
    </w:p>
    <w:p>
      <w:pPr>
        <w:spacing w:after="0" w:line="9" w:lineRule="exact"/>
        <w:rPr>
          <w:sz w:val="20"/>
          <w:szCs w:val="20"/>
          <w:color w:val="auto"/>
        </w:rPr>
      </w:pPr>
    </w:p>
    <w:p>
      <w:pPr>
        <w:ind w:left="1620" w:right="81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ind w:left="1620" w:right="65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ind w:left="1620" w:right="7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ind w:left="1620" w:right="61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36" w:lineRule="exact"/>
        <w:rPr>
          <w:rFonts w:ascii="Arial" w:cs="Arial" w:eastAsia="Arial" w:hAnsi="Arial"/>
          <w:sz w:val="18"/>
          <w:szCs w:val="18"/>
          <w:color w:val="auto"/>
        </w:rPr>
      </w:pPr>
    </w:p>
    <w:p>
      <w:pPr>
        <w:ind w:left="1620" w:right="85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novelty of our approach to immuno-oncology and autoimmune treatment of cancer, utilizing iPSC-derived natural killer cells, or iNK cells, and iPSC-derived T cells, or iT cells, and the challenges we will face due to the novel nature of such technology;</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jc w:val="both"/>
        <w:ind w:left="1620" w:right="49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2" w:lineRule="exact"/>
        <w:rPr>
          <w:rFonts w:ascii="Arial" w:cs="Arial" w:eastAsia="Arial" w:hAnsi="Arial"/>
          <w:sz w:val="18"/>
          <w:szCs w:val="18"/>
          <w:color w:val="auto"/>
        </w:rPr>
      </w:pPr>
    </w:p>
    <w:p>
      <w:pPr>
        <w:ind w:left="1620" w:right="67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ind w:left="1620" w:right="639" w:hanging="360"/>
        <w:spacing w:after="0" w:line="290"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future investigational new drug, or IND, applications and the likelihood of, and our ability to obtain and maintain, regulatory clearance of IND applications for our product candidates;</w:t>
      </w:r>
    </w:p>
    <w:p>
      <w:pPr>
        <w:ind w:left="1620" w:right="10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ind w:left="1620" w:right="499" w:hanging="360"/>
        <w:spacing w:after="0" w:line="266"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ind w:left="1620" w:right="439" w:hanging="360"/>
        <w:spacing w:after="0" w:line="281"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on the maintenance of our collaborative relationship with Bristol-Myers Squibb Company, or Bristol-Myers Squibb, in connection with the furtherance of our collaboration programs;</w:t>
      </w:r>
    </w:p>
    <w:p>
      <w:pPr>
        <w:spacing w:after="0" w:line="1" w:lineRule="exact"/>
        <w:rPr>
          <w:rFonts w:ascii="Arial" w:cs="Arial" w:eastAsia="Arial" w:hAnsi="Arial"/>
          <w:sz w:val="17"/>
          <w:szCs w:val="17"/>
          <w:color w:val="auto"/>
        </w:rPr>
      </w:pPr>
    </w:p>
    <w:p>
      <w:pPr>
        <w:ind w:left="1620" w:right="1059" w:hanging="360"/>
        <w:spacing w:after="0" w:line="273"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with the operations of Clade following the acquisition and achieve the anticipated benefits of the acquisition;</w:t>
      </w:r>
    </w:p>
    <w:p>
      <w:pPr>
        <w:spacing w:after="0" w:line="1" w:lineRule="exact"/>
        <w:rPr>
          <w:rFonts w:ascii="Arial" w:cs="Arial" w:eastAsia="Arial" w:hAnsi="Arial"/>
          <w:sz w:val="18"/>
          <w:szCs w:val="18"/>
          <w:color w:val="auto"/>
        </w:rPr>
      </w:pPr>
    </w:p>
    <w:p>
      <w:pPr>
        <w:ind w:left="1620" w:right="519" w:hanging="360"/>
        <w:spacing w:after="0" w:line="260"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2" w:lineRule="exact"/>
        <w:rPr>
          <w:rFonts w:ascii="Arial" w:cs="Arial" w:eastAsia="Arial" w:hAnsi="Arial"/>
          <w:sz w:val="18"/>
          <w:szCs w:val="18"/>
          <w:color w:val="auto"/>
        </w:rPr>
      </w:pPr>
    </w:p>
    <w:p>
      <w:pPr>
        <w:ind w:left="1620" w:right="1459" w:hanging="360"/>
        <w:spacing w:after="0" w:line="28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5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public opinion and scrutiny of cell-based therapies and its potential impact on public perception of our company and product candidates;</w:t>
      </w:r>
    </w:p>
    <w:p>
      <w:pPr>
        <w:spacing w:after="0" w:line="1" w:lineRule="exact"/>
        <w:rPr>
          <w:rFonts w:ascii="Arial" w:cs="Arial" w:eastAsia="Arial" w:hAnsi="Arial"/>
          <w:sz w:val="18"/>
          <w:szCs w:val="18"/>
          <w:color w:val="auto"/>
        </w:rPr>
      </w:pPr>
    </w:p>
    <w:p>
      <w:pPr>
        <w:ind w:left="1620" w:right="61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ind w:left="1620" w:right="59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49" w:lineRule="exact"/>
        <w:rPr>
          <w:rFonts w:ascii="Arial" w:cs="Arial" w:eastAsia="Arial" w:hAnsi="Arial"/>
          <w:sz w:val="18"/>
          <w:szCs w:val="18"/>
          <w:color w:val="auto"/>
        </w:rPr>
      </w:pPr>
    </w:p>
    <w:p>
      <w:pPr>
        <w:ind w:left="1620" w:right="439" w:hanging="360"/>
        <w:spacing w:after="0" w:line="25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ind w:left="1620" w:right="1099" w:hanging="360"/>
        <w:spacing w:after="0" w:line="27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 w:lineRule="exact"/>
        <w:rPr>
          <w:rFonts w:ascii="Arial" w:cs="Arial" w:eastAsia="Arial" w:hAnsi="Arial"/>
          <w:sz w:val="18"/>
          <w:szCs w:val="18"/>
          <w:color w:val="auto"/>
        </w:rPr>
      </w:pPr>
    </w:p>
    <w:p>
      <w:pPr>
        <w:ind w:left="1620" w:right="979" w:hanging="360"/>
        <w:spacing w:after="0" w:line="290" w:lineRule="auto"/>
        <w:tabs>
          <w:tab w:leader="none" w:pos="1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jc w:val="both"/>
        <w:ind w:left="1620" w:right="559" w:hanging="360"/>
        <w:spacing w:after="0" w:line="260"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pandemics, such as the COVID-19 pandemic, or any other global health crises may impact our business, including development activities, preclinical studies, clinical trials, supply chain and labor force;</w:t>
      </w:r>
    </w:p>
    <w:p>
      <w:pPr>
        <w:spacing w:after="0" w:line="2" w:lineRule="exact"/>
        <w:rPr>
          <w:rFonts w:ascii="Arial" w:cs="Arial" w:eastAsia="Arial" w:hAnsi="Arial"/>
          <w:sz w:val="18"/>
          <w:szCs w:val="18"/>
          <w:color w:val="auto"/>
        </w:rPr>
      </w:pPr>
    </w:p>
    <w:p>
      <w:pPr>
        <w:ind w:left="1620" w:hanging="360"/>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49"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2023, as such risk factors may be amended, supplemented or superseded from time to time by our subsequent periodic reports we file with the SEC.</w:t>
      </w:r>
    </w:p>
    <w:p>
      <w:pPr>
        <w:spacing w:after="0" w:line="109"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04" w:lineRule="exact"/>
        <w:rPr>
          <w:sz w:val="20"/>
          <w:szCs w:val="20"/>
          <w:color w:val="auto"/>
        </w:rPr>
      </w:pPr>
    </w:p>
    <w:p>
      <w:pPr>
        <w:ind w:left="1260" w:right="879"/>
        <w:spacing w:after="0" w:line="262" w:lineRule="auto"/>
        <w:rPr>
          <w:sz w:val="20"/>
          <w:szCs w:val="20"/>
          <w:color w:val="auto"/>
        </w:rPr>
      </w:pPr>
      <w:r>
        <w:rPr>
          <w:rFonts w:ascii="Arial" w:cs="Arial" w:eastAsia="Arial" w:hAnsi="Arial"/>
          <w:sz w:val="18"/>
          <w:szCs w:val="18"/>
          <w:color w:val="auto"/>
        </w:rPr>
        <w:t>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ABOUT THE COMPANY</w:t>
      </w:r>
    </w:p>
    <w:p>
      <w:pPr>
        <w:spacing w:after="0" w:line="335"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i w:val="1"/>
          <w:iCs w:val="1"/>
          <w:color w:val="auto"/>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are an innovative biotechnology company harnessing the power of adult stem cells to develop curative cell therapy products for cancer and autoimmune diseases that we believe will allow us to overcome the limitations of first-generation cell therapies. We have created a comprehensive, genetically engineered allogeneic cell therapy platform that includes:</w:t>
      </w:r>
    </w:p>
    <w:p>
      <w:pPr>
        <w:spacing w:after="0" w:line="2" w:lineRule="exact"/>
        <w:rPr>
          <w:sz w:val="20"/>
          <w:szCs w:val="20"/>
          <w:color w:val="auto"/>
        </w:rPr>
      </w:pPr>
    </w:p>
    <w:p>
      <w:pPr>
        <w:ind w:left="1620" w:right="57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Industry-leading induced pluripotent stem cells, or iPSCs, and differentiated know-how to generate immune effector cells from iPSCs, or iPSC- derived cells;</w:t>
      </w:r>
    </w:p>
    <w:p>
      <w:pPr>
        <w:ind w:left="1620" w:right="779" w:hanging="360"/>
        <w:spacing w:after="0" w:line="260"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remove target genes intended to optimize cell product performance;</w:t>
      </w:r>
    </w:p>
    <w:p>
      <w:pPr>
        <w:spacing w:after="0" w:line="2" w:lineRule="exact"/>
        <w:rPr>
          <w:rFonts w:ascii="Arial" w:cs="Arial" w:eastAsia="Arial" w:hAnsi="Arial"/>
          <w:sz w:val="18"/>
          <w:szCs w:val="18"/>
          <w:color w:val="auto"/>
        </w:rPr>
      </w:pPr>
    </w:p>
    <w:p>
      <w:pPr>
        <w:ind w:left="1620" w:right="979" w:hanging="360"/>
        <w:spacing w:after="0" w:line="27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1" w:lineRule="exact"/>
        <w:rPr>
          <w:rFonts w:ascii="Arial" w:cs="Arial" w:eastAsia="Arial" w:hAnsi="Arial"/>
          <w:sz w:val="18"/>
          <w:szCs w:val="18"/>
          <w:color w:val="auto"/>
        </w:rPr>
      </w:pPr>
    </w:p>
    <w:p>
      <w:pPr>
        <w:ind w:left="1620" w:right="599" w:hanging="360"/>
        <w:spacing w:after="0" w:line="26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proprietary Allo-Evasion™ technology intended to prevent rejection of our cell products by the host immune system; and</w:t>
      </w:r>
    </w:p>
    <w:p>
      <w:pPr>
        <w:ind w:left="1620" w:right="559" w:hanging="360"/>
        <w:spacing w:after="0" w:line="28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Cutting edge manufacturing capabilities intended to minimize product development risk and supply risk.</w:t>
      </w:r>
    </w:p>
    <w:p>
      <w:pPr>
        <w:spacing w:after="0" w:line="85"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that these vertically integrated capabilities will allow us to further expand our existing pipeline and develop therapeutics from iNK cells and iT cells that may provide enhanced clinical outcomes compared to available therapeutic options. We believe our commitment to developing off-the-shelf cell therapies will expand patient access and provide an unparalleled opportunity to advance the course of treatment. Our vision is to become a premier fully integrated biotechnology company by developing and ultimately commercializing off-the-shelf allogeneic cell therapies that dramatically and positively transform the lives of patients suffering from life-threatening cancers, as well as autoimmune diseases. To achieve our vision, we have assembled a world-class team whose members collectively have decades of experience in cell therapy and drug development, manufacturing, and commercialization.</w:t>
      </w:r>
    </w:p>
    <w:p>
      <w:pPr>
        <w:spacing w:after="0" w:line="101"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w:t>
      </w: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399"/>
        <w:spacing w:after="0" w:line="275" w:lineRule="auto"/>
        <w:rPr>
          <w:sz w:val="20"/>
          <w:szCs w:val="20"/>
          <w:color w:val="auto"/>
        </w:rPr>
      </w:pPr>
      <w:r>
        <w:rPr>
          <w:rFonts w:ascii="Arial" w:cs="Arial" w:eastAsia="Arial" w:hAnsi="Arial"/>
          <w:sz w:val="17"/>
          <w:szCs w:val="17"/>
          <w:color w:val="auto"/>
        </w:rPr>
        <w:t>of technologies that bring together a preeminent iPSC-derived allogeneic cell therapy platform with highly advanced cell engineering and manufacturing capabilities. We believe this unique combination puts us in a position to change the oncology and autoimmune and inflammatory treatment paradigm and market.</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Merger</w:t>
      </w:r>
    </w:p>
    <w:p>
      <w:pPr>
        <w:spacing w:after="0" w:line="77" w:lineRule="exact"/>
        <w:rPr>
          <w:sz w:val="20"/>
          <w:szCs w:val="20"/>
          <w:color w:val="auto"/>
        </w:rPr>
      </w:pPr>
    </w:p>
    <w:p>
      <w:pPr>
        <w:ind w:left="1260" w:right="639"/>
        <w:spacing w:after="0" w:line="251" w:lineRule="auto"/>
        <w:rPr>
          <w:sz w:val="20"/>
          <w:szCs w:val="20"/>
          <w:color w:val="auto"/>
        </w:rPr>
      </w:pPr>
      <w:r>
        <w:rPr>
          <w:rFonts w:ascii="Arial" w:cs="Arial" w:eastAsia="Arial" w:hAnsi="Arial"/>
          <w:sz w:val="17"/>
          <w:szCs w:val="17"/>
          <w:color w:val="auto"/>
        </w:rPr>
        <w:t>On April 11, 2024, we entered into the Merger Agreement, pursuant to which Merger Sub merged with and into Clade, with Clade continuing as the surviving corporation in the Merger and our wholly owned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indirect subsidiary. Pursuant to the terms of the Merger Agreement, the aggregate upfront consideration</w:t>
      </w:r>
    </w:p>
    <w:p>
      <w:pPr>
        <w:spacing w:after="0" w:line="7" w:lineRule="exact"/>
        <w:rPr>
          <w:sz w:val="20"/>
          <w:szCs w:val="20"/>
          <w:color w:val="auto"/>
        </w:rPr>
      </w:pPr>
    </w:p>
    <w:p>
      <w:pPr>
        <w:ind w:left="1260" w:right="859"/>
        <w:spacing w:after="0"/>
        <w:rPr>
          <w:sz w:val="20"/>
          <w:szCs w:val="20"/>
          <w:color w:val="auto"/>
        </w:rPr>
      </w:pPr>
      <w:r>
        <w:rPr>
          <w:rFonts w:ascii="Arial" w:cs="Arial" w:eastAsia="Arial" w:hAnsi="Arial"/>
          <w:sz w:val="17"/>
          <w:szCs w:val="17"/>
          <w:color w:val="auto"/>
        </w:rPr>
        <w:t>was approximately $35 million, consisting of (i) approximately $15 million in cash and (ii) 4,535,333 shares of common stock. 793,687 shares of common stock, representing approximately 10% of the</w:t>
      </w:r>
    </w:p>
    <w:p>
      <w:pPr>
        <w:ind w:left="1260"/>
        <w:spacing w:after="0" w:line="235" w:lineRule="auto"/>
        <w:rPr>
          <w:sz w:val="20"/>
          <w:szCs w:val="20"/>
          <w:color w:val="auto"/>
        </w:rPr>
      </w:pPr>
      <w:r>
        <w:rPr>
          <w:rFonts w:ascii="Arial" w:cs="Arial" w:eastAsia="Arial" w:hAnsi="Arial"/>
          <w:sz w:val="18"/>
          <w:szCs w:val="18"/>
          <w:color w:val="auto"/>
        </w:rPr>
        <w:t>aggregate purchase price, were held back at the closing of the Merger as recourse to satisfy certain</w:t>
      </w:r>
    </w:p>
    <w:p>
      <w:pPr>
        <w:ind w:left="1260" w:right="439"/>
        <w:spacing w:after="0"/>
        <w:rPr>
          <w:sz w:val="20"/>
          <w:szCs w:val="20"/>
          <w:color w:val="auto"/>
        </w:rPr>
      </w:pPr>
      <w:r>
        <w:rPr>
          <w:rFonts w:ascii="Arial" w:cs="Arial" w:eastAsia="Arial" w:hAnsi="Arial"/>
          <w:sz w:val="17"/>
          <w:szCs w:val="17"/>
          <w:color w:val="auto"/>
        </w:rPr>
        <w:t>indemnification obligations of the Clade securityholders under the Merger Agreement and, subject to any forfeiture of Merger Shares as a result of indemnification claims made prior to the 18-month anniversary</w:t>
      </w:r>
    </w:p>
    <w:p>
      <w:pPr>
        <w:spacing w:after="0" w:line="1"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of the closing of the Merger, will be issued pursuant to the terms of the Merger Agreement following the 18-month anniversary of the closing of the Merger.</w:t>
      </w:r>
    </w:p>
    <w:p>
      <w:pPr>
        <w:spacing w:after="0" w:line="91" w:lineRule="exact"/>
        <w:rPr>
          <w:sz w:val="20"/>
          <w:szCs w:val="20"/>
          <w:color w:val="auto"/>
        </w:rPr>
      </w:pPr>
    </w:p>
    <w:p>
      <w:pPr>
        <w:ind w:left="1260" w:right="539"/>
        <w:spacing w:after="0" w:line="251" w:lineRule="auto"/>
        <w:rPr>
          <w:sz w:val="20"/>
          <w:szCs w:val="20"/>
          <w:color w:val="auto"/>
        </w:rPr>
      </w:pPr>
      <w:r>
        <w:rPr>
          <w:rFonts w:ascii="Arial" w:cs="Arial" w:eastAsia="Arial" w:hAnsi="Arial"/>
          <w:sz w:val="17"/>
          <w:szCs w:val="17"/>
          <w:color w:val="auto"/>
        </w:rPr>
        <w:t>Following the closing of the Merger, the Merger Agreement provides for one potential clinical development milestone payment of $10 million (which may be paid by us in cash, shares of its common</w:t>
      </w:r>
    </w:p>
    <w:p>
      <w:pPr>
        <w:spacing w:after="0" w:line="1" w:lineRule="exact"/>
        <w:rPr>
          <w:sz w:val="20"/>
          <w:szCs w:val="20"/>
          <w:color w:val="auto"/>
        </w:rPr>
      </w:pPr>
    </w:p>
    <w:p>
      <w:pPr>
        <w:ind w:left="1260" w:right="1019"/>
        <w:spacing w:after="0" w:line="250" w:lineRule="auto"/>
        <w:rPr>
          <w:sz w:val="20"/>
          <w:szCs w:val="20"/>
          <w:color w:val="auto"/>
        </w:rPr>
      </w:pPr>
      <w:r>
        <w:rPr>
          <w:rFonts w:ascii="Arial" w:cs="Arial" w:eastAsia="Arial" w:hAnsi="Arial"/>
          <w:sz w:val="18"/>
          <w:szCs w:val="18"/>
          <w:color w:val="auto"/>
        </w:rPr>
        <w:t>stock or a combination thereof) to be made to Clade securityholders upon the achievement of the milestone.</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Pursuant to the Merger Agreement, we agreed to file a registration statement on Form S-3 to register for</w:t>
      </w:r>
    </w:p>
    <w:p>
      <w:pPr>
        <w:spacing w:after="0" w:line="25" w:lineRule="exact"/>
        <w:rPr>
          <w:sz w:val="20"/>
          <w:szCs w:val="20"/>
          <w:color w:val="auto"/>
        </w:rPr>
      </w:pPr>
    </w:p>
    <w:p>
      <w:pPr>
        <w:ind w:left="1260" w:right="699"/>
        <w:spacing w:after="0"/>
        <w:rPr>
          <w:sz w:val="20"/>
          <w:szCs w:val="20"/>
          <w:color w:val="auto"/>
        </w:rPr>
      </w:pPr>
      <w:r>
        <w:rPr>
          <w:rFonts w:ascii="Arial" w:cs="Arial" w:eastAsia="Arial" w:hAnsi="Arial"/>
          <w:sz w:val="17"/>
          <w:szCs w:val="17"/>
          <w:color w:val="auto"/>
        </w:rPr>
        <w:t>resale the Merger Shares no later than 90 days following the closing of the Merger. We agreed to use commercially reasonable efforts to have the registration statement declared effective as soon as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practicable after the filing. This prospectus is part of that registration statement.</w:t>
      </w:r>
    </w:p>
    <w:p>
      <w:pPr>
        <w:spacing w:after="0" w:line="113"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Under the Merger Agreement, we also agreed to maintain the effectiveness of the registration statement until the earliest to occur of: (i) April 11, 2029, and (ii) the date that all Merger Shares covered by the</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registration statement are sold or are able to be sold by the holders thereof by relying on Rule 144 under the Securities Act without any restriction, including volume limitation.</w:t>
      </w:r>
    </w:p>
    <w:p>
      <w:pPr>
        <w:spacing w:after="0" w:line="113"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The description of the Merger Agreement is qualified in its entirety by reference to the Merger Agreement, which has been filed as an exhibit to our Current Report on Form 8-K filed on April 11, 2024.</w:t>
      </w:r>
    </w:p>
    <w:p>
      <w:pPr>
        <w:ind w:left="1260"/>
        <w:spacing w:after="0" w:line="235" w:lineRule="auto"/>
        <w:rPr>
          <w:sz w:val="20"/>
          <w:szCs w:val="20"/>
          <w:color w:val="auto"/>
        </w:rPr>
      </w:pPr>
      <w:r>
        <w:rPr>
          <w:rFonts w:ascii="Arial" w:cs="Arial" w:eastAsia="Arial" w:hAnsi="Arial"/>
          <w:sz w:val="18"/>
          <w:szCs w:val="18"/>
          <w:color w:val="auto"/>
        </w:rPr>
        <w:t>See “Where You Can Find More Information” and “Information Incorporated by Reference.” The</w:t>
      </w:r>
    </w:p>
    <w:p>
      <w:pPr>
        <w:ind w:left="1260" w:right="499"/>
        <w:spacing w:after="0"/>
        <w:rPr>
          <w:sz w:val="20"/>
          <w:szCs w:val="20"/>
          <w:color w:val="auto"/>
        </w:rPr>
      </w:pPr>
      <w:r>
        <w:rPr>
          <w:rFonts w:ascii="Arial" w:cs="Arial" w:eastAsia="Arial" w:hAnsi="Arial"/>
          <w:sz w:val="17"/>
          <w:szCs w:val="17"/>
          <w:color w:val="auto"/>
        </w:rPr>
        <w:t>representations, warranties and covenants made by us in the Merger Agreement were made solely for the benefit of the parties to such agreements, including, in some cases, for the purpose of allocating risk</w:t>
      </w:r>
    </w:p>
    <w:p>
      <w:pPr>
        <w:ind w:left="1260"/>
        <w:spacing w:after="0" w:line="235" w:lineRule="auto"/>
        <w:rPr>
          <w:sz w:val="20"/>
          <w:szCs w:val="20"/>
          <w:color w:val="auto"/>
        </w:rPr>
      </w:pPr>
      <w:r>
        <w:rPr>
          <w:rFonts w:ascii="Arial" w:cs="Arial" w:eastAsia="Arial" w:hAnsi="Arial"/>
          <w:sz w:val="18"/>
          <w:szCs w:val="18"/>
          <w:color w:val="auto"/>
        </w:rPr>
        <w:t>among the parties thereto, and should not be deemed to be a representation, warranty or covenant to</w:t>
      </w:r>
    </w:p>
    <w:p>
      <w:pPr>
        <w:ind w:left="1260" w:right="939"/>
        <w:spacing w:after="0"/>
        <w:rPr>
          <w:sz w:val="20"/>
          <w:szCs w:val="20"/>
          <w:color w:val="auto"/>
        </w:rPr>
      </w:pPr>
      <w:r>
        <w:rPr>
          <w:rFonts w:ascii="Arial" w:cs="Arial" w:eastAsia="Arial" w:hAnsi="Arial"/>
          <w:sz w:val="17"/>
          <w:szCs w:val="17"/>
          <w:color w:val="auto"/>
        </w:rPr>
        <w:t>you. Moreover, such representations, warranties or covenants were made as of an earlier date. Accordingly, such representations, warranties and covenants should not be relied on as accurately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representing the current state of our affairs.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color w:val="auto"/>
        </w:rPr>
        <w:t>Our primary executive offices are located at 25 North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77" w:lineRule="exact"/>
        <w:rPr>
          <w:sz w:val="20"/>
          <w:szCs w:val="20"/>
          <w:color w:val="auto"/>
        </w:rPr>
      </w:pPr>
    </w:p>
    <w:p>
      <w:pPr>
        <w:ind w:left="1260" w:right="399"/>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earliest of (1) December 31, 2026,</w:t>
      </w:r>
    </w:p>
    <w:p>
      <w:pPr>
        <w:spacing w:after="0" w:line="2" w:lineRule="exact"/>
        <w:rPr>
          <w:sz w:val="20"/>
          <w:szCs w:val="20"/>
          <w:color w:val="auto"/>
        </w:rPr>
      </w:pPr>
    </w:p>
    <w:p>
      <w:pPr>
        <w:ind w:left="1260" w:right="639"/>
        <w:spacing w:after="0" w:line="242" w:lineRule="auto"/>
        <w:tabs>
          <w:tab w:leader="none" w:pos="1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p>
    <w:p>
      <w:pPr>
        <w:spacing w:after="0" w:line="36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For as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p>
    <w:p>
      <w:pPr>
        <w:spacing w:after="0" w:line="113"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1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ind w:left="1260" w:right="499"/>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Investing in our common stock involves a high degree of risk. Before making a decision to invest in our common stock, in addition to the other information contained in this prospectus, in any accompanying prospectus supplement or incorporated by reference herein or therein, you should carefully consider the </w:t>
      </w:r>
      <w:hyperlink r:id="rId20">
        <w:r>
          <w:rPr>
            <w:rFonts w:ascii="Arial" w:cs="Arial" w:eastAsia="Arial" w:hAnsi="Arial"/>
            <w:sz w:val="17"/>
            <w:szCs w:val="17"/>
            <w:color w:val="auto"/>
          </w:rPr>
          <w:t xml:space="preserve">risks set forth below and the risks described under “Risk Factors” contained in our </w:t>
        </w:r>
        <w:r>
          <w:rPr>
            <w:rFonts w:ascii="Arial" w:cs="Arial" w:eastAsia="Arial" w:hAnsi="Arial"/>
            <w:sz w:val="17"/>
            <w:szCs w:val="17"/>
            <w:u w:val="single" w:color="auto"/>
            <w:color w:val="0000EE"/>
          </w:rPr>
          <w:t>Annual Report on</w:t>
        </w:r>
      </w:hyperlink>
      <w:r>
        <w:rPr>
          <w:rFonts w:ascii="Arial" w:cs="Arial" w:eastAsia="Arial" w:hAnsi="Arial"/>
          <w:sz w:val="17"/>
          <w:szCs w:val="17"/>
          <w:color w:val="auto"/>
        </w:rPr>
        <w:t xml:space="preserve"> </w:t>
      </w:r>
      <w:hyperlink r:id="rId20">
        <w:r>
          <w:rPr>
            <w:rFonts w:ascii="Arial" w:cs="Arial" w:eastAsia="Arial" w:hAnsi="Arial"/>
            <w:sz w:val="17"/>
            <w:szCs w:val="17"/>
            <w:u w:val="single" w:color="auto"/>
            <w:color w:val="0000EE"/>
          </w:rPr>
          <w:t>Form 10-K for the year ended December 31, 2023</w:t>
        </w:r>
        <w:r>
          <w:rPr>
            <w:rFonts w:ascii="Arial" w:cs="Arial" w:eastAsia="Arial" w:hAnsi="Arial"/>
            <w:sz w:val="17"/>
            <w:szCs w:val="17"/>
            <w:color w:val="000000"/>
          </w:rPr>
          <w:t xml:space="preserve">, and our subsequent Quarterly Reports, as well </w:t>
        </w:r>
      </w:hyperlink>
      <w:r>
        <w:rPr>
          <w:rFonts w:ascii="Arial" w:cs="Arial" w:eastAsia="Arial" w:hAnsi="Arial"/>
          <w:sz w:val="17"/>
          <w:szCs w:val="17"/>
          <w:color w:val="0000EE"/>
        </w:rPr>
        <w:t xml:space="preserve">as </w:t>
      </w:r>
      <w:r>
        <w:rPr>
          <w:rFonts w:ascii="Arial" w:cs="Arial" w:eastAsia="Arial" w:hAnsi="Arial"/>
          <w:sz w:val="17"/>
          <w:szCs w:val="17"/>
          <w:color w:val="000000"/>
        </w:rPr>
        <w:t>any amendments thereto, which are incorporated by reference into this prospectus in their entirety, together with other information in this prospectus and any applicable prospectus supplement, the documents incorporated by reference, and any free writing prospectus that we may authorize for use in connection with a specific offering. See the section titled “Where You Can Find More Information.”</w:t>
      </w:r>
    </w:p>
    <w:p>
      <w:pPr>
        <w:spacing w:after="0" w:line="41" w:lineRule="exact"/>
        <w:rPr>
          <w:sz w:val="20"/>
          <w:szCs w:val="20"/>
          <w:color w:val="auto"/>
        </w:rPr>
      </w:pPr>
    </w:p>
    <w:p>
      <w:pPr>
        <w:ind w:left="1260" w:right="619"/>
        <w:spacing w:after="0" w:line="267" w:lineRule="auto"/>
        <w:rPr>
          <w:sz w:val="20"/>
          <w:szCs w:val="20"/>
          <w:color w:val="auto"/>
        </w:rPr>
      </w:pPr>
      <w:r>
        <w:rPr>
          <w:rFonts w:ascii="Arial" w:cs="Arial" w:eastAsia="Arial" w:hAnsi="Arial"/>
          <w:sz w:val="18"/>
          <w:szCs w:val="18"/>
          <w:b w:val="1"/>
          <w:bCs w:val="1"/>
          <w:i w:val="1"/>
          <w:iCs w:val="1"/>
          <w:color w:val="auto"/>
        </w:rPr>
        <w:t>Future sales of our common stock by the Selling Stockholders could cause our stock price to decline.</w:t>
      </w:r>
    </w:p>
    <w:p>
      <w:pPr>
        <w:ind w:left="1260" w:right="579"/>
        <w:spacing w:after="0" w:line="258" w:lineRule="auto"/>
        <w:rPr>
          <w:sz w:val="20"/>
          <w:szCs w:val="20"/>
          <w:color w:val="auto"/>
        </w:rPr>
      </w:pPr>
      <w:r>
        <w:rPr>
          <w:rFonts w:ascii="Arial" w:cs="Arial" w:eastAsia="Arial" w:hAnsi="Arial"/>
          <w:sz w:val="18"/>
          <w:szCs w:val="18"/>
          <w:color w:val="auto"/>
        </w:rPr>
        <w:t>Sales of a substantial number of shares of our common stock by the selling stockholders in the public market, or the perception that these sales might occur, could depress the market price of our common stock and could impair our ability to raise capital through the sale of additional equity securities or other securities convertible into or exchangeable for equity securities, regardless of whether there is any relationship between such sales and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33"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w:t>
      </w:r>
    </w:p>
    <w:p>
      <w:pPr>
        <w:spacing w:after="0" w:line="109"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will pay all expenses associated with this prospectus and any amendments or supplements thereto, and any actions or filings necessary to maintain the effectiveness of this prospectus, including filing and printing fees, the fees and expenses of our counsel and accounting fees and expenses, costs associated with clearing the shares for sale under applicable state securities laws and listing fees, but excluding discounts, commissions, fees of underwriters, selling brokers, dealer managers or similar securities industry professionals with respect to the shares being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333" w:lineRule="exact"/>
        <w:rPr>
          <w:sz w:val="20"/>
          <w:szCs w:val="20"/>
          <w:color w:val="auto"/>
        </w:rPr>
      </w:pPr>
    </w:p>
    <w:p>
      <w:pPr>
        <w:ind w:left="1260" w:right="1280"/>
        <w:spacing w:after="0" w:line="248" w:lineRule="auto"/>
        <w:rPr>
          <w:sz w:val="20"/>
          <w:szCs w:val="20"/>
          <w:color w:val="auto"/>
        </w:rPr>
      </w:pPr>
      <w:r>
        <w:rPr>
          <w:rFonts w:ascii="Arial" w:cs="Arial" w:eastAsia="Arial" w:hAnsi="Arial"/>
          <w:sz w:val="18"/>
          <w:szCs w:val="18"/>
          <w:color w:val="auto"/>
        </w:rPr>
        <w:t>This prospectus relates to the sale or other disposition of up to 7,868,666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which are collectively referred to herein as the selling stockholders. These shares consist of the Merger Shares. See “About the Company—The Merger”.</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table below sets forth information as of the date of this prospectus, to our knowledge, the selling</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and other information regarding the beneficial ownership (as determined under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Section 13(d) of the Exchange Act and the rules and regulations thereunder) of the shares of common</w:t>
      </w:r>
    </w:p>
    <w:p>
      <w:pPr>
        <w:ind w:left="1260"/>
        <w:spacing w:after="0" w:line="234" w:lineRule="auto"/>
        <w:rPr>
          <w:sz w:val="20"/>
          <w:szCs w:val="20"/>
          <w:color w:val="auto"/>
        </w:rPr>
      </w:pPr>
      <w:r>
        <w:rPr>
          <w:rFonts w:ascii="Arial" w:cs="Arial" w:eastAsia="Arial" w:hAnsi="Arial"/>
          <w:sz w:val="18"/>
          <w:szCs w:val="18"/>
          <w:color w:val="auto"/>
        </w:rPr>
        <w:t>stock held by the selling stockholders. The second column lists the number of shares of common stock</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beneficially owned by the selling stockholders, as of June 13, 2024. The third column lists the maximum</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shares of common stock that may be sold or otherwise disposed of by the selling stockholders</w:t>
      </w:r>
    </w:p>
    <w:p>
      <w:pPr>
        <w:ind w:left="1260"/>
        <w:spacing w:after="0" w:line="234" w:lineRule="auto"/>
        <w:rPr>
          <w:sz w:val="20"/>
          <w:szCs w:val="20"/>
          <w:color w:val="auto"/>
        </w:rPr>
      </w:pPr>
      <w:r>
        <w:rPr>
          <w:rFonts w:ascii="Arial" w:cs="Arial" w:eastAsia="Arial" w:hAnsi="Arial"/>
          <w:sz w:val="18"/>
          <w:szCs w:val="18"/>
          <w:color w:val="auto"/>
        </w:rPr>
        <w:t>pursuant to the registration statement of which this prospectus forms a part. The selling stockholders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sell or otherwise dispose of some, all or none of their shares. Pursuant to Rules 13d-3 and 13d-5 of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Exchange Act, beneficial ownership includes any shares of our common stock as to which a</w:t>
      </w:r>
    </w:p>
    <w:p>
      <w:pPr>
        <w:ind w:left="1260"/>
        <w:spacing w:after="0" w:line="234" w:lineRule="auto"/>
        <w:rPr>
          <w:sz w:val="20"/>
          <w:szCs w:val="20"/>
          <w:color w:val="auto"/>
        </w:rPr>
      </w:pPr>
      <w:r>
        <w:rPr>
          <w:rFonts w:ascii="Arial" w:cs="Arial" w:eastAsia="Arial" w:hAnsi="Arial"/>
          <w:sz w:val="18"/>
          <w:szCs w:val="18"/>
          <w:color w:val="auto"/>
        </w:rPr>
        <w:t>stockholder has sole or shared voting power or investment power, and also any shares of our common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which the stockholder has the right to acquire within 60 days of June 13, 2024. The percent of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beneficial ownership for the selling stockholders is based on 84,500,780 shares of our common stock</w:t>
      </w:r>
    </w:p>
    <w:p>
      <w:pPr>
        <w:ind w:left="1260"/>
        <w:spacing w:after="0" w:line="234" w:lineRule="auto"/>
        <w:rPr>
          <w:sz w:val="20"/>
          <w:szCs w:val="20"/>
          <w:color w:val="auto"/>
        </w:rPr>
      </w:pPr>
      <w:r>
        <w:rPr>
          <w:rFonts w:ascii="Arial" w:cs="Arial" w:eastAsia="Arial" w:hAnsi="Arial"/>
          <w:sz w:val="18"/>
          <w:szCs w:val="18"/>
          <w:color w:val="auto"/>
        </w:rPr>
        <w:t>outstanding as of June 13, 2024. Except as described below, to our knowledge, none of the selling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 have been an officer or director of ours or of our affiliates within the past three years or had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any material relationship with us or our affiliates within the past three years. Our knowledge is based on</w:t>
      </w:r>
    </w:p>
    <w:p>
      <w:pPr>
        <w:ind w:left="1260"/>
        <w:spacing w:after="0" w:line="234" w:lineRule="auto"/>
        <w:rPr>
          <w:sz w:val="20"/>
          <w:szCs w:val="20"/>
          <w:color w:val="auto"/>
        </w:rPr>
      </w:pPr>
      <w:r>
        <w:rPr>
          <w:rFonts w:ascii="Arial" w:cs="Arial" w:eastAsia="Arial" w:hAnsi="Arial"/>
          <w:sz w:val="18"/>
          <w:szCs w:val="18"/>
          <w:color w:val="auto"/>
        </w:rPr>
        <w:t>information provided by the selling stockholders in investor questionnaires in connection with the Merger,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well as information obtained from relevant Schedule 13D and 13G filings.</w:t>
      </w:r>
    </w:p>
    <w:p>
      <w:pPr>
        <w:spacing w:after="0" w:line="126" w:lineRule="exact"/>
        <w:rPr>
          <w:sz w:val="20"/>
          <w:szCs w:val="20"/>
          <w:color w:val="auto"/>
        </w:rPr>
      </w:pPr>
    </w:p>
    <w:p>
      <w:pPr>
        <w:ind w:left="1260" w:right="1380"/>
        <w:spacing w:after="0" w:line="266" w:lineRule="auto"/>
        <w:rPr>
          <w:sz w:val="20"/>
          <w:szCs w:val="20"/>
          <w:color w:val="auto"/>
        </w:rPr>
      </w:pPr>
      <w:r>
        <w:rPr>
          <w:rFonts w:ascii="Arial" w:cs="Arial" w:eastAsia="Arial" w:hAnsi="Arial"/>
          <w:sz w:val="17"/>
          <w:szCs w:val="17"/>
          <w:color w:val="auto"/>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p>
    <w:p>
      <w:pPr>
        <w:spacing w:after="0" w:line="91" w:lineRule="exact"/>
        <w:rPr>
          <w:sz w:val="20"/>
          <w:szCs w:val="20"/>
          <w:color w:val="auto"/>
        </w:rPr>
      </w:pPr>
    </w:p>
    <w:p>
      <w:pPr>
        <w:jc w:val="both"/>
        <w:ind w:left="1260" w:right="1720"/>
        <w:spacing w:after="0" w:line="318" w:lineRule="auto"/>
        <w:rPr>
          <w:sz w:val="20"/>
          <w:szCs w:val="20"/>
          <w:color w:val="auto"/>
        </w:rPr>
      </w:pPr>
      <w:r>
        <w:rPr>
          <w:rFonts w:ascii="Arial" w:cs="Arial" w:eastAsia="Arial" w:hAnsi="Arial"/>
          <w:sz w:val="17"/>
          <w:szCs w:val="17"/>
          <w:color w:val="auto"/>
        </w:rPr>
        <w:t>Unless otherwise indicated below, the address of each beneficial owner listed in the tables below is c/o Century Therapeutics, Inc., 25 North 38th Street, 11th Floor, Philadelphia, Pennsylvania 19104.</w:t>
      </w:r>
    </w:p>
    <w:p>
      <w:pPr>
        <w:spacing w:after="0" w:line="49" w:lineRule="exact"/>
        <w:rPr>
          <w:sz w:val="20"/>
          <w:szCs w:val="20"/>
          <w:color w:val="auto"/>
        </w:rPr>
      </w:pPr>
    </w:p>
    <w:p>
      <w:pPr>
        <w:ind w:left="1260" w:right="1520"/>
        <w:spacing w:after="0" w:line="253" w:lineRule="auto"/>
        <w:rPr>
          <w:sz w:val="20"/>
          <w:szCs w:val="20"/>
          <w:color w:val="auto"/>
        </w:rPr>
      </w:pPr>
      <w:r>
        <w:rPr>
          <w:rFonts w:ascii="Arial" w:cs="Arial" w:eastAsia="Arial" w:hAnsi="Arial"/>
          <w:sz w:val="18"/>
          <w:szCs w:val="18"/>
          <w:color w:val="auto"/>
        </w:rPr>
        <w:t>Information about the selling stockholders may change over time. Any changed information will be set forth in an amendment to the registration statement or supplement to this prospectus, to the extent required by law.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Number of Shares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vMerge w:val="restart"/>
          </w:tcPr>
          <w:p>
            <w:pPr>
              <w:jc w:val="center"/>
              <w:ind w:right="1295"/>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of Shares of</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4"/>
            <w:vMerge w:val="restart"/>
          </w:tcPr>
          <w:p>
            <w:pPr>
              <w:jc w:val="center"/>
              <w:ind w:left="7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4"/>
            <w:vMerge w:val="restart"/>
          </w:tcPr>
          <w:p>
            <w:pPr>
              <w:jc w:val="center"/>
              <w:ind w:left="78"/>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80" w:type="dxa"/>
            <w:vAlign w:val="bottom"/>
          </w:tcPr>
          <w:p>
            <w:pPr>
              <w:spacing w:after="0"/>
              <w:rPr>
                <w:sz w:val="9"/>
                <w:szCs w:val="9"/>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vMerge w:val="continue"/>
          </w:tcPr>
          <w:p>
            <w:pPr>
              <w:spacing w:after="0"/>
              <w:rPr>
                <w:sz w:val="9"/>
                <w:szCs w:val="9"/>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9"/>
                <w:szCs w:val="9"/>
                <w:color w:val="auto"/>
              </w:rPr>
            </w:pPr>
          </w:p>
        </w:tc>
        <w:tc>
          <w:tcPr>
            <w:tcW w:w="132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rPr>
              <w:t>After Offering(1)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restart"/>
          </w:tcPr>
          <w:p>
            <w:pPr>
              <w:jc w:val="right"/>
              <w:ind w:right="121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1260" w:type="dxa"/>
            <w:vAlign w:val="bottom"/>
            <w:vMerge w:val="restart"/>
          </w:tcPr>
          <w:p>
            <w:pPr>
              <w:spacing w:after="0"/>
              <w:rPr>
                <w:sz w:val="7"/>
                <w:szCs w:val="7"/>
                <w:color w:val="auto"/>
              </w:rPr>
            </w:pPr>
          </w:p>
        </w:tc>
        <w:tc>
          <w:tcPr>
            <w:tcW w:w="3260" w:type="dxa"/>
            <w:vAlign w:val="bottom"/>
            <w:gridSpan w:val="2"/>
            <w:vMerge w:val="continue"/>
          </w:tcPr>
          <w:p>
            <w:pPr>
              <w:spacing w:after="0"/>
              <w:rPr>
                <w:sz w:val="7"/>
                <w:szCs w:val="7"/>
                <w:color w:val="auto"/>
              </w:rPr>
            </w:pPr>
          </w:p>
        </w:tc>
        <w:tc>
          <w:tcPr>
            <w:tcW w:w="200" w:type="dxa"/>
            <w:vAlign w:val="bottom"/>
            <w:gridSpan w:val="3"/>
            <w:vMerge w:val="continue"/>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5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rPr>
              <w:t>to be Sold Pursuant</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260" w:type="dxa"/>
            <w:vAlign w:val="bottom"/>
            <w:vMerge w:val="continue"/>
          </w:tcPr>
          <w:p>
            <w:pPr>
              <w:spacing w:after="0"/>
              <w:rPr>
                <w:sz w:val="3"/>
                <w:szCs w:val="3"/>
                <w:color w:val="auto"/>
              </w:rPr>
            </w:pPr>
          </w:p>
        </w:tc>
        <w:tc>
          <w:tcPr>
            <w:tcW w:w="3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gridSpan w:val="2"/>
            <w:vMerge w:val="restart"/>
          </w:tcPr>
          <w:p>
            <w:pPr>
              <w:jc w:val="center"/>
              <w:spacing w:after="0" w:line="210" w:lineRule="exact"/>
              <w:rPr>
                <w:sz w:val="20"/>
                <w:szCs w:val="20"/>
                <w:color w:val="auto"/>
              </w:rPr>
            </w:pPr>
            <w:r>
              <w:rPr>
                <w:rFonts w:ascii="Arial" w:cs="Arial" w:eastAsia="Arial" w:hAnsi="Arial"/>
                <w:sz w:val="13"/>
                <w:szCs w:val="13"/>
                <w:b w:val="1"/>
                <w:bCs w:val="1"/>
                <w:color w:val="auto"/>
              </w:rPr>
              <w:t xml:space="preserve">Number   </w:t>
            </w:r>
            <w:r>
              <w:rPr>
                <w:rFonts w:ascii="Arial" w:cs="Arial" w:eastAsia="Arial" w:hAnsi="Arial"/>
                <w:sz w:val="24"/>
                <w:szCs w:val="24"/>
                <w:b w:val="1"/>
                <w:bCs w:val="1"/>
                <w:color w:val="auto"/>
                <w:vertAlign w:val="subscript"/>
              </w:rPr>
              <w:t>​</w:t>
            </w: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200" w:type="dxa"/>
            <w:vAlign w:val="bottom"/>
            <w:gridSpan w:val="3"/>
          </w:tcPr>
          <w:p>
            <w:pPr>
              <w:ind w:lef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continue"/>
          </w:tcPr>
          <w:p>
            <w:pPr>
              <w:spacing w:after="0"/>
              <w:rPr>
                <w:sz w:val="16"/>
                <w:szCs w:val="16"/>
                <w:color w:val="auto"/>
              </w:rPr>
            </w:pPr>
          </w:p>
        </w:tc>
        <w:tc>
          <w:tcPr>
            <w:tcW w:w="820" w:type="dxa"/>
            <w:vAlign w:val="bottom"/>
            <w:gridSpan w:val="5"/>
          </w:tcPr>
          <w:p>
            <w:pPr>
              <w:jc w:val="right"/>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Percent </w:t>
            </w:r>
            <w:r>
              <w:rPr>
                <w:rFonts w:ascii="Arial" w:cs="Arial" w:eastAsia="Arial" w:hAnsi="Arial"/>
                <w:sz w:val="19"/>
                <w:szCs w:val="19"/>
                <w:b w:val="1"/>
                <w:bCs w:val="1"/>
                <w:color w:val="auto"/>
                <w:vertAlign w:val="subscript"/>
              </w:rPr>
              <w:t>​ ​</w:t>
            </w:r>
          </w:p>
        </w:tc>
        <w:tc>
          <w:tcPr>
            <w:tcW w:w="1520" w:type="dxa"/>
            <w:vAlign w:val="bottom"/>
            <w:gridSpan w:val="3"/>
          </w:tcPr>
          <w:p>
            <w:pPr>
              <w:ind w:left="80"/>
              <w:spacing w:after="0" w:line="164" w:lineRule="exact"/>
              <w:rPr>
                <w:sz w:val="20"/>
                <w:szCs w:val="20"/>
                <w:color w:val="auto"/>
              </w:rPr>
            </w:pPr>
            <w:r>
              <w:rPr>
                <w:rFonts w:ascii="Arial" w:cs="Arial" w:eastAsia="Arial" w:hAnsi="Arial"/>
                <w:sz w:val="11"/>
                <w:szCs w:val="11"/>
                <w:b w:val="1"/>
                <w:bCs w:val="1"/>
                <w:color w:val="auto"/>
              </w:rPr>
              <w:t xml:space="preserve">to this Prospectus  </w:t>
            </w:r>
            <w:r>
              <w:rPr>
                <w:rFonts w:ascii="Arial" w:cs="Arial" w:eastAsia="Arial" w:hAnsi="Arial"/>
                <w:sz w:val="19"/>
                <w:szCs w:val="19"/>
                <w:b w:val="1"/>
                <w:bCs w:val="1"/>
                <w:color w:val="auto"/>
                <w:vertAlign w:val="subscript"/>
              </w:rPr>
              <w:t>​</w:t>
            </w:r>
          </w:p>
        </w:tc>
        <w:tc>
          <w:tcPr>
            <w:tcW w:w="840" w:type="dxa"/>
            <w:vAlign w:val="bottom"/>
            <w:gridSpan w:val="4"/>
          </w:tcPr>
          <w:p>
            <w:pPr>
              <w:ind w:left="20"/>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Number </w:t>
            </w:r>
            <w:r>
              <w:rPr>
                <w:rFonts w:ascii="Arial" w:cs="Arial" w:eastAsia="Arial" w:hAnsi="Arial"/>
                <w:sz w:val="19"/>
                <w:szCs w:val="19"/>
                <w:b w:val="1"/>
                <w:bCs w:val="1"/>
                <w:color w:val="auto"/>
                <w:vertAlign w:val="subscript"/>
              </w:rPr>
              <w:t>​</w:t>
            </w:r>
          </w:p>
        </w:tc>
        <w:tc>
          <w:tcPr>
            <w:tcW w:w="1940" w:type="dxa"/>
            <w:vAlign w:val="bottom"/>
            <w:gridSpan w:val="5"/>
          </w:tcPr>
          <w:p>
            <w:pPr>
              <w:jc w:val="right"/>
              <w:ind w:right="1215"/>
              <w:spacing w:after="0" w:line="164"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 xml:space="preserve"> Percent </w:t>
            </w:r>
            <w:r>
              <w:rPr>
                <w:rFonts w:ascii="Arial" w:cs="Arial" w:eastAsia="Arial" w:hAnsi="Arial"/>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Syncona Portfolio Limited(2)</w:t>
            </w:r>
          </w:p>
        </w:tc>
        <w:tc>
          <w:tcPr>
            <w:tcW w:w="120" w:type="dxa"/>
            <w:vAlign w:val="bottom"/>
          </w:tcPr>
          <w:p>
            <w:pPr>
              <w:spacing w:after="0"/>
              <w:rPr>
                <w:sz w:val="22"/>
                <w:szCs w:val="22"/>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2,042,471​​</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2.4​​%​</w:t>
            </w: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2,042,471​​</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ECI Health Fund 3, LLC(3)</w:t>
            </w:r>
          </w:p>
        </w:tc>
        <w:tc>
          <w:tcPr>
            <w:tcW w:w="12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1,021,235​​</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w:t>
            </w: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1,021,235​​</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LifeSci Venture SPV XIII, LLC(4)</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953,152​​</w:t>
            </w:r>
          </w:p>
        </w:tc>
        <w:tc>
          <w:tcPr>
            <w:tcW w:w="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953,152​​</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w:t>
            </w:r>
          </w:p>
        </w:tc>
        <w:tc>
          <w:tcPr>
            <w:tcW w:w="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Bristol-Myers Squibb Company(5)</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510,617​​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510,617​​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James and Ashley Harmon 2012 Long-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460" w:type="dxa"/>
            <w:vAlign w:val="bottom"/>
            <w:gridSpan w:val="5"/>
          </w:tcPr>
          <w:p>
            <w:pPr>
              <w:ind w:left="180"/>
              <w:spacing w:after="0"/>
              <w:rPr>
                <w:sz w:val="20"/>
                <w:szCs w:val="20"/>
                <w:color w:val="auto"/>
              </w:rPr>
            </w:pPr>
            <w:r>
              <w:rPr>
                <w:rFonts w:ascii="Arial" w:cs="Arial" w:eastAsia="Arial" w:hAnsi="Arial"/>
                <w:sz w:val="18"/>
                <w:szCs w:val="18"/>
                <w:color w:val="auto"/>
                <w:w w:val="99"/>
              </w:rPr>
              <w:t xml:space="preserve">Term Trust dated November 27, 2012(6) </w:t>
            </w:r>
            <w:r>
              <w:rPr>
                <w:rFonts w:ascii="Arial" w:cs="Arial" w:eastAsia="Arial" w:hAnsi="Arial"/>
                <w:sz w:val="18"/>
                <w:szCs w:val="18"/>
                <w:b w:val="1"/>
                <w:bCs w:val="1"/>
                <w:color w:val="auto"/>
                <w:w w:val="99"/>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413,513​​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413,513​​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LifeSci Venture Partners II, LP(7)</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408,494​​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408,494​​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Index Ventures Life VI (Jersey) LP(8)</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378,438​​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378,438​​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126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Alexandria Venture Investments, LLC(9)</w:t>
            </w:r>
          </w:p>
        </w:tc>
        <w:tc>
          <w:tcPr>
            <w:tcW w:w="120" w:type="dxa"/>
            <w:vAlign w:val="bottom"/>
          </w:tcPr>
          <w:p>
            <w:pPr>
              <w:spacing w:after="0"/>
              <w:rPr>
                <w:sz w:val="24"/>
                <w:szCs w:val="24"/>
                <w:color w:val="auto"/>
              </w:rPr>
            </w:pPr>
          </w:p>
        </w:tc>
        <w:tc>
          <w:tcPr>
            <w:tcW w:w="8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241,647​​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241,647​​ ​</w:t>
            </w:r>
          </w:p>
        </w:tc>
        <w:tc>
          <w:tcPr>
            <w:tcW w:w="13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1380" w:type="dxa"/>
            <w:vAlign w:val="bottom"/>
            <w:gridSpan w:val="3"/>
          </w:tcPr>
          <w:p>
            <w:pPr>
              <w:jc w:val="right"/>
              <w:ind w:right="1195"/>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-1910715</wp:posOffset>
            </wp:positionV>
            <wp:extent cx="52120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-1550670</wp:posOffset>
            </wp:positionV>
            <wp:extent cx="521208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3257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52120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-2279650</wp:posOffset>
            </wp:positionV>
            <wp:extent cx="52120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Number of Shares of</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gridSpan w:val="3"/>
            <w:vMerge w:val="restart"/>
          </w:tcPr>
          <w:p>
            <w:pPr>
              <w:jc w:val="center"/>
              <w:ind w:right="628"/>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of</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gridSpan w:val="4"/>
            <w:vMerge w:val="restart"/>
          </w:tcPr>
          <w:p>
            <w:pPr>
              <w:jc w:val="center"/>
              <w:ind w:right="188"/>
              <w:spacing w:after="0"/>
              <w:rPr>
                <w:sz w:val="20"/>
                <w:szCs w:val="20"/>
                <w:color w:val="auto"/>
              </w:rPr>
            </w:pPr>
            <w:r>
              <w:rPr>
                <w:rFonts w:ascii="Arial" w:cs="Arial" w:eastAsia="Arial" w:hAnsi="Arial"/>
                <w:sz w:val="14"/>
                <w:szCs w:val="14"/>
                <w:b w:val="1"/>
                <w:bCs w:val="1"/>
                <w:color w:val="auto"/>
              </w:rPr>
              <w:t>Owned</w:t>
            </w:r>
          </w:p>
        </w:tc>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4"/>
            <w:vMerge w:val="restart"/>
          </w:tcPr>
          <w:p>
            <w:pPr>
              <w:jc w:val="center"/>
              <w:ind w:right="8"/>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Prior to Offering</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1400" w:type="dxa"/>
            <w:vAlign w:val="bottom"/>
            <w:vMerge w:val="continue"/>
          </w:tcPr>
          <w:p>
            <w:pPr>
              <w:spacing w:after="0"/>
              <w:rPr>
                <w:sz w:val="8"/>
                <w:szCs w:val="8"/>
                <w:color w:val="auto"/>
              </w:rPr>
            </w:pPr>
          </w:p>
        </w:tc>
        <w:tc>
          <w:tcPr>
            <w:tcW w:w="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8"/>
                <w:szCs w:val="8"/>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After Offering(1)</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to be Sold Pursuant</w:t>
            </w: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960" w:type="dxa"/>
            <w:vAlign w:val="bottom"/>
            <w:vMerge w:val="continue"/>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960" w:type="dxa"/>
            <w:vAlign w:val="bottom"/>
          </w:tcPr>
          <w:p>
            <w:pPr>
              <w:spacing w:after="0"/>
              <w:rPr>
                <w:sz w:val="20"/>
                <w:szCs w:val="20"/>
                <w:color w:val="auto"/>
              </w:rPr>
            </w:pPr>
            <w:r>
              <w:rPr>
                <w:rFonts w:ascii="Arial" w:cs="Arial" w:eastAsia="Arial" w:hAnsi="Arial"/>
                <w:sz w:val="14"/>
                <w:szCs w:val="14"/>
                <w:b w:val="1"/>
                <w:bCs w:val="1"/>
                <w:color w:val="auto"/>
              </w:rPr>
              <w:t>Name of Selling Stockholder</w:t>
            </w:r>
          </w:p>
        </w:tc>
        <w:tc>
          <w:tcPr>
            <w:tcW w:w="1500" w:type="dxa"/>
            <w:vAlign w:val="bottom"/>
          </w:tcPr>
          <w:p>
            <w:pPr>
              <w:ind w:left="1440"/>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4"/>
          </w:tcPr>
          <w:p>
            <w:pPr>
              <w:ind w:left="100"/>
              <w:spacing w:after="0" w:line="199" w:lineRule="exact"/>
              <w:rPr>
                <w:sz w:val="20"/>
                <w:szCs w:val="20"/>
                <w:color w:val="auto"/>
              </w:rPr>
            </w:pPr>
            <w:r>
              <w:rPr>
                <w:rFonts w:ascii="Arial" w:cs="Arial" w:eastAsia="Arial" w:hAnsi="Arial"/>
                <w:sz w:val="12"/>
                <w:szCs w:val="12"/>
                <w:b w:val="1"/>
                <w:bCs w:val="1"/>
                <w:color w:val="auto"/>
              </w:rPr>
              <w:t xml:space="preserve">Number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Percent </w:t>
            </w:r>
            <w:r>
              <w:rPr>
                <w:rFonts w:ascii="Arial" w:cs="Arial" w:eastAsia="Arial" w:hAnsi="Arial"/>
                <w:sz w:val="22"/>
                <w:szCs w:val="22"/>
                <w:b w:val="1"/>
                <w:bCs w:val="1"/>
                <w:color w:val="auto"/>
                <w:vertAlign w:val="subscript"/>
              </w:rPr>
              <w:t>​ ​</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to this Prospectus</w:t>
            </w:r>
          </w:p>
        </w:tc>
        <w:tc>
          <w:tcPr>
            <w:tcW w:w="1680" w:type="dxa"/>
            <w:vAlign w:val="bottom"/>
            <w:gridSpan w:val="6"/>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Number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Percent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7"/>
        </w:trPr>
        <w:tc>
          <w:tcPr>
            <w:tcW w:w="1960" w:type="dxa"/>
            <w:vAlign w:val="bottom"/>
            <w:shd w:val="clear" w:color="auto" w:fill="000000"/>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Sami Busch</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194,780​​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Daniel Vasella(10)</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110,039​​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Janet Burrows James Revocable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Trust(11)</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83,559​​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4"/>
        </w:trPr>
        <w:tc>
          <w:tcPr>
            <w:tcW w:w="3380" w:type="dxa"/>
            <w:vAlign w:val="bottom"/>
          </w:tcPr>
          <w:p>
            <w:pPr>
              <w:spacing w:after="0"/>
              <w:rPr>
                <w:sz w:val="20"/>
                <w:szCs w:val="20"/>
                <w:color w:val="auto"/>
              </w:rPr>
            </w:pPr>
            <w:r>
              <w:rPr>
                <w:rFonts w:ascii="Arial" w:cs="Arial" w:eastAsia="Arial" w:hAnsi="Arial"/>
                <w:sz w:val="18"/>
                <w:szCs w:val="18"/>
                <w:color w:val="auto"/>
              </w:rPr>
              <w:t>John Whitehead</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80,378​​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6"/>
        </w:trPr>
        <w:tc>
          <w:tcPr>
            <w:tcW w:w="3380" w:type="dxa"/>
            <w:vAlign w:val="bottom"/>
          </w:tcPr>
          <w:p>
            <w:pPr>
              <w:spacing w:after="0"/>
              <w:rPr>
                <w:sz w:val="20"/>
                <w:szCs w:val="20"/>
                <w:color w:val="auto"/>
              </w:rPr>
            </w:pPr>
            <w:r>
              <w:rPr>
                <w:rFonts w:ascii="Arial" w:cs="Arial" w:eastAsia="Arial" w:hAnsi="Arial"/>
                <w:sz w:val="18"/>
                <w:szCs w:val="18"/>
                <w:color w:val="auto"/>
              </w:rPr>
              <w:t>George F. McCabe Trust(12)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70,167​​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Walter C. Donovan</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69,507​​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John N. Irwin III</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68,525​​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Samambaia Investments Limited(13)</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59,684​​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SRB Investments, LLC(14)</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42,292​​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James W. Westphal</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34,754​​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Peter J. Smail</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27,780​​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1970 Delaware Trust FBO John 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Irwin III(15)</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27,233​​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The Cowan Investment Nominee</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Trust(16)</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21,831​​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David J. Watson</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21,145​​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Peter S. Lynch Revocable Trust(17)</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20,968​​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The Lynch Foundation(18)</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20,968​​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2012 Donovan Family Trust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17,375​​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Kite Pharma Inc.(19)</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9,675​​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Peter &amp; Carolyn Lynch CLUT Article II</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Trust(20)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6,345​​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Mary Witkowski Revocable Trust(21)</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5,523​​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Yucca (Jersey) SLP(22)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5,763​​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GC&amp;H Investments LP(23)</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3,403​​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GC&amp;H Investments, L.P.(24)</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3,403​​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Gadeta Founders B.V.(25)</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5,090​​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A Lukowski(26)</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DE Montrichard(27)</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w w:val="99"/>
              </w:rPr>
              <w:t>Peter &amp; Carolyn Lynch Clat Article III Trust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3380" w:type="dxa"/>
            <w:vAlign w:val="bottom"/>
          </w:tcPr>
          <w:p>
            <w:pPr>
              <w:ind w:left="180"/>
              <w:spacing w:after="0"/>
              <w:rPr>
                <w:sz w:val="20"/>
                <w:szCs w:val="20"/>
                <w:color w:val="auto"/>
              </w:rPr>
            </w:pPr>
            <w:r>
              <w:rPr>
                <w:rFonts w:ascii="Arial" w:cs="Arial" w:eastAsia="Arial" w:hAnsi="Arial"/>
                <w:sz w:val="18"/>
                <w:szCs w:val="18"/>
                <w:color w:val="auto"/>
              </w:rPr>
              <w:t>FBO M Witkowski(28)</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475​​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Chad Cowan(29)</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377,181​​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James Glasheen(30)</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377,181​​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Derek Hei(31)</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44,374​​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Leandro Vetcher(32)</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44,374​​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Ritikesh Kumar</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22,186​​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Howard Young</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22,186​​ ​</w:t>
            </w:r>
          </w:p>
        </w:tc>
        <w:tc>
          <w:tcPr>
            <w:tcW w:w="560" w:type="dxa"/>
            <w:vAlign w:val="bottom"/>
          </w:tcPr>
          <w:p>
            <w:pPr>
              <w:ind w:left="18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-6268085</wp:posOffset>
            </wp:positionV>
            <wp:extent cx="521208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-5805170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-5471160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-5128260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-4785360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-4305300</wp:posOffset>
            </wp:positionV>
            <wp:extent cx="521208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-3825240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-3482340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-3139440</wp:posOffset>
            </wp:positionV>
            <wp:extent cx="521208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-2659380</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-2316480</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-1973580</wp:posOffset>
            </wp:positionV>
            <wp:extent cx="521208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-1356360</wp:posOffset>
            </wp:positionV>
            <wp:extent cx="52120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-876300</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-533400</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-190500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194,780​​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66"/>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110,039​​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4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83,559​​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80,378​​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6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70,167​​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69,507​​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68,525​​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59,684​​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42,292​​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34,754​​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27,780​​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27,233​​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21,831​​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21,145​​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20,968​​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20,968​​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17,375​​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9,675​​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6,345​​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5,523​​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5,763​​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3,403​​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3,403​​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5,090​​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5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48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475​​ ​</w:t>
            </w:r>
          </w:p>
        </w:tc>
        <w:tc>
          <w:tcPr>
            <w:tcW w:w="84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97"/>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377,181​​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 377,181​​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44,374​​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44,374​​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22,186​​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22,186​​ ​</w:t>
            </w:r>
          </w:p>
        </w:tc>
        <w:tc>
          <w:tcPr>
            <w:tcW w:w="840" w:type="dxa"/>
            <w:vAlign w:val="bottom"/>
          </w:tcPr>
          <w:p>
            <w:pPr>
              <w:ind w:left="260"/>
              <w:spacing w:after="0"/>
              <w:rPr>
                <w:sz w:val="20"/>
                <w:szCs w:val="20"/>
                <w:color w:val="auto"/>
              </w:rPr>
            </w:pPr>
            <w:r>
              <w:rPr>
                <w:rFonts w:ascii="Arial" w:cs="Arial" w:eastAsia="Arial" w:hAnsi="Arial"/>
                <w:sz w:val="18"/>
                <w:szCs w:val="18"/>
                <w:color w:val="auto"/>
              </w:rPr>
              <w:t>​0​​ ​</w:t>
            </w:r>
          </w:p>
        </w:tc>
        <w:tc>
          <w:tcPr>
            <w:tcW w:w="4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420" w:space="600"/>
            <w:col w:w="2859"/>
          </w:cols>
          <w:pgMar w:left="580" w:top="97" w:right="1440" w:bottom="1440" w:gutter="0" w:footer="0" w:header="0"/>
          <w:type w:val="continuous"/>
        </w:sectPr>
      </w:pPr>
    </w:p>
    <w:p>
      <w:pPr>
        <w:spacing w:after="0" w:line="1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371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hanging="36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sale of all shares offered pursuant to this prospectus.</w:t>
      </w:r>
    </w:p>
    <w:p>
      <w:pPr>
        <w:spacing w:after="0" w:line="76" w:lineRule="exact"/>
        <w:rPr>
          <w:rFonts w:ascii="Arial" w:cs="Arial" w:eastAsia="Arial" w:hAnsi="Arial"/>
          <w:sz w:val="18"/>
          <w:szCs w:val="18"/>
          <w:color w:val="auto"/>
        </w:rPr>
      </w:pPr>
    </w:p>
    <w:p>
      <w:pPr>
        <w:ind w:left="1620" w:right="499" w:hanging="360"/>
        <w:spacing w:after="0" w:line="255"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Syncona Portfolio Limited is a controlled subsidiary of Syncona Holdings Limited, which in turn is a controlled subsidiary of Syncona Limited. Each of Syncona Holdings Limited and Syncona Limited may be deemed to have voting and investment power over the shares held by Syncona Portfolio Limited. Voting and investment decisions with respect to these shares are made by Syncona Portfolio Limited acting upon the recommendation of an investment committee of Syncona Investment Management Limited, also a subsidiary of Syncona Holdings Limited. The members of this investment committee consist of Nigel Keen, Martin Murphy and Chris Hollowood. The address for Syncona Portfolio Limited is Arnold House, PO Box 273, St Julian’s Avenue, St Peter Port, Guernsey, GY1 3RD, Channel Islands.</w:t>
      </w:r>
    </w:p>
    <w:p>
      <w:pPr>
        <w:spacing w:after="0" w:line="32" w:lineRule="exact"/>
        <w:rPr>
          <w:rFonts w:ascii="Arial" w:cs="Arial" w:eastAsia="Arial" w:hAnsi="Arial"/>
          <w:sz w:val="18"/>
          <w:szCs w:val="18"/>
          <w:color w:val="auto"/>
        </w:rPr>
      </w:pPr>
    </w:p>
    <w:p>
      <w:pPr>
        <w:jc w:val="both"/>
        <w:ind w:left="1620" w:right="43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Steve McDermid has voting and investment power over the shares held by ECI Health Fund 3, LLC. The address of the principal business office of Steve McDermid and ECI Health Fund 3, LLC is 555 Bryant Street #259, Palo Alto, CA 94301.</w:t>
      </w:r>
    </w:p>
    <w:p>
      <w:pPr>
        <w:spacing w:after="0" w:line="22" w:lineRule="exact"/>
        <w:rPr>
          <w:rFonts w:ascii="Arial" w:cs="Arial" w:eastAsia="Arial" w:hAnsi="Arial"/>
          <w:sz w:val="18"/>
          <w:szCs w:val="18"/>
          <w:color w:val="auto"/>
        </w:rPr>
      </w:pPr>
    </w:p>
    <w:p>
      <w:pPr>
        <w:ind w:left="1620" w:right="47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Paul Yook as Managing Member of LifeSci Venture SPV XIII, LLC has voting and investment power over the shares held by LifeSci Venture SPV XIII, LLC. The business address of each of LifeSci Venture SPV XIII, LLC and Mr. Yook is 250 West 55th Street, 34th Floor, New York, NY 10019.</w:t>
      </w:r>
    </w:p>
    <w:p>
      <w:pPr>
        <w:spacing w:after="0" w:line="4" w:lineRule="exact"/>
        <w:rPr>
          <w:rFonts w:ascii="Arial" w:cs="Arial" w:eastAsia="Arial" w:hAnsi="Arial"/>
          <w:sz w:val="17"/>
          <w:szCs w:val="17"/>
          <w:color w:val="auto"/>
        </w:rPr>
      </w:pPr>
    </w:p>
    <w:p>
      <w:pPr>
        <w:ind w:left="1620" w:right="499" w:hanging="360"/>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Bristol-Myers Squibb Company has sole voting and investment power over 303,263 shares of common stock. The address of Bristol-Myers Squibb Company is Route 206 &amp; Province Line Road, Princeton, New Jersey 08543.</w:t>
      </w:r>
    </w:p>
    <w:p>
      <w:pPr>
        <w:spacing w:after="0" w:line="22" w:lineRule="exact"/>
        <w:rPr>
          <w:rFonts w:ascii="Arial" w:cs="Arial" w:eastAsia="Arial" w:hAnsi="Arial"/>
          <w:sz w:val="18"/>
          <w:szCs w:val="18"/>
          <w:color w:val="auto"/>
        </w:rPr>
      </w:pPr>
    </w:p>
    <w:p>
      <w:pPr>
        <w:ind w:left="1620" w:right="539" w:hanging="360"/>
        <w:spacing w:after="0" w:line="25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of James and Ashley Harmon 2012 Long-Term Trust dated November 27, 2012 is Ashley Harmon. This individual may be deemed to have voting and investment power of the securities held by James and Ashley Harmon 2012 Long-Term Trust dated November 27, 2012. Ashley Harmon will disclaim beneficial ownership of such securities, except to the extent of her pecuniary interest therein. The address of James and Ashley Harmon 2012 Long-Term Trust dated November 27, 2012 is 130 Warren Street, Brookline, MA 02445.</w:t>
      </w:r>
    </w:p>
    <w:p>
      <w:pPr>
        <w:spacing w:after="0" w:line="33" w:lineRule="exact"/>
        <w:rPr>
          <w:rFonts w:ascii="Arial" w:cs="Arial" w:eastAsia="Arial" w:hAnsi="Arial"/>
          <w:sz w:val="18"/>
          <w:szCs w:val="18"/>
          <w:color w:val="auto"/>
        </w:rPr>
      </w:pPr>
    </w:p>
    <w:p>
      <w:pPr>
        <w:ind w:left="1620" w:right="45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Paul Yook as Managing Member of LifeSci Venture Partners II, LP has voting and investment power over the shares held by LifeSci Venture Partners II, LP. The business address of each of LifeSci Venture Partners II, LP and Mr. Yook is 250 West 55th Street, 34th Floor, New York, NY 10019.</w:t>
      </w:r>
    </w:p>
    <w:p>
      <w:pPr>
        <w:spacing w:after="0" w:line="4" w:lineRule="exact"/>
        <w:rPr>
          <w:rFonts w:ascii="Arial" w:cs="Arial" w:eastAsia="Arial" w:hAnsi="Arial"/>
          <w:sz w:val="17"/>
          <w:szCs w:val="17"/>
          <w:color w:val="auto"/>
        </w:rPr>
      </w:pPr>
    </w:p>
    <w:p>
      <w:pPr>
        <w:ind w:left="1620" w:right="499" w:hanging="360"/>
        <w:spacing w:after="0" w:line="268"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Index Venture Life Associates VI Limited, a Jersey limited liability company (“Index Venture Life VI GP”), is the managing general partner of Index Ventures Life VI (Jersey) LP (“Index Venture Life VI”). Yucca (Jersey) SLP, a Jersey separate limited partnership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shares held by Index Ventures Life VI 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The share ownership reported by Index Ventures Life VI and Yucca does not include any shares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Intertrust Employee Benefit Services Limited, 44 Esplanade, St Helier, Jersey, JE4 9WG.</w:t>
      </w:r>
    </w:p>
    <w:p>
      <w:pPr>
        <w:spacing w:after="0" w:line="21" w:lineRule="exact"/>
        <w:rPr>
          <w:rFonts w:ascii="Arial" w:cs="Arial" w:eastAsia="Arial" w:hAnsi="Arial"/>
          <w:sz w:val="17"/>
          <w:szCs w:val="17"/>
          <w:color w:val="auto"/>
        </w:rPr>
      </w:pPr>
    </w:p>
    <w:p>
      <w:pPr>
        <w:ind w:left="1620" w:right="639" w:hanging="360"/>
        <w:spacing w:after="0" w:line="291"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Alexandria Venture Investments LLC and Alexandria Real Estate Equities Inc. have shared voting and dispositive power over the 143,518 shares of common stock owned by Alexandria Venture Investments LLC. Joel S. Marcus is the Executive Chairman of ARE-QRS Corp., the general</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39"/>
        <w:spacing w:after="0" w:line="281" w:lineRule="auto"/>
        <w:rPr>
          <w:sz w:val="20"/>
          <w:szCs w:val="20"/>
          <w:color w:val="auto"/>
        </w:rPr>
      </w:pPr>
      <w:r>
        <w:rPr>
          <w:rFonts w:ascii="Arial" w:cs="Arial" w:eastAsia="Arial" w:hAnsi="Arial"/>
          <w:sz w:val="17"/>
          <w:szCs w:val="17"/>
          <w:color w:val="auto"/>
        </w:rPr>
        <w:t>partner of Alexandria Real Estate Equities Inc., which is the managing member of ARE-Special Services, LLC, which is the managing member of Alexandria Venture Investments LLC. The address of Alexandria Venture Investments LLC is 26 N. Euclid Avenue, Pasadena, CA 91101.</w:t>
      </w:r>
    </w:p>
    <w:p>
      <w:pPr>
        <w:spacing w:after="0" w:line="2"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Vasella served as a member of the board of directors of Clade until the Merger.</w:t>
      </w:r>
    </w:p>
    <w:p>
      <w:pPr>
        <w:spacing w:after="0" w:line="76"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Janet Burrows James Revocable Trust is Janet Burrows James. This individual may be deemed to have voting and investment power of the securities held by Janet Burrows James Revocable Trust. Janet Burrows James will disclaim beneficial ownership of such securities, except to the extent of her pecuniary interest therein. The address of Janet Burrows James Revocable Trust is 10 Golfview Road, Palm Beach, FL 33480.</w:t>
      </w:r>
    </w:p>
    <w:p>
      <w:pPr>
        <w:spacing w:after="0" w:line="30" w:lineRule="exact"/>
        <w:rPr>
          <w:rFonts w:ascii="Arial" w:cs="Arial" w:eastAsia="Arial" w:hAnsi="Arial"/>
          <w:sz w:val="18"/>
          <w:szCs w:val="18"/>
          <w:color w:val="auto"/>
        </w:rPr>
      </w:pPr>
    </w:p>
    <w:p>
      <w:pPr>
        <w:ind w:left="1620" w:right="41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George F. McCabe Trust is George McCabe. This individual may be deemed to have voting and investment power of the securities held by George F. McCabe Trust. George McCabe will disclaim beneficial ownership of such securities, except to the extent of his pecuniary interest therein. The address of George F. McCabe Trust is 2 International Place, Suite 2630, Boston, MA 02110.</w:t>
      </w:r>
    </w:p>
    <w:p>
      <w:pPr>
        <w:spacing w:after="0" w:line="30" w:lineRule="exact"/>
        <w:rPr>
          <w:rFonts w:ascii="Arial" w:cs="Arial" w:eastAsia="Arial" w:hAnsi="Arial"/>
          <w:sz w:val="18"/>
          <w:szCs w:val="18"/>
          <w:color w:val="auto"/>
        </w:rPr>
      </w:pPr>
    </w:p>
    <w:p>
      <w:pPr>
        <w:ind w:left="1620" w:right="459" w:hanging="360"/>
        <w:spacing w:after="0" w:line="28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address of Samambaia Investments Limited is The Lake Building, Suite 120, Wickhams Cay 1, Road Town, VG.</w:t>
      </w:r>
    </w:p>
    <w:p>
      <w:pPr>
        <w:spacing w:after="0" w:line="4" w:lineRule="exact"/>
        <w:rPr>
          <w:rFonts w:ascii="Arial" w:cs="Arial" w:eastAsia="Arial" w:hAnsi="Arial"/>
          <w:sz w:val="18"/>
          <w:szCs w:val="18"/>
          <w:color w:val="auto"/>
        </w:rPr>
      </w:pPr>
    </w:p>
    <w:p>
      <w:pPr>
        <w:jc w:val="both"/>
        <w:ind w:left="1620" w:right="959" w:hanging="360"/>
        <w:spacing w:after="0" w:line="268"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Thomas P. Salice as Manager has voting and investment power over the shares held by SRB Investments, LLC. The address of the principal business office of Thomas P. Salice and SRB Investments, LLC is 4 Lakeside Drive, Rye, NY 10580.</w:t>
      </w:r>
    </w:p>
    <w:p>
      <w:pPr>
        <w:spacing w:after="0" w:line="22" w:lineRule="exact"/>
        <w:rPr>
          <w:rFonts w:ascii="Arial" w:cs="Arial" w:eastAsia="Arial" w:hAnsi="Arial"/>
          <w:sz w:val="18"/>
          <w:szCs w:val="18"/>
          <w:color w:val="auto"/>
        </w:rPr>
      </w:pPr>
    </w:p>
    <w:p>
      <w:pPr>
        <w:ind w:left="1620" w:right="479" w:hanging="360"/>
        <w:spacing w:after="0" w:line="274"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trustee of The 1970 Delaware Trust FBO John N. Irwin III is the U.S. Trust Company of Delaware and the Investment Advisor is John Irwin III. This individual may be deemed to have voting and investment power over the securities held by The 1970 Delaware Trust FBO John N. Irwin III. The U.S. Trust Company of Delaware will disclaim beneficial ownership of such securities, except to the extent of his pecuniary interest therein. The address of The 1970 Delaware Trust FBO John N. Irwin III is U.S. Trust Company of Delaware, Trustee, 2951 Centerville Road, Suite 200, Wilmington, DE 19808, c/o : The 1970 Delaware Trust for John N. Irwin III.</w:t>
      </w:r>
    </w:p>
    <w:p>
      <w:pPr>
        <w:spacing w:after="0" w:line="17" w:lineRule="exact"/>
        <w:rPr>
          <w:rFonts w:ascii="Arial" w:cs="Arial" w:eastAsia="Arial" w:hAnsi="Arial"/>
          <w:sz w:val="17"/>
          <w:szCs w:val="17"/>
          <w:color w:val="auto"/>
        </w:rPr>
      </w:pPr>
    </w:p>
    <w:p>
      <w:pPr>
        <w:ind w:left="1620" w:right="73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The Cowan Investment Nominee Trust is Chad Cowan. This individual may be deemed to have voting and investment power of the securities held by The Cowan Investment Nominee Trust. Chad Cowan will disclaim beneficial ownership of such securities, except to the extent of his pecuniary interest therein. The address of The Cowan Investment Nominee Trust is 722 Washington Street, Gloucester, MA 01930.</w:t>
      </w:r>
    </w:p>
    <w:p>
      <w:pPr>
        <w:spacing w:after="0" w:line="44" w:lineRule="exact"/>
        <w:rPr>
          <w:rFonts w:ascii="Arial" w:cs="Arial" w:eastAsia="Arial" w:hAnsi="Arial"/>
          <w:sz w:val="18"/>
          <w:szCs w:val="18"/>
          <w:color w:val="auto"/>
        </w:rPr>
      </w:pPr>
    </w:p>
    <w:p>
      <w:pPr>
        <w:ind w:left="1620" w:right="419" w:hanging="360"/>
        <w:spacing w:after="0" w:line="259"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of Peter S. Lynch Revocable Trust is Peter S. Lynch. This individual may be deemed to have voting and investment power over the securities held by Peter S. Lynch Revocable Trust. Peter S. Lynch will disclaim beneficial ownership of such securities, except to the extent of his pecuniary interest therein. The address of Peter S. Lynch Revocable Trust is 429 Ocean Avenue, Marblehead, MA 01945.</w:t>
      </w:r>
    </w:p>
    <w:p>
      <w:pPr>
        <w:spacing w:after="0" w:line="30" w:lineRule="exact"/>
        <w:rPr>
          <w:rFonts w:ascii="Arial" w:cs="Arial" w:eastAsia="Arial" w:hAnsi="Arial"/>
          <w:sz w:val="18"/>
          <w:szCs w:val="18"/>
          <w:color w:val="auto"/>
        </w:rPr>
      </w:pPr>
    </w:p>
    <w:p>
      <w:pPr>
        <w:ind w:left="1620" w:right="439" w:hanging="360"/>
        <w:spacing w:after="0" w:line="262"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Peter S. Lynch has sole voting and sole dispositive power over the shares of stock owned by The Lynch Foundation. Peter S. Lynch will disclaim beneficial ownership of such securities, except to the extent of his pecuniary interest therein. The address of The Lynch Foundation is 429 Ocean Avenue, Marblehead, MA 01945.</w:t>
      </w:r>
    </w:p>
    <w:p>
      <w:pPr>
        <w:spacing w:after="0" w:line="27"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address of Kite Pharma Inc. is 333 Lakeside Drive, Foster City, CA 94404.</w:t>
      </w:r>
    </w:p>
    <w:p>
      <w:pPr>
        <w:spacing w:after="0" w:line="76"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Peter &amp; Carolyn Lynch CLUT Article II Trust is 429 Ocean Avenue, Marblehead, MA 01945.</w:t>
      </w:r>
    </w:p>
    <w:p>
      <w:pPr>
        <w:spacing w:after="0" w:line="4" w:lineRule="exact"/>
        <w:rPr>
          <w:rFonts w:ascii="Arial" w:cs="Arial" w:eastAsia="Arial" w:hAnsi="Arial"/>
          <w:sz w:val="18"/>
          <w:szCs w:val="18"/>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of Mary Witkowski Revocable Trust is 429 Ocean Avenue, Marblehead, MA 01945.</w:t>
      </w:r>
    </w:p>
    <w:p>
      <w:pPr>
        <w:spacing w:after="0" w:line="76" w:lineRule="exact"/>
        <w:rPr>
          <w:rFonts w:ascii="Arial" w:cs="Arial" w:eastAsia="Arial" w:hAnsi="Arial"/>
          <w:sz w:val="18"/>
          <w:szCs w:val="18"/>
          <w:color w:val="auto"/>
        </w:rPr>
      </w:pPr>
    </w:p>
    <w:p>
      <w:pPr>
        <w:ind w:left="1620" w:right="499" w:hanging="360"/>
        <w:spacing w:after="0" w:line="255"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Index Venture Life Associates VI Limited, a Jersey limited liability company (“Index Venture Life VI GP”), is the managing general partner of Index Ventures Life VI (Jersey) LP (“Index Venture Life VI”). Yucca (Jersey) SLP, a Jersey separate limited partnership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shares held by Index Ventures Life VI</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53" w:lineRule="auto"/>
        <w:rPr>
          <w:sz w:val="20"/>
          <w:szCs w:val="20"/>
          <w:color w:val="auto"/>
        </w:rPr>
      </w:pPr>
      <w:r>
        <w:rPr>
          <w:rFonts w:ascii="Arial" w:cs="Arial" w:eastAsia="Arial" w:hAnsi="Arial"/>
          <w:sz w:val="18"/>
          <w:szCs w:val="18"/>
          <w:color w:val="auto"/>
        </w:rPr>
        <w:t>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The share ownership reported by Index Ventures Life VI and Yucca does not include any shares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Intertrust Employee Benefit Services Limited, 44 Esplanade, St Helier, Jersey, JE4 9WG.</w:t>
      </w:r>
    </w:p>
    <w:p>
      <w:pPr>
        <w:spacing w:after="0" w:line="55" w:lineRule="exact"/>
        <w:rPr>
          <w:sz w:val="20"/>
          <w:szCs w:val="20"/>
          <w:color w:val="auto"/>
        </w:rPr>
      </w:pPr>
    </w:p>
    <w:p>
      <w:pPr>
        <w:ind w:left="1620" w:right="419" w:hanging="360"/>
        <w:spacing w:after="0" w:line="25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authorized signatory of GC&amp;H Investments LP is Melissa Roque. This individual may be deemed to have voting and investment power of the securities held by GC&amp;H Investments LP. Melissa Roque will disclaim beneficial ownership of such securities, except to the extent of her pecuniary interest therein. The address of the principal business office of GC&amp;H Investments LP is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w:t>
      </w:r>
    </w:p>
    <w:p>
      <w:pPr>
        <w:ind w:left="1620" w:right="459" w:hanging="360"/>
        <w:spacing w:after="0" w:line="24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authorized signatory of GC&amp;H Investments, L.P. is Melissa Roque. This individual may be deemed to have voting and investment power of the securities held by GC&amp;H Investments LP. Melissa Roque will disclaim beneficial ownership of such securities, except to the extent of her pecuniary interest therein. The address of the principal business office of GC&amp;H Investments, L.P. is 3 Embarcadero Center,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San Francisco, CA 94111.</w:t>
      </w:r>
    </w:p>
    <w:p>
      <w:pPr>
        <w:spacing w:after="0" w:line="1" w:lineRule="exact"/>
        <w:rPr>
          <w:rFonts w:ascii="Arial" w:cs="Arial" w:eastAsia="Arial" w:hAnsi="Arial"/>
          <w:sz w:val="18"/>
          <w:szCs w:val="18"/>
          <w:color w:val="auto"/>
        </w:rPr>
      </w:pPr>
    </w:p>
    <w:p>
      <w:pPr>
        <w:jc w:val="both"/>
        <w:ind w:left="1620" w:right="479" w:hanging="360"/>
        <w:spacing w:after="0" w:line="25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 De Boer has voting and investment power over the shares held by Gadeta Founders B.V. The address of the principal business office of Mark de Boer and Gadeta Founders B.V. is Yalelaan 46, 3584CM Utrecht, Utrecht, the Netherlands.</w:t>
      </w:r>
    </w:p>
    <w:p>
      <w:pPr>
        <w:spacing w:after="0" w:line="43" w:lineRule="exact"/>
        <w:rPr>
          <w:rFonts w:ascii="Arial" w:cs="Arial" w:eastAsia="Arial" w:hAnsi="Arial"/>
          <w:sz w:val="18"/>
          <w:szCs w:val="18"/>
          <w:color w:val="auto"/>
        </w:rPr>
      </w:pPr>
    </w:p>
    <w:p>
      <w:pPr>
        <w:ind w:left="1620" w:right="57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A Lukowski is 429 Ocean Avenue, Marblehead, MA 01945.</w:t>
      </w:r>
    </w:p>
    <w:p>
      <w:pPr>
        <w:spacing w:after="0" w:line="4" w:lineRule="exact"/>
        <w:rPr>
          <w:rFonts w:ascii="Arial" w:cs="Arial" w:eastAsia="Arial" w:hAnsi="Arial"/>
          <w:sz w:val="18"/>
          <w:szCs w:val="18"/>
          <w:color w:val="auto"/>
        </w:rPr>
      </w:pPr>
    </w:p>
    <w:p>
      <w:pPr>
        <w:ind w:left="1620" w:right="93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DE Montrichard is 429 Ocean Avenue, Marblehead, MA 01945.</w:t>
      </w:r>
    </w:p>
    <w:p>
      <w:pPr>
        <w:spacing w:after="0" w:line="4" w:lineRule="exact"/>
        <w:rPr>
          <w:rFonts w:ascii="Arial" w:cs="Arial" w:eastAsia="Arial" w:hAnsi="Arial"/>
          <w:sz w:val="18"/>
          <w:szCs w:val="18"/>
          <w:color w:val="auto"/>
        </w:rPr>
      </w:pPr>
    </w:p>
    <w:p>
      <w:pPr>
        <w:ind w:left="1620" w:right="47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Peter &amp; Carolyn Lynch Clat Article III Trust FBO M Witkowski is 429 Ocean Avenue, Marblehead, MA 01945.</w:t>
      </w:r>
    </w:p>
    <w:p>
      <w:pPr>
        <w:spacing w:after="0" w:line="17" w:lineRule="exact"/>
        <w:rPr>
          <w:rFonts w:ascii="Arial" w:cs="Arial" w:eastAsia="Arial" w:hAnsi="Arial"/>
          <w:sz w:val="18"/>
          <w:szCs w:val="18"/>
          <w:color w:val="auto"/>
        </w:rPr>
      </w:pPr>
    </w:p>
    <w:p>
      <w:pPr>
        <w:ind w:left="1620" w:right="65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Cowan served as a member of the board of directors and the Chief Executive Officer of Clade until the Merger.</w:t>
      </w:r>
    </w:p>
    <w:p>
      <w:pPr>
        <w:spacing w:after="0" w:line="4" w:lineRule="exact"/>
        <w:rPr>
          <w:rFonts w:ascii="Arial" w:cs="Arial" w:eastAsia="Arial" w:hAnsi="Arial"/>
          <w:sz w:val="18"/>
          <w:szCs w:val="18"/>
          <w:color w:val="auto"/>
        </w:rPr>
      </w:pPr>
    </w:p>
    <w:p>
      <w:pPr>
        <w:ind w:left="1620" w:right="499" w:hanging="360"/>
        <w:spacing w:after="0" w:line="28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Glasheen served as a member of the board of directors and the Chief Business Officer of Clade until the Merger.</w:t>
      </w:r>
    </w:p>
    <w:p>
      <w:pPr>
        <w:spacing w:after="0" w:line="4"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Hei served as the Chief Technology Officer of Clade until the Merger.</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Vetcher served as the Chief Operating Officer of Clade until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333"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7" w:lineRule="exact"/>
        <w:rPr>
          <w:sz w:val="20"/>
          <w:szCs w:val="20"/>
          <w:color w:val="auto"/>
        </w:rPr>
      </w:pPr>
    </w:p>
    <w:p>
      <w:pPr>
        <w:ind w:left="1260" w:right="459"/>
        <w:spacing w:after="0" w:line="273" w:lineRule="auto"/>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 w:lineRule="exact"/>
        <w:rPr>
          <w:sz w:val="20"/>
          <w:szCs w:val="20"/>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63" w:lineRule="exact"/>
        <w:rPr>
          <w:rFonts w:ascii="Arial" w:cs="Arial" w:eastAsia="Arial" w:hAnsi="Arial"/>
          <w:sz w:val="18"/>
          <w:szCs w:val="18"/>
          <w:color w:val="auto"/>
        </w:rPr>
      </w:pPr>
    </w:p>
    <w:p>
      <w:pPr>
        <w:ind w:left="1620" w:right="43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sales and settlement of short sales;</w:t>
      </w:r>
    </w:p>
    <w:p>
      <w:pPr>
        <w:spacing w:after="0" w:line="63" w:lineRule="exact"/>
        <w:rPr>
          <w:rFonts w:ascii="Arial" w:cs="Arial" w:eastAsia="Arial" w:hAnsi="Arial"/>
          <w:sz w:val="18"/>
          <w:szCs w:val="18"/>
          <w:color w:val="auto"/>
        </w:rPr>
      </w:pPr>
    </w:p>
    <w:p>
      <w:pPr>
        <w:ind w:left="1620" w:right="95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 w:lineRule="exact"/>
        <w:rPr>
          <w:rFonts w:ascii="Arial" w:cs="Arial" w:eastAsia="Arial" w:hAnsi="Arial"/>
          <w:sz w:val="18"/>
          <w:szCs w:val="18"/>
          <w:color w:val="auto"/>
        </w:rPr>
      </w:pPr>
    </w:p>
    <w:p>
      <w:pPr>
        <w:ind w:left="1620" w:right="539" w:hanging="360"/>
        <w:spacing w:after="0" w:line="28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63" w:lineRule="exact"/>
        <w:rPr>
          <w:rFonts w:ascii="Arial" w:cs="Arial" w:eastAsia="Arial" w:hAnsi="Arial"/>
          <w:sz w:val="18"/>
          <w:szCs w:val="18"/>
          <w:color w:val="auto"/>
        </w:rPr>
      </w:pPr>
    </w:p>
    <w:p>
      <w:pPr>
        <w:ind w:left="1620" w:hanging="360"/>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144"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or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13"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03"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deemed “underwriters” within the meaning of Section 2(11) of the Securities Act will be subject to the prospectus delivery requirements of the Securities Act.</w:t>
      </w:r>
    </w:p>
    <w:p>
      <w:pPr>
        <w:spacing w:after="0" w:line="115"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98" w:lineRule="exact"/>
        <w:rPr>
          <w:sz w:val="20"/>
          <w:szCs w:val="20"/>
          <w:color w:val="auto"/>
        </w:rPr>
      </w:pPr>
    </w:p>
    <w:p>
      <w:pPr>
        <w:ind w:left="1260" w:right="579"/>
        <w:spacing w:after="0" w:line="262"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09"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98" w:lineRule="exact"/>
        <w:rPr>
          <w:sz w:val="20"/>
          <w:szCs w:val="20"/>
          <w:color w:val="auto"/>
        </w:rPr>
      </w:pPr>
    </w:p>
    <w:p>
      <w:pPr>
        <w:ind w:left="1260" w:right="799"/>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90"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33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as amended from time to time, and second amended and restated bylaws, as amended from time to time, copies of which are incorporated by reference as exhibits to the registration statement of which this prospectus is a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Under our second amended and restated certificate of incorporation, or the Certificate of Incorporation, our authorized capital stock consists of 300,000,000 shares of common stock, par value $0.0001 per share, and 10,000,000 shares of preferred stock, par value $0.0001 per share. As of June 13, 2024, we had 84,500,780 shares of common stock outstanding.</w:t>
      </w:r>
    </w:p>
    <w:p>
      <w:pPr>
        <w:spacing w:after="0" w:line="9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Each holder of common stock is entitled to one vote for each share on all matters submitted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second amended and restated bylaws, or the Bylaws, procedures for our stockholder meetings, the classified board, director liability, and exclusive forum for proceedings.</w:t>
      </w:r>
    </w:p>
    <w:p>
      <w:pPr>
        <w:spacing w:after="0" w:line="117"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preferences that may be applicable to any then outstanding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are entitled to receive dividends, if any, as may be declared from time to time by our board of directors out of legally available funds.</w:t>
      </w:r>
    </w:p>
    <w:p>
      <w:pPr>
        <w:spacing w:after="0" w:line="103" w:lineRule="exact"/>
        <w:rPr>
          <w:sz w:val="20"/>
          <w:szCs w:val="20"/>
          <w:color w:val="auto"/>
        </w:rPr>
      </w:pPr>
    </w:p>
    <w:p>
      <w:pPr>
        <w:ind w:left="1260" w:right="799"/>
        <w:spacing w:after="0" w:line="262" w:lineRule="auto"/>
        <w:rPr>
          <w:sz w:val="20"/>
          <w:szCs w:val="20"/>
          <w:color w:val="auto"/>
        </w:rPr>
      </w:pPr>
      <w:r>
        <w:rPr>
          <w:rFonts w:ascii="Arial" w:cs="Arial" w:eastAsia="Arial" w:hAnsi="Arial"/>
          <w:sz w:val="18"/>
          <w:szCs w:val="18"/>
          <w:i w:val="1"/>
          <w:iCs w:val="1"/>
          <w:color w:val="auto"/>
        </w:rPr>
        <w:t>Liquidation and Dissolution</w:t>
      </w:r>
      <w:r>
        <w:rPr>
          <w:rFonts w:ascii="Arial" w:cs="Arial" w:eastAsia="Arial" w:hAnsi="Arial"/>
          <w:sz w:val="18"/>
          <w:szCs w:val="18"/>
          <w:color w:val="auto"/>
        </w:rPr>
        <w:t>. In the event of our liquidation, dissolution or winding up,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9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i w:val="1"/>
          <w:iCs w:val="1"/>
          <w:color w:val="auto"/>
        </w:rPr>
        <w:t>Other Rights and Restrictions</w:t>
      </w:r>
      <w:r>
        <w:rPr>
          <w:rFonts w:ascii="Arial" w:cs="Arial" w:eastAsia="Arial" w:hAnsi="Arial"/>
          <w:sz w:val="18"/>
          <w:szCs w:val="18"/>
          <w:color w:val="auto"/>
        </w:rPr>
        <w:t>. Holders of our common stock have no preemptive,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12"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common stock is listed on the Nasdaq Global Select Market under the symbol “IPSC.”</w:t>
      </w:r>
    </w:p>
    <w:p>
      <w:pPr>
        <w:spacing w:after="0" w:line="15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June 13, 2024, we had no shares of preferred stock outstanding.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77" w:lineRule="exact"/>
        <w:rPr>
          <w:sz w:val="20"/>
          <w:szCs w:val="20"/>
          <w:color w:val="auto"/>
        </w:rPr>
      </w:pPr>
    </w:p>
    <w:p>
      <w:pPr>
        <w:ind w:left="1260" w:right="499"/>
        <w:spacing w:after="0" w:line="265" w:lineRule="auto"/>
        <w:rPr>
          <w:sz w:val="20"/>
          <w:szCs w:val="20"/>
          <w:color w:val="auto"/>
        </w:rPr>
      </w:pPr>
      <w:r>
        <w:rPr>
          <w:rFonts w:ascii="Arial" w:cs="Arial" w:eastAsia="Arial" w:hAnsi="Arial"/>
          <w:sz w:val="17"/>
          <w:szCs w:val="17"/>
          <w:color w:val="auto"/>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95"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9" w:lineRule="exact"/>
        <w:rPr>
          <w:sz w:val="20"/>
          <w:szCs w:val="20"/>
          <w:color w:val="auto"/>
        </w:rPr>
      </w:pPr>
    </w:p>
    <w:p>
      <w:pPr>
        <w:ind w:left="1260"/>
        <w:spacing w:after="0"/>
        <w:tabs>
          <w:tab w:leader="none" w:pos="5760" w:val="left"/>
        </w:tabs>
        <w:rPr>
          <w:sz w:val="20"/>
          <w:szCs w:val="20"/>
          <w:color w:val="auto"/>
        </w:rPr>
      </w:pPr>
      <w:r>
        <w:rPr>
          <w:rFonts w:ascii="Arial" w:cs="Arial" w:eastAsia="Arial" w:hAnsi="Arial"/>
          <w:sz w:val="18"/>
          <w:szCs w:val="18"/>
          <w:i w:val="1"/>
          <w:iCs w:val="1"/>
          <w:color w:val="auto"/>
        </w:rPr>
        <w:t>Section 203 of the Delaware General Corporation Law</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are subject to Section 203 of the Delaware</w:t>
      </w:r>
    </w:p>
    <w:p>
      <w:pPr>
        <w:spacing w:after="0" w:line="27"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05"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of Incorporation provides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03" w:lineRule="exact"/>
        <w:rPr>
          <w:sz w:val="20"/>
          <w:szCs w:val="20"/>
          <w:color w:val="auto"/>
        </w:rPr>
      </w:pPr>
    </w:p>
    <w:p>
      <w:pPr>
        <w:ind w:left="1260" w:right="499"/>
        <w:spacing w:after="0" w:line="271"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ability to authorize undesignated preferred stock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9"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Our Certificate of Incorporation provides that the affirmative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voting stock, voting</w:t>
      </w:r>
    </w:p>
    <w:p>
      <w:pPr>
        <w:spacing w:after="0" w:line="2" w:lineRule="exact"/>
        <w:rPr>
          <w:sz w:val="20"/>
          <w:szCs w:val="20"/>
          <w:color w:val="auto"/>
        </w:rPr>
      </w:pPr>
    </w:p>
    <w:p>
      <w:pPr>
        <w:ind w:left="1260" w:right="559"/>
        <w:spacing w:after="0" w:line="249" w:lineRule="auto"/>
        <w:rPr>
          <w:sz w:val="20"/>
          <w:szCs w:val="20"/>
          <w:color w:val="auto"/>
        </w:rPr>
      </w:pPr>
      <w:r>
        <w:rPr>
          <w:rFonts w:ascii="Arial" w:cs="Arial" w:eastAsia="Arial" w:hAnsi="Arial"/>
          <w:sz w:val="17"/>
          <w:szCs w:val="17"/>
          <w:color w:val="auto"/>
        </w:rPr>
        <w:t>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of the then outstanding shares of voting stock, voting as a single class, will be required to amend or repeal our Bylaws unless such action is recommended by our board of directors at an annual or special meeting of stockholders, which would then require the affirmative vote of a majority</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voting power of all of the then outstanding shares of voting stock, voting as a single class.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Additionally, our Bylaws may be amended by a simple majority vote of our board of directors.</w:t>
      </w:r>
    </w:p>
    <w:p>
      <w:pPr>
        <w:spacing w:after="0" w:line="140"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i w:val="1"/>
          <w:iCs w:val="1"/>
          <w:color w:val="auto"/>
        </w:rPr>
        <w:t>Classified Board; Election and Removal of Directors</w:t>
      </w:r>
      <w:r>
        <w:rPr>
          <w:rFonts w:ascii="Arial" w:cs="Arial" w:eastAsia="Arial" w:hAnsi="Arial"/>
          <w:sz w:val="18"/>
          <w:szCs w:val="18"/>
          <w:color w:val="auto"/>
        </w:rPr>
        <w:t>. Our Certificate of Incorporation provides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1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Certificate of Incorporation provides that, unless we consent in writing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09"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33"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The validity of the shares of common stock being offered hereby will be passed upon for us by Goodwin Procter LLP, Philadelphia,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33" w:lineRule="exact"/>
        <w:rPr>
          <w:sz w:val="20"/>
          <w:szCs w:val="20"/>
          <w:color w:val="auto"/>
        </w:rPr>
      </w:pPr>
    </w:p>
    <w:p>
      <w:pPr>
        <w:ind w:left="1260" w:right="519"/>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Century Therapeutics, Inc. appearing in Century Therapeutics, Inc.’s </w:t>
      </w:r>
      <w:hyperlink r:id="rId20">
        <w:r>
          <w:rPr>
            <w:rFonts w:ascii="Arial" w:cs="Arial" w:eastAsia="Arial" w:hAnsi="Arial"/>
            <w:sz w:val="18"/>
            <w:szCs w:val="18"/>
            <w:u w:val="single" w:color="auto"/>
            <w:color w:val="0000EE"/>
          </w:rPr>
          <w:t>Annual Report (Form 10-K) for the year ended December 31, 2023</w:t>
        </w:r>
      </w:hyperlink>
      <w:r>
        <w:rPr>
          <w:rFonts w:ascii="Arial" w:cs="Arial" w:eastAsia="Arial" w:hAnsi="Arial"/>
          <w:sz w:val="18"/>
          <w:szCs w:val="18"/>
          <w:color w:val="auto"/>
        </w:rPr>
        <w:t>,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15"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p>
    <w:p>
      <w:pPr>
        <w:spacing w:after="0" w:line="18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33"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23" w:lineRule="exact"/>
        <w:rPr>
          <w:sz w:val="20"/>
          <w:szCs w:val="20"/>
          <w:color w:val="auto"/>
        </w:rPr>
      </w:pPr>
    </w:p>
    <w:p>
      <w:pPr>
        <w:ind w:left="1620" w:right="859" w:hanging="360"/>
        <w:spacing w:after="0" w:line="281" w:lineRule="auto"/>
        <w:tabs>
          <w:tab w:leader="none" w:pos="1620" w:val="left"/>
        </w:tabs>
        <w:numPr>
          <w:ilvl w:val="0"/>
          <w:numId w:val="1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Our Annual Report on Form 10-K for the year ended December 31, 2023 filed with the SEC on</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March 14, 2024;</w:t>
        </w:r>
      </w:hyperlink>
    </w:p>
    <w:p>
      <w:pPr>
        <w:spacing w:after="0" w:line="1" w:lineRule="exact"/>
        <w:rPr>
          <w:rFonts w:ascii="Arial" w:cs="Arial" w:eastAsia="Arial" w:hAnsi="Arial"/>
          <w:sz w:val="18"/>
          <w:szCs w:val="18"/>
          <w:u w:val="single" w:color="auto"/>
          <w:color w:val="0000EE"/>
        </w:rPr>
      </w:pPr>
    </w:p>
    <w:p>
      <w:pPr>
        <w:ind w:left="1620" w:right="739" w:hanging="360"/>
        <w:spacing w:after="0" w:line="281" w:lineRule="auto"/>
        <w:tabs>
          <w:tab w:leader="none" w:pos="1620" w:val="left"/>
        </w:tabs>
        <w:numPr>
          <w:ilvl w:val="0"/>
          <w:numId w:val="11"/>
        </w:numPr>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Our Quarterly Report on Form 10-Q for the quarter ended March 31, 2024, filed with the SEC on</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May 9, 2024;</w:t>
        </w:r>
      </w:hyperlink>
    </w:p>
    <w:p>
      <w:pPr>
        <w:spacing w:after="0" w:line="1" w:lineRule="exact"/>
        <w:rPr>
          <w:rFonts w:ascii="Arial" w:cs="Arial" w:eastAsia="Arial" w:hAnsi="Arial"/>
          <w:sz w:val="18"/>
          <w:szCs w:val="18"/>
          <w:u w:val="single" w:color="auto"/>
          <w:color w:val="0000EE"/>
        </w:rPr>
      </w:pPr>
    </w:p>
    <w:p>
      <w:pPr>
        <w:ind w:left="1620" w:right="559" w:hanging="360"/>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2023 from our </w:t>
      </w:r>
      <w:hyperlink r:id="rId59">
        <w:r>
          <w:rPr>
            <w:rFonts w:ascii="Arial" w:cs="Arial" w:eastAsia="Arial" w:hAnsi="Arial"/>
            <w:sz w:val="18"/>
            <w:szCs w:val="18"/>
            <w:u w:val="single" w:color="auto"/>
            <w:color w:val="0000EE"/>
          </w:rPr>
          <w:t>Definitive Proxy Statement on Form DEF 14-A</w:t>
        </w:r>
      </w:hyperlink>
      <w:r>
        <w:rPr>
          <w:rFonts w:ascii="Arial" w:cs="Arial" w:eastAsia="Arial" w:hAnsi="Arial"/>
          <w:sz w:val="18"/>
          <w:szCs w:val="18"/>
          <w:color w:val="auto"/>
        </w:rPr>
        <w:t>, filed on April 26, 2024;</w:t>
      </w:r>
    </w:p>
    <w:p>
      <w:pPr>
        <w:spacing w:after="0" w:line="8" w:lineRule="exact"/>
        <w:rPr>
          <w:rFonts w:ascii="Arial" w:cs="Arial" w:eastAsia="Arial" w:hAnsi="Arial"/>
          <w:sz w:val="18"/>
          <w:szCs w:val="18"/>
          <w:color w:val="auto"/>
        </w:rPr>
      </w:pPr>
    </w:p>
    <w:p>
      <w:pPr>
        <w:ind w:left="1620" w:right="699" w:hanging="360"/>
        <w:spacing w:after="0" w:line="281" w:lineRule="auto"/>
        <w:tabs>
          <w:tab w:leader="none" w:pos="1620" w:val="left"/>
        </w:tabs>
        <w:numPr>
          <w:ilvl w:val="0"/>
          <w:numId w:val="11"/>
        </w:numPr>
        <w:rPr>
          <w:rFonts w:ascii="Arial" w:cs="Arial" w:eastAsia="Arial" w:hAnsi="Arial"/>
          <w:sz w:val="18"/>
          <w:szCs w:val="18"/>
          <w:color w:val="0000EE"/>
        </w:rPr>
      </w:pPr>
      <w:hyperlink r:id="rId6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9, 2024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2024</w:t>
        </w:r>
        <w:r>
          <w:rPr>
            <w:rFonts w:ascii="Arial" w:cs="Arial" w:eastAsia="Arial" w:hAnsi="Arial"/>
            <w:sz w:val="18"/>
            <w:szCs w:val="18"/>
            <w:color w:val="0000EE"/>
          </w:rPr>
          <w:t xml:space="preserve"> </w:t>
        </w:r>
        <w:r>
          <w:rPr>
            <w:rFonts w:ascii="Arial" w:cs="Arial" w:eastAsia="Arial" w:hAnsi="Arial"/>
            <w:sz w:val="18"/>
            <w:szCs w:val="18"/>
            <w:color w:val="000000"/>
          </w:rPr>
          <w:t>(</w:t>
        </w:r>
      </w:hyperlink>
      <w:hyperlink r:id="rId61">
        <w:r>
          <w:rPr>
            <w:rFonts w:ascii="Arial" w:cs="Arial" w:eastAsia="Arial" w:hAnsi="Arial"/>
            <w:sz w:val="18"/>
            <w:szCs w:val="18"/>
            <w:u w:val="single" w:color="auto"/>
            <w:color w:val="0000EE"/>
          </w:rPr>
          <w:t>two filings</w:t>
        </w:r>
      </w:hyperlink>
      <w:hyperlink r:id="rId6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2">
        <w:r>
          <w:rPr>
            <w:rFonts w:ascii="Arial" w:cs="Arial" w:eastAsia="Arial" w:hAnsi="Arial"/>
            <w:sz w:val="18"/>
            <w:szCs w:val="18"/>
            <w:u w:val="single" w:color="auto"/>
            <w:color w:val="0000EE"/>
          </w:rPr>
          <w:t xml:space="preserve">May 9, 2024, </w:t>
        </w:r>
      </w:hyperlink>
      <w:hyperlink r:id="rId63">
        <w:r>
          <w:rPr>
            <w:rFonts w:ascii="Arial" w:cs="Arial" w:eastAsia="Arial" w:hAnsi="Arial"/>
            <w:sz w:val="18"/>
            <w:szCs w:val="18"/>
            <w:u w:val="single" w:color="auto"/>
            <w:color w:val="0000EE"/>
          </w:rPr>
          <w:t>June 3, 2024</w:t>
        </w:r>
      </w:hyperlink>
      <w:hyperlink r:id="rId60">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June 24, 2024</w:t>
        </w:r>
      </w:hyperlink>
      <w:hyperlink r:id="rId60">
        <w:r>
          <w:rPr>
            <w:rFonts w:ascii="Arial" w:cs="Arial" w:eastAsia="Arial" w:hAnsi="Arial"/>
            <w:sz w:val="18"/>
            <w:szCs w:val="18"/>
            <w:color w:val="000000"/>
          </w:rPr>
          <w:t>; and</w:t>
        </w:r>
      </w:hyperlink>
    </w:p>
    <w:p>
      <w:pPr>
        <w:spacing w:after="0" w:line="1" w:lineRule="exact"/>
        <w:rPr>
          <w:rFonts w:ascii="Arial" w:cs="Arial" w:eastAsia="Arial" w:hAnsi="Arial"/>
          <w:sz w:val="18"/>
          <w:szCs w:val="18"/>
          <w:color w:val="0000EE"/>
        </w:rPr>
      </w:pPr>
    </w:p>
    <w:p>
      <w:pPr>
        <w:ind w:left="1620" w:right="539" w:hanging="360"/>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001- 40498) filed with the SEC on June 14, 2021, under the Exchange Act, including any amendment or report filed for the purpose of updating such description.</w:t>
      </w:r>
    </w:p>
    <w:p>
      <w:pPr>
        <w:spacing w:after="0" w:line="90" w:lineRule="exact"/>
        <w:rPr>
          <w:rFonts w:ascii="Arial" w:cs="Arial" w:eastAsia="Arial" w:hAnsi="Arial"/>
          <w:sz w:val="18"/>
          <w:szCs w:val="18"/>
          <w:color w:val="0000EE"/>
        </w:rPr>
      </w:pPr>
    </w:p>
    <w:p>
      <w:pPr>
        <w:ind w:left="1260" w:right="499"/>
        <w:spacing w:after="0" w:line="253"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ectPr>
          <w:pgSz w:w="11900" w:h="16838" w:orient="portrait"/>
          <w:cols w:equalWidth="0" w:num="1">
            <w:col w:w="9879"/>
          </w:cols>
          <w:pgMar w:left="580" w:top="97" w:right="1440" w:bottom="1440" w:gutter="0" w:footer="0" w:header="0"/>
        </w:sectPr>
      </w:pPr>
    </w:p>
    <w:p>
      <w:pPr>
        <w:spacing w:after="0" w:line="374" w:lineRule="exact"/>
        <w:rPr>
          <w:rFonts w:ascii="Arial" w:cs="Arial" w:eastAsia="Arial" w:hAnsi="Arial"/>
          <w:sz w:val="18"/>
          <w:szCs w:val="18"/>
          <w:color w:val="0000EE"/>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99"/>
        <w:spacing w:after="0" w:line="262"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23"/>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20" Type="http://schemas.openxmlformats.org/officeDocument/2006/relationships/hyperlink" Target="http://www.sec.gov/ix?doc=/Archives/edgar/data/1850119/000155837024003165/ipsc-20231231x10k.htm" TargetMode="External"/><Relationship Id="rId58" Type="http://schemas.openxmlformats.org/officeDocument/2006/relationships/hyperlink" Target="http://www.sec.gov/ix?doc=/Archives/edgar/data/1850119/000155837024007469/ipsc-20240331x10q.htm" TargetMode="External"/><Relationship Id="rId59" Type="http://schemas.openxmlformats.org/officeDocument/2006/relationships/hyperlink" Target="http://www.sec.gov/Archives/edgar/data/1850119/000110465924052924/tm242867-3_def14a.htm" TargetMode="External"/><Relationship Id="rId60" Type="http://schemas.openxmlformats.org/officeDocument/2006/relationships/hyperlink" Target="http://www.sec.gov/ix?doc=/Archives/edgar/data/1850119/000110465924046247/tm2411557d2_8k.htm" TargetMode="External"/><Relationship Id="rId61" Type="http://schemas.openxmlformats.org/officeDocument/2006/relationships/hyperlink" Target="http://www.sec.gov/ix?doc=/Archives/edgar/data/1850119/000110465924046373/tm2411557d1_8k.htm" TargetMode="External"/><Relationship Id="rId62" Type="http://schemas.openxmlformats.org/officeDocument/2006/relationships/hyperlink" Target="http://www.sec.gov/ix?doc=/Archives/edgar/data/1850119/000110465924059124/tm2413916d1_8k.htm" TargetMode="External"/><Relationship Id="rId63" Type="http://schemas.openxmlformats.org/officeDocument/2006/relationships/hyperlink" Target="http://www.sec.gov/ix?doc=/Archives/edgar/data/1850119/000110465924067446/tm2416244d1_8k.htm" TargetMode="External"/><Relationship Id="rId64" Type="http://schemas.openxmlformats.org/officeDocument/2006/relationships/hyperlink" Target="https://www.sec.gov/ix?doc=/Archives/edgar/data/1850119/000110465924074339/tm2417806d1_8k.htm" TargetMode="External"/><Relationship Id="rId65" Type="http://schemas.openxmlformats.org/officeDocument/2006/relationships/hyperlink" Target="http://www.sec.gov/Archives/edgar/data/1850119/000110465921080760/tm218551d12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2024-06-26T15:48:01Z</dcterms:created>
  <dcterms:modified xsi:type="dcterms:W3CDTF">2024-06-26T15:48:01Z</dcterms:modified>
</cp:coreProperties>
</file>