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Cowan Chad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5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Century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IPSC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0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40" w:type="dxa"/>
            <w:vAlign w:val="bottom"/>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40" w:type="dxa"/>
            <w:vAlign w:val="bottom"/>
            <w:vMerge w:val="restart"/>
          </w:tcPr>
          <w:p>
            <w:pPr>
              <w:jc w:val="right"/>
              <w:ind w:right="633"/>
              <w:spacing w:after="0"/>
              <w:rPr>
                <w:sz w:val="20"/>
                <w:szCs w:val="20"/>
                <w:color w:val="auto"/>
              </w:rPr>
            </w:pPr>
            <w:r>
              <w:rPr>
                <w:rFonts w:ascii="Times New Roman" w:cs="Times New Roman" w:eastAsia="Times New Roman" w:hAnsi="Times New Roman"/>
                <w:sz w:val="17"/>
                <w:szCs w:val="17"/>
                <w:color w:val="0000FF"/>
              </w:rPr>
              <w:t>19104</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03/11/2026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1,431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2.73</w:t>
            </w:r>
          </w:p>
        </w:tc>
        <w:tc>
          <w:tcPr>
            <w:tcW w:w="12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1,177,045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10,697</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tax withholding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Cowan Investment Nominee Trust. The Reporting Person disclaims beneficial ownership except to the extent of any pecuniary interest therein, and this report shall not be deemed an admission that such shares are beneficially owned by him for Section 16 or any other purpose.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Douglas Carr, Attorney-in-  </w:t>
      </w:r>
      <w:r>
        <w:rPr>
          <w:rFonts w:ascii="Times New Roman" w:cs="Times New Roman" w:eastAsia="Times New Roman" w:hAnsi="Times New Roman"/>
          <w:sz w:val="33"/>
          <w:szCs w:val="33"/>
          <w:color w:val="0000FF"/>
          <w:vertAlign w:val="subscript"/>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1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9294"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2026-03-13T15:18:04Z</dcterms:created>
  <dcterms:modified xsi:type="dcterms:W3CDTF">2026-03-13T15:18:04Z</dcterms:modified>
</cp:coreProperties>
</file>