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THE SECURITIES EXCHANGE ACT OF 1934</w:t>
      </w:r>
    </w:p>
    <w:p>
      <w:pPr>
        <w:jc w:val="center"/>
        <w:ind w:right="-319"/>
        <w:spacing w:after="0"/>
        <w:rPr>
          <w:sz w:val="20"/>
          <w:szCs w:val="20"/>
          <w:color w:val="auto"/>
        </w:rPr>
      </w:pPr>
      <w:r>
        <w:rPr>
          <w:rFonts w:ascii="Times New Roman" w:cs="Times New Roman" w:eastAsia="Times New Roman" w:hAnsi="Times New Roman"/>
          <w:sz w:val="22"/>
          <w:szCs w:val="22"/>
          <w:color w:val="auto"/>
        </w:rPr>
        <w:t>(Amendment No. 1)*</w:t>
      </w:r>
    </w:p>
    <w:p>
      <w:pPr>
        <w:spacing w:after="0" w:line="200" w:lineRule="exact"/>
        <w:rPr>
          <w:sz w:val="24"/>
          <w:szCs w:val="24"/>
          <w:color w:val="auto"/>
        </w:rPr>
      </w:pPr>
    </w:p>
    <w:p>
      <w:pPr>
        <w:spacing w:after="0" w:line="25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0" w:lineRule="exact"/>
        <w:rPr>
          <w:sz w:val="24"/>
          <w:szCs w:val="24"/>
          <w:color w:val="auto"/>
        </w:rPr>
      </w:pPr>
    </w:p>
    <w:p>
      <w:pPr>
        <w:spacing w:after="0" w:line="25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0" w:lineRule="exact"/>
        <w:rPr>
          <w:sz w:val="24"/>
          <w:szCs w:val="24"/>
          <w:color w:val="auto"/>
        </w:rPr>
      </w:pPr>
    </w:p>
    <w:p>
      <w:pPr>
        <w:spacing w:after="0" w:line="25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(CUSIP Number)</w:t>
      </w:r>
    </w:p>
    <w:p>
      <w:pPr>
        <w:spacing w:after="0" w:line="200" w:lineRule="exact"/>
        <w:rPr>
          <w:sz w:val="24"/>
          <w:szCs w:val="24"/>
          <w:color w:val="auto"/>
        </w:rPr>
      </w:pPr>
    </w:p>
    <w:p>
      <w:pPr>
        <w:spacing w:after="0" w:line="25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Eli Casdin</w:t>
      </w:r>
    </w:p>
    <w:p>
      <w:pPr>
        <w:spacing w:after="0" w:line="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Casdin Capital, LLC</w:t>
      </w:r>
    </w:p>
    <w:p>
      <w:pPr>
        <w:jc w:val="center"/>
        <w:ind w:right="-319"/>
        <w:spacing w:after="0" w:line="230" w:lineRule="auto"/>
        <w:rPr>
          <w:sz w:val="20"/>
          <w:szCs w:val="20"/>
          <w:color w:val="auto"/>
        </w:rPr>
      </w:pPr>
      <w:r>
        <w:rPr>
          <w:rFonts w:ascii="Times New Roman" w:cs="Times New Roman" w:eastAsia="Times New Roman" w:hAnsi="Times New Roman"/>
          <w:sz w:val="22"/>
          <w:szCs w:val="22"/>
          <w:color w:val="auto"/>
        </w:rPr>
        <w:t>1350 Avenue of the Americas, Suite 2600</w:t>
      </w:r>
    </w:p>
    <w:p>
      <w:pPr>
        <w:jc w:val="center"/>
        <w:ind w:right="-319"/>
        <w:spacing w:after="0" w:line="231" w:lineRule="auto"/>
        <w:rPr>
          <w:sz w:val="20"/>
          <w:szCs w:val="20"/>
          <w:color w:val="auto"/>
        </w:rPr>
      </w:pPr>
      <w:r>
        <w:rPr>
          <w:rFonts w:ascii="Times New Roman" w:cs="Times New Roman" w:eastAsia="Times New Roman" w:hAnsi="Times New Roman"/>
          <w:sz w:val="22"/>
          <w:szCs w:val="22"/>
          <w:color w:val="auto"/>
        </w:rPr>
        <w:t>New York, New York</w:t>
      </w:r>
    </w:p>
    <w:p>
      <w:pPr>
        <w:jc w:val="center"/>
        <w:ind w:right="-319"/>
        <w:spacing w:after="0"/>
        <w:rPr>
          <w:sz w:val="20"/>
          <w:szCs w:val="20"/>
          <w:color w:val="auto"/>
        </w:rPr>
      </w:pPr>
      <w:r>
        <w:rPr>
          <w:rFonts w:ascii="Times New Roman" w:cs="Times New Roman" w:eastAsia="Times New Roman" w:hAnsi="Times New Roman"/>
          <w:sz w:val="22"/>
          <w:szCs w:val="22"/>
          <w:color w:val="auto"/>
        </w:rPr>
        <w:t>Telephone Number (212) 897-5438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-3810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19"/>
        <w:spacing w:after="0" w:line="233" w:lineRule="auto"/>
        <w:rPr>
          <w:sz w:val="20"/>
          <w:szCs w:val="20"/>
          <w:color w:val="auto"/>
        </w:rPr>
      </w:pPr>
      <w:r>
        <w:rPr>
          <w:rFonts w:ascii="Times New Roman" w:cs="Times New Roman" w:eastAsia="Times New Roman" w:hAnsi="Times New Roman"/>
          <w:sz w:val="22"/>
          <w:szCs w:val="22"/>
          <w:color w:val="auto"/>
        </w:rPr>
        <w:t>(Name, Address and Telephone Number of Person Authorized to Receive</w:t>
      </w:r>
    </w:p>
    <w:p>
      <w:pPr>
        <w:spacing w:after="0" w:line="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Notices and Communications)</w:t>
      </w:r>
    </w:p>
    <w:p>
      <w:pPr>
        <w:spacing w:after="0" w:line="200" w:lineRule="exact"/>
        <w:rPr>
          <w:sz w:val="24"/>
          <w:szCs w:val="24"/>
          <w:color w:val="auto"/>
        </w:rPr>
      </w:pPr>
    </w:p>
    <w:p>
      <w:pPr>
        <w:spacing w:after="0" w:line="25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October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52"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If the filing person has previously filed a statement on Schedule 13G to report the acquisition that is the subject of this Schedule 13D, and is filing this schedule because of ss.240.13d-1(e), 240.13d-1(f) or 240.13d-1(g), check the following box</w:t>
      </w:r>
    </w:p>
    <w:p>
      <w:pPr>
        <w:spacing w:after="0" w:line="1" w:lineRule="exact"/>
        <w:rPr>
          <w:sz w:val="24"/>
          <w:szCs w:val="24"/>
          <w:color w:val="auto"/>
        </w:rPr>
      </w:pPr>
    </w:p>
    <w:p>
      <w:pPr>
        <w:ind w:left="180" w:hanging="175"/>
        <w:spacing w:after="0"/>
        <w:tabs>
          <w:tab w:leader="none" w:pos="180"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ind w:left="400" w:right="100" w:hanging="48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-480695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153035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420" w:top="945" w:right="739" w:bottom="1440" w:gutter="0" w:footer="0" w:header="0"/>
        </w:sectPr>
      </w:pPr>
    </w:p>
    <w:bookmarkStart w:id="1" w:name="page2"/>
    <w:bookmarkEnd w:id="1"/>
    <w:p>
      <w:pPr>
        <w:ind w:left="1700"/>
        <w:spacing w:after="0"/>
        <w:rPr>
          <w:sz w:val="20"/>
          <w:szCs w:val="20"/>
          <w:color w:val="auto"/>
        </w:rPr>
      </w:pPr>
      <w:r>
        <w:rPr>
          <w:rFonts w:ascii="Times New Roman" w:cs="Times New Roman" w:eastAsia="Times New Roman" w:hAnsi="Times New Roman"/>
          <w:sz w:val="22"/>
          <w:szCs w:val="22"/>
          <w:color w:val="auto"/>
        </w:rPr>
        <w:t>15673T100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-3810</wp:posOffset>
            </wp:positionV>
            <wp:extent cx="2717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3"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420"/>
        <w:spacing w:after="0" w:line="4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Casdin Capital, LLC</w:t>
      </w:r>
    </w:p>
    <w:tbl>
      <w:tblPr>
        <w:tblLayout w:type="fixed"/>
        <w:tblInd w:w="0" w:type="dxa"/>
        <w:tblCellMar>
          <w:top w:w="0" w:type="dxa"/>
          <w:left w:w="0" w:type="dxa"/>
          <w:bottom w:w="0" w:type="dxa"/>
          <w:right w:w="0" w:type="dxa"/>
        </w:tblCellMar>
      </w:tblPr>
      <w:tr>
        <w:trPr>
          <w:trHeight w:val="245"/>
        </w:trPr>
        <w:tc>
          <w:tcPr>
            <w:tcW w:w="540" w:type="dxa"/>
            <w:vAlign w:val="bottom"/>
          </w:tcPr>
          <w:p>
            <w:pPr>
              <w:jc w:val="right"/>
              <w:ind w:right="272"/>
              <w:spacing w:after="0" w:line="245"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5"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220" w:type="dxa"/>
            <w:vAlign w:val="bottom"/>
          </w:tcPr>
          <w:p>
            <w:pPr>
              <w:ind w:left="1620"/>
              <w:spacing w:after="0" w:line="245" w:lineRule="exact"/>
              <w:rPr>
                <w:sz w:val="20"/>
                <w:szCs w:val="20"/>
                <w:color w:val="auto"/>
              </w:rPr>
            </w:pPr>
            <w:r>
              <w:rPr>
                <w:rFonts w:ascii="Times New Roman" w:cs="Times New Roman" w:eastAsia="Times New Roman" w:hAnsi="Times New Roman"/>
                <w:sz w:val="22"/>
                <w:szCs w:val="22"/>
                <w:color w:val="auto"/>
              </w:rPr>
              <w:t>(a) [_]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22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(b) [_]</w:t>
            </w:r>
          </w:p>
        </w:tc>
      </w:tr>
    </w:tbl>
    <w:p>
      <w:pPr>
        <w:spacing w:after="0" w:line="204"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5" w:lineRule="exact"/>
        <w:rPr>
          <w:rFonts w:ascii="Times New Roman" w:cs="Times New Roman" w:eastAsia="Times New Roman" w:hAnsi="Times New Roman"/>
          <w:sz w:val="22"/>
          <w:szCs w:val="22"/>
          <w:color w:val="auto"/>
        </w:rPr>
      </w:pPr>
    </w:p>
    <w:p>
      <w:pPr>
        <w:ind w:left="900" w:right="8180" w:hanging="895"/>
        <w:spacing w:after="0" w:line="448" w:lineRule="auto"/>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63" w:lineRule="auto"/>
        <w:tabs>
          <w:tab w:leader="none" w:pos="9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0" w:lineRule="exact"/>
        <w:rPr>
          <w:sz w:val="20"/>
          <w:szCs w:val="20"/>
          <w:color w:val="auto"/>
        </w:rPr>
      </w:pPr>
    </w:p>
    <w:p>
      <w:pPr>
        <w:spacing w:after="0" w:line="255" w:lineRule="exact"/>
        <w:rPr>
          <w:sz w:val="20"/>
          <w:szCs w:val="20"/>
          <w:color w:val="auto"/>
        </w:rPr>
      </w:pPr>
    </w:p>
    <w:p>
      <w:pPr>
        <w:ind w:left="900" w:right="7900" w:hanging="895"/>
        <w:spacing w:after="0" w:line="448"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48"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3,206,380</w:t>
      </w:r>
    </w:p>
    <w:p>
      <w:pPr>
        <w:ind w:left="900" w:right="7420" w:hanging="895"/>
        <w:spacing w:after="0" w:line="448"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48"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3,206,380</w:t>
      </w:r>
    </w:p>
    <w:p>
      <w:pPr>
        <w:ind w:left="900" w:right="2260" w:hanging="895"/>
        <w:spacing w:after="0" w:line="448"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3,206,380</w:t>
      </w:r>
    </w:p>
    <w:p>
      <w:pPr>
        <w:ind w:left="900" w:hanging="895"/>
        <w:spacing w:after="0"/>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48" w:lineRule="auto"/>
        <w:tabs>
          <w:tab w:leader="none" w:pos="9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5.5%</w:t>
      </w:r>
    </w:p>
    <w:p>
      <w:pPr>
        <w:ind w:left="900" w:right="7120" w:hanging="895"/>
        <w:spacing w:after="0" w:line="463" w:lineRule="auto"/>
        <w:tabs>
          <w:tab w:leader="none" w:pos="9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306070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706" w:right="439" w:bottom="1440" w:gutter="0" w:footer="0" w:header="0"/>
        </w:sectPr>
      </w:pPr>
    </w:p>
    <w:bookmarkStart w:id="2" w:name="page3"/>
    <w:bookmarkEnd w:id="2"/>
    <w:p>
      <w:pPr>
        <w:ind w:left="1700"/>
        <w:spacing w:after="0"/>
        <w:rPr>
          <w:sz w:val="20"/>
          <w:szCs w:val="20"/>
          <w:color w:val="auto"/>
        </w:rPr>
      </w:pPr>
      <w:r>
        <w:rPr>
          <w:rFonts w:ascii="Times New Roman" w:cs="Times New Roman" w:eastAsia="Times New Roman" w:hAnsi="Times New Roman"/>
          <w:sz w:val="22"/>
          <w:szCs w:val="22"/>
          <w:color w:val="auto"/>
        </w:rPr>
        <w:t>15673T100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-3810</wp:posOffset>
            </wp:positionV>
            <wp:extent cx="2717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203"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420"/>
        <w:spacing w:after="0" w:line="4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Eli Casdin</w:t>
      </w:r>
    </w:p>
    <w:tbl>
      <w:tblPr>
        <w:tblLayout w:type="fixed"/>
        <w:tblInd w:w="0" w:type="dxa"/>
        <w:tblCellMar>
          <w:top w:w="0" w:type="dxa"/>
          <w:left w:w="0" w:type="dxa"/>
          <w:bottom w:w="0" w:type="dxa"/>
          <w:right w:w="0" w:type="dxa"/>
        </w:tblCellMar>
      </w:tblPr>
      <w:tr>
        <w:trPr>
          <w:trHeight w:val="245"/>
        </w:trPr>
        <w:tc>
          <w:tcPr>
            <w:tcW w:w="540" w:type="dxa"/>
            <w:vAlign w:val="bottom"/>
          </w:tcPr>
          <w:p>
            <w:pPr>
              <w:jc w:val="right"/>
              <w:ind w:right="272"/>
              <w:spacing w:after="0" w:line="245"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5"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220" w:type="dxa"/>
            <w:vAlign w:val="bottom"/>
          </w:tcPr>
          <w:p>
            <w:pPr>
              <w:ind w:left="1620"/>
              <w:spacing w:after="0" w:line="245" w:lineRule="exact"/>
              <w:rPr>
                <w:sz w:val="20"/>
                <w:szCs w:val="20"/>
                <w:color w:val="auto"/>
              </w:rPr>
            </w:pPr>
            <w:r>
              <w:rPr>
                <w:rFonts w:ascii="Times New Roman" w:cs="Times New Roman" w:eastAsia="Times New Roman" w:hAnsi="Times New Roman"/>
                <w:sz w:val="22"/>
                <w:szCs w:val="22"/>
                <w:color w:val="auto"/>
              </w:rPr>
              <w:t>(a) [_]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22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(b) [_]</w:t>
            </w:r>
          </w:p>
        </w:tc>
      </w:tr>
    </w:tbl>
    <w:p>
      <w:pPr>
        <w:spacing w:after="0" w:line="204" w:lineRule="exact"/>
        <w:rPr>
          <w:sz w:val="20"/>
          <w:szCs w:val="20"/>
          <w:color w:val="auto"/>
        </w:rPr>
      </w:pPr>
    </w:p>
    <w:p>
      <w:pPr>
        <w:ind w:left="900" w:hanging="895"/>
        <w:spacing w:after="0"/>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5" w:lineRule="exact"/>
        <w:rPr>
          <w:rFonts w:ascii="Times New Roman" w:cs="Times New Roman" w:eastAsia="Times New Roman" w:hAnsi="Times New Roman"/>
          <w:sz w:val="22"/>
          <w:szCs w:val="22"/>
          <w:color w:val="auto"/>
        </w:rPr>
      </w:pPr>
    </w:p>
    <w:p>
      <w:pPr>
        <w:ind w:left="900" w:right="8180" w:hanging="895"/>
        <w:spacing w:after="0" w:line="448" w:lineRule="auto"/>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63" w:lineRule="auto"/>
        <w:tabs>
          <w:tab w:leader="none" w:pos="9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 of America</w:t>
      </w:r>
    </w:p>
    <w:p>
      <w:pPr>
        <w:spacing w:after="0" w:line="200" w:lineRule="exact"/>
        <w:rPr>
          <w:sz w:val="20"/>
          <w:szCs w:val="20"/>
          <w:color w:val="auto"/>
        </w:rPr>
      </w:pPr>
    </w:p>
    <w:p>
      <w:pPr>
        <w:spacing w:after="0" w:line="255" w:lineRule="exact"/>
        <w:rPr>
          <w:sz w:val="20"/>
          <w:szCs w:val="20"/>
          <w:color w:val="auto"/>
        </w:rPr>
      </w:pPr>
    </w:p>
    <w:p>
      <w:pPr>
        <w:ind w:left="900" w:right="7900" w:hanging="895"/>
        <w:spacing w:after="0" w:line="448"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16,560</w:t>
      </w:r>
    </w:p>
    <w:p>
      <w:pPr>
        <w:ind w:left="900" w:right="7580" w:hanging="895"/>
        <w:spacing w:after="0" w:line="448"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3,206,380</w:t>
      </w:r>
    </w:p>
    <w:p>
      <w:pPr>
        <w:ind w:left="900" w:right="7420" w:hanging="895"/>
        <w:spacing w:after="0" w:line="448"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16,560</w:t>
      </w:r>
    </w:p>
    <w:p>
      <w:pPr>
        <w:ind w:left="900" w:right="7100" w:hanging="895"/>
        <w:spacing w:after="0" w:line="448"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3,206,380</w:t>
      </w:r>
    </w:p>
    <w:p>
      <w:pPr>
        <w:ind w:left="900" w:right="2260" w:hanging="895"/>
        <w:spacing w:after="0" w:line="448"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3,222,940</w:t>
      </w:r>
    </w:p>
    <w:p>
      <w:pPr>
        <w:ind w:left="900" w:hanging="895"/>
        <w:spacing w:after="0"/>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48" w:lineRule="auto"/>
        <w:tabs>
          <w:tab w:leader="none" w:pos="9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5.5%</w:t>
      </w:r>
    </w:p>
    <w:p>
      <w:pPr>
        <w:ind w:left="900" w:right="7120" w:hanging="895"/>
        <w:spacing w:after="0" w:line="463" w:lineRule="auto"/>
        <w:tabs>
          <w:tab w:leader="none" w:pos="9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306070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706"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8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15673T100</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233" w:lineRule="exact"/>
        <w:rPr>
          <w:sz w:val="20"/>
          <w:szCs w:val="20"/>
          <w:color w:val="auto"/>
        </w:rPr>
      </w:pPr>
    </w:p>
    <w:p>
      <w:pPr>
        <w:jc w:val="both"/>
        <w:ind w:left="1020"/>
        <w:spacing w:after="0" w:line="244" w:lineRule="auto"/>
        <w:rPr>
          <w:sz w:val="20"/>
          <w:szCs w:val="20"/>
          <w:color w:val="auto"/>
        </w:rPr>
      </w:pPr>
      <w:r>
        <w:rPr>
          <w:rFonts w:ascii="Times New Roman" w:cs="Times New Roman" w:eastAsia="Times New Roman" w:hAnsi="Times New Roman"/>
          <w:sz w:val="22"/>
          <w:szCs w:val="22"/>
          <w:color w:val="auto"/>
        </w:rPr>
        <w:t>The name of the issuer is Century Therapeutics, Inc., a Delaware corporation (the "Issuer"). The address of the Issuer's principal executive offices is 3675 Market Street, Philadelphia, Pennsylvania 19104. This Schedule 13D amendment relates to the Issuer's Common Stock, $0.0001 par value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127635</wp:posOffset>
            </wp:positionV>
            <wp:extent cx="6489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233" w:lineRule="exact"/>
        <w:rPr>
          <w:sz w:val="20"/>
          <w:szCs w:val="20"/>
          <w:color w:val="auto"/>
        </w:rPr>
      </w:pPr>
    </w:p>
    <w:p>
      <w:pPr>
        <w:jc w:val="both"/>
        <w:ind w:left="2040" w:hanging="1011"/>
        <w:spacing w:after="0" w:line="244" w:lineRule="auto"/>
        <w:tabs>
          <w:tab w:leader="none" w:pos="2020" w:val="left"/>
        </w:tabs>
        <w:rPr>
          <w:sz w:val="20"/>
          <w:szCs w:val="20"/>
          <w:color w:val="auto"/>
        </w:rPr>
      </w:pPr>
      <w:r>
        <w:rPr>
          <w:rFonts w:ascii="Times New Roman" w:cs="Times New Roman" w:eastAsia="Times New Roman" w:hAnsi="Times New Roman"/>
          <w:sz w:val="22"/>
          <w:szCs w:val="22"/>
          <w:color w:val="auto"/>
        </w:rPr>
        <w:t>(a), (f)</w:t>
      </w:r>
      <w:r>
        <w:rPr>
          <w:sz w:val="20"/>
          <w:szCs w:val="20"/>
          <w:color w:val="auto"/>
        </w:rPr>
        <w:tab/>
      </w:r>
      <w:r>
        <w:rPr>
          <w:rFonts w:ascii="Times New Roman" w:cs="Times New Roman" w:eastAsia="Times New Roman" w:hAnsi="Times New Roman"/>
          <w:sz w:val="22"/>
          <w:szCs w:val="22"/>
          <w:color w:val="auto"/>
        </w:rPr>
        <w:t>This Schedule 13D is being filed jointly by Casdin Capital, LLC, a Delaware limited liability company (“Casdin”) and Eli Casdin, a United States citizen (collectively, the "Reporting Persons").</w:t>
      </w:r>
    </w:p>
    <w:p>
      <w:pPr>
        <w:spacing w:after="0" w:line="173" w:lineRule="exact"/>
        <w:rPr>
          <w:sz w:val="20"/>
          <w:szCs w:val="20"/>
          <w:color w:val="auto"/>
        </w:rPr>
      </w:pPr>
    </w:p>
    <w:p>
      <w:pPr>
        <w:ind w:left="2040" w:right="20" w:hanging="1022"/>
        <w:spacing w:after="0" w:line="258" w:lineRule="auto"/>
        <w:tabs>
          <w:tab w:leader="none" w:pos="20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for each of the Reporting Persons is 1350 Avenue of the Americas, Suite 2600, New York, New York 10019.</w:t>
      </w:r>
    </w:p>
    <w:p>
      <w:pPr>
        <w:spacing w:after="0" w:line="158" w:lineRule="exact"/>
        <w:rPr>
          <w:rFonts w:ascii="Times New Roman" w:cs="Times New Roman" w:eastAsia="Times New Roman" w:hAnsi="Times New Roman"/>
          <w:sz w:val="22"/>
          <w:szCs w:val="22"/>
          <w:color w:val="auto"/>
        </w:rPr>
      </w:pPr>
    </w:p>
    <w:p>
      <w:pPr>
        <w:ind w:left="2040" w:hanging="1022"/>
        <w:spacing w:after="0" w:line="258" w:lineRule="auto"/>
        <w:tabs>
          <w:tab w:leader="none" w:pos="20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 Casdin is the managing member of Casdin. The principal business of Casdin is serving as an investment adviser to its clients.</w:t>
      </w:r>
    </w:p>
    <w:p>
      <w:pPr>
        <w:spacing w:after="0" w:line="158" w:lineRule="exact"/>
        <w:rPr>
          <w:sz w:val="20"/>
          <w:szCs w:val="20"/>
          <w:color w:val="auto"/>
        </w:rPr>
      </w:pPr>
    </w:p>
    <w:p>
      <w:pPr>
        <w:jc w:val="both"/>
        <w:ind w:left="2040" w:right="20" w:hanging="1011"/>
        <w:spacing w:after="0" w:line="236" w:lineRule="auto"/>
        <w:tabs>
          <w:tab w:leader="none" w:pos="2020" w:val="left"/>
        </w:tabs>
        <w:rPr>
          <w:sz w:val="20"/>
          <w:szCs w:val="20"/>
          <w:color w:val="auto"/>
        </w:rPr>
      </w:pPr>
      <w:r>
        <w:rPr>
          <w:rFonts w:ascii="Times New Roman" w:cs="Times New Roman" w:eastAsia="Times New Roman" w:hAnsi="Times New Roman"/>
          <w:sz w:val="22"/>
          <w:szCs w:val="22"/>
          <w:color w:val="auto"/>
        </w:rPr>
        <w:t>(d), (e)</w:t>
      </w:r>
      <w:r>
        <w:rPr>
          <w:sz w:val="20"/>
          <w:szCs w:val="20"/>
          <w:color w:val="auto"/>
        </w:rPr>
        <w:tab/>
      </w:r>
      <w:r>
        <w:rPr>
          <w:rFonts w:ascii="Times New Roman" w:cs="Times New Roman" w:eastAsia="Times New Roman" w:hAnsi="Times New Roman"/>
          <w:sz w:val="22"/>
          <w:szCs w:val="22"/>
          <w:color w:val="auto"/>
        </w:rPr>
        <w:t>During the last five years, none of the Reporting Persons has been (a) convicted in a criminal proceeding (excluding traffic violations or similar misdemeanors) or (b)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The Reporting Persons disclaim membership in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269875</wp:posOffset>
            </wp:positionV>
            <wp:extent cx="6489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206" w:lineRule="exact"/>
        <w:rPr>
          <w:sz w:val="20"/>
          <w:szCs w:val="20"/>
          <w:color w:val="auto"/>
        </w:rPr>
      </w:pPr>
    </w:p>
    <w:p>
      <w:pPr>
        <w:jc w:val="both"/>
        <w:ind w:left="1020"/>
        <w:spacing w:after="0" w:line="239" w:lineRule="auto"/>
        <w:rPr>
          <w:sz w:val="20"/>
          <w:szCs w:val="20"/>
          <w:color w:val="auto"/>
        </w:rPr>
      </w:pPr>
      <w:r>
        <w:rPr>
          <w:rFonts w:ascii="Times New Roman" w:cs="Times New Roman" w:eastAsia="Times New Roman" w:hAnsi="Times New Roman"/>
          <w:sz w:val="22"/>
          <w:szCs w:val="22"/>
          <w:color w:val="auto"/>
        </w:rPr>
        <w:t>The funds for the purchase of the Shares came from the working capital of private investment funds managed by Casdin, over which the Reporting Persons, through their roles described above in Item 2(c), exercise investment discretion. No borrowed funds were used to purchase the Shares, other than borrowed funds used for working capital purposes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132080</wp:posOffset>
            </wp:positionV>
            <wp:extent cx="6489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457835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420" w:top="706" w:right="879" w:bottom="1440" w:gutter="0" w:footer="0" w:header="0"/>
        </w:sectPr>
      </w:pPr>
    </w:p>
    <w:bookmarkStart w:id="4" w:name="page5"/>
    <w:bookmarkEnd w:id="4"/>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206" w:lineRule="exact"/>
        <w:rPr>
          <w:sz w:val="20"/>
          <w:szCs w:val="20"/>
          <w:color w:val="auto"/>
        </w:rPr>
      </w:pPr>
    </w:p>
    <w:p>
      <w:pPr>
        <w:jc w:val="both"/>
        <w:ind w:left="1020"/>
        <w:spacing w:after="0" w:line="234" w:lineRule="auto"/>
        <w:rPr>
          <w:sz w:val="20"/>
          <w:szCs w:val="20"/>
          <w:color w:val="auto"/>
        </w:rPr>
      </w:pPr>
      <w:r>
        <w:rPr>
          <w:rFonts w:ascii="Times New Roman" w:cs="Times New Roman" w:eastAsia="Times New Roman" w:hAnsi="Times New Roman"/>
          <w:sz w:val="22"/>
          <w:szCs w:val="22"/>
          <w:color w:val="auto"/>
        </w:rPr>
        <w:t>The Reporting Persons have acquired their Shares of the Issuer for investment. The Reporting Persons have no plans or proposals as of the date of this filing which, other than as expressly set forth below, would relate to or would result in: (a) any extraordinary corporate transaction involving the Issuer; (b) any change in the present Board of Directors or management of the Issuer; (c) any material change in the present capitalization or dividend policy of the Issuer; (d) any material change in the operating policies or corporate structure of the Issuer; (e) any change in the Issuer's charter or by-laws; (f) the Shares of the Issuer ceasing to be listed from a national securities exchange or to ceasing to be authorized to be quoted in an inter-dealer quotation system of a registered national securities association; or (g) causing the Issuer becoming eligible for termination of registration pursuant to Section 12(g)(4) of the Securities Exchange Act of 1934.</w:t>
      </w:r>
    </w:p>
    <w:p>
      <w:pPr>
        <w:spacing w:after="0" w:line="210" w:lineRule="exact"/>
        <w:rPr>
          <w:sz w:val="20"/>
          <w:szCs w:val="20"/>
          <w:color w:val="auto"/>
        </w:rPr>
      </w:pPr>
    </w:p>
    <w:p>
      <w:pPr>
        <w:jc w:val="both"/>
        <w:ind w:left="1020" w:right="20"/>
        <w:spacing w:after="0" w:line="244" w:lineRule="auto"/>
        <w:rPr>
          <w:sz w:val="20"/>
          <w:szCs w:val="20"/>
          <w:color w:val="auto"/>
        </w:rPr>
      </w:pPr>
      <w:r>
        <w:rPr>
          <w:rFonts w:ascii="Times New Roman" w:cs="Times New Roman" w:eastAsia="Times New Roman" w:hAnsi="Times New Roman"/>
          <w:sz w:val="22"/>
          <w:szCs w:val="22"/>
          <w:color w:val="auto"/>
        </w:rPr>
        <w:t>On September 28, 2022, Eli Casdin, a director of the Issuer, notified the Issuer of his decision to step down from the Board of Directors of the Issuer, effective October 1, 2022. Mr. Casdin’s decision was not the result of any disagreement with the Issuer on matters related to the Issuer’s operations, policies or practices.</w:t>
      </w:r>
    </w:p>
    <w:p>
      <w:pPr>
        <w:spacing w:after="0" w:line="200" w:lineRule="exact"/>
        <w:rPr>
          <w:sz w:val="20"/>
          <w:szCs w:val="20"/>
          <w:color w:val="auto"/>
        </w:rPr>
      </w:pPr>
    </w:p>
    <w:p>
      <w:pPr>
        <w:jc w:val="both"/>
        <w:ind w:left="1020" w:right="20"/>
        <w:spacing w:after="0" w:line="258" w:lineRule="auto"/>
        <w:rPr>
          <w:sz w:val="20"/>
          <w:szCs w:val="20"/>
          <w:color w:val="auto"/>
        </w:rPr>
      </w:pPr>
      <w:r>
        <w:rPr>
          <w:rFonts w:ascii="Times New Roman" w:cs="Times New Roman" w:eastAsia="Times New Roman" w:hAnsi="Times New Roman"/>
          <w:sz w:val="22"/>
          <w:szCs w:val="22"/>
          <w:color w:val="auto"/>
        </w:rPr>
        <w:t>The Reporting Persons, however, reserve the right, at a later date, to effect one or more of such changes and may dispose of or enter into other transactions in the shares they may be deemed to beneficially own.</w:t>
      </w:r>
    </w:p>
    <w:p>
      <w:pPr>
        <w:spacing w:after="0" w:line="185" w:lineRule="exact"/>
        <w:rPr>
          <w:sz w:val="20"/>
          <w:szCs w:val="20"/>
          <w:color w:val="auto"/>
        </w:rPr>
      </w:pPr>
    </w:p>
    <w:p>
      <w:pPr>
        <w:jc w:val="both"/>
        <w:ind w:left="1020"/>
        <w:spacing w:after="0" w:line="244" w:lineRule="auto"/>
        <w:rPr>
          <w:sz w:val="20"/>
          <w:szCs w:val="20"/>
          <w:color w:val="auto"/>
        </w:rPr>
      </w:pPr>
      <w:r>
        <w:rPr>
          <w:rFonts w:ascii="Times New Roman" w:cs="Times New Roman" w:eastAsia="Times New Roman" w:hAnsi="Times New Roman"/>
          <w:sz w:val="22"/>
          <w:szCs w:val="22"/>
          <w:color w:val="auto"/>
        </w:rPr>
        <w:t>The Reporting Persons have been and may continue to be in contact with members of the Issuer's management, the Issuer's Board of Directors, other significant shareholders and others regarding alternatives that the Issuer could employ to maximize shareholder value.</w:t>
      </w:r>
    </w:p>
    <w:p>
      <w:pPr>
        <w:spacing w:after="0" w:line="200" w:lineRule="exact"/>
        <w:rPr>
          <w:sz w:val="20"/>
          <w:szCs w:val="20"/>
          <w:color w:val="auto"/>
        </w:rPr>
      </w:pPr>
    </w:p>
    <w:p>
      <w:pPr>
        <w:jc w:val="both"/>
        <w:ind w:left="1020" w:right="20"/>
        <w:spacing w:after="0" w:line="244" w:lineRule="auto"/>
        <w:rPr>
          <w:sz w:val="20"/>
          <w:szCs w:val="20"/>
          <w:color w:val="auto"/>
        </w:rPr>
      </w:pPr>
      <w:r>
        <w:rPr>
          <w:rFonts w:ascii="Times New Roman" w:cs="Times New Roman" w:eastAsia="Times New Roman" w:hAnsi="Times New Roman"/>
          <w:sz w:val="22"/>
          <w:szCs w:val="22"/>
          <w:color w:val="auto"/>
        </w:rPr>
        <w:t>The Reporting Persons further reserve the right to act in concert with any other shareholders of the Issuer, or other persons, for a common purpose should it determine to do so, and/or to recommend courses of action to management and the shareholders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127635</wp:posOffset>
            </wp:positionV>
            <wp:extent cx="6489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453390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420" w:top="706" w:right="879" w:bottom="1440" w:gutter="0" w:footer="0" w:header="0"/>
        </w:sectPr>
      </w:pPr>
    </w:p>
    <w:bookmarkStart w:id="5" w:name="page6"/>
    <w:bookmarkEnd w:id="5"/>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206" w:lineRule="exact"/>
        <w:rPr>
          <w:sz w:val="20"/>
          <w:szCs w:val="20"/>
          <w:color w:val="auto"/>
        </w:rPr>
      </w:pPr>
    </w:p>
    <w:p>
      <w:pPr>
        <w:ind w:left="2040" w:hanging="1022"/>
        <w:spacing w:after="0" w:line="258" w:lineRule="auto"/>
        <w:tabs>
          <w:tab w:leader="none" w:pos="132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 As of the date hereof, Casdin may be deemed to be the beneficial owner of 3,206,380 Shares, constituting 5.5% of the Shares, based upon 58,881,833* Shares outstanding.</w:t>
      </w:r>
    </w:p>
    <w:p>
      <w:pPr>
        <w:spacing w:after="0" w:line="185" w:lineRule="exact"/>
        <w:rPr>
          <w:sz w:val="20"/>
          <w:szCs w:val="20"/>
          <w:color w:val="auto"/>
        </w:rPr>
      </w:pPr>
    </w:p>
    <w:p>
      <w:pPr>
        <w:jc w:val="both"/>
        <w:ind w:left="2040"/>
        <w:spacing w:after="0" w:line="244" w:lineRule="auto"/>
        <w:rPr>
          <w:sz w:val="20"/>
          <w:szCs w:val="20"/>
          <w:color w:val="auto"/>
        </w:rPr>
      </w:pPr>
      <w:r>
        <w:rPr>
          <w:rFonts w:ascii="Times New Roman" w:cs="Times New Roman" w:eastAsia="Times New Roman" w:hAnsi="Times New Roman"/>
          <w:sz w:val="22"/>
          <w:szCs w:val="22"/>
          <w:color w:val="auto"/>
        </w:rPr>
        <w:t>Casdin has the sole power to vote or direct the vote of 0 Shares; has the shared power to vote or direct the vote of 3,206,380 Shares; has the sole power to dispose or direct the disposition of 0 Shares; and has the shared power to dispose or direct the disposition of 3,206,380 Shares.</w:t>
      </w:r>
    </w:p>
    <w:p>
      <w:pPr>
        <w:spacing w:after="0" w:line="200" w:lineRule="exact"/>
        <w:rPr>
          <w:sz w:val="20"/>
          <w:szCs w:val="20"/>
          <w:color w:val="auto"/>
        </w:rPr>
      </w:pPr>
    </w:p>
    <w:p>
      <w:pPr>
        <w:jc w:val="both"/>
        <w:ind w:left="2040" w:right="20"/>
        <w:spacing w:after="0" w:line="258" w:lineRule="auto"/>
        <w:rPr>
          <w:sz w:val="20"/>
          <w:szCs w:val="20"/>
          <w:color w:val="auto"/>
        </w:rPr>
      </w:pPr>
      <w:r>
        <w:rPr>
          <w:rFonts w:ascii="Times New Roman" w:cs="Times New Roman" w:eastAsia="Times New Roman" w:hAnsi="Times New Roman"/>
          <w:sz w:val="22"/>
          <w:szCs w:val="22"/>
          <w:color w:val="auto"/>
        </w:rPr>
        <w:t>As of the date hereof, Eli Casdin may be deemed to be the beneficial owner of 3,222,940 Shares, constituting 5.5% of the Shares, based upon 58,881,833* Shares outstanding.</w:t>
      </w:r>
    </w:p>
    <w:p>
      <w:pPr>
        <w:spacing w:after="0" w:line="185" w:lineRule="exact"/>
        <w:rPr>
          <w:sz w:val="20"/>
          <w:szCs w:val="20"/>
          <w:color w:val="auto"/>
        </w:rPr>
      </w:pPr>
    </w:p>
    <w:p>
      <w:pPr>
        <w:jc w:val="both"/>
        <w:ind w:left="2040"/>
        <w:spacing w:after="0" w:line="239" w:lineRule="auto"/>
        <w:rPr>
          <w:sz w:val="20"/>
          <w:szCs w:val="20"/>
          <w:color w:val="auto"/>
        </w:rPr>
      </w:pPr>
      <w:r>
        <w:rPr>
          <w:rFonts w:ascii="Times New Roman" w:cs="Times New Roman" w:eastAsia="Times New Roman" w:hAnsi="Times New Roman"/>
          <w:sz w:val="22"/>
          <w:szCs w:val="22"/>
          <w:color w:val="auto"/>
        </w:rPr>
        <w:t>Eli Casdin has the sole power to vote or direct the vote of 16,560 Shares; has the shared power to vote or direct the vote of 3,206,380 Shares; has the sole power to dispose or direct the disposition of 16,560 Shares; and has the shared power to dispose or direct the disposition of 3,206,380 Shares.</w:t>
      </w:r>
    </w:p>
    <w:p>
      <w:pPr>
        <w:spacing w:after="0" w:line="207" w:lineRule="exact"/>
        <w:rPr>
          <w:sz w:val="20"/>
          <w:szCs w:val="20"/>
          <w:color w:val="auto"/>
        </w:rPr>
      </w:pPr>
    </w:p>
    <w:p>
      <w:pPr>
        <w:jc w:val="both"/>
        <w:ind w:left="2040"/>
        <w:spacing w:after="0" w:line="258" w:lineRule="auto"/>
        <w:rPr>
          <w:sz w:val="20"/>
          <w:szCs w:val="20"/>
          <w:color w:val="auto"/>
        </w:rPr>
      </w:pPr>
      <w:r>
        <w:rPr>
          <w:rFonts w:ascii="Times New Roman" w:cs="Times New Roman" w:eastAsia="Times New Roman" w:hAnsi="Times New Roman"/>
          <w:sz w:val="22"/>
          <w:szCs w:val="22"/>
          <w:color w:val="auto"/>
        </w:rPr>
        <w:t>The Reporting Persons have not effected any transactions in the Issuer’s Common Stock during the past 60 days.</w:t>
      </w:r>
    </w:p>
    <w:p>
      <w:pPr>
        <w:spacing w:after="0" w:line="185" w:lineRule="exact"/>
        <w:rPr>
          <w:sz w:val="20"/>
          <w:szCs w:val="20"/>
          <w:color w:val="auto"/>
        </w:rPr>
      </w:pPr>
    </w:p>
    <w:p>
      <w:pPr>
        <w:jc w:val="both"/>
        <w:ind w:left="2040"/>
        <w:spacing w:after="0" w:line="258" w:lineRule="auto"/>
        <w:rPr>
          <w:sz w:val="20"/>
          <w:szCs w:val="20"/>
          <w:color w:val="auto"/>
        </w:rPr>
      </w:pPr>
      <w:r>
        <w:rPr>
          <w:rFonts w:ascii="Times New Roman" w:cs="Times New Roman" w:eastAsia="Times New Roman" w:hAnsi="Times New Roman"/>
          <w:sz w:val="22"/>
          <w:szCs w:val="22"/>
          <w:color w:val="auto"/>
        </w:rPr>
        <w:t>Other than the Shares underlying Eli Casdin’s option grant, all of the Shares are beneficially owned by private investment funds managed by Casdin.</w:t>
      </w:r>
    </w:p>
    <w:p>
      <w:pPr>
        <w:spacing w:after="0" w:line="185" w:lineRule="exact"/>
        <w:rPr>
          <w:sz w:val="20"/>
          <w:szCs w:val="20"/>
          <w:color w:val="auto"/>
        </w:rPr>
      </w:pPr>
    </w:p>
    <w:p>
      <w:pPr>
        <w:jc w:val="both"/>
        <w:ind w:left="2040"/>
        <w:spacing w:after="0" w:line="258" w:lineRule="auto"/>
        <w:rPr>
          <w:sz w:val="20"/>
          <w:szCs w:val="20"/>
          <w:color w:val="auto"/>
        </w:rPr>
      </w:pPr>
      <w:r>
        <w:rPr>
          <w:rFonts w:ascii="Times New Roman" w:cs="Times New Roman" w:eastAsia="Times New Roman" w:hAnsi="Times New Roman"/>
          <w:sz w:val="22"/>
          <w:szCs w:val="22"/>
          <w:color w:val="auto"/>
        </w:rPr>
        <w:t>*This outstanding Shares figure reflects the number of outstanding Shares as reported in the 10-Q filed by the Issuer on August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118110</wp:posOffset>
            </wp:positionV>
            <wp:extent cx="64890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9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206" w:lineRule="exact"/>
        <w:rPr>
          <w:sz w:val="20"/>
          <w:szCs w:val="20"/>
          <w:color w:val="auto"/>
        </w:rPr>
      </w:pPr>
    </w:p>
    <w:p>
      <w:pPr>
        <w:jc w:val="both"/>
        <w:ind w:left="1020"/>
        <w:spacing w:after="0" w:line="244" w:lineRule="auto"/>
        <w:rPr>
          <w:sz w:val="20"/>
          <w:szCs w:val="20"/>
          <w:color w:val="auto"/>
        </w:rPr>
      </w:pPr>
      <w:r>
        <w:rPr>
          <w:rFonts w:ascii="Times New Roman" w:cs="Times New Roman" w:eastAsia="Times New Roman" w:hAnsi="Times New Roman"/>
          <w:sz w:val="22"/>
          <w:szCs w:val="22"/>
          <w:color w:val="auto"/>
        </w:rPr>
        <w:t>On June 17, 2021, Eli Casdin was granted options to buy 39,744 Shares that vest in 36 equal monthly installments, subject to Eli Casdin’s continued service through the applicable vesting date. As of the date hereof, 16,560 options have vested and the remaining 23,184 options have been canceled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127635</wp:posOffset>
            </wp:positionV>
            <wp:extent cx="6489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2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Exhibit A: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147955</wp:posOffset>
            </wp:positionV>
            <wp:extent cx="6489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473710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420" w:top="706" w:right="8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22"/>
          <w:szCs w:val="22"/>
          <w:color w:val="auto"/>
        </w:rPr>
        <w:t>October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23488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22"/>
          <w:szCs w:val="22"/>
          <w:color w:val="auto"/>
        </w:rPr>
        <w:t>(Date)</w:t>
      </w:r>
    </w:p>
    <w:p>
      <w:pPr>
        <w:spacing w:after="0" w:line="39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0" w:lineRule="exact"/>
        <w:rPr>
          <w:sz w:val="20"/>
          <w:szCs w:val="20"/>
          <w:color w:val="auto"/>
        </w:rPr>
      </w:pPr>
    </w:p>
    <w:p>
      <w:pPr>
        <w:spacing w:after="0" w:line="22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23488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22"/>
          <w:szCs w:val="22"/>
          <w:color w:val="auto"/>
        </w:rPr>
        <w:t>(Signature)</w:t>
      </w:r>
    </w:p>
    <w:p>
      <w:pPr>
        <w:spacing w:after="0" w:line="39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23488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2"/>
          <w:szCs w:val="22"/>
          <w:color w:val="auto"/>
        </w:rPr>
        <w:t>(Name/Title)</w:t>
      </w:r>
    </w:p>
    <w:p>
      <w:pPr>
        <w:spacing w:after="0" w:line="39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234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8"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22"/>
          <w:szCs w:val="22"/>
          <w:color w:val="auto"/>
        </w:rPr>
        <w:t>Eli Casdin</w:t>
      </w:r>
    </w:p>
    <w:p>
      <w:pPr>
        <w:spacing w:after="0" w:line="209" w:lineRule="exact"/>
        <w:rPr>
          <w:sz w:val="20"/>
          <w:szCs w:val="20"/>
          <w:color w:val="auto"/>
        </w:rPr>
      </w:pPr>
    </w:p>
    <w:p>
      <w:pPr>
        <w:jc w:val="both"/>
        <w:ind w:firstLine="8"/>
        <w:spacing w:after="0" w:line="244" w:lineRule="auto"/>
        <w:tabs>
          <w:tab w:leader="none" w:pos="17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reporting person disclaims beneficial ownership of these reported securities except to the extent of its pecuniary interest therein, and this report shall not be deemed an admission that any such person is the beneficial owner of these securities for purposes of Section 16 of the U.S. Securities Exchange Act of 1934, as amended, or for any other purpose.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3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 undersigned agree that this Schedule 13D amendment, dated October 11, 2022, relating to the Common Stock, $0.0001 par value of Century Therapeutics, Inc. shall be filed on behalf of the undersigned.</w:t>
      </w:r>
    </w:p>
    <w:p>
      <w:pPr>
        <w:spacing w:after="0" w:line="185"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22"/>
          <w:szCs w:val="22"/>
          <w:color w:val="auto"/>
        </w:rPr>
        <w:t>October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234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8"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22"/>
          <w:szCs w:val="22"/>
          <w:color w:val="auto"/>
        </w:rPr>
        <w:t>(Date)</w:t>
      </w:r>
    </w:p>
    <w:p>
      <w:pPr>
        <w:spacing w:after="0" w:line="39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0" w:lineRule="exact"/>
        <w:rPr>
          <w:sz w:val="20"/>
          <w:szCs w:val="20"/>
          <w:color w:val="auto"/>
        </w:rPr>
      </w:pPr>
    </w:p>
    <w:p>
      <w:pPr>
        <w:spacing w:after="0" w:line="22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23488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22"/>
          <w:szCs w:val="22"/>
          <w:color w:val="auto"/>
        </w:rPr>
        <w:t>(Signature)</w:t>
      </w:r>
    </w:p>
    <w:p>
      <w:pPr>
        <w:spacing w:after="0" w:line="39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23488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2"/>
          <w:szCs w:val="22"/>
          <w:color w:val="auto"/>
        </w:rPr>
        <w:t>(Name/Title)</w:t>
      </w:r>
    </w:p>
    <w:p>
      <w:pPr>
        <w:spacing w:after="0" w:line="39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234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8"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22"/>
          <w:szCs w:val="22"/>
          <w:color w:val="auto"/>
        </w:rPr>
        <w:t>Eli Casdin</w:t>
      </w:r>
    </w:p>
    <w:sectPr>
      <w:pgSz w:w="11900" w:h="16838" w:orient="portrait"/>
      <w:cols w:equalWidth="0" w:num="1">
        <w:col w:w="11240"/>
      </w:cols>
      <w:pgMar w:left="320" w:top="4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6"/>
    </w:lvl>
  </w:abstractNum>
  <w:abstractNum w:abstractNumId="4">
    <w:nsid w:val="12200854"/>
    <w:multiLevelType w:val="hybridMultilevel"/>
    <w:lvl w:ilvl="0">
      <w:lvlJc w:val="left"/>
      <w:lvlText w:val="%1."/>
      <w:numFmt w:val="decimal"/>
      <w:start w:val="7"/>
    </w:lvl>
  </w:abstractNum>
  <w:abstractNum w:abstractNumId="5">
    <w:nsid w:val="4DB127F8"/>
    <w:multiLevelType w:val="hybridMultilevel"/>
    <w:lvl w:ilvl="0">
      <w:lvlJc w:val="left"/>
      <w:lvlText w:val="%1."/>
      <w:numFmt w:val="decimal"/>
      <w:start w:val="13"/>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1."/>
      <w:numFmt w:val="decimal"/>
      <w:start w:val="7"/>
    </w:lvl>
  </w:abstractNum>
  <w:abstractNum w:abstractNumId="10">
    <w:nsid w:val="140E0F76"/>
    <w:multiLevelType w:val="hybridMultilevel"/>
    <w:lvl w:ilvl="0">
      <w:lvlJc w:val="left"/>
      <w:lvlText w:val="%1."/>
      <w:numFmt w:val="decimal"/>
      <w:start w:val="13"/>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2022-10-11T13:12:38Z</dcterms:created>
  <dcterms:modified xsi:type="dcterms:W3CDTF">2022-10-11T13:12:38Z</dcterms:modified>
</cp:coreProperties>
</file>