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tm248573d1_s8.htm"/>
      <w:bookmarkStart w:id="1" w:name="kstm248573d1_s8"/>
      <w:bookmarkEnd w:id="0"/>
      <w:bookmarkEnd w:id="1"/>
      <w:r>
        <w:rPr>
          <w:rFonts w:ascii="Times New Roman;Times;Serif" w:hAnsi="Times New Roman;Times;Serif"/>
          <w:b/>
          <w:i w:val="false"/>
          <w:caps w:val="false"/>
          <w:smallCaps w:val="false"/>
          <w:sz w:val="20"/>
        </w:rPr>
        <w:t>As filed with the United States Securities and Exchange Commission on March 14,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CENTURY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3740"/>
        <w:gridCol w:w="2915"/>
      </w:tblGrid>
      <w:tr>
        <w:trPr/>
        <w:tc>
          <w:tcPr>
            <w:tcW w:w="3740" w:type="dxa"/>
            <w:tcBorders/>
            <w:vAlign w:val="center"/>
          </w:tcPr>
          <w:p>
            <w:pPr>
              <w:pStyle w:val="TableContents"/>
              <w:bidi w:val="0"/>
              <w:spacing w:before="0" w:after="283"/>
              <w:jc w:val="center"/>
              <w:rPr>
                <w:sz w:val="20"/>
              </w:rPr>
            </w:pPr>
            <w:r>
              <w:rPr>
                <w:rFonts w:ascii="Times New Roman;Times;Serif" w:hAnsi="Times New Roman;Times;Serif"/>
                <w:b/>
                <w:sz w:val="20"/>
              </w:rPr>
              <w:t>Delaware</w:t>
            </w:r>
            <w:r>
              <w:rPr>
                <w:sz w:val="20"/>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84-2040295</w:t>
            </w:r>
          </w:p>
        </w:tc>
      </w:tr>
      <w:tr>
        <w:trPr/>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w:t>
              <w:br/>
              <w:t>organization)</w:t>
            </w:r>
          </w:p>
        </w:tc>
        <w:tc>
          <w:tcPr>
            <w:tcW w:w="29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ableContents"/>
              <w:bidi w:val="0"/>
              <w:spacing w:before="0" w:after="0"/>
              <w:ind w:left="0" w:right="0" w:firstLine="6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North 38th Street, 11</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Pennsylvania 19104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(267) 817-5790</w:t>
        <w:br/>
      </w:r>
      <w:r>
        <w:rPr>
          <w:rFonts w:ascii="Times New Roman;Times;Serif" w:hAnsi="Times New Roman;Times;Serif"/>
          <w:b w:val="false"/>
          <w:i w:val="false"/>
          <w:caps w:val="false"/>
          <w:smallCaps w:val="false"/>
          <w:sz w:val="20"/>
        </w:rPr>
        <w:t>(Address, including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CENTURY THERAPEUTICS, INC. 2021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Brent Pfeiffenberger, Pharm.D.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Century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North 38th Street, 11</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Pennsylvania 19104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(267) 817-5790</w:t>
        <w:br/>
      </w:r>
      <w:r>
        <w:rPr>
          <w:rFonts w:ascii="Times New Roman;Times;Serif" w:hAnsi="Times New Roman;Times;Serif"/>
          <w:b w:val="false"/>
          <w:i w:val="false"/>
          <w:caps w:val="false"/>
          <w:smallCaps w:val="false"/>
          <w:sz w:val="20"/>
        </w:rPr>
        <w:t>(Name, address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Rachael M. Bushey</w:t>
        <w:br/>
        <w:t>Jennifer Porter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Justin Platt</w:t>
      </w:r>
      <w:r>
        <w:rPr>
          <w:rFonts w:ascii="Times New Roman;Times;Serif" w:hAnsi="Times New Roman;Times;Serif"/>
          <w:b/>
          <w:i w:val="false"/>
          <w:caps w:val="false"/>
          <w:smallCaps w:val="false"/>
          <w:color w:val="FF0000"/>
          <w:sz w:val="20"/>
        </w:rPr>
        <w:br/>
      </w:r>
      <w:r>
        <w:rPr>
          <w:rFonts w:ascii="Times New Roman;Times;Serif" w:hAnsi="Times New Roman;Times;Serif"/>
          <w:b/>
          <w:i w:val="false"/>
          <w:caps w:val="false"/>
          <w:smallCaps w:val="false"/>
          <w:sz w:val="20"/>
        </w:rPr>
        <w:t>Goodwin Procter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2005 Market Street, 32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Philadelphia, PA 19103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(445) 207-7805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7"/>
        <w:gridCol w:w="1705"/>
        <w:gridCol w:w="2181"/>
        <w:gridCol w:w="2120"/>
        <w:gridCol w:w="2182"/>
      </w:tblGrid>
      <w:tr>
        <w:trPr/>
        <w:tc>
          <w:tcPr>
            <w:tcW w:w="2017" w:type="dxa"/>
            <w:tcBorders/>
            <w:vAlign w:val="center"/>
          </w:tcPr>
          <w:p>
            <w:pPr>
              <w:pStyle w:val="TableContents"/>
              <w:bidi w:val="0"/>
              <w:spacing w:before="0" w:after="283"/>
              <w:jc w:val="left"/>
              <w:rPr/>
            </w:pPr>
            <w:r>
              <w:rPr>
                <w:rFonts w:ascii="Times New Roman;Times;Serif" w:hAnsi="Times New Roman;Times;Serif"/>
                <w:sz w:val="20"/>
              </w:rPr>
              <w:t>Large accelerated filer ☐</w:t>
            </w:r>
            <w:r>
              <w:rPr/>
              <w:t> </w:t>
            </w:r>
          </w:p>
        </w:tc>
        <w:tc>
          <w:tcPr>
            <w:tcW w:w="1705" w:type="dxa"/>
            <w:tcBorders/>
            <w:vAlign w:val="center"/>
          </w:tcPr>
          <w:p>
            <w:pPr>
              <w:pStyle w:val="TableContents"/>
              <w:bidi w:val="0"/>
              <w:spacing w:before="0" w:after="283"/>
              <w:jc w:val="left"/>
              <w:rPr/>
            </w:pPr>
            <w:r>
              <w:rPr>
                <w:rFonts w:ascii="Times New Roman;Times;Serif" w:hAnsi="Times New Roman;Times;Serif"/>
                <w:sz w:val="20"/>
              </w:rPr>
              <w:t xml:space="preserve">Accelerated filer </w:t>
            </w:r>
            <w:r>
              <w:rPr/>
              <w:t>☐</w:t>
            </w:r>
          </w:p>
        </w:tc>
        <w:tc>
          <w:tcPr>
            <w:tcW w:w="2181" w:type="dxa"/>
            <w:tcBorders/>
            <w:vAlign w:val="center"/>
          </w:tcPr>
          <w:p>
            <w:pPr>
              <w:pStyle w:val="TableContents"/>
              <w:bidi w:val="0"/>
              <w:spacing w:before="0" w:after="283"/>
              <w:jc w:val="left"/>
              <w:rPr/>
            </w:pPr>
            <w:r>
              <w:rPr>
                <w:rFonts w:ascii="Times New Roman;Times;Serif" w:hAnsi="Times New Roman;Times;Serif"/>
                <w:sz w:val="20"/>
              </w:rPr>
              <w:t xml:space="preserve">Non-accelerated filer </w:t>
            </w:r>
            <w:r>
              <w:rPr/>
              <w:t>☒</w:t>
            </w:r>
          </w:p>
        </w:tc>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c>
          <w:tcPr>
            <w:tcW w:w="2182"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r>
              <w:rPr/>
              <w:t>☒</w:t>
            </w:r>
          </w:p>
        </w:tc>
      </w:tr>
      <w:tr>
        <w:trPr/>
        <w:tc>
          <w:tcPr>
            <w:tcW w:w="2017" w:type="dxa"/>
            <w:tcBorders/>
            <w:vAlign w:val="center"/>
          </w:tcPr>
          <w:p>
            <w:pPr>
              <w:pStyle w:val="TableContents"/>
              <w:bidi w:val="0"/>
              <w:spacing w:before="0" w:after="283"/>
              <w:jc w:val="left"/>
              <w:rPr/>
            </w:pPr>
            <w:r>
              <w:rPr/>
              <w:t> </w:t>
            </w:r>
          </w:p>
        </w:tc>
        <w:tc>
          <w:tcPr>
            <w:tcW w:w="1705"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2182" w:type="dxa"/>
            <w:tcBorders/>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283"/>
              <w:jc w:val="left"/>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is being filed for the purpose of (i) registering an additional 3,025,220 shares of common stock, $0.0001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Century Therapeutics, Inc.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that were added to the shares authorized for issuance under the Century Therapeutics, Inc. 2021 Equity Incentive Plan (the “</w:t>
      </w:r>
      <w:r>
        <w:rPr>
          <w:rFonts w:ascii="Times New Roman;Times;Serif" w:hAnsi="Times New Roman;Times;Serif"/>
          <w:b w:val="false"/>
          <w:i w:val="false"/>
          <w:caps w:val="false"/>
          <w:smallCaps w:val="false"/>
          <w:sz w:val="20"/>
          <w:u w:val="single"/>
        </w:rPr>
        <w:t>2021 Plan</w:t>
      </w:r>
      <w:r>
        <w:rPr>
          <w:rFonts w:ascii="Times New Roman;Times;Serif" w:hAnsi="Times New Roman;Times;Serif"/>
          <w:b w:val="false"/>
          <w:i w:val="false"/>
          <w:caps w:val="false"/>
          <w:smallCaps w:val="false"/>
          <w:sz w:val="20"/>
        </w:rPr>
        <w:t>”) for which a Registration Statement on Form S-8 relating to the same employee benefit plan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Registrant previously filed Registration Statements on Form S-8 (File Nos. 333-257644, 333-263666 and 333-270649)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xml:space="preserve">”) to register 11,345,775 shares of Common Stock that were authorized for issuance under the 2021 Plan. Upon the effectiveness of this Registration Statement, an aggregate of 14,370,995 shares of Common Stock will be registered for issuance from time to time under the 2021 Plan. Pursuant to General Instruction E to Form S-8, the contents of the Registration Statement on Form S-8 (File Nos. 333-257644, 333-263666 and 333-270649) filed with the Commission on </w:t>
      </w:r>
      <w:hyperlink r:id="rId2">
        <w:r>
          <w:rPr>
            <w:rStyle w:val="InternetLink"/>
            <w:rFonts w:ascii="Times New Roman;Times;Serif" w:hAnsi="Times New Roman;Times;Serif"/>
            <w:b w:val="false"/>
            <w:i w:val="false"/>
            <w:caps w:val="false"/>
            <w:smallCaps w:val="false"/>
            <w:sz w:val="20"/>
          </w:rPr>
          <w:t>July 2, 2021</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March 17, 2022</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March 17, 2023</w:t>
        </w:r>
      </w:hyperlink>
      <w:r>
        <w:rPr>
          <w:rFonts w:ascii="Times New Roman;Times;Serif" w:hAnsi="Times New Roman;Times;Serif"/>
          <w:b w:val="false"/>
          <w:i w:val="false"/>
          <w:caps w:val="false"/>
          <w:smallCaps w:val="false"/>
          <w:sz w:val="20"/>
        </w:rPr>
        <w:t>, respectively, are incorporated herein by reference except to the extent supplemented, amended or superseded by the information set forth herein. Only those items of Form S-8 containing new information not contained in the earlier registration statement are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b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40"/>
        <w:gridCol w:w="1595"/>
      </w:tblGrid>
      <w:tr>
        <w:trPr/>
        <w:tc>
          <w:tcPr>
            <w:tcW w:w="740" w:type="dxa"/>
            <w:tcBorders/>
            <w:vAlign w:val="center"/>
          </w:tcPr>
          <w:p>
            <w:pPr>
              <w:pStyle w:val="TableContents"/>
              <w:bidi w:val="0"/>
              <w:spacing w:before="0" w:after="283"/>
              <w:jc w:val="left"/>
              <w:rPr>
                <w:b/>
              </w:rPr>
            </w:pPr>
            <w:r>
              <w:rPr>
                <w:b/>
              </w:rPr>
              <w:t>Item 1.</w:t>
            </w:r>
          </w:p>
        </w:tc>
        <w:tc>
          <w:tcPr>
            <w:tcW w:w="1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Plan Information.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Part I of Form S-8 is omitted from this filing in accordance with the provisions of Rule 428 under the Securities Act and the introductory note to Part I of the Form S-8 instructions. The documents containing the information specified in Part I will be delivered to the participants in the 2021 Plan as required by Rule 428(b)(1)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40"/>
        <w:gridCol w:w="4370"/>
      </w:tblGrid>
      <w:tr>
        <w:trPr/>
        <w:tc>
          <w:tcPr>
            <w:tcW w:w="740" w:type="dxa"/>
            <w:tcBorders/>
            <w:vAlign w:val="center"/>
          </w:tcPr>
          <w:p>
            <w:pPr>
              <w:pStyle w:val="TableContents"/>
              <w:bidi w:val="0"/>
              <w:spacing w:before="0" w:after="283"/>
              <w:jc w:val="left"/>
              <w:rPr>
                <w:b/>
              </w:rPr>
            </w:pPr>
            <w:r>
              <w:rPr>
                <w:b/>
              </w:rPr>
              <w:t>Item 3.</w:t>
            </w:r>
          </w:p>
        </w:tc>
        <w:tc>
          <w:tcPr>
            <w:tcW w:w="4370" w:type="dxa"/>
            <w:tcBorders/>
            <w:vAlign w:val="center"/>
          </w:tcPr>
          <w:p>
            <w:pPr>
              <w:pStyle w:val="TableContents"/>
              <w:bidi w:val="0"/>
              <w:spacing w:before="0" w:after="283"/>
              <w:jc w:val="both"/>
              <w:rPr>
                <w:b/>
              </w:rPr>
            </w:pPr>
            <w:r>
              <w:rPr>
                <w:b/>
              </w:rPr>
              <w:t>Incorporation of Documents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of the Registrant, filed or to be filed with the Commission, are incorporated by reference in this Registration Statement as of their respective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pPr>
      <w:r>
        <w:rPr>
          <w:rFonts w:ascii="Times New Roman;Times;Serif" w:hAnsi="Times New Roman;Times;Serif"/>
          <w:b w:val="false"/>
          <w:i w:val="false"/>
          <w:caps w:val="false"/>
          <w:smallCaps w:val="false"/>
          <w:sz w:val="20"/>
        </w:rPr>
        <w:t>(a)            </w:t>
      </w:r>
      <w:hyperlink r:id="rId5">
        <w:r>
          <w:rPr>
            <w:rStyle w:val="InternetLink"/>
            <w:rFonts w:ascii="Times New Roman;Times;Serif" w:hAnsi="Times New Roman;Times;Serif"/>
            <w:b w:val="false"/>
            <w:i w:val="false"/>
            <w:caps w:val="false"/>
            <w:smallCaps w:val="false"/>
            <w:sz w:val="20"/>
          </w:rPr>
          <w:t>The Registrant’s Annual Report on Form 10-K for the fiscal year ended December 31, 2023, filed with the Commission on March 14, 2024;</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pPr>
      <w:r>
        <w:rPr>
          <w:rFonts w:ascii="Times New Roman;Times;Serif" w:hAnsi="Times New Roman;Times;Serif"/>
          <w:b w:val="false"/>
          <w:i w:val="false"/>
          <w:caps w:val="false"/>
          <w:smallCaps w:val="false"/>
          <w:sz w:val="20"/>
        </w:rPr>
        <w:t>(b)            </w:t>
      </w:r>
      <w:hyperlink r:id="rId6">
        <w:r>
          <w:rPr>
            <w:rStyle w:val="InternetLink"/>
            <w:rFonts w:ascii="Times New Roman;Times;Serif" w:hAnsi="Times New Roman;Times;Serif"/>
            <w:b w:val="false"/>
            <w:i w:val="false"/>
            <w:caps w:val="false"/>
            <w:smallCaps w:val="false"/>
            <w:sz w:val="20"/>
          </w:rPr>
          <w:t>the Registrant’s Current Report on Form 8-K filed with the Commission on January 19, 2024;</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pPr>
      <w:r>
        <w:rPr>
          <w:rFonts w:ascii="Times New Roman;Times;Serif" w:hAnsi="Times New Roman;Times;Serif"/>
          <w:b w:val="false"/>
          <w:i w:val="false"/>
          <w:caps w:val="false"/>
          <w:smallCaps w:val="false"/>
          <w:sz w:val="20"/>
        </w:rPr>
        <w:t xml:space="preserve">(c)            the description of the Common Stock contained in the Company’s </w:t>
      </w:r>
      <w:hyperlink r:id="rId7">
        <w:r>
          <w:rPr>
            <w:rStyle w:val="InternetLink"/>
            <w:rFonts w:ascii="Times New Roman;Times;Serif" w:hAnsi="Times New Roman;Times;Serif"/>
            <w:b w:val="false"/>
            <w:i w:val="false"/>
            <w:caps w:val="false"/>
            <w:smallCaps w:val="false"/>
            <w:sz w:val="20"/>
          </w:rPr>
          <w:t>Registration Statement on Form 8-A filed with the Commission on June 14, 2021 (File No. 001-40498)</w:t>
        </w:r>
      </w:hyperlink>
      <w:r>
        <w:rPr>
          <w:rFonts w:ascii="Times New Roman;Times;Serif" w:hAnsi="Times New Roman;Times;Serif"/>
          <w:b w:val="false"/>
          <w:i w:val="false"/>
          <w:caps w:val="false"/>
          <w:smallCaps w:val="false"/>
          <w:sz w:val="20"/>
        </w:rPr>
        <w:t>, together with any amendment thereto filed with the Commission for the purpose of updating such description;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documents subsequently filed by the Registrant pursuant to Sections 13(a), 13(c), 14 and 15(d) of the Securities Exchange Act of 1934, as amended (the “Exchange Act”),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provided, however, that documents, reports and definitive proxy or information statements, or portions thereof, which are furnished and not filed in accordance with the rules of the Commission shall not be deemed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40"/>
        <w:gridCol w:w="935"/>
      </w:tblGrid>
      <w:tr>
        <w:trPr/>
        <w:tc>
          <w:tcPr>
            <w:tcW w:w="740" w:type="dxa"/>
            <w:tcBorders/>
            <w:vAlign w:val="center"/>
          </w:tcPr>
          <w:p>
            <w:pPr>
              <w:pStyle w:val="TableContents"/>
              <w:bidi w:val="0"/>
              <w:spacing w:before="0" w:after="283"/>
              <w:jc w:val="left"/>
              <w:rPr>
                <w:b/>
              </w:rPr>
            </w:pPr>
            <w:r>
              <w:rPr>
                <w:b/>
              </w:rPr>
              <w:t>Item 8.</w:t>
            </w:r>
          </w:p>
        </w:tc>
        <w:tc>
          <w:tcPr>
            <w:tcW w:w="935" w:type="dxa"/>
            <w:tcBorders/>
            <w:vAlign w:val="center"/>
          </w:tcPr>
          <w:p>
            <w:pPr>
              <w:pStyle w:val="TableContents"/>
              <w:bidi w:val="0"/>
              <w:spacing w:before="0" w:after="283"/>
              <w:jc w:val="left"/>
              <w:rPr>
                <w:b/>
              </w:rPr>
            </w:pPr>
            <w:r>
              <w:rPr>
                <w:b/>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141"/>
        <w:gridCol w:w="279"/>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725" w:type="dxa"/>
            <w:tcBorders/>
            <w:vAlign w:val="center"/>
          </w:tcPr>
          <w:p>
            <w:pPr>
              <w:pStyle w:val="TableContents"/>
              <w:bidi w:val="0"/>
              <w:spacing w:before="0" w:after="283"/>
              <w:jc w:val="left"/>
              <w:rPr/>
            </w:pPr>
            <w:hyperlink r:id="rId8">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hyperlink r:id="rId9">
              <w:r>
                <w:rPr>
                  <w:rStyle w:val="InternetLink"/>
                  <w:rFonts w:ascii="Times New Roman;Times;Serif" w:hAnsi="Times New Roman;Times;Serif"/>
                  <w:sz w:val="20"/>
                </w:rPr>
                <w:t>Second Amended and Restated Certificate of Incorporation of Century Therapeutics, Inc. (incorporated herein by reference to Exhibit 3.1 to the Company’s Current Report on Form 8-K (File No. 001-40498) filed on June 25, 2021)</w:t>
              </w:r>
            </w:hyperlink>
          </w:p>
        </w:tc>
      </w:tr>
      <w:tr>
        <w:trPr/>
        <w:tc>
          <w:tcPr>
            <w:tcW w:w="725" w:type="dxa"/>
            <w:tcBorders/>
            <w:vAlign w:val="center"/>
          </w:tcPr>
          <w:p>
            <w:pPr>
              <w:pStyle w:val="TableContents"/>
              <w:bidi w:val="0"/>
              <w:spacing w:before="0" w:after="283"/>
              <w:jc w:val="left"/>
              <w:rPr/>
            </w:pPr>
            <w:hyperlink r:id="rId10">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hyperlink r:id="rId11">
              <w:r>
                <w:rPr>
                  <w:rStyle w:val="InternetLink"/>
                  <w:rFonts w:ascii="Times New Roman;Times;Serif" w:hAnsi="Times New Roman;Times;Serif"/>
                  <w:sz w:val="20"/>
                </w:rPr>
                <w:t>Second Amended and Restated Bylaws of Century Therapeutics, Inc. (incorporated herein by reference to Exhibit 3.2 to the Company’s Annual Report on Form 10-K (File No. 001-40498) filed on March 16, 2023)</w:t>
              </w:r>
            </w:hyperlink>
          </w:p>
        </w:tc>
      </w:tr>
      <w:tr>
        <w:trPr/>
        <w:tc>
          <w:tcPr>
            <w:tcW w:w="725" w:type="dxa"/>
            <w:tcBorders/>
            <w:vAlign w:val="center"/>
          </w:tcPr>
          <w:p>
            <w:pPr>
              <w:pStyle w:val="TableContents"/>
              <w:bidi w:val="0"/>
              <w:spacing w:before="0" w:after="283"/>
              <w:jc w:val="left"/>
              <w:rPr/>
            </w:pPr>
            <w:hyperlink w:anchor="tm248573d1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hyperlink w:anchor="tm248573d1_ex5-1.htm">
              <w:r>
                <w:rPr>
                  <w:rStyle w:val="InternetLink"/>
                  <w:rFonts w:ascii="Times New Roman;Times;Serif" w:hAnsi="Times New Roman;Times;Serif"/>
                  <w:sz w:val="20"/>
                </w:rPr>
                <w:t>Opinion of Goodwin Procter LLP as to the legality of the securities being registered</w:t>
              </w:r>
            </w:hyperlink>
          </w:p>
        </w:tc>
      </w:tr>
      <w:tr>
        <w:trPr/>
        <w:tc>
          <w:tcPr>
            <w:tcW w:w="725" w:type="dxa"/>
            <w:tcBorders/>
            <w:vAlign w:val="center"/>
          </w:tcPr>
          <w:p>
            <w:pPr>
              <w:pStyle w:val="TableContents"/>
              <w:bidi w:val="0"/>
              <w:spacing w:before="0" w:after="283"/>
              <w:jc w:val="left"/>
              <w:rPr/>
            </w:pPr>
            <w:hyperlink w:anchor="tm248573d1_ex23-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hyperlink w:anchor="tm248573d1_ex23-1.htm">
              <w:r>
                <w:rPr>
                  <w:rStyle w:val="InternetLink"/>
                  <w:rFonts w:ascii="Times New Roman;Times;Serif" w:hAnsi="Times New Roman;Times;Serif"/>
                  <w:sz w:val="20"/>
                </w:rPr>
                <w:t>Consent of Ernst &amp; Young LLP, independent registered public accounting firm for Century Therapeutics, Inc.</w:t>
              </w:r>
            </w:hyperlink>
          </w:p>
        </w:tc>
      </w:tr>
      <w:tr>
        <w:trPr/>
        <w:tc>
          <w:tcPr>
            <w:tcW w:w="725" w:type="dxa"/>
            <w:tcBorders/>
            <w:vAlign w:val="center"/>
          </w:tcPr>
          <w:p>
            <w:pPr>
              <w:pStyle w:val="TableContents"/>
              <w:bidi w:val="0"/>
              <w:spacing w:before="0" w:after="283"/>
              <w:jc w:val="left"/>
              <w:rPr/>
            </w:pPr>
            <w:hyperlink w:anchor="tm248573d1_ex5-1.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hyperlink w:anchor="tm248573d1_ex5-1.htm">
              <w:r>
                <w:rPr>
                  <w:rStyle w:val="InternetLink"/>
                  <w:rFonts w:ascii="Times New Roman;Times;Serif" w:hAnsi="Times New Roman;Times;Serif"/>
                  <w:sz w:val="20"/>
                </w:rPr>
                <w:t>Consent of Goodwin Procter LLP (contained in Exhibit 5.1)</w:t>
              </w:r>
            </w:hyperlink>
          </w:p>
        </w:tc>
      </w:tr>
      <w:tr>
        <w:trPr/>
        <w:tc>
          <w:tcPr>
            <w:tcW w:w="725"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Powers of Attorney (included on the signature page of the Registration Statement)</w:t>
              </w:r>
            </w:hyperlink>
          </w:p>
        </w:tc>
      </w:tr>
      <w:tr>
        <w:trPr/>
        <w:tc>
          <w:tcPr>
            <w:tcW w:w="725" w:type="dxa"/>
            <w:tcBorders/>
            <w:vAlign w:val="center"/>
          </w:tcPr>
          <w:p>
            <w:pPr>
              <w:pStyle w:val="TableContents"/>
              <w:bidi w:val="0"/>
              <w:spacing w:before="0" w:after="283"/>
              <w:jc w:val="left"/>
              <w:rPr/>
            </w:pPr>
            <w:hyperlink r:id="rId12">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hyperlink r:id="rId13">
              <w:r>
                <w:rPr>
                  <w:rStyle w:val="InternetLink"/>
                  <w:rFonts w:ascii="Times New Roman;Times;Serif" w:hAnsi="Times New Roman;Times;Serif"/>
                  <w:sz w:val="20"/>
                </w:rPr>
                <w:t>Century Therapeutics, Inc. 2021 Equity Incentive Plan (incorporated herein by reference to Exhibit 10.8 to the Company’s Registration Statement on Form S-1/A (File No. 333-256648) filed on June 14, 2021)</w:t>
              </w:r>
            </w:hyperlink>
          </w:p>
        </w:tc>
      </w:tr>
      <w:tr>
        <w:trPr/>
        <w:tc>
          <w:tcPr>
            <w:tcW w:w="725" w:type="dxa"/>
            <w:tcBorders/>
            <w:vAlign w:val="center"/>
          </w:tcPr>
          <w:p>
            <w:pPr>
              <w:pStyle w:val="TableContents"/>
              <w:bidi w:val="0"/>
              <w:spacing w:before="0" w:after="283"/>
              <w:jc w:val="left"/>
              <w:rPr/>
            </w:pPr>
            <w:hyperlink r:id="rId14">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hyperlink r:id="rId15">
              <w:r>
                <w:rPr>
                  <w:rStyle w:val="InternetLink"/>
                  <w:rFonts w:ascii="Times New Roman;Times;Serif" w:hAnsi="Times New Roman;Times;Serif"/>
                  <w:sz w:val="20"/>
                </w:rPr>
                <w:t>Form of Stock Option Grant Notice and Award Agreement, under the 2021 Plan (incorporated herein by reference to Exhibit 10.13 to the Company’s Registration Statement on Form S-1 (File No. 333-256648) filed on May 28, 2021)</w:t>
              </w:r>
            </w:hyperlink>
          </w:p>
        </w:tc>
      </w:tr>
      <w:tr>
        <w:trPr/>
        <w:tc>
          <w:tcPr>
            <w:tcW w:w="725" w:type="dxa"/>
            <w:tcBorders/>
            <w:vAlign w:val="center"/>
          </w:tcPr>
          <w:p>
            <w:pPr>
              <w:pStyle w:val="TableContents"/>
              <w:bidi w:val="0"/>
              <w:spacing w:before="0" w:after="283"/>
              <w:jc w:val="left"/>
              <w:rPr/>
            </w:pPr>
            <w:hyperlink r:id="rId16">
              <w:r>
                <w:rPr>
                  <w:rStyle w:val="InternetLink"/>
                  <w:rFonts w:ascii="Times New Roman;Times;Serif" w:hAnsi="Times New Roman;Times;Serif"/>
                  <w:sz w:val="20"/>
                </w:rPr>
                <w:t>99.3</w:t>
              </w:r>
            </w:hyperlink>
          </w:p>
        </w:tc>
        <w:tc>
          <w:tcPr>
            <w:tcW w:w="60" w:type="dxa"/>
            <w:tcBorders/>
            <w:vAlign w:val="center"/>
          </w:tcPr>
          <w:p>
            <w:pPr>
              <w:pStyle w:val="TableContents"/>
              <w:bidi w:val="0"/>
              <w:spacing w:before="0" w:after="283"/>
              <w:jc w:val="left"/>
              <w:rPr/>
            </w:pPr>
            <w:r>
              <w:rPr/>
              <w:t> </w:t>
            </w:r>
          </w:p>
        </w:tc>
        <w:tc>
          <w:tcPr>
            <w:tcW w:w="9420" w:type="dxa"/>
            <w:gridSpan w:val="2"/>
            <w:tcBorders/>
            <w:vAlign w:val="center"/>
          </w:tcPr>
          <w:p>
            <w:pPr>
              <w:pStyle w:val="TableContents"/>
              <w:bidi w:val="0"/>
              <w:spacing w:before="0" w:after="283"/>
              <w:jc w:val="left"/>
              <w:rPr/>
            </w:pPr>
            <w:hyperlink r:id="rId17">
              <w:r>
                <w:rPr>
                  <w:rStyle w:val="InternetLink"/>
                  <w:rFonts w:ascii="Times New Roman;Times;Serif" w:hAnsi="Times New Roman;Times;Serif"/>
                  <w:sz w:val="20"/>
                </w:rPr>
                <w:t>Form of Restricted Stock Unit Grant Notice and Award Agreement, under the 2021 Plan (incorporated herein by reference to Exhibit 10.14 to the Company’s Registration Statement on Form S-1 (File No. 333-256648) filed on May 28, 2021)</w:t>
              </w:r>
            </w:hyperlink>
          </w:p>
        </w:tc>
      </w:tr>
      <w:tr>
        <w:trPr/>
        <w:tc>
          <w:tcPr>
            <w:tcW w:w="725" w:type="dxa"/>
            <w:tcBorders>
              <w:bottom w:val="single" w:sz="8" w:space="0" w:color="000000"/>
            </w:tcBorders>
            <w:tcMar>
              <w:bottom w:w="72" w:type="dxa"/>
            </w:tcMar>
            <w:vAlign w:val="center"/>
          </w:tcPr>
          <w:p>
            <w:pPr>
              <w:pStyle w:val="TableContents"/>
              <w:bidi w:val="0"/>
              <w:spacing w:before="0" w:after="283"/>
              <w:jc w:val="left"/>
              <w:rPr/>
            </w:pPr>
            <w:hyperlink w:anchor="tm248573d1_ex-filingfees.htm">
              <w:r>
                <w:rPr>
                  <w:rStyle w:val="InternetLink"/>
                  <w:rFonts w:ascii="Times New Roman;Times;Serif" w:hAnsi="Times New Roman;Times;Serif"/>
                  <w:sz w:val="20"/>
                </w:rPr>
                <w:t>107*</w:t>
              </w:r>
            </w:hyperlink>
          </w:p>
        </w:tc>
        <w:tc>
          <w:tcPr>
            <w:tcW w:w="60" w:type="dxa"/>
            <w:tcBorders>
              <w:bottom w:val="single" w:sz="8" w:space="0" w:color="000000"/>
            </w:tcBorders>
            <w:tcMar>
              <w:bottom w:w="72" w:type="dxa"/>
            </w:tcMar>
            <w:vAlign w:val="center"/>
          </w:tcPr>
          <w:p>
            <w:pPr>
              <w:pStyle w:val="TableContents"/>
              <w:bidi w:val="0"/>
              <w:spacing w:before="0" w:after="283"/>
              <w:jc w:val="left"/>
              <w:rPr/>
            </w:pPr>
            <w:r>
              <w:rPr/>
              <w:t> </w:t>
            </w:r>
          </w:p>
        </w:tc>
        <w:tc>
          <w:tcPr>
            <w:tcW w:w="9141" w:type="dxa"/>
            <w:tcBorders>
              <w:bottom w:val="single" w:sz="8" w:space="0" w:color="000000"/>
            </w:tcBorders>
            <w:tcMar>
              <w:bottom w:w="72" w:type="dxa"/>
            </w:tcMar>
            <w:vAlign w:val="center"/>
          </w:tcPr>
          <w:p>
            <w:pPr>
              <w:pStyle w:val="TableContents"/>
              <w:bidi w:val="0"/>
              <w:spacing w:before="0" w:after="283"/>
              <w:jc w:val="left"/>
              <w:rPr/>
            </w:pPr>
            <w:hyperlink w:anchor="tm248573d1_ex-filingfees.htm">
              <w:r>
                <w:rPr>
                  <w:rStyle w:val="InternetLink"/>
                  <w:rFonts w:ascii="Times New Roman;Times;Serif" w:hAnsi="Times New Roman;Times;Serif"/>
                  <w:sz w:val="20"/>
                </w:rPr>
                <w:t>Calculation of Registration Fees</w:t>
              </w:r>
            </w:hyperlink>
          </w:p>
        </w:tc>
        <w:tc>
          <w:tcPr>
            <w:tcW w:w="279" w:type="dxa"/>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Filed herewith.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this 14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2024.</w:t>
      </w:r>
    </w:p>
    <w:p>
      <w:pPr>
        <w:pStyle w:val="TextBody"/>
        <w:bidi w:val="0"/>
        <w:spacing w:before="0" w:after="0"/>
        <w:ind w:left="0" w:right="0" w:hanging="0"/>
        <w:jc w:val="left"/>
        <w:rPr>
          <w:caps w:val="false"/>
          <w:smallCaps w:val="false"/>
        </w:rPr>
      </w:pPr>
      <w:r>
        <w:rPr>
          <w:caps w:val="false"/>
          <w:smallCaps w:val="false"/>
        </w:rPr>
        <w:t> </w:t>
      </w:r>
    </w:p>
    <w:tbl>
      <w:tblPr>
        <w:tblW w:w="4084" w:type="dxa"/>
        <w:jc w:val="left"/>
        <w:tblInd w:w="0" w:type="dxa"/>
        <w:tblLayout w:type="fixed"/>
        <w:tblCellMar>
          <w:top w:w="0" w:type="dxa"/>
          <w:left w:w="0" w:type="dxa"/>
          <w:bottom w:w="0" w:type="dxa"/>
          <w:right w:w="0" w:type="dxa"/>
        </w:tblCellMar>
      </w:tblPr>
      <w:tblGrid>
        <w:gridCol w:w="195"/>
        <w:gridCol w:w="361"/>
        <w:gridCol w:w="3528"/>
      </w:tblGrid>
      <w:tr>
        <w:trPr/>
        <w:tc>
          <w:tcPr>
            <w:tcW w:w="19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b/>
              </w:rPr>
            </w:pPr>
            <w:r>
              <w:rPr>
                <w:b/>
              </w:rPr>
              <w:t>CENTURY THERAPEUTICS, INC.</w:t>
            </w:r>
          </w:p>
        </w:tc>
      </w:tr>
      <w:tr>
        <w:trPr/>
        <w:tc>
          <w:tcPr>
            <w:tcW w:w="195"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3528" w:type="dxa"/>
            <w:tcBorders/>
            <w:vAlign w:val="center"/>
          </w:tcPr>
          <w:p>
            <w:pPr>
              <w:pStyle w:val="TableContents"/>
              <w:bidi w:val="0"/>
              <w:spacing w:before="0" w:after="283"/>
              <w:jc w:val="left"/>
              <w:rPr/>
            </w:pPr>
            <w:r>
              <w:rPr/>
              <w:t> </w:t>
            </w:r>
          </w:p>
        </w:tc>
      </w:tr>
      <w:tr>
        <w:trPr/>
        <w:tc>
          <w:tcPr>
            <w:tcW w:w="195"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Brent Pfeiffenberger, Pharm.D.</w:t>
            </w:r>
          </w:p>
        </w:tc>
      </w:tr>
      <w:tr>
        <w:trPr/>
        <w:tc>
          <w:tcPr>
            <w:tcW w:w="195"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35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Brent Pfeiffenberger, Pharm.D.</w:t>
            </w:r>
          </w:p>
        </w:tc>
      </w:tr>
      <w:tr>
        <w:trPr/>
        <w:tc>
          <w:tcPr>
            <w:tcW w:w="195"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352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hereby constitutes and appoints Brent Pfeiffenberger, Pharm.D. and Douglas Carr and each of them, as his or her true and lawful attorney-in-fact and agent with full power of substitution, for him or her in any and all capacities, to sign any and all amendments to this Registration Statement (including post-effective amendments thereto) under the Securities Act increasing the number of securities for which registration is sought),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880" w:type="dxa"/>
        <w:jc w:val="left"/>
        <w:tblInd w:w="0" w:type="dxa"/>
        <w:tblLayout w:type="fixed"/>
        <w:tblCellMar>
          <w:top w:w="0" w:type="dxa"/>
          <w:left w:w="0" w:type="dxa"/>
          <w:bottom w:w="0" w:type="dxa"/>
          <w:right w:w="0" w:type="dxa"/>
        </w:tblCellMar>
      </w:tblPr>
      <w:tblGrid>
        <w:gridCol w:w="2735"/>
        <w:gridCol w:w="60"/>
        <w:gridCol w:w="3830"/>
        <w:gridCol w:w="885"/>
        <w:gridCol w:w="1370"/>
      </w:tblGrid>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Signature</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Title</w:t>
            </w:r>
            <w:r>
              <w:rPr>
                <w:rFonts w:ascii="Times New Roman;Times;Serif" w:hAnsi="Times New Roman;Times;Serif"/>
                <w:sz w:val="20"/>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Date</w:t>
            </w:r>
            <w:r>
              <w:rPr>
                <w:rFonts w:ascii="Times New Roman;Times;Serif" w:hAnsi="Times New Roman;Times;Serif"/>
                <w:sz w:val="20"/>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Brent Pfeiffenberger, Pharm.D.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Chief Executive Officer and Director</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14, 2024 </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Brent Pfeiffenberger, Pharm.D.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(Principal Executive Officer)</w:t>
            </w:r>
          </w:p>
        </w:tc>
        <w:tc>
          <w:tcPr>
            <w:tcW w:w="885"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ind w:left="0" w:right="0" w:firstLine="60"/>
              <w:jc w:val="left"/>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Douglas Carr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Interim Principal Financial Officer</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14, 2024 </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Douglas Carr</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center"/>
              <w:rPr/>
            </w:pPr>
            <w:r>
              <w:rPr/>
              <w:t> </w:t>
            </w:r>
          </w:p>
        </w:tc>
        <w:tc>
          <w:tcPr>
            <w:tcW w:w="1370"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ind w:left="0" w:right="0" w:firstLine="60"/>
              <w:jc w:val="left"/>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Joseph Jimenez</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14, 2024 </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Joseph Jimenez</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Board of Directors</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ind w:left="0" w:right="0" w:firstLine="60"/>
              <w:jc w:val="left"/>
              <w:rPr/>
            </w:pPr>
            <w:r>
              <w:rPr/>
              <w:t> </w:t>
            </w:r>
          </w:p>
        </w:tc>
        <w:tc>
          <w:tcPr>
            <w:tcW w:w="885" w:type="dxa"/>
            <w:tcBorders/>
            <w:vAlign w:val="center"/>
          </w:tcPr>
          <w:p>
            <w:pPr>
              <w:pStyle w:val="TableContents"/>
              <w:bidi w:val="0"/>
              <w:spacing w:before="0" w:after="283"/>
              <w:ind w:left="0" w:right="0" w:firstLine="60"/>
              <w:jc w:val="left"/>
              <w:rPr/>
            </w:pPr>
            <w:r>
              <w:rPr/>
              <w:t> </w:t>
            </w:r>
          </w:p>
        </w:tc>
        <w:tc>
          <w:tcPr>
            <w:tcW w:w="1370" w:type="dxa"/>
            <w:tcBorders/>
            <w:vAlign w:val="center"/>
          </w:tcPr>
          <w:p>
            <w:pPr>
              <w:pStyle w:val="TableContents"/>
              <w:bidi w:val="0"/>
              <w:spacing w:before="0" w:after="283"/>
              <w:jc w:val="left"/>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Kimberly Blackwell, M.D.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14, 2024 </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Kimberly Blackwell, M.D.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ind w:left="0" w:right="0" w:firstLine="60"/>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ind w:left="0" w:right="0" w:firstLine="60"/>
              <w:jc w:val="left"/>
              <w:rPr/>
            </w:pPr>
            <w:r>
              <w:rPr/>
              <w:t> </w:t>
            </w:r>
          </w:p>
        </w:tc>
        <w:tc>
          <w:tcPr>
            <w:tcW w:w="1370" w:type="dxa"/>
            <w:tcBorders/>
            <w:vAlign w:val="center"/>
          </w:tcPr>
          <w:p>
            <w:pPr>
              <w:pStyle w:val="TableContents"/>
              <w:bidi w:val="0"/>
              <w:spacing w:before="0" w:after="283"/>
              <w:jc w:val="left"/>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Cynthia Butitta</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14, 2024 </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Cynthia Butitta</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Alessandro Riva, M.D.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14, 2024 </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Alessandro Riva, M.D.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Carlo Rizzuto, Ph.D.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14, 2024 </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Carlo Rizzuto, Ph.D.</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Timothy Walbert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14, 2024 </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Timothy Walbert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ind w:left="0" w:right="0" w:firstLine="825"/>
              <w:jc w:val="left"/>
              <w:rPr/>
            </w:pPr>
            <w:r>
              <w:rPr/>
              <w:t> </w:t>
            </w:r>
          </w:p>
        </w:tc>
        <w:tc>
          <w:tcPr>
            <w:tcW w:w="1370" w:type="dxa"/>
            <w:tcBorders/>
            <w:vAlign w:val="center"/>
          </w:tcPr>
          <w:p>
            <w:pPr>
              <w:pStyle w:val="TableContents"/>
              <w:bidi w:val="0"/>
              <w:spacing w:before="0" w:after="283"/>
              <w:jc w:val="center"/>
              <w:rPr/>
            </w:pPr>
            <w:r>
              <w:rPr/>
              <w:t> </w:t>
            </w:r>
          </w:p>
        </w:tc>
      </w:tr>
      <w:tr>
        <w:trPr/>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Daphne Quimi</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pPr>
            <w:r>
              <w:rPr/>
              <w:t> </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14, 2024 </w:t>
            </w:r>
          </w:p>
        </w:tc>
      </w:tr>
      <w:tr>
        <w:trPr/>
        <w:tc>
          <w:tcPr>
            <w:tcW w:w="27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Daphne Quimi</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88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tm248573d1_ex5-1.htm"/>
      <w:bookmarkStart w:id="4" w:name="kstm248573d1_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078865" cy="260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078865" cy="260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Century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3675 Market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 19104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     </w:t>
      </w:r>
      <w:r>
        <w:rPr>
          <w:rFonts w:ascii="Times New Roman;Times;Serif" w:hAnsi="Times New Roman;Times;Serif"/>
          <w:b w:val="false"/>
          <w:i w:val="false"/>
          <w:caps w:val="false"/>
          <w:smallCaps w:val="false"/>
          <w:sz w:val="20"/>
          <w:u w:val="single"/>
        </w:rPr>
        <w:t>Securities Being Registered under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you in connection with your filing of a Registration Statement on Form S-8 (the “Registration Statement”) pursuant to the Securities Act of 1933, as amended (the “Securities Act”), on or about the date hereof relating to an aggregate of 3,025,220 shares (the “Shares”) of Common Stock, $0.0001 par value per share (“Common Stock”), of Century Therapeutics, Inc., a Delaware corporation (the “Company”), that may be issued pursuant to the Company’s 2021 Equity Incentive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and other inquiries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below, we have assumed that no event occurs that causes the number of authorized shares of Common Stock available for issuance by the Company to be less than the number of then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the Shares have been duly authorized and, upon issuance and delivery against payment therefor in accordance with the terms of the Plan,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letter and the opinion it contains shall be interpreted in accordance with the Core Opinion Principles as published in 74 </w:t>
      </w:r>
      <w:r>
        <w:rPr>
          <w:rFonts w:ascii="Times New Roman;Times;Serif" w:hAnsi="Times New Roman;Times;Serif"/>
          <w:b w:val="false"/>
          <w:i/>
          <w:caps w:val="false"/>
          <w:smallCaps w:val="false"/>
          <w:sz w:val="20"/>
        </w:rPr>
        <w:t xml:space="preserve">Business Lawyer </w:t>
      </w:r>
      <w:r>
        <w:rPr>
          <w:rFonts w:ascii="Times New Roman;Times;Serif" w:hAnsi="Times New Roman;Times;Serif"/>
          <w:b w:val="false"/>
          <w:i w:val="false"/>
          <w:caps w:val="false"/>
          <w:smallCaps w:val="false"/>
          <w:sz w:val="20"/>
        </w:rPr>
        <w:t>815 (Summer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1438" w:type="dxa"/>
        <w:jc w:val="left"/>
        <w:tblInd w:w="0" w:type="dxa"/>
        <w:tblLayout w:type="fixed"/>
        <w:tblCellMar>
          <w:top w:w="0" w:type="dxa"/>
          <w:left w:w="0" w:type="dxa"/>
          <w:bottom w:w="0" w:type="dxa"/>
          <w:right w:w="0" w:type="dxa"/>
        </w:tblCellMar>
      </w:tblPr>
      <w:tblGrid>
        <w:gridCol w:w="38"/>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both"/>
              <w:rPr>
                <w:sz w:val="20"/>
              </w:rPr>
            </w:pPr>
            <w:r>
              <w:rPr>
                <w:sz w:val="20"/>
              </w:rPr>
              <w:t>Very truly yours,</w:t>
            </w:r>
          </w:p>
        </w:tc>
      </w:tr>
    </w:tbl>
    <w:p>
      <w:pPr>
        <w:pStyle w:val="TextBody"/>
        <w:bidi w:val="0"/>
        <w:spacing w:before="0" w:after="0"/>
        <w:ind w:left="0" w:right="0" w:hanging="0"/>
        <w:jc w:val="left"/>
        <w:rPr>
          <w:caps w:val="false"/>
          <w:smallCaps w:val="false"/>
        </w:rPr>
      </w:pPr>
      <w:r>
        <w:rPr>
          <w:caps w:val="false"/>
          <w:smallCaps w:val="false"/>
        </w:rPr>
        <w:t> </w:t>
      </w:r>
    </w:p>
    <w:tbl>
      <w:tblPr>
        <w:tblW w:w="2068" w:type="dxa"/>
        <w:jc w:val="left"/>
        <w:tblInd w:w="0" w:type="dxa"/>
        <w:tblLayout w:type="fixed"/>
        <w:tblCellMar>
          <w:top w:w="0" w:type="dxa"/>
          <w:left w:w="0" w:type="dxa"/>
          <w:bottom w:w="0" w:type="dxa"/>
          <w:right w:w="0" w:type="dxa"/>
        </w:tblCellMar>
      </w:tblPr>
      <w:tblGrid>
        <w:gridCol w:w="38"/>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both"/>
              <w:rPr>
                <w:sz w:val="20"/>
              </w:rPr>
            </w:pPr>
            <w:r>
              <w:rPr>
                <w:sz w:val="20"/>
              </w:rPr>
              <w:t>/s/ Goodwin Procter LLP</w:t>
            </w:r>
          </w:p>
        </w:tc>
      </w:tr>
    </w:tbl>
    <w:p>
      <w:pPr>
        <w:pStyle w:val="TextBody"/>
        <w:bidi w:val="0"/>
        <w:spacing w:before="0" w:after="0"/>
        <w:ind w:left="0" w:right="0" w:hanging="0"/>
        <w:jc w:val="left"/>
        <w:rPr>
          <w:caps w:val="false"/>
          <w:smallCaps w:val="false"/>
        </w:rPr>
      </w:pPr>
      <w:r>
        <w:rPr>
          <w:caps w:val="false"/>
          <w:smallCaps w:val="false"/>
        </w:rPr>
        <w:t> </w:t>
      </w:r>
    </w:p>
    <w:tbl>
      <w:tblPr>
        <w:tblW w:w="2308" w:type="dxa"/>
        <w:jc w:val="left"/>
        <w:tblInd w:w="0" w:type="dxa"/>
        <w:tblLayout w:type="fixed"/>
        <w:tblCellMar>
          <w:top w:w="0" w:type="dxa"/>
          <w:left w:w="0" w:type="dxa"/>
          <w:bottom w:w="0" w:type="dxa"/>
          <w:right w:w="0" w:type="dxa"/>
        </w:tblCellMar>
      </w:tblPr>
      <w:tblGrid>
        <w:gridCol w:w="38"/>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GOODWIN PROCTER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48573d1_ex23-1.htm"/>
      <w:bookmarkStart w:id="6" w:name="kstm248573d1_ex231"/>
      <w:bookmarkEnd w:id="5"/>
      <w:bookmarkEnd w:id="6"/>
      <w:r>
        <w:rPr/>
        <w:t> </w:t>
      </w:r>
      <w:r>
        <w:br w:type="page"/>
      </w:r>
    </w:p>
    <w:p>
      <w:pPr>
        <w:pStyle w:val="TextBody"/>
        <w:bidi w:val="0"/>
        <w:jc w:val="right"/>
        <w:rPr>
          <w:b/>
        </w:rPr>
      </w:pPr>
      <w:r>
        <w:rPr>
          <w:b/>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2021 Equity Incentive Plan of Century Therapeutics, Inc. of our report dated March 14, 2024, with respect to the consolidated financial statements of Century Therapeutics, Inc., included in its Annual Report (Form 10-K) for the year ended December 31, 2023,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2330" w:type="dxa"/>
        <w:jc w:val="left"/>
        <w:tblInd w:w="0" w:type="dxa"/>
        <w:shd w:fill="FFFFFF" w:val="clear"/>
        <w:tblLayout w:type="fixed"/>
        <w:tblCellMar>
          <w:top w:w="0" w:type="dxa"/>
          <w:left w:w="0" w:type="dxa"/>
          <w:bottom w:w="0" w:type="dxa"/>
          <w:right w:w="0" w:type="dxa"/>
        </w:tblCellMar>
      </w:tblPr>
      <w:tblGrid>
        <w:gridCol w:w="2255"/>
        <w:gridCol w:w="75"/>
      </w:tblGrid>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Ernst &amp; Young LLP</w:t>
            </w:r>
          </w:p>
        </w:tc>
        <w:tc>
          <w:tcPr>
            <w:tcW w:w="75" w:type="dxa"/>
            <w:tcBorders/>
            <w:shd w:fill="FFFF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Philadelphia, Pennsylvania</w:t>
            </w:r>
          </w:p>
        </w:tc>
        <w:tc>
          <w:tcPr>
            <w:tcW w:w="75" w:type="dxa"/>
            <w:tcBorders/>
            <w:shd w:fill="FFFF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14, 2024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7" w:name="tm248573d1_ex-filingfees.htm"/>
      <w:bookmarkStart w:id="8" w:name="kstm248573d1_exfilingfees"/>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Century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Securities</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10" w:type="dxa"/>
        <w:tblLayout w:type="fixed"/>
        <w:tblCellMar>
          <w:top w:w="28" w:type="dxa"/>
          <w:left w:w="108" w:type="dxa"/>
          <w:bottom w:w="28" w:type="dxa"/>
          <w:right w:w="108" w:type="dxa"/>
        </w:tblCellMar>
      </w:tblPr>
      <w:tblGrid>
        <w:gridCol w:w="740"/>
        <w:gridCol w:w="770"/>
        <w:gridCol w:w="1010"/>
        <w:gridCol w:w="1370"/>
        <w:gridCol w:w="905"/>
        <w:gridCol w:w="1310"/>
        <w:gridCol w:w="905"/>
        <w:gridCol w:w="1085"/>
      </w:tblGrid>
      <w:tr>
        <w:trPr/>
        <w:tc>
          <w:tcPr>
            <w:tcW w:w="7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w:t>
              <w:br/>
              <w:t>Type</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w:t>
              <w:br/>
              <w:t>Class</w:t>
              <w:br/>
              <w:t>Title</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 </w:t>
              <w:br/>
              <w:t>Calculation</w:t>
              <w:br/>
              <w:t>Rule</w:t>
            </w:r>
          </w:p>
        </w:tc>
        <w:tc>
          <w:tcPr>
            <w:tcW w:w="13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Amount </w:t>
              <w:br/>
              <w:t>Registered(1)(2)</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Proposed</w:t>
              <w:br/>
              <w:t>Maximum</w:t>
              <w:br/>
              <w:t>Offering</w:t>
              <w:br/>
              <w:t>Price per</w:t>
              <w:br/>
              <w:t>Unit(3)</w:t>
            </w:r>
          </w:p>
        </w:tc>
        <w:tc>
          <w:tcPr>
            <w:tcW w:w="13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Aggregate</w:t>
              <w:br/>
              <w:t>Offering</w:t>
              <w:br/>
              <w:t>Price(3)</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 Rate</w:t>
            </w:r>
          </w:p>
        </w:tc>
        <w:tc>
          <w:tcPr>
            <w:tcW w:w="10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w:t>
              <w:br/>
              <w:t>Registration</w:t>
              <w:br/>
              <w:t>Fee</w:t>
            </w:r>
          </w:p>
        </w:tc>
      </w:tr>
      <w:tr>
        <w:trPr/>
        <w:tc>
          <w:tcPr>
            <w:tcW w:w="7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w:t>
              <w:br/>
              <w:t xml:space="preserve">Stock, </w:t>
              <w:br/>
              <w:t>par value</w:t>
              <w:br/>
              <w:t>$0.0001</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457(c) and</w:t>
              <w:br/>
              <w:t>457(h)</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3,025,220</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$5.15</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$15,579,883.00</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0.0001476</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$2,299.59</w:t>
            </w:r>
          </w:p>
        </w:tc>
      </w:tr>
      <w:tr>
        <w:trPr/>
        <w:tc>
          <w:tcPr>
            <w:tcW w:w="3890"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Offering Amounts</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$15,579,883.00</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$2,299.59</w:t>
            </w:r>
          </w:p>
        </w:tc>
      </w:tr>
      <w:tr>
        <w:trPr/>
        <w:tc>
          <w:tcPr>
            <w:tcW w:w="3890"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 Fee Offsets(4)</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3890"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Net Fee Due</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$2,299.59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2"/>
        <w:gridCol w:w="28"/>
        <w:gridCol w:w="9905"/>
      </w:tblGrid>
      <w:tr>
        <w:trPr/>
        <w:tc>
          <w:tcPr>
            <w:tcW w:w="272" w:type="dxa"/>
            <w:tcBorders/>
            <w:vAlign w:val="center"/>
          </w:tcPr>
          <w:p>
            <w:pPr>
              <w:pStyle w:val="TableContents"/>
              <w:bidi w:val="0"/>
              <w:spacing w:before="0" w:after="0"/>
              <w:ind w:left="0" w:right="0" w:firstLine="4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p>
        </w:tc>
        <w:tc>
          <w:tcPr>
            <w:tcW w:w="9933"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416(a) promulgated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this Registration Statement also covers an indeterminate number of additional shares of common stock, par value $0.0001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Century Therapeutics, Inc.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issuable under the Century Therapeutics, Inc. 2021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in the event the number of outstanding shares of the Registrant is increased by reason of any stock dividend, stock split, recapitalization, merger, consolidation or reorganization or similar transaction.</w:t>
            </w:r>
          </w:p>
        </w:tc>
      </w:tr>
      <w:tr>
        <w:trPr/>
        <w:tc>
          <w:tcPr>
            <w:tcW w:w="3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3,025,220 shares of Common Stock that were added to the shares authorized for issuance under the Plan on January 1, 2024 pursuant to an “evergreen” provision contained in the Plan.</w:t>
            </w:r>
          </w:p>
        </w:tc>
      </w:tr>
      <w:tr>
        <w:trPr/>
        <w:tc>
          <w:tcPr>
            <w:tcW w:w="3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estimate is made pursuant to Rule 457(h) and Rule 457(c) of the Securities Act. The price shown is based upon the average of the high and low prices reported for the Common Stock on the Nasdaq Global Select Market on March 7, 2024.</w:t>
            </w:r>
          </w:p>
        </w:tc>
      </w:tr>
      <w:tr>
        <w:trPr/>
        <w:tc>
          <w:tcPr>
            <w:tcW w:w="3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Registrant does not have any fee offsets.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119/000110465921088864/tm2121116d1_s8.htm" TargetMode="External"/><Relationship Id="rId3" Type="http://schemas.openxmlformats.org/officeDocument/2006/relationships/hyperlink" Target="https://www.sec.gov/Archives/edgar/data/1850119/000110465922035119/tm229514d1_s8.htm" TargetMode="External"/><Relationship Id="rId4" Type="http://schemas.openxmlformats.org/officeDocument/2006/relationships/hyperlink" Target="https://www.sec.gov/Archives/edgar/data/1850119/000110465923033846/tm239615d1_s8.htm" TargetMode="External"/><Relationship Id="rId5" Type="http://schemas.openxmlformats.org/officeDocument/2006/relationships/hyperlink" Target="https://www.sec.gov/ix?doc=/Archives/edgar/data/1850119/000155837024003165/ipsc-20231231x10k.htm" TargetMode="External"/><Relationship Id="rId6" Type="http://schemas.openxmlformats.org/officeDocument/2006/relationships/hyperlink" Target="https://www.sec.gov/ix?doc=/Archives/edgar/data/1850119/000110465924005271/tm243558d1_8k.htm" TargetMode="External"/><Relationship Id="rId7" Type="http://schemas.openxmlformats.org/officeDocument/2006/relationships/hyperlink" Target="https://www.sec.gov/Archives/edgar/data/1850119/000110465921080760/tm218551d12_8a12b.htm" TargetMode="External"/><Relationship Id="rId8" Type="http://schemas.openxmlformats.org/officeDocument/2006/relationships/hyperlink" Target="https://www.sec.gov/Archives/edgar/data/1850119/000110465921085744/tm2120666d1_ex3-1.htm" TargetMode="External"/><Relationship Id="rId9" Type="http://schemas.openxmlformats.org/officeDocument/2006/relationships/hyperlink" Target="https://www.sec.gov/Archives/edgar/data/1850119/000110465921085744/tm2120666d1_ex3-1.htm" TargetMode="External"/><Relationship Id="rId10" Type="http://schemas.openxmlformats.org/officeDocument/2006/relationships/hyperlink" Target="https://www.sec.gov/Archives/edgar/data/1850119/000155837023003962/ipsc-20221231xex3d2.htm" TargetMode="External"/><Relationship Id="rId11" Type="http://schemas.openxmlformats.org/officeDocument/2006/relationships/hyperlink" Target="https://www.sec.gov/Archives/edgar/data/1850119/000155837023003962/ipsc-20221231xex3d2.htm" TargetMode="External"/><Relationship Id="rId12" Type="http://schemas.openxmlformats.org/officeDocument/2006/relationships/hyperlink" Target="https://www.sec.gov/Archives/edgar/data/1850119/000110465921080429/tm218551d10_ex10-8.htm" TargetMode="External"/><Relationship Id="rId13" Type="http://schemas.openxmlformats.org/officeDocument/2006/relationships/hyperlink" Target="https://www.sec.gov/Archives/edgar/data/1850119/000110465921080429/tm218551d10_ex10-8.htm" TargetMode="External"/><Relationship Id="rId14" Type="http://schemas.openxmlformats.org/officeDocument/2006/relationships/hyperlink" Target="https://www.sec.gov/Archives/edgar/data/1850119/000110465921074278/tm218551d7_ex10-13.htm" TargetMode="External"/><Relationship Id="rId15" Type="http://schemas.openxmlformats.org/officeDocument/2006/relationships/hyperlink" Target="https://www.sec.gov/Archives/edgar/data/1850119/000110465921074278/tm218551d7_ex10-13.htm" TargetMode="External"/><Relationship Id="rId16" Type="http://schemas.openxmlformats.org/officeDocument/2006/relationships/hyperlink" Target="https://www.sec.gov/Archives/edgar/data/1850119/000110465921074278/tm218551d7_ex10-14.htm" TargetMode="External"/><Relationship Id="rId17" Type="http://schemas.openxmlformats.org/officeDocument/2006/relationships/hyperlink" Target="https://www.sec.gov/Archives/edgar/data/1850119/000110465921074278/tm218551d7_ex10-14.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2201</Words>
  <Characters>12115</Characters>
  <CharactersWithSpaces>14437</CharactersWithSpaces>
  <Paragraphs>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