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12TH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Carr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1658</w:t>
            </w:r>
          </w:p>
        </w:tc>
        <w:tc>
          <w:tcPr>
            <w:tcW w:w="1377" w:type="dxa"/>
            <w:tcBorders/>
            <w:vAlign w:val="center"/>
          </w:tcPr>
          <w:p>
            <w:pPr>
              <w:pStyle w:val="TableContents"/>
              <w:bidi w:val="0"/>
              <w:spacing w:before="0" w:after="283"/>
              <w:jc w:val="left"/>
              <w:rPr/>
            </w:pPr>
            <w:r>
              <w:rPr/>
              <w:t>3200.77</w:t>
            </w:r>
          </w:p>
        </w:tc>
        <w:tc>
          <w:tcPr>
            <w:tcW w:w="1552" w:type="dxa"/>
            <w:tcBorders/>
            <w:vAlign w:val="center"/>
          </w:tcPr>
          <w:p>
            <w:pPr>
              <w:pStyle w:val="TableContents"/>
              <w:bidi w:val="0"/>
              <w:spacing w:before="0" w:after="283"/>
              <w:jc w:val="left"/>
              <w:rPr/>
            </w:pPr>
            <w:r>
              <w:rPr/>
              <w:t>181075321</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1658</w:t>
            </w:r>
          </w:p>
        </w:tc>
        <w:tc>
          <w:tcPr>
            <w:tcW w:w="1046" w:type="dxa"/>
            <w:tcBorders/>
            <w:vAlign w:val="center"/>
          </w:tcPr>
          <w:p>
            <w:pPr>
              <w:pStyle w:val="TableContents"/>
              <w:bidi w:val="0"/>
              <w:spacing w:before="0" w:after="283"/>
              <w:jc w:val="left"/>
              <w:rPr/>
            </w:pPr>
            <w:r>
              <w:rPr/>
              <w:t>09/11/2026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Douglas Carr</w:t>
              <w:br/>
              <w:t>25 N 38th Street</w:t>
              <w:br/>
              <w:t>12th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08/03/2026</w:t>
            </w:r>
          </w:p>
        </w:tc>
        <w:tc>
          <w:tcPr>
            <w:tcW w:w="1560" w:type="dxa"/>
            <w:tcBorders/>
            <w:vAlign w:val="center"/>
          </w:tcPr>
          <w:p>
            <w:pPr>
              <w:pStyle w:val="TableContents"/>
              <w:bidi w:val="0"/>
              <w:spacing w:before="0" w:after="283"/>
              <w:jc w:val="left"/>
              <w:rPr/>
            </w:pPr>
            <w:r>
              <w:rPr/>
              <w:t>275</w:t>
            </w:r>
          </w:p>
        </w:tc>
        <w:tc>
          <w:tcPr>
            <w:tcW w:w="1683" w:type="dxa"/>
            <w:tcBorders/>
            <w:vAlign w:val="center"/>
          </w:tcPr>
          <w:p>
            <w:pPr>
              <w:pStyle w:val="TableContents"/>
              <w:bidi w:val="0"/>
              <w:spacing w:before="0" w:after="283"/>
              <w:jc w:val="left"/>
              <w:rPr/>
            </w:pPr>
            <w:r>
              <w:rPr/>
              <w:t>543.73</w:t>
            </w:r>
          </w:p>
        </w:tc>
      </w:tr>
      <w:tr>
        <w:trPr/>
        <w:tc>
          <w:tcPr>
            <w:tcW w:w="3085" w:type="dxa"/>
            <w:tcBorders/>
            <w:vAlign w:val="center"/>
          </w:tcPr>
          <w:p>
            <w:pPr>
              <w:pStyle w:val="TableContents"/>
              <w:bidi w:val="0"/>
              <w:spacing w:before="0" w:after="283"/>
              <w:jc w:val="left"/>
              <w:rPr/>
            </w:pPr>
            <w:r>
              <w:rPr/>
              <w:t>Douglas Carr</w:t>
              <w:br/>
              <w:t>25 N 38th Street</w:t>
              <w:br/>
              <w:t>12th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09/08/2026</w:t>
            </w:r>
          </w:p>
        </w:tc>
        <w:tc>
          <w:tcPr>
            <w:tcW w:w="1560" w:type="dxa"/>
            <w:tcBorders/>
            <w:vAlign w:val="center"/>
          </w:tcPr>
          <w:p>
            <w:pPr>
              <w:pStyle w:val="TableContents"/>
              <w:bidi w:val="0"/>
              <w:spacing w:before="0" w:after="283"/>
              <w:jc w:val="left"/>
              <w:rPr/>
            </w:pPr>
            <w:r>
              <w:rPr/>
              <w:t>254</w:t>
            </w:r>
          </w:p>
        </w:tc>
        <w:tc>
          <w:tcPr>
            <w:tcW w:w="1683" w:type="dxa"/>
            <w:tcBorders/>
            <w:vAlign w:val="center"/>
          </w:tcPr>
          <w:p>
            <w:pPr>
              <w:pStyle w:val="TableContents"/>
              <w:bidi w:val="0"/>
              <w:spacing w:before="0" w:after="283"/>
              <w:jc w:val="left"/>
              <w:rPr/>
            </w:pPr>
            <w:r>
              <w:rPr/>
              <w:t>520.57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Tyler Johnson, as a duly authorized representative of Fidelity Brokerage Services LLC, as attorney-in-fact for Douglas Carr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3329</Characters>
  <CharactersWithSpaces>3919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