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22,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0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25 North 38th Street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11th Floor</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January 22, 2026, Century Therapeutics, Inc. (the “Company”) held a special meeting of stockholders (the “Special Meeting”). As of November 25, 2025, the record date for the Special Meeting, there were 87,405,311 outstanding shares of the Company’s common stock. The Special Meeting was conducted virtually, and the following is a brief description of the final voting results for each of the proposals submitted to a vote of the stockholders at the Special Meeting, which are described in detail in the Company’s Definitive Proxy Statement on Schedule 14A filed with the Securities Exchange Commission on December 2, 2025.</w:t>
      </w:r>
    </w:p>
    <w:p>
      <w:pPr>
        <w:spacing w:after="0" w:line="181" w:lineRule="exact"/>
        <w:rPr>
          <w:sz w:val="20"/>
          <w:szCs w:val="20"/>
          <w:color w:val="auto"/>
        </w:rPr>
      </w:pPr>
    </w:p>
    <w:p>
      <w:pPr>
        <w:ind w:right="160" w:firstLine="8"/>
        <w:spacing w:after="0" w:line="261"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1 – Approval of Charter Amendment</w:t>
      </w:r>
      <w:r>
        <w:rPr>
          <w:rFonts w:ascii="Times New Roman" w:cs="Times New Roman" w:eastAsia="Times New Roman" w:hAnsi="Times New Roman"/>
          <w:sz w:val="18"/>
          <w:szCs w:val="18"/>
          <w:color w:val="auto"/>
        </w:rPr>
        <w:t>. The approval of an amendment to the Company’s Second Amended and Restated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Incorporation, as amended, to effect a reverse stock split of the Company’s outstanding shares of common stock par value $0.0001 per share, by a ratio of any whole number between 1-for-5 and 1-for-30, the implementation of which shall be subject to the discretion of the Company’s Board of Directors,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41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55,089,478</w:t>
            </w:r>
          </w:p>
        </w:tc>
        <w:tc>
          <w:tcPr>
            <w:tcW w:w="1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5,361,020</w:t>
            </w:r>
          </w:p>
        </w:tc>
        <w:tc>
          <w:tcPr>
            <w:tcW w:w="14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27,055</w:t>
            </w:r>
          </w:p>
        </w:tc>
        <w:tc>
          <w:tcPr>
            <w:tcW w:w="160" w:type="dxa"/>
            <w:vAlign w:val="bottom"/>
            <w:tcBorders>
              <w:top w:val="single" w:sz="8" w:color="CCEEFF"/>
            </w:tcBorders>
            <w:shd w:val="clear" w:color="auto" w:fill="CCEEFF"/>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business properly came before the Special Meeting.</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there were sufficient votes at the time of the Special Meeting to approve the foregoing proposal, the adjournment proposal was unnecessary and such proposal was not submitted to the stockholders for approval at the Special Meeting.</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Also on January 22, 2026, the Company received of a letter from the Nasdaq Stock Market LLC advising the Company that it has regained compliance with Nasdaq Listing Rule 5550(a)(2), which requires the Company to maintain a minimum closing bid price of $1.00 per share and that it is now in compliance with all applicable continued listing standards. As a result, the Company does not intend to effect the reverse stock split as approved by the stockholders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p>
      <w:pPr>
        <w:ind w:left="360"/>
        <w:spacing w:after="0"/>
        <w:tabs>
          <w:tab w:leader="none" w:pos="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Brent Pfeiffenberger,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9914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Brent Pfeiffenberger, Pharm.D.</w:t>
      </w:r>
    </w:p>
    <w:p>
      <w:pPr>
        <w:spacing w:after="0" w:line="23" w:lineRule="exact"/>
        <w:rPr>
          <w:sz w:val="20"/>
          <w:szCs w:val="20"/>
          <w:color w:val="auto"/>
        </w:rPr>
      </w:pPr>
    </w:p>
    <w:p>
      <w:pPr>
        <w:ind w:left="36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2026-01-23T15:15:02Z</dcterms:created>
  <dcterms:modified xsi:type="dcterms:W3CDTF">2026-01-23T15:15:02Z</dcterms:modified>
</cp:coreProperties>
</file>