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July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Century Therapeutics,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8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001-40498</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84-2040295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040" w:space="720"/>
            <w:col w:w="3300" w:space="720"/>
            <w:col w:w="2460"/>
          </w:cols>
          <w:pgMar w:left="320" w:top="706" w:right="339" w:bottom="1440" w:gutter="0" w:footer="0" w:header="0"/>
          <w:type w:val="continuous"/>
        </w:sectPr>
      </w:pPr>
    </w:p>
    <w:p>
      <w:pPr>
        <w:spacing w:after="0" w:line="18"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3675 Market Street</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Philadelphia, Pennsylvania</w:t>
      </w:r>
    </w:p>
    <w:p>
      <w:pPr>
        <w:spacing w:after="0" w:line="9" w:lineRule="exact"/>
        <w:rPr>
          <w:sz w:val="24"/>
          <w:szCs w:val="24"/>
          <w:color w:val="auto"/>
        </w:rPr>
      </w:pPr>
    </w:p>
    <w:p>
      <w:pPr>
        <w:jc w:val="center"/>
        <w:ind w:right="14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19104</w:t>
      </w:r>
    </w:p>
    <w:p>
      <w:pPr>
        <w:spacing w:after="0" w:line="27" w:lineRule="exact"/>
        <w:rPr>
          <w:sz w:val="24"/>
          <w:szCs w:val="24"/>
          <w:color w:val="auto"/>
        </w:rPr>
      </w:pPr>
    </w:p>
    <w:p>
      <w:pPr>
        <w:jc w:val="center"/>
        <w:ind w:right="20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660" w:space="720"/>
            <w:col w:w="2860"/>
          </w:cols>
          <w:pgMar w:left="320" w:top="70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Exchange on Which</w:t>
            </w:r>
          </w:p>
        </w:tc>
      </w:tr>
      <w:tr>
        <w:trPr>
          <w:trHeight w:val="234"/>
        </w:trPr>
        <w:tc>
          <w:tcPr>
            <w:tcW w:w="464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9"/>
              </w:rPr>
              <w:t>Title of Each Class</w:t>
            </w:r>
          </w:p>
        </w:tc>
        <w:tc>
          <w:tcPr>
            <w:tcW w:w="300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tcPr>
          <w:p>
            <w:pPr>
              <w:jc w:val="center"/>
              <w:ind w:right="590"/>
              <w:spacing w:after="0"/>
              <w:rPr>
                <w:sz w:val="20"/>
                <w:szCs w:val="20"/>
                <w:color w:val="auto"/>
              </w:rPr>
            </w:pPr>
            <w:r>
              <w:rPr>
                <w:rFonts w:ascii="Arial" w:cs="Arial" w:eastAsia="Arial" w:hAnsi="Arial"/>
                <w:sz w:val="18"/>
                <w:szCs w:val="18"/>
                <w:b w:val="1"/>
                <w:bCs w:val="1"/>
                <w:color w:val="auto"/>
                <w:w w:val="99"/>
              </w:rPr>
              <w:t>IPSC</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183"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1.01</w:t>
      </w:r>
      <w:r>
        <w:rPr>
          <w:sz w:val="20"/>
          <w:szCs w:val="20"/>
          <w:color w:val="auto"/>
        </w:rPr>
        <w:tab/>
      </w:r>
      <w:r>
        <w:rPr>
          <w:rFonts w:ascii="Arial" w:cs="Arial" w:eastAsia="Arial" w:hAnsi="Arial"/>
          <w:sz w:val="16"/>
          <w:szCs w:val="16"/>
          <w:b w:val="1"/>
          <w:bCs w:val="1"/>
          <w:u w:val="single" w:color="auto"/>
          <w:color w:val="auto"/>
        </w:rPr>
        <w:t>Entry into a Material Definitive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July 1, 2022, Century Therapeutics, Inc. (the “Company”), entered into a Sales Agreement (the “Sales Agreement”) with Cowen and Company, LLC (“Cowen”), under which the Company may offer and sell, from time to time at its sole discretion, shares of its common stock, par value $0.0001 per share (the “Shares”), having an aggregate offering price of up to $150 million through Cowen as sales agent. The issuance and sale, if any, of Shares by the Company under the Sales Agreement is subject to the effectiveness of the Company’s registration statement on Form S-3 (the “Registration Statement”), filed with the Securities and Exchange Commission on July 1, 2022.</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Under the Sales Agreement, Cowen may sell Shares by any method permitted by law deemed to be an “at-the-market offering” as defined in Rule 415(a)</w:t>
      </w:r>
    </w:p>
    <w:p>
      <w:pPr>
        <w:spacing w:after="0" w:line="46" w:lineRule="exact"/>
        <w:rPr>
          <w:sz w:val="20"/>
          <w:szCs w:val="20"/>
          <w:color w:val="auto"/>
        </w:rPr>
      </w:pPr>
    </w:p>
    <w:p>
      <w:pPr>
        <w:ind w:right="20" w:firstLine="8"/>
        <w:spacing w:after="0" w:line="292"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under the Securities Act of 1933, as amended, including sales made directly on the Nasdaq Global Select Market or any other existing trading market for the Shares. Cowen will use commercially reasonable efforts to sell the Shares from time to time, based upon instructions from the Company (including any price, time or size limits or other customary parameters or conditions the Company may impose). The Company will pay Cowen a commission of 3.0% of the gross proceeds from the sales of Shares sold through Cowen under the Sales Agreement and has provided Cowen with customary indemnification and contribution rights. The Company will also reimburse Cowen for certain expenses incurred in connection with the Sales Agreement.</w:t>
      </w:r>
    </w:p>
    <w:p>
      <w:pPr>
        <w:spacing w:after="0" w:line="162"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The Company is not obligated to make any sales of Shares under the Sales Agreement. The offering of Shares pursuant to the Sales Agreement will terminate upon the earlier of (i) the sale of all Shares subject to the Sales Agreement or (ii) termination of the Sales Agreement in accordance with its terms.</w:t>
      </w:r>
    </w:p>
    <w:p>
      <w:pPr>
        <w:spacing w:after="0" w:line="18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foregoing description of the Sales Agreement does not purport to be complete and is qualified in its entirety by reference to the full text of the Sales Agreement, a copy of which is attached as Exhibit 1.1 to this Current Report on Form 8-K (this “Current Report”) and is incorporated herein by reference.</w:t>
      </w:r>
    </w:p>
    <w:p>
      <w:pPr>
        <w:spacing w:after="0" w:line="124"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This Current Report on Form 8-K shall not constitute an offer to sell or the solicitation of an offer to buy any Shares, nor shall there be any sale of such Shares in any state in which such offer, solicitation or sale would be unlawful prior to registration or qualification under the securities laws of any such state.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3"/>
            <w:shd w:val="clear" w:color="auto" w:fill="FEFEFE"/>
          </w:tcPr>
          <w:p>
            <w:pPr>
              <w:spacing w:after="0"/>
              <w:rPr>
                <w:sz w:val="20"/>
                <w:szCs w:val="20"/>
                <w:color w:val="auto"/>
              </w:rPr>
            </w:pPr>
            <w:r>
              <w:rPr>
                <w:rFonts w:ascii="Arial" w:cs="Arial" w:eastAsia="Arial" w:hAnsi="Arial"/>
                <w:sz w:val="18"/>
                <w:szCs w:val="18"/>
                <w:b w:val="1"/>
                <w:bCs w:val="1"/>
                <w:color w:val="auto"/>
              </w:rPr>
              <w:t>Item 9.01</w:t>
            </w:r>
          </w:p>
        </w:tc>
        <w:tc>
          <w:tcPr>
            <w:tcW w:w="160" w:type="dxa"/>
            <w:vAlign w:val="bottom"/>
            <w:shd w:val="clear" w:color="auto" w:fill="FEFEFE"/>
          </w:tcPr>
          <w:p>
            <w:pPr>
              <w:spacing w:after="0"/>
              <w:rPr>
                <w:sz w:val="17"/>
                <w:szCs w:val="17"/>
                <w:color w:val="auto"/>
              </w:rPr>
            </w:pPr>
          </w:p>
        </w:tc>
        <w:tc>
          <w:tcPr>
            <w:tcW w:w="9940" w:type="dxa"/>
            <w:vAlign w:val="bottom"/>
            <w:gridSpan w:val="5"/>
            <w:shd w:val="clear" w:color="auto" w:fill="FEFEFE"/>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21"/>
        </w:trPr>
        <w:tc>
          <w:tcPr>
            <w:tcW w:w="320" w:type="dxa"/>
            <w:vAlign w:val="bottom"/>
            <w:tcBorders>
              <w:top w:val="single" w:sz="8" w:color="auto"/>
            </w:tcBorders>
            <w:shd w:val="clear" w:color="auto" w:fill="FEFEFE"/>
          </w:tcPr>
          <w:p>
            <w:pPr>
              <w:spacing w:after="0" w:line="20" w:lineRule="exact"/>
              <w:rPr>
                <w:sz w:val="1"/>
                <w:szCs w:val="1"/>
                <w:color w:val="auto"/>
              </w:rPr>
            </w:pPr>
          </w:p>
        </w:tc>
        <w:tc>
          <w:tcPr>
            <w:tcW w:w="400" w:type="dxa"/>
            <w:vAlign w:val="bottom"/>
            <w:tcBorders>
              <w:top w:val="single" w:sz="8" w:color="auto"/>
            </w:tcBorders>
            <w:shd w:val="clear" w:color="auto" w:fill="FEFEFE"/>
          </w:tcPr>
          <w:p>
            <w:pPr>
              <w:spacing w:after="0" w:line="20" w:lineRule="exact"/>
              <w:rPr>
                <w:sz w:val="1"/>
                <w:szCs w:val="1"/>
                <w:color w:val="auto"/>
              </w:rPr>
            </w:pPr>
          </w:p>
        </w:tc>
        <w:tc>
          <w:tcPr>
            <w:tcW w:w="420" w:type="dxa"/>
            <w:vAlign w:val="bottom"/>
            <w:tcBorders>
              <w:top w:val="single" w:sz="8" w:color="FEFEFE"/>
            </w:tcBorders>
            <w:shd w:val="clear" w:color="auto" w:fill="FEFEFE"/>
          </w:tcPr>
          <w:p>
            <w:pPr>
              <w:spacing w:after="0" w:line="20" w:lineRule="exact"/>
              <w:rPr>
                <w:sz w:val="1"/>
                <w:szCs w:val="1"/>
                <w:color w:val="auto"/>
              </w:rPr>
            </w:pPr>
          </w:p>
        </w:tc>
        <w:tc>
          <w:tcPr>
            <w:tcW w:w="160" w:type="dxa"/>
            <w:vAlign w:val="bottom"/>
            <w:tcBorders>
              <w:top w:val="single" w:sz="8" w:color="FEFEFE"/>
            </w:tcBorders>
            <w:shd w:val="clear" w:color="auto" w:fill="FEFEFE"/>
          </w:tcPr>
          <w:p>
            <w:pPr>
              <w:spacing w:after="0" w:line="20" w:lineRule="exact"/>
              <w:rPr>
                <w:sz w:val="1"/>
                <w:szCs w:val="1"/>
                <w:color w:val="auto"/>
              </w:rPr>
            </w:pPr>
          </w:p>
        </w:tc>
        <w:tc>
          <w:tcPr>
            <w:tcW w:w="60" w:type="dxa"/>
            <w:vAlign w:val="bottom"/>
            <w:tcBorders>
              <w:top w:val="single" w:sz="8" w:color="auto"/>
            </w:tcBorders>
            <w:shd w:val="clear" w:color="auto" w:fill="FEFEFE"/>
          </w:tcPr>
          <w:p>
            <w:pPr>
              <w:spacing w:after="0" w:line="20" w:lineRule="exact"/>
              <w:rPr>
                <w:sz w:val="1"/>
                <w:szCs w:val="1"/>
                <w:color w:val="auto"/>
              </w:rPr>
            </w:pPr>
          </w:p>
        </w:tc>
        <w:tc>
          <w:tcPr>
            <w:tcW w:w="2620" w:type="dxa"/>
            <w:vAlign w:val="bottom"/>
            <w:tcBorders>
              <w:top w:val="single" w:sz="8" w:color="auto"/>
            </w:tcBorders>
            <w:shd w:val="clear" w:color="auto" w:fill="FEFEFE"/>
          </w:tcPr>
          <w:p>
            <w:pPr>
              <w:spacing w:after="0" w:line="20" w:lineRule="exact"/>
              <w:rPr>
                <w:sz w:val="1"/>
                <w:szCs w:val="1"/>
                <w:color w:val="auto"/>
              </w:rPr>
            </w:pPr>
          </w:p>
        </w:tc>
        <w:tc>
          <w:tcPr>
            <w:tcW w:w="1320" w:type="dxa"/>
            <w:vAlign w:val="bottom"/>
            <w:tcBorders>
              <w:top w:val="single" w:sz="8" w:color="FEFEFE"/>
            </w:tcBorders>
            <w:shd w:val="clear" w:color="auto" w:fill="FEFEFE"/>
          </w:tcPr>
          <w:p>
            <w:pPr>
              <w:spacing w:after="0" w:line="20" w:lineRule="exact"/>
              <w:rPr>
                <w:sz w:val="1"/>
                <w:szCs w:val="1"/>
                <w:color w:val="auto"/>
              </w:rPr>
            </w:pPr>
          </w:p>
        </w:tc>
        <w:tc>
          <w:tcPr>
            <w:tcW w:w="5820" w:type="dxa"/>
            <w:vAlign w:val="bottom"/>
            <w:tcBorders>
              <w:top w:val="single" w:sz="8" w:color="FEFEFE"/>
            </w:tcBorders>
            <w:shd w:val="clear" w:color="auto" w:fill="FEFEFE"/>
          </w:tcPr>
          <w:p>
            <w:pPr>
              <w:spacing w:after="0" w:line="20" w:lineRule="exact"/>
              <w:rPr>
                <w:sz w:val="1"/>
                <w:szCs w:val="1"/>
                <w:color w:val="auto"/>
              </w:rPr>
            </w:pPr>
          </w:p>
        </w:tc>
        <w:tc>
          <w:tcPr>
            <w:tcW w:w="120" w:type="dxa"/>
            <w:vAlign w:val="bottom"/>
            <w:tcBorders>
              <w:top w:val="single" w:sz="8" w:color="FEFEFE"/>
            </w:tcBorders>
            <w:shd w:val="clear" w:color="auto" w:fill="FEFEFE"/>
          </w:tcPr>
          <w:p>
            <w:pPr>
              <w:spacing w:after="0" w:line="20" w:lineRule="exact"/>
              <w:rPr>
                <w:sz w:val="1"/>
                <w:szCs w:val="1"/>
                <w:color w:val="auto"/>
              </w:rPr>
            </w:pPr>
          </w:p>
        </w:tc>
      </w:tr>
      <w:tr>
        <w:trPr>
          <w:trHeight w:val="432"/>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(d) Exhibits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No.</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594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720" w:type="dxa"/>
            <w:vAlign w:val="bottom"/>
            <w:gridSpan w:val="2"/>
          </w:tcPr>
          <w:p>
            <w:pPr>
              <w:spacing w:after="0"/>
              <w:rPr>
                <w:rFonts w:ascii="Arial" w:cs="Arial" w:eastAsia="Arial" w:hAnsi="Arial"/>
                <w:sz w:val="18"/>
                <w:szCs w:val="18"/>
                <w:color w:val="0000EE"/>
              </w:rPr>
            </w:pPr>
            <w:hyperlink r:id="rId19">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80" w:type="dxa"/>
            <w:vAlign w:val="bottom"/>
            <w:gridSpan w:val="4"/>
          </w:tcPr>
          <w:p>
            <w:pPr>
              <w:spacing w:after="0"/>
              <w:rPr>
                <w:rFonts w:ascii="Arial" w:cs="Arial" w:eastAsia="Arial" w:hAnsi="Arial"/>
                <w:sz w:val="18"/>
                <w:szCs w:val="18"/>
                <w:color w:val="0000EE"/>
                <w:w w:val="90"/>
              </w:rPr>
            </w:pPr>
            <w:hyperlink r:id="rId19">
              <w:r>
                <w:rPr>
                  <w:rFonts w:ascii="Arial" w:cs="Arial" w:eastAsia="Arial" w:hAnsi="Arial"/>
                  <w:sz w:val="18"/>
                  <w:szCs w:val="18"/>
                  <w:color w:val="0000EE"/>
                  <w:w w:val="90"/>
                </w:rPr>
                <w:t>Sales Agreement, dated as of July 1, 2022, by and between Century Therapeutics, Inc. and Cowen and Company, LLC (incorporated by</w:t>
              </w:r>
            </w:hyperlink>
          </w:p>
        </w:tc>
      </w:tr>
      <w:tr>
        <w:trPr>
          <w:trHeight w:val="196"/>
        </w:trPr>
        <w:tc>
          <w:tcPr>
            <w:tcW w:w="3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reference to Exhibit 1.2 to the Registration Statement).</w:t>
              </w:r>
            </w:hyperlink>
          </w:p>
        </w:tc>
        <w:tc>
          <w:tcPr>
            <w:tcW w:w="12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Osvaldo Flores, Ph.D.</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Osvaldo Flores, Ph.D.</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July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19" Type="http://schemas.openxmlformats.org/officeDocument/2006/relationships/hyperlink" Target="https://www.sec.gov/Archives/edgar/data/1850119/000110465922076807/tm2219477d2_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2022-07-01T15:39:57Z</dcterms:created>
  <dcterms:modified xsi:type="dcterms:W3CDTF">2022-07-01T15:39:57Z</dcterms:modified>
</cp:coreProperties>
</file>