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40" w:space="720"/>
            <w:col w:w="2460"/>
          </w:cols>
          <w:pgMar w:left="320" w:top="692" w:right="339" w:bottom="1440" w:gutter="0" w:footer="0" w:header="0"/>
          <w:type w:val="continuous"/>
        </w:sectPr>
      </w:pP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92"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58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9"/>
              </w:rPr>
              <w:t>Title of Each Class</w:t>
            </w:r>
          </w:p>
        </w:tc>
        <w:tc>
          <w:tcPr>
            <w:tcW w:w="284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b w:val="1"/>
                <w:bCs w:val="1"/>
                <w:color w:val="auto"/>
                <w:w w:val="95"/>
              </w:rPr>
              <w:t>IPSC</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9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May 11, 2023, Century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its financial results for the quarter ended March 31,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220" w:type="dxa"/>
            <w:vAlign w:val="bottom"/>
          </w:tcPr>
          <w:p>
            <w:pPr>
              <w:spacing w:after="0"/>
              <w:rPr>
                <w:sz w:val="20"/>
                <w:szCs w:val="20"/>
                <w:color w:val="auto"/>
              </w:rPr>
            </w:pPr>
          </w:p>
        </w:tc>
      </w:tr>
      <w:tr>
        <w:trPr>
          <w:trHeight w:val="41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3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240" w:type="dxa"/>
            <w:vAlign w:val="bottom"/>
          </w:tcPr>
          <w:p>
            <w:pPr>
              <w:spacing w:after="0"/>
              <w:rPr>
                <w:sz w:val="20"/>
                <w:szCs w:val="20"/>
                <w:color w:val="auto"/>
              </w:rPr>
            </w:pPr>
          </w:p>
        </w:tc>
        <w:tc>
          <w:tcPr>
            <w:tcW w:w="9880" w:type="dxa"/>
            <w:vAlign w:val="bottom"/>
            <w:tcBorders>
              <w:bottom w:val="single" w:sz="8" w:color="auto"/>
            </w:tcBorders>
            <w:gridSpan w:val="2"/>
          </w:tcPr>
          <w:p>
            <w:pPr>
              <w:ind w:left="454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800" w:type="dxa"/>
            <w:vAlign w:val="bottom"/>
          </w:tcPr>
          <w:p>
            <w:pPr>
              <w:spacing w:after="0"/>
              <w:rPr>
                <w:sz w:val="24"/>
                <w:szCs w:val="24"/>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0000EE"/>
              </w:rPr>
              <w:t>Press Release of Century Therapeutics, Inc., dated May 11, 2023</w:t>
            </w:r>
          </w:p>
        </w:tc>
      </w:tr>
      <w:tr>
        <w:trPr>
          <w:trHeight w:val="20"/>
        </w:trPr>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10120" w:type="dxa"/>
            <w:vAlign w:val="bottom"/>
            <w:gridSpan w:val="3"/>
          </w:tcPr>
          <w:p>
            <w:pPr>
              <w:ind w:left="2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CENTURY THERAPEUTICS, INC.</w:t>
      </w:r>
    </w:p>
    <w:p>
      <w:pPr>
        <w:spacing w:after="0" w:line="256"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Russotti, Ph.D.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Gregory Russotti, Ph.D.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r>
    </w:tbl>
    <w:p>
      <w:pPr>
        <w:spacing w:after="0"/>
        <w:rPr>
          <w:sz w:val="20"/>
          <w:szCs w:val="20"/>
          <w:color w:val="auto"/>
        </w:rPr>
      </w:pPr>
      <w:r>
        <w:rPr>
          <w:rFonts w:ascii="Arial" w:cs="Arial" w:eastAsia="Arial" w:hAnsi="Arial"/>
          <w:sz w:val="18"/>
          <w:szCs w:val="18"/>
          <w:color w:val="auto"/>
        </w:rPr>
        <w:t>Date: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06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297430" cy="676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9743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Century Therapeutics Reports First Quarter 2023 Financial Results and Provides Business Updates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Preclinical data supporting selection of CNTY-101 as lead product candidate presented at AACR Annual Meeting –</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i w:val="1"/>
          <w:iCs w:val="1"/>
          <w:color w:val="auto"/>
        </w:rPr>
        <w:t>– Company remains on track to report initial data from Schedule A of the ongoing Phase 1 ELiPSE-1 trial of CNTY-101 in relapsed/refractory</w:t>
      </w:r>
    </w:p>
    <w:p>
      <w:pPr>
        <w:spacing w:after="0" w:line="46" w:lineRule="exact"/>
        <w:rPr>
          <w:sz w:val="20"/>
          <w:szCs w:val="20"/>
          <w:color w:val="auto"/>
        </w:rPr>
      </w:pPr>
    </w:p>
    <w:p>
      <w:pPr>
        <w:ind w:left="4260"/>
        <w:spacing w:after="0"/>
        <w:rPr>
          <w:sz w:val="20"/>
          <w:szCs w:val="20"/>
          <w:color w:val="auto"/>
        </w:rPr>
      </w:pPr>
      <w:r>
        <w:rPr>
          <w:rFonts w:ascii="Arial" w:cs="Arial" w:eastAsia="Arial" w:hAnsi="Arial"/>
          <w:sz w:val="18"/>
          <w:szCs w:val="18"/>
          <w:i w:val="1"/>
          <w:iCs w:val="1"/>
          <w:color w:val="auto"/>
        </w:rPr>
        <w:t>CD19 positive B-cell lymphomas by year end –</w:t>
      </w:r>
    </w:p>
    <w:p>
      <w:pPr>
        <w:spacing w:after="0" w:line="21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Ended first quarter 2023 with cash, cash equivalents, and investments of $334.8 million; Cash runway expected into 2026 –</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PHILADELPHIA, May 11, 2023 -- </w:t>
      </w:r>
      <w:r>
        <w:rPr>
          <w:rFonts w:ascii="Arial" w:cs="Arial" w:eastAsia="Arial" w:hAnsi="Arial"/>
          <w:sz w:val="18"/>
          <w:szCs w:val="18"/>
          <w:u w:val="single" w:color="auto"/>
          <w:color w:val="auto"/>
        </w:rPr>
        <w:t>Century Therapeutics, Inc.</w:t>
      </w:r>
      <w:r>
        <w:rPr>
          <w:rFonts w:ascii="Arial" w:cs="Arial" w:eastAsia="Arial" w:hAnsi="Arial"/>
          <w:sz w:val="18"/>
          <w:szCs w:val="18"/>
          <w:color w:val="auto"/>
        </w:rPr>
        <w:t xml:space="preserve"> (NASDAQ: IPSC), an innovative clinical-stage biotechnology company developing induced pluripotent stem cell (iPSC)-derived cell therapies in immuno-oncology, today reported financial results and business highlights for the first quarter ended March 31, 2023.</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keenly focused on advancing our next generation iNK and gamma delta iT platforms to deliver transformative allogeneic cell therapies to patients with unmet need,” said Greg Russotti, Ph.D., interim Chief Executive Officer, Century Therapeutics. “For our lead candidate, CNTY-101, we remain on track to report initial data from Schedule A of the ongoing Phase 1 ELiPSE-1 trial in patients with relapsed or refractory CD19 positive B-cell lymphomas by year end. With a strong balance sheet expected to support operations into 2026 and a highly talented team, we believe we are well positioned to successfully execute on our 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&amp; Upcoming Milestones</w:t>
      </w:r>
    </w:p>
    <w:p>
      <w:pPr>
        <w:spacing w:after="0" w:line="229" w:lineRule="exact"/>
        <w:rPr>
          <w:sz w:val="20"/>
          <w:szCs w:val="20"/>
          <w:color w:val="auto"/>
        </w:rPr>
      </w:pPr>
    </w:p>
    <w:p>
      <w:pPr>
        <w:ind w:left="660" w:right="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At the American Association for Cancer Research (AACR) Annual Meeting in April 2023, the Company presented preclinical data from its iPSC-based cell therapy platform supporting the selection of CNTY-101 as its lead product candidate. Additional preclinical data characterizing epigenetic and transcriptomic donor-specific differences iNK cells were also shared. A copy of each poster is available in the "Science” section of the Company’s website at </w:t>
      </w:r>
      <w:r>
        <w:rPr>
          <w:rFonts w:ascii="Arial" w:cs="Arial" w:eastAsia="Arial" w:hAnsi="Arial"/>
          <w:sz w:val="18"/>
          <w:szCs w:val="18"/>
          <w:u w:val="single" w:color="auto"/>
          <w:color w:val="auto"/>
        </w:rPr>
        <w:t>https://www.centurytx.com/science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 March 2023, the Company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appointment of Greg Russotti, Ph.D., as interim Chief Executive Officer. Dr. Russotti, who served as the Company’s Chief Technology Officer since January 2020, succeeds Lalo Flores, Ph.D., who stepped down as Chief Executive Officer and as a member of the Company’s Board of Directors. In addition, Michael C. Diem, M.D., was promoted to the role of Chief Financial Officer and Hy Levitsky, M.D., assumed his prior role as President of Research and Development.</w:t>
      </w:r>
    </w:p>
    <w:p>
      <w:pPr>
        <w:spacing w:after="0" w:line="186"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first-in-human Phase 1 ELiPSE-1 trial evaluating CNTY-101 in relapsed or refractory CD19 positive B-cell lymphomas is ongoing. The Company remains on track to report preliminary data from Schedule A of the trial, including pharmacokinetics, pharmacodynamics, and safety, by year end.</w:t>
      </w:r>
    </w:p>
    <w:p>
      <w:pPr>
        <w:spacing w:after="0" w:line="183"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upcoming American Society for Clinical Oncology (ASCO) Annual Meeting, the Company will present a Trials in Progress poster related to its Phase 1 ELiPSE-1 trial. A copy of the poster, titled, “The ELiPSE-1 Study: A Phase 1 Multicenter Open-Label Study of CNTY-101 in Subjects with Relapsed or Refractory CD19-Positive B Cell Malignancies”, will be made available on the Posters section of Century’s website following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97430"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97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225" w:lineRule="exact"/>
        <w:rPr>
          <w:sz w:val="20"/>
          <w:szCs w:val="20"/>
          <w:color w:val="auto"/>
        </w:rPr>
      </w:pPr>
    </w:p>
    <w:p>
      <w:pPr>
        <w:ind w:left="660" w:right="8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marketable securities were $334.8 million as of March 31, 2023, as compared to $367.4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2022. Net cash used in operations was $29.2 million for the three months ended March 31, 2023, compared to net cash provided by operations of $86.8 million for the three months ended March 31, 2022 (which includes deferred revenue from the Bristol Myers Squibb (BMS) collaboration of $122.1 million).</w:t>
      </w:r>
    </w:p>
    <w:p>
      <w:pPr>
        <w:spacing w:after="0" w:line="179" w:lineRule="exact"/>
        <w:rPr>
          <w:rFonts w:ascii="Arial" w:cs="Arial" w:eastAsia="Arial" w:hAnsi="Arial"/>
          <w:sz w:val="18"/>
          <w:szCs w:val="18"/>
          <w:color w:val="auto"/>
        </w:rPr>
      </w:pPr>
    </w:p>
    <w:p>
      <w:pPr>
        <w:ind w:left="660" w:right="20" w:hanging="328"/>
        <w:spacing w:after="0" w:line="31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Collaboration Revenue: </w:t>
      </w:r>
      <w:r>
        <w:rPr>
          <w:rFonts w:ascii="Arial" w:cs="Arial" w:eastAsia="Arial" w:hAnsi="Arial"/>
          <w:sz w:val="17"/>
          <w:szCs w:val="17"/>
          <w:color w:val="auto"/>
        </w:rPr>
        <w:t>Collaboration revenue generated through the Company’s collaboration, option and license agreement with Bristol-Myers</w:t>
      </w:r>
      <w:r>
        <w:rPr>
          <w:rFonts w:ascii="Arial" w:cs="Arial" w:eastAsia="Arial" w:hAnsi="Arial"/>
          <w:sz w:val="17"/>
          <w:szCs w:val="17"/>
          <w:b w:val="1"/>
          <w:bCs w:val="1"/>
          <w:color w:val="auto"/>
        </w:rPr>
        <w:t xml:space="preserve"> </w:t>
      </w:r>
      <w:r>
        <w:rPr>
          <w:rFonts w:ascii="Arial" w:cs="Arial" w:eastAsia="Arial" w:hAnsi="Arial"/>
          <w:sz w:val="17"/>
          <w:szCs w:val="17"/>
          <w:color w:val="auto"/>
        </w:rPr>
        <w:t>Squibb was $1.7 million for the three months ended March 31, 2023, compared to $1.1 million for the same period in 2022.</w:t>
      </w:r>
    </w:p>
    <w:p>
      <w:pPr>
        <w:spacing w:after="0" w:line="166"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Research and Development (R&amp;D) expenses</w:t>
      </w:r>
      <w:r>
        <w:rPr>
          <w:rFonts w:ascii="Arial" w:cs="Arial" w:eastAsia="Arial" w:hAnsi="Arial"/>
          <w:sz w:val="17"/>
          <w:szCs w:val="17"/>
          <w:color w:val="auto"/>
        </w:rPr>
        <w:t>: R&amp;D expenses were $24.9 million for the three months ended March 31, 2023, compared to $21.2</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for the same period in 2022. The increase in R&amp;D expenses was primarily due to an increase in personnel expenses related to the reduction in force in January of 2023, costs for preclinical studies and clinical expenses for advancing CNTY-101, and facility costs.</w:t>
      </w:r>
    </w:p>
    <w:p>
      <w:pPr>
        <w:spacing w:after="0" w:line="157" w:lineRule="exact"/>
        <w:rPr>
          <w:rFonts w:ascii="Arial" w:cs="Arial" w:eastAsia="Arial" w:hAnsi="Arial"/>
          <w:sz w:val="17"/>
          <w:szCs w:val="17"/>
          <w:color w:val="auto"/>
        </w:rPr>
      </w:pPr>
    </w:p>
    <w:p>
      <w:pPr>
        <w:ind w:left="660" w:right="12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$8.9 million for the three months ended March 31, 2023, compared to $7.3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2022. The increase in G&amp;A expenses was primarily due to an increase in personnel-related expenses to build our infrastructure, as well as increased information technology and facility costs.</w:t>
      </w:r>
    </w:p>
    <w:p>
      <w:pPr>
        <w:spacing w:after="0" w:line="175"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 Net loss was $31.3 million for the three months ended March 31, 2023, compared to $37.5 million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ind w:left="660" w:right="5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expects full year generally accepted accounting principles (GAAP) operating expenses to be between $135 million and $145 million, including non-cash stock-based compensation expense of $12 million to $17 million.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estimates its cash, cash equivalents, and investments will support operations into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297430"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97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Century Therapeutics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Century Therapeutics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Arial" w:cs="Arial" w:eastAsia="Arial" w:hAnsi="Arial"/>
          <w:sz w:val="16"/>
          <w:szCs w:val="16"/>
          <w:u w:val="single" w:color="auto"/>
          <w:color w:val="auto"/>
        </w:rPr>
        <w:t>www.centurytx.com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Therapeutics Forward-Looking Statement</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CNTY-101,our ability to obtain FDA acceptance for our future IND submissions and commence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97430" cy="677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97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Investors and Media: Melissa Forst/Maghan Meyers – 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97430" cy="67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97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578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84,265</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164,637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231,233</w:t>
            </w:r>
          </w:p>
        </w:tc>
        <w:tc>
          <w:tcPr>
            <w:tcW w:w="100" w:type="dxa"/>
            <w:vAlign w:val="bottom"/>
          </w:tcPr>
          <w:p>
            <w:pPr>
              <w:spacing w:after="0"/>
              <w:rPr>
                <w:sz w:val="18"/>
                <w:szCs w:val="18"/>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CEEFF"/>
          </w:tcPr>
          <w:p>
            <w:pPr>
              <w:spacing w:after="0"/>
              <w:rPr>
                <w:sz w:val="19"/>
                <w:szCs w:val="19"/>
                <w:color w:val="auto"/>
              </w:rPr>
            </w:pPr>
          </w:p>
        </w:tc>
      </w:tr>
      <w:tr>
        <w:trPr>
          <w:trHeight w:val="209"/>
        </w:trPr>
        <w:tc>
          <w:tcPr>
            <w:tcW w:w="5780" w:type="dxa"/>
            <w:vAlign w:val="bottom"/>
          </w:tcPr>
          <w:p>
            <w:pPr>
              <w:spacing w:after="0"/>
              <w:rPr>
                <w:sz w:val="20"/>
                <w:szCs w:val="20"/>
                <w:color w:val="auto"/>
              </w:rPr>
            </w:pPr>
            <w:r>
              <w:rPr>
                <w:rFonts w:ascii="Arial" w:cs="Arial" w:eastAsia="Arial" w:hAnsi="Arial"/>
                <w:sz w:val="18"/>
                <w:szCs w:val="18"/>
                <w:color w:val="auto"/>
              </w:rPr>
              <w:t>Total current assets</w:t>
            </w:r>
          </w:p>
        </w:tc>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255,934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319,721</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82,785</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28,945</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51,854</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456,228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486,544</w:t>
            </w:r>
          </w:p>
        </w:tc>
        <w:tc>
          <w:tcPr>
            <w:tcW w:w="100" w:type="dxa"/>
            <w:vAlign w:val="bottom"/>
            <w:shd w:val="clear" w:color="auto" w:fill="CCEEFF"/>
          </w:tcPr>
          <w:p>
            <w:pPr>
              <w:spacing w:after="0"/>
              <w:rPr>
                <w:sz w:val="20"/>
                <w:szCs w:val="20"/>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7,412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current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Deferred revenue, current</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19"/>
                <w:szCs w:val="19"/>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38,698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110,834</w:t>
            </w:r>
          </w:p>
        </w:tc>
        <w:tc>
          <w:tcPr>
            <w:tcW w:w="100" w:type="dxa"/>
            <w:vAlign w:val="bottom"/>
            <w:shd w:val="clear" w:color="auto" w:fill="CCEEFF"/>
          </w:tcPr>
          <w:p>
            <w:pPr>
              <w:spacing w:after="0"/>
              <w:rPr>
                <w:sz w:val="18"/>
                <w:szCs w:val="18"/>
                <w:color w:val="auto"/>
              </w:rPr>
            </w:pPr>
          </w:p>
        </w:tc>
      </w:tr>
      <w:tr>
        <w:trPr>
          <w:trHeight w:val="20"/>
        </w:trPr>
        <w:tc>
          <w:tcPr>
            <w:tcW w:w="578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 liabilities</w:t>
            </w: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179,053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183,806</w:t>
            </w:r>
          </w:p>
        </w:tc>
        <w:tc>
          <w:tcPr>
            <w:tcW w:w="100" w:type="dxa"/>
            <w:vAlign w:val="bottom"/>
          </w:tcPr>
          <w:p>
            <w:pPr>
              <w:spacing w:after="0"/>
              <w:rPr>
                <w:sz w:val="19"/>
                <w:szCs w:val="19"/>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Common stock</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824,292</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Accumulated deficit</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(550,362)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(519,098)</w:t>
            </w: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(2,462)</w:t>
            </w:r>
          </w:p>
        </w:tc>
      </w:tr>
      <w:tr>
        <w:trPr>
          <w:trHeight w:val="210"/>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6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302,738</w:t>
            </w:r>
          </w:p>
        </w:tc>
        <w:tc>
          <w:tcPr>
            <w:tcW w:w="100" w:type="dxa"/>
            <w:vAlign w:val="bottom"/>
            <w:tcBorders>
              <w:bottom w:val="single" w:sz="8" w:color="CCEEFF"/>
            </w:tcBorders>
          </w:tcPr>
          <w:p>
            <w:pPr>
              <w:spacing w:after="0"/>
              <w:rPr>
                <w:sz w:val="18"/>
                <w:szCs w:val="18"/>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456,228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655"/>
        </w:trPr>
        <w:tc>
          <w:tcPr>
            <w:tcW w:w="57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97430"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974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r>
      <w:tr>
        <w:trPr>
          <w:trHeight w:val="205"/>
        </w:trPr>
        <w:tc>
          <w:tcPr>
            <w:tcW w:w="8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401"/>
              <w:spacing w:after="0" w:line="205"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0"/>
              <w:spacing w:after="0" w:line="205"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7"/>
                <w:szCs w:val="17"/>
                <w:color w:val="auto"/>
              </w:rPr>
            </w:pPr>
          </w:p>
        </w:tc>
      </w:tr>
      <w:tr>
        <w:trPr>
          <w:trHeight w:val="234"/>
        </w:trPr>
        <w:tc>
          <w:tcPr>
            <w:tcW w:w="84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24,899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21,196</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r>
      <w:tr>
        <w:trPr>
          <w:trHeight w:val="223"/>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33,801</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shd w:val="clear" w:color="auto" w:fill="CCEEFF"/>
          </w:tcPr>
          <w:p>
            <w:pPr>
              <w:spacing w:after="0"/>
              <w:rPr>
                <w:sz w:val="19"/>
                <w:szCs w:val="19"/>
                <w:color w:val="auto"/>
              </w:rPr>
            </w:pPr>
          </w:p>
        </w:tc>
      </w:tr>
      <w:tr>
        <w:trPr>
          <w:trHeight w:val="209"/>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(32,081)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(37,436)</w:t>
            </w:r>
          </w:p>
        </w:tc>
      </w:tr>
      <w:tr>
        <w:trPr>
          <w:trHeight w:val="216"/>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(37,497)</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(1,208)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w:t>
            </w:r>
          </w:p>
        </w:tc>
      </w:tr>
      <w:tr>
        <w:trPr>
          <w:trHeight w:val="20"/>
        </w:trPr>
        <w:tc>
          <w:tcPr>
            <w:tcW w:w="84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77"/>
        </w:trPr>
        <w:tc>
          <w:tcPr>
            <w:tcW w:w="84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(31,264)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(37,513)</w:t>
            </w:r>
          </w:p>
        </w:tc>
      </w:tr>
      <w:tr>
        <w:trPr>
          <w:trHeight w:val="197"/>
        </w:trPr>
        <w:tc>
          <w:tcPr>
            <w:tcW w:w="8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8"/>
                <w:szCs w:val="18"/>
                <w:color w:val="auto"/>
              </w:rPr>
              <w:t>Unrealized loss on investments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(1,986)</w:t>
            </w:r>
          </w:p>
        </w:tc>
      </w:tr>
      <w:tr>
        <w:trPr>
          <w:trHeight w:val="230"/>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w:t>
            </w:r>
          </w:p>
        </w:tc>
      </w:tr>
      <w:tr>
        <w:trPr>
          <w:trHeight w:val="26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(30,077</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(39,505</w:t>
            </w:r>
          </w:p>
        </w:tc>
        <w:tc>
          <w:tcPr>
            <w:tcW w:w="100" w:type="dxa"/>
            <w:vAlign w:val="bottom"/>
            <w:tcBorders>
              <w:bottom w:val="single" w:sz="8" w:color="CCEEFF"/>
            </w:tcBorders>
          </w:tcPr>
          <w:p>
            <w:pPr>
              <w:jc w:val="right"/>
              <w:ind w:right="21"/>
              <w:spacing w:after="0"/>
              <w:rPr>
                <w:sz w:val="20"/>
                <w:szCs w:val="20"/>
                <w:color w:val="auto"/>
              </w:rPr>
            </w:pPr>
            <w:r>
              <w:rPr>
                <w:rFonts w:ascii="Arial" w:cs="Arial" w:eastAsia="Arial" w:hAnsi="Arial"/>
                <w:sz w:val="8"/>
                <w:szCs w:val="8"/>
                <w:color w:val="auto"/>
                <w:w w:val="73"/>
              </w:rPr>
              <w:t>)</w:t>
            </w:r>
          </w:p>
        </w:tc>
      </w:tr>
      <w:tr>
        <w:trPr>
          <w:trHeight w:val="196"/>
        </w:trPr>
        <w:tc>
          <w:tcPr>
            <w:tcW w:w="8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844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40" w:type="dxa"/>
            <w:vAlign w:val="bottom"/>
          </w:tcPr>
          <w:p>
            <w:pPr>
              <w:spacing w:after="0"/>
              <w:rPr>
                <w:sz w:val="24"/>
                <w:szCs w:val="24"/>
                <w:color w:val="auto"/>
              </w:rPr>
            </w:pPr>
          </w:p>
        </w:tc>
        <w:tc>
          <w:tcPr>
            <w:tcW w:w="1300" w:type="dxa"/>
            <w:vAlign w:val="bottom"/>
            <w:gridSpan w:val="2"/>
          </w:tcPr>
          <w:p>
            <w:pPr>
              <w:jc w:val="right"/>
              <w:ind w:right="121"/>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4"/>
                <w:szCs w:val="24"/>
                <w:color w:val="auto"/>
              </w:rPr>
            </w:pPr>
          </w:p>
        </w:tc>
        <w:tc>
          <w:tcPr>
            <w:tcW w:w="1200" w:type="dxa"/>
            <w:vAlign w:val="bottom"/>
            <w:gridSpan w:val="2"/>
          </w:tcPr>
          <w:p>
            <w:pPr>
              <w:jc w:val="right"/>
              <w:ind w:right="21"/>
              <w:spacing w:after="0"/>
              <w:rPr>
                <w:sz w:val="20"/>
                <w:szCs w:val="20"/>
                <w:color w:val="auto"/>
              </w:rPr>
            </w:pPr>
            <w:r>
              <w:rPr>
                <w:rFonts w:ascii="Arial" w:cs="Arial" w:eastAsia="Arial" w:hAnsi="Arial"/>
                <w:sz w:val="18"/>
                <w:szCs w:val="18"/>
                <w:color w:val="auto"/>
              </w:rPr>
              <w:t>(0.66)</w:t>
            </w:r>
          </w:p>
        </w:tc>
      </w:tr>
      <w:tr>
        <w:trPr>
          <w:trHeight w:val="196"/>
        </w:trPr>
        <w:tc>
          <w:tcPr>
            <w:tcW w:w="8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84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58,610,375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57,051,539</w:t>
            </w:r>
          </w:p>
        </w:tc>
        <w:tc>
          <w:tcPr>
            <w:tcW w:w="100" w:type="dxa"/>
            <w:vAlign w:val="bottom"/>
          </w:tcPr>
          <w:p>
            <w:pPr>
              <w:spacing w:after="0"/>
              <w:rPr>
                <w:sz w:val="21"/>
                <w:szCs w:val="21"/>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8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endash "/>
      <w:numFmt w:val="bullet"/>
      <w:start w:val="1"/>
    </w:lvl>
    <w:lvl w:ilvl="1">
      <w:lvlJc w:val="left"/>
      <w:lvlText w:val="\endash "/>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2023-05-11T06:50:58Z</dcterms:created>
  <dcterms:modified xsi:type="dcterms:W3CDTF">2023-05-11T06:50:58Z</dcterms:modified>
</cp:coreProperties>
</file>