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5"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400" w:hanging="390"/>
        <w:spacing w:after="0"/>
        <w:tabs>
          <w:tab w:leader="none" w:pos="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highlight w:val="black"/>
        </w:rPr>
      </w:pPr>
    </w:p>
    <w:p>
      <w:pPr>
        <w:ind w:left="2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5"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Century Therapeutics,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3" w:lineRule="exact"/>
        <w:rPr>
          <w:sz w:val="24"/>
          <w:szCs w:val="24"/>
          <w:color w:val="auto"/>
        </w:rPr>
      </w:pPr>
    </w:p>
    <w:tbl>
      <w:tblPr>
        <w:tblLayout w:type="fixed"/>
        <w:tblInd w:w="1280" w:type="dxa"/>
        <w:tblCellMar>
          <w:top w:w="0" w:type="dxa"/>
          <w:left w:w="0" w:type="dxa"/>
          <w:bottom w:w="0" w:type="dxa"/>
          <w:right w:w="0" w:type="dxa"/>
        </w:tblCellMar>
      </w:tblP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Delaware</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(State or other jurisdiction of</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(I.R.S. Employer</w:t>
            </w:r>
          </w:p>
        </w:tc>
      </w:t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incorporation or organization)</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Identification No.)</w:t>
            </w:r>
          </w:p>
        </w:tc>
      </w:t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3675 Market Street</w:t>
            </w:r>
          </w:p>
        </w:tc>
        <w:tc>
          <w:tcPr>
            <w:tcW w:w="1460" w:type="dxa"/>
            <w:vAlign w:val="bottom"/>
          </w:tcPr>
          <w:p>
            <w:pPr>
              <w:spacing w:after="0"/>
              <w:rPr>
                <w:sz w:val="16"/>
                <w:szCs w:val="16"/>
                <w:color w:val="auto"/>
              </w:rPr>
            </w:pPr>
          </w:p>
        </w:tc>
      </w:t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Philadelphia, Pennsylvania</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7"/>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(Address of principal executive offices)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(Zip Code)</w:t>
            </w:r>
          </w:p>
        </w:tc>
      </w:tr>
      <w:tr>
        <w:trPr>
          <w:trHeight w:val="192"/>
        </w:trPr>
        <w:tc>
          <w:tcPr>
            <w:tcW w:w="5980" w:type="dxa"/>
            <w:vAlign w:val="bottom"/>
          </w:tcPr>
          <w:p>
            <w:pPr>
              <w:jc w:val="right"/>
              <w:ind w:right="1499"/>
              <w:spacing w:after="0"/>
              <w:rPr>
                <w:sz w:val="20"/>
                <w:szCs w:val="20"/>
                <w:color w:val="auto"/>
              </w:rPr>
            </w:pPr>
            <w:r>
              <w:rPr>
                <w:rFonts w:ascii="Arial" w:cs="Arial" w:eastAsia="Arial" w:hAnsi="Arial"/>
                <w:sz w:val="16"/>
                <w:szCs w:val="16"/>
                <w:b w:val="1"/>
                <w:bCs w:val="1"/>
                <w:color w:val="auto"/>
              </w:rPr>
              <w:t>(267) 817-5790</w:t>
            </w:r>
          </w:p>
        </w:tc>
        <w:tc>
          <w:tcPr>
            <w:tcW w:w="1460" w:type="dxa"/>
            <w:vAlign w:val="bottom"/>
          </w:tcPr>
          <w:p>
            <w:pPr>
              <w:spacing w:after="0"/>
              <w:rPr>
                <w:sz w:val="16"/>
                <w:szCs w:val="16"/>
                <w:color w:val="auto"/>
              </w:rPr>
            </w:pPr>
          </w:p>
        </w:tc>
      </w:tr>
      <w:tr>
        <w:trPr>
          <w:trHeight w:val="227"/>
        </w:trPr>
        <w:tc>
          <w:tcPr>
            <w:tcW w:w="5980" w:type="dxa"/>
            <w:vAlign w:val="bottom"/>
          </w:tcPr>
          <w:p>
            <w:pPr>
              <w:jc w:val="center"/>
              <w:ind w:left="1619"/>
              <w:spacing w:after="0"/>
              <w:rPr>
                <w:sz w:val="20"/>
                <w:szCs w:val="20"/>
                <w:color w:val="auto"/>
              </w:rPr>
            </w:pPr>
            <w:r>
              <w:rPr>
                <w:rFonts w:ascii="Arial" w:cs="Arial" w:eastAsia="Arial" w:hAnsi="Arial"/>
                <w:sz w:val="16"/>
                <w:szCs w:val="16"/>
                <w:b w:val="1"/>
                <w:bCs w:val="1"/>
                <w:color w:val="auto"/>
              </w:rPr>
              <w:t>(Registrant’s telephone number, including area code)</w:t>
            </w:r>
          </w:p>
        </w:tc>
        <w:tc>
          <w:tcPr>
            <w:tcW w:w="1460" w:type="dxa"/>
            <w:vAlign w:val="bottom"/>
          </w:tcPr>
          <w:p>
            <w:pPr>
              <w:spacing w:after="0"/>
              <w:rPr>
                <w:sz w:val="19"/>
                <w:szCs w:val="19"/>
                <w:color w:val="auto"/>
              </w:rPr>
            </w:pP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42"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tcPr>
          <w:p>
            <w:pPr>
              <w:spacing w:after="0"/>
              <w:rPr>
                <w:sz w:val="12"/>
                <w:szCs w:val="12"/>
                <w:color w:val="auto"/>
              </w:rPr>
            </w:pPr>
          </w:p>
        </w:tc>
        <w:tc>
          <w:tcPr>
            <w:tcW w:w="33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00" w:type="dxa"/>
            <w:vAlign w:val="bottom"/>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7"/>
        </w:trPr>
        <w:tc>
          <w:tcPr>
            <w:tcW w:w="33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2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20" w:right="3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20" w:right="10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0" w:lineRule="exact"/>
        <w:rPr>
          <w:sz w:val="24"/>
          <w:szCs w:val="24"/>
          <w:color w:val="auto"/>
        </w:rPr>
      </w:pPr>
    </w:p>
    <w:p>
      <w:pPr>
        <w:ind w:left="20"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20" w:right="116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2023 the registrant had 59,580,817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7"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19"/>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19"/>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Item 1.</w:t>
            </w:r>
          </w:p>
        </w:tc>
        <w:tc>
          <w:tcPr>
            <w:tcW w:w="280" w:type="dxa"/>
            <w:vAlign w:val="bottom"/>
            <w:gridSpan w:val="4"/>
          </w:tcPr>
          <w:p>
            <w:pPr>
              <w:spacing w:after="0"/>
              <w:rPr>
                <w:sz w:val="18"/>
                <w:szCs w:val="18"/>
                <w:color w:val="auto"/>
              </w:rPr>
            </w:pPr>
          </w:p>
        </w:tc>
        <w:tc>
          <w:tcPr>
            <w:tcW w:w="22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Financial Statements:</w:t>
            </w:r>
          </w:p>
        </w:tc>
        <w:tc>
          <w:tcPr>
            <w:tcW w:w="5100" w:type="dxa"/>
            <w:vAlign w:val="bottom"/>
            <w:gridSpan w:val="10"/>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Consolidated Balance Sheets as of March 31, 2023 (unaudited) and December 31, 2022</w:t>
            </w:r>
          </w:p>
        </w:tc>
        <w:tc>
          <w:tcPr>
            <w:tcW w:w="320" w:type="dxa"/>
            <w:vAlign w:val="bottom"/>
            <w:gridSpan w:val="2"/>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ended March 31, 2023 and 2022 (unaudited)</w:t>
            </w:r>
          </w:p>
        </w:tc>
        <w:tc>
          <w:tcPr>
            <w:tcW w:w="3320" w:type="dxa"/>
            <w:vAlign w:val="bottom"/>
            <w:tcBorders>
              <w:top w:val="single" w:sz="8" w:color="0000EE"/>
            </w:tcBorders>
            <w:gridSpan w:val="4"/>
          </w:tcPr>
          <w:p>
            <w:pPr>
              <w:spacing w:after="0"/>
              <w:rPr>
                <w:sz w:val="15"/>
                <w:szCs w:val="15"/>
                <w:color w:val="auto"/>
              </w:rPr>
            </w:pPr>
          </w:p>
        </w:tc>
        <w:tc>
          <w:tcPr>
            <w:tcW w:w="480" w:type="dxa"/>
            <w:vAlign w:val="bottom"/>
            <w:gridSpan w:val="3"/>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60" w:type="dxa"/>
            <w:vAlign w:val="bottom"/>
            <w:gridSpan w:val="19"/>
          </w:tcPr>
          <w:p>
            <w:pPr>
              <w:spacing w:after="0"/>
              <w:rPr>
                <w:sz w:val="20"/>
                <w:szCs w:val="20"/>
                <w:color w:val="auto"/>
              </w:rPr>
            </w:pPr>
            <w:r>
              <w:rPr>
                <w:rFonts w:ascii="Arial" w:cs="Arial" w:eastAsia="Arial" w:hAnsi="Arial"/>
                <w:sz w:val="18"/>
                <w:szCs w:val="18"/>
                <w:color w:val="0000EE"/>
              </w:rPr>
              <w:t>Consolidated Statements of Changes in Stockholders’ Equity for the three months ended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March 31, 2023 and 2022 (unaudited)</w:t>
            </w:r>
          </w:p>
        </w:tc>
        <w:tc>
          <w:tcPr>
            <w:tcW w:w="32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Consolidated Statements of Cash Flows for the three months ended March 31, 2023 and</w:t>
            </w:r>
          </w:p>
        </w:tc>
        <w:tc>
          <w:tcPr>
            <w:tcW w:w="30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2022 (unaudited)</w:t>
            </w:r>
          </w:p>
        </w:tc>
        <w:tc>
          <w:tcPr>
            <w:tcW w:w="6000" w:type="dxa"/>
            <w:vAlign w:val="bottom"/>
            <w:gridSpan w:val="16"/>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2.</w:t>
            </w:r>
          </w:p>
        </w:tc>
        <w:tc>
          <w:tcPr>
            <w:tcW w:w="7360" w:type="dxa"/>
            <w:vAlign w:val="bottom"/>
            <w:gridSpan w:val="19"/>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3.</w:t>
            </w:r>
          </w:p>
        </w:tc>
        <w:tc>
          <w:tcPr>
            <w:tcW w:w="736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4.</w:t>
            </w: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Controls and Procedures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5"/>
              </w:rPr>
              <w:t>PART II.</w:t>
            </w:r>
          </w:p>
        </w:tc>
        <w:tc>
          <w:tcPr>
            <w:tcW w:w="22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1"/>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1.</w:t>
            </w: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1A.</w:t>
            </w:r>
          </w:p>
        </w:tc>
        <w:tc>
          <w:tcPr>
            <w:tcW w:w="7360" w:type="dxa"/>
            <w:vAlign w:val="bottom"/>
            <w:gridSpan w:val="19"/>
          </w:tcPr>
          <w:p>
            <w:pPr>
              <w:spacing w:after="0"/>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240" w:type="dxa"/>
            <w:vAlign w:val="bottom"/>
            <w:gridSpan w:val="3"/>
          </w:tcPr>
          <w:p>
            <w:pPr>
              <w:spacing w:after="0"/>
              <w:rPr>
                <w:sz w:val="17"/>
                <w:szCs w:val="17"/>
                <w:color w:val="auto"/>
              </w:rPr>
            </w:pP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3.</w:t>
            </w:r>
          </w:p>
        </w:tc>
        <w:tc>
          <w:tcPr>
            <w:tcW w:w="7360" w:type="dxa"/>
            <w:vAlign w:val="bottom"/>
            <w:gridSpan w:val="19"/>
          </w:tcPr>
          <w:p>
            <w:pPr>
              <w:spacing w:after="0"/>
              <w:rPr>
                <w:sz w:val="20"/>
                <w:szCs w:val="20"/>
                <w:color w:val="auto"/>
              </w:rPr>
            </w:pPr>
            <w:r>
              <w:rPr>
                <w:rFonts w:ascii="Arial" w:cs="Arial" w:eastAsia="Arial" w:hAnsi="Arial"/>
                <w:sz w:val="18"/>
                <w:szCs w:val="18"/>
                <w:color w:val="0000EE"/>
              </w:rPr>
              <w:t>Defaults Upon Senior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4.</w:t>
            </w:r>
          </w:p>
        </w:tc>
        <w:tc>
          <w:tcPr>
            <w:tcW w:w="7360" w:type="dxa"/>
            <w:vAlign w:val="bottom"/>
            <w:gridSpan w:val="19"/>
          </w:tcPr>
          <w:p>
            <w:pPr>
              <w:spacing w:after="0"/>
              <w:rPr>
                <w:sz w:val="20"/>
                <w:szCs w:val="20"/>
                <w:color w:val="auto"/>
              </w:rPr>
            </w:pPr>
            <w:r>
              <w:rPr>
                <w:rFonts w:ascii="Arial" w:cs="Arial" w:eastAsia="Arial" w:hAnsi="Arial"/>
                <w:sz w:val="18"/>
                <w:szCs w:val="18"/>
                <w:color w:val="0000EE"/>
              </w:rPr>
              <w:t>Mine Safety Disclosures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4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5.</w:t>
            </w:r>
          </w:p>
        </w:tc>
        <w:tc>
          <w:tcPr>
            <w:tcW w:w="7360" w:type="dxa"/>
            <w:vAlign w:val="bottom"/>
            <w:gridSpan w:val="19"/>
          </w:tcPr>
          <w:p>
            <w:pPr>
              <w:spacing w:after="0" w:line="196" w:lineRule="exact"/>
              <w:rPr>
                <w:sz w:val="20"/>
                <w:szCs w:val="20"/>
                <w:color w:val="auto"/>
              </w:rPr>
            </w:pPr>
            <w:r>
              <w:rPr>
                <w:rFonts w:ascii="Arial" w:cs="Arial" w:eastAsia="Arial" w:hAnsi="Arial"/>
                <w:sz w:val="18"/>
                <w:szCs w:val="18"/>
                <w:color w:val="0000EE"/>
              </w:rPr>
              <w:t>Other Information</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6.</w:t>
            </w:r>
          </w:p>
        </w:tc>
        <w:tc>
          <w:tcPr>
            <w:tcW w:w="7360" w:type="dxa"/>
            <w:vAlign w:val="bottom"/>
            <w:gridSpan w:val="19"/>
          </w:tcPr>
          <w:p>
            <w:pPr>
              <w:spacing w:after="0"/>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Signatures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53"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9" w:lineRule="exact"/>
        <w:rPr>
          <w:sz w:val="20"/>
          <w:szCs w:val="20"/>
          <w:color w:val="auto"/>
        </w:rPr>
      </w:pPr>
    </w:p>
    <w:p>
      <w:pPr>
        <w:ind w:left="720" w:right="1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32" w:lineRule="exact"/>
        <w:rPr>
          <w:rFonts w:ascii="Arial" w:cs="Arial" w:eastAsia="Arial" w:hAnsi="Arial"/>
          <w:sz w:val="18"/>
          <w:szCs w:val="18"/>
          <w:color w:val="auto"/>
        </w:rPr>
      </w:pPr>
    </w:p>
    <w:p>
      <w:pPr>
        <w:ind w:left="720" w:right="3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57" w:lineRule="exact"/>
        <w:rPr>
          <w:rFonts w:ascii="Arial" w:cs="Arial" w:eastAsia="Arial" w:hAnsi="Arial"/>
          <w:sz w:val="18"/>
          <w:szCs w:val="18"/>
          <w:color w:val="auto"/>
        </w:rPr>
      </w:pPr>
    </w:p>
    <w:p>
      <w:pPr>
        <w:ind w:left="720" w:right="69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32"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32" w:lineRule="exact"/>
        <w:rPr>
          <w:rFonts w:ascii="Arial" w:cs="Arial" w:eastAsia="Arial" w:hAnsi="Arial"/>
          <w:sz w:val="18"/>
          <w:szCs w:val="18"/>
          <w:color w:val="auto"/>
        </w:rPr>
      </w:pPr>
    </w:p>
    <w:p>
      <w:pPr>
        <w:jc w:val="both"/>
        <w:ind w:left="720" w:right="1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or any other pandemic or global health crises may impact our business, including development activities, preclinical studies, clinical trials, supply chain and labor force;</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184" w:lineRule="exact"/>
        <w:rPr>
          <w:rFonts w:ascii="Arial" w:cs="Arial" w:eastAsia="Arial" w:hAnsi="Arial"/>
          <w:sz w:val="18"/>
          <w:szCs w:val="18"/>
          <w:color w:val="auto"/>
        </w:rPr>
      </w:pPr>
    </w:p>
    <w:p>
      <w:pPr>
        <w:ind w:left="720" w:right="13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84" w:lineRule="exact"/>
        <w:rPr>
          <w:rFonts w:ascii="Arial" w:cs="Arial" w:eastAsia="Arial" w:hAnsi="Arial"/>
          <w:sz w:val="18"/>
          <w:szCs w:val="18"/>
          <w:color w:val="auto"/>
        </w:rPr>
      </w:pPr>
    </w:p>
    <w:p>
      <w:pPr>
        <w:ind w:left="720" w:right="7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43" w:lineRule="exact"/>
        <w:rPr>
          <w:rFonts w:ascii="Arial" w:cs="Arial" w:eastAsia="Arial" w:hAnsi="Arial"/>
          <w:sz w:val="18"/>
          <w:szCs w:val="18"/>
          <w:color w:val="auto"/>
        </w:rPr>
      </w:pPr>
    </w:p>
    <w:p>
      <w:pPr>
        <w:ind w:left="720" w:right="2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32"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such IND applications for our product candidates;</w:t>
      </w:r>
    </w:p>
    <w:p>
      <w:pPr>
        <w:spacing w:after="0" w:line="145" w:lineRule="exact"/>
        <w:rPr>
          <w:rFonts w:ascii="Arial" w:cs="Arial" w:eastAsia="Arial" w:hAnsi="Arial"/>
          <w:sz w:val="18"/>
          <w:szCs w:val="18"/>
          <w:color w:val="auto"/>
        </w:rPr>
      </w:pPr>
    </w:p>
    <w:p>
      <w:pPr>
        <w:ind w:left="720" w:right="5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720" w:right="15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157" w:lineRule="exact"/>
        <w:rPr>
          <w:rFonts w:ascii="Arial" w:cs="Arial" w:eastAsia="Arial" w:hAnsi="Arial"/>
          <w:sz w:val="18"/>
          <w:szCs w:val="18"/>
          <w:color w:val="auto"/>
        </w:rPr>
      </w:pPr>
    </w:p>
    <w:p>
      <w:pPr>
        <w:ind w:left="720" w:right="2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32" w:lineRule="exact"/>
        <w:rPr>
          <w:rFonts w:ascii="Arial" w:cs="Arial" w:eastAsia="Arial" w:hAnsi="Arial"/>
          <w:sz w:val="18"/>
          <w:szCs w:val="18"/>
          <w:color w:val="auto"/>
        </w:rPr>
      </w:pPr>
    </w:p>
    <w:p>
      <w:pPr>
        <w:ind w:left="720" w:right="39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43" w:lineRule="exact"/>
        <w:rPr>
          <w:rFonts w:ascii="Arial" w:cs="Arial" w:eastAsia="Arial" w:hAnsi="Arial"/>
          <w:sz w:val="18"/>
          <w:szCs w:val="18"/>
          <w:color w:val="auto"/>
        </w:rPr>
      </w:pPr>
    </w:p>
    <w:p>
      <w:pPr>
        <w:ind w:left="720" w:right="13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45" w:lineRule="exact"/>
        <w:rPr>
          <w:rFonts w:ascii="Arial" w:cs="Arial" w:eastAsia="Arial" w:hAnsi="Arial"/>
          <w:sz w:val="18"/>
          <w:szCs w:val="18"/>
          <w:color w:val="auto"/>
        </w:rPr>
      </w:pPr>
    </w:p>
    <w:p>
      <w:pPr>
        <w:ind w:left="720" w:right="4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32"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32"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45" w:lineRule="exact"/>
        <w:rPr>
          <w:rFonts w:ascii="Arial" w:cs="Arial" w:eastAsia="Arial" w:hAnsi="Arial"/>
          <w:sz w:val="18"/>
          <w:szCs w:val="18"/>
          <w:color w:val="auto"/>
        </w:rPr>
      </w:pPr>
    </w:p>
    <w:p>
      <w:pPr>
        <w:ind w:left="720" w:right="49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45"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71"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60"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4" w:lineRule="exact"/>
        <w:rPr>
          <w:rFonts w:ascii="Arial" w:cs="Arial" w:eastAsia="Arial" w:hAnsi="Arial"/>
          <w:sz w:val="18"/>
          <w:szCs w:val="18"/>
          <w:color w:val="auto"/>
        </w:rPr>
      </w:pPr>
    </w:p>
    <w:p>
      <w:pPr>
        <w:ind w:left="720" w:right="899" w:hanging="319"/>
        <w:spacing w:after="0" w:line="28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123"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84" w:lineRule="exact"/>
        <w:rPr>
          <w:rFonts w:ascii="Arial" w:cs="Arial" w:eastAsia="Arial" w:hAnsi="Arial"/>
          <w:sz w:val="18"/>
          <w:szCs w:val="18"/>
          <w:color w:val="auto"/>
        </w:rPr>
      </w:pPr>
    </w:p>
    <w:p>
      <w:pPr>
        <w:ind w:left="720" w:right="2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2022.</w:t>
      </w:r>
    </w:p>
    <w:p>
      <w:pPr>
        <w:spacing w:after="0" w:line="13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2022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859"/>
        <w:spacing w:after="0" w:line="260"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4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7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color w:val="auto"/>
              </w:rPr>
              <w:t>March 31, 2023</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December 31, 2022</w:t>
            </w:r>
          </w:p>
        </w:tc>
      </w:tr>
      <w:tr>
        <w:trPr>
          <w:trHeight w:val="167"/>
        </w:trPr>
        <w:tc>
          <w:tcPr>
            <w:tcW w:w="2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86,832</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84,265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164,637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231,233</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280" w:type="dxa"/>
            <w:vAlign w:val="bottom"/>
          </w:tcPr>
          <w:p>
            <w:pPr>
              <w:spacing w:after="0"/>
              <w:rPr>
                <w:sz w:val="11"/>
                <w:szCs w:val="11"/>
                <w:color w:val="auto"/>
              </w:rPr>
            </w:pPr>
          </w:p>
        </w:tc>
      </w:tr>
      <w:tr>
        <w:trPr>
          <w:trHeight w:val="135"/>
        </w:trPr>
        <w:tc>
          <w:tcPr>
            <w:tcW w:w="274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4,465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128"/>
        </w:trPr>
        <w:tc>
          <w:tcPr>
            <w:tcW w:w="274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3"/>
                <w:szCs w:val="13"/>
                <w:color w:val="auto"/>
              </w:rPr>
              <w:t>255,934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color w:val="auto"/>
              </w:rPr>
              <w:t>319,721</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85,842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82,785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28,207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28,945</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83,316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51,854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Security deposits</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1,260</w:t>
            </w:r>
          </w:p>
        </w:tc>
        <w:tc>
          <w:tcPr>
            <w:tcW w:w="280" w:type="dxa"/>
            <w:vAlign w:val="bottom"/>
          </w:tcPr>
          <w:p>
            <w:pPr>
              <w:spacing w:after="0"/>
              <w:rPr>
                <w:sz w:val="11"/>
                <w:szCs w:val="11"/>
                <w:color w:val="auto"/>
              </w:rPr>
            </w:pPr>
          </w:p>
        </w:tc>
      </w:tr>
      <w:tr>
        <w:trPr>
          <w:trHeight w:val="16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36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b w:val="1"/>
                <w:bCs w:val="1"/>
                <w:color w:val="auto"/>
              </w:rPr>
              <w:t>$</w:t>
            </w:r>
          </w:p>
        </w:tc>
        <w:tc>
          <w:tcPr>
            <w:tcW w:w="1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456,228</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b w:val="1"/>
                <w:bCs w:val="1"/>
                <w:color w:val="auto"/>
              </w:rPr>
              <w:t>$</w:t>
            </w: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shd w:val="clear" w:color="auto" w:fill="CCEEFF"/>
          </w:tcPr>
          <w:p>
            <w:pPr>
              <w:spacing w:after="0"/>
              <w:rPr>
                <w:sz w:val="14"/>
                <w:szCs w:val="14"/>
                <w:color w:val="auto"/>
              </w:rPr>
            </w:pPr>
          </w:p>
        </w:tc>
      </w:tr>
      <w:tr>
        <w:trPr>
          <w:trHeight w:val="116"/>
        </w:trPr>
        <w:tc>
          <w:tcPr>
            <w:tcW w:w="2740" w:type="dxa"/>
            <w:vAlign w:val="bottom"/>
            <w:tcBorders>
              <w:top w:val="single" w:sz="8" w:color="CCEEFF"/>
            </w:tcBorders>
          </w:tcPr>
          <w:p>
            <w:pPr>
              <w:spacing w:after="0"/>
              <w:rPr>
                <w:sz w:val="10"/>
                <w:szCs w:val="10"/>
                <w:color w:val="auto"/>
              </w:rPr>
            </w:pPr>
          </w:p>
        </w:tc>
        <w:tc>
          <w:tcPr>
            <w:tcW w:w="2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3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3,475</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5,454</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9,841</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881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866</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10,297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6,502</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7,154</w:t>
            </w:r>
          </w:p>
        </w:tc>
        <w:tc>
          <w:tcPr>
            <w:tcW w:w="280" w:type="dxa"/>
            <w:vAlign w:val="bottom"/>
          </w:tcPr>
          <w:p>
            <w:pPr>
              <w:spacing w:after="0"/>
              <w:rPr>
                <w:sz w:val="11"/>
                <w:szCs w:val="11"/>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27,684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29,817</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38,698</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433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718</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109,768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110,834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3,739</w:t>
            </w:r>
          </w:p>
        </w:tc>
        <w:tc>
          <w:tcPr>
            <w:tcW w:w="280" w:type="dxa"/>
            <w:vAlign w:val="bottom"/>
          </w:tcPr>
          <w:p>
            <w:pPr>
              <w:spacing w:after="0"/>
              <w:rPr>
                <w:sz w:val="11"/>
                <w:szCs w:val="11"/>
                <w:color w:val="auto"/>
              </w:rPr>
            </w:pPr>
          </w:p>
        </w:tc>
      </w:tr>
      <w:tr>
        <w:trPr>
          <w:trHeight w:val="129"/>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179,053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183,806</w:t>
            </w:r>
          </w:p>
        </w:tc>
        <w:tc>
          <w:tcPr>
            <w:tcW w:w="280" w:type="dxa"/>
            <w:vAlign w:val="bottom"/>
          </w:tcPr>
          <w:p>
            <w:pPr>
              <w:spacing w:after="0"/>
              <w:rPr>
                <w:sz w:val="11"/>
                <w:szCs w:val="11"/>
                <w:color w:val="auto"/>
              </w:rPr>
            </w:pPr>
          </w:p>
        </w:tc>
      </w:tr>
      <w:tr>
        <w:trPr>
          <w:trHeight w:val="128"/>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11)</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21"/>
        </w:trPr>
        <w:tc>
          <w:tcPr>
            <w:tcW w:w="5100" w:type="dxa"/>
            <w:vAlign w:val="bottom"/>
            <w:gridSpan w:val="3"/>
          </w:tcPr>
          <w:p>
            <w:pPr>
              <w:ind w:left="20"/>
              <w:spacing w:after="0" w:line="121"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510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March 31, 2023 and December 31, 2022</w:t>
            </w:r>
          </w:p>
        </w:tc>
        <w:tc>
          <w:tcPr>
            <w:tcW w:w="1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21"/>
        </w:trPr>
        <w:tc>
          <w:tcPr>
            <w:tcW w:w="27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Common stock, $0.0001 par value, 125,236,190</w:t>
            </w:r>
          </w:p>
        </w:tc>
        <w:tc>
          <w:tcPr>
            <w:tcW w:w="2360" w:type="dxa"/>
            <w:vAlign w:val="bottom"/>
            <w:gridSpan w:val="2"/>
            <w:shd w:val="clear" w:color="auto" w:fill="CCEEFF"/>
          </w:tcPr>
          <w:p>
            <w:pPr>
              <w:jc w:val="right"/>
              <w:ind w:right="620"/>
              <w:spacing w:after="0" w:line="121" w:lineRule="exact"/>
              <w:rPr>
                <w:sz w:val="20"/>
                <w:szCs w:val="20"/>
                <w:color w:val="auto"/>
              </w:rPr>
            </w:pPr>
            <w:r>
              <w:rPr>
                <w:rFonts w:ascii="Arial" w:cs="Arial" w:eastAsia="Arial" w:hAnsi="Arial"/>
                <w:sz w:val="13"/>
                <w:szCs w:val="13"/>
                <w:color w:val="auto"/>
                <w:w w:val="97"/>
              </w:rPr>
              <w:t>shares authorized; 59,106,784</w:t>
            </w: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10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58,473,660 shares issued and outstanding at March 31, 2023 and December</w:t>
            </w:r>
          </w:p>
        </w:tc>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 2022, respectively</w:t>
            </w:r>
          </w:p>
        </w:tc>
        <w:tc>
          <w:tcPr>
            <w:tcW w:w="2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2"/>
                <w:szCs w:val="12"/>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3"/>
                <w:szCs w:val="13"/>
                <w:color w:val="auto"/>
              </w:rPr>
              <w:t>828,806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824,292</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(550,362)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(519,098)</w:t>
            </w: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(2,462)</w:t>
            </w:r>
          </w:p>
        </w:tc>
      </w:tr>
      <w:tr>
        <w:trPr>
          <w:trHeight w:val="128"/>
        </w:trPr>
        <w:tc>
          <w:tcPr>
            <w:tcW w:w="27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277,175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302,738</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129"/>
        </w:trPr>
        <w:tc>
          <w:tcPr>
            <w:tcW w:w="27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36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rPr>
              <w:t>$</w:t>
            </w:r>
          </w:p>
        </w:tc>
        <w:tc>
          <w:tcPr>
            <w:tcW w:w="1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456,228</w:t>
            </w:r>
          </w:p>
        </w:tc>
        <w:tc>
          <w:tcPr>
            <w:tcW w:w="14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w:t>
            </w: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4"/>
                <w:szCs w:val="14"/>
                <w:color w:val="auto"/>
              </w:rPr>
              <w:t>Three Months Ended</w:t>
            </w:r>
          </w:p>
        </w:tc>
      </w:tr>
      <w:tr>
        <w:trPr>
          <w:trHeight w:val="167"/>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2"/>
          </w:tcPr>
          <w:p>
            <w:pPr>
              <w:jc w:val="right"/>
              <w:ind w:right="800"/>
              <w:spacing w:after="0"/>
              <w:rPr>
                <w:sz w:val="20"/>
                <w:szCs w:val="20"/>
                <w:color w:val="auto"/>
              </w:rPr>
            </w:pPr>
            <w:r>
              <w:rPr>
                <w:rFonts w:ascii="Arial" w:cs="Arial" w:eastAsia="Arial" w:hAnsi="Arial"/>
                <w:sz w:val="14"/>
                <w:szCs w:val="14"/>
                <w:color w:val="auto"/>
              </w:rPr>
              <w:t>March 31, 2023</w:t>
            </w:r>
          </w:p>
        </w:tc>
        <w:tc>
          <w:tcPr>
            <w:tcW w:w="160" w:type="dxa"/>
            <w:vAlign w:val="bottom"/>
          </w:tcPr>
          <w:p>
            <w:pPr>
              <w:spacing w:after="0"/>
              <w:rPr>
                <w:sz w:val="14"/>
                <w:szCs w:val="14"/>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4"/>
                <w:szCs w:val="14"/>
                <w:color w:val="auto"/>
              </w:rPr>
              <w:t>March 31, 2022</w:t>
            </w:r>
          </w:p>
        </w:tc>
      </w:tr>
      <w:tr>
        <w:trPr>
          <w:trHeight w:val="156"/>
        </w:trPr>
        <w:tc>
          <w:tcPr>
            <w:tcW w:w="4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c>
          <w:tcPr>
            <w:tcW w:w="440" w:type="dxa"/>
            <w:vAlign w:val="bottom"/>
            <w:shd w:val="clear" w:color="auto" w:fill="CCEEFF"/>
          </w:tcPr>
          <w:p>
            <w:pPr>
              <w:spacing w:after="0"/>
              <w:rPr>
                <w:sz w:val="17"/>
                <w:szCs w:val="17"/>
                <w:color w:val="auto"/>
              </w:rPr>
            </w:pPr>
          </w:p>
        </w:tc>
      </w:tr>
      <w:tr>
        <w:trPr>
          <w:trHeight w:val="162"/>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24,899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21,196</w:t>
            </w:r>
          </w:p>
        </w:tc>
        <w:tc>
          <w:tcPr>
            <w:tcW w:w="440" w:type="dxa"/>
            <w:vAlign w:val="bottom"/>
          </w:tcPr>
          <w:p>
            <w:pPr>
              <w:spacing w:after="0"/>
              <w:rPr>
                <w:sz w:val="17"/>
                <w:szCs w:val="17"/>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7,298</w:t>
            </w: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w:t>
            </w:r>
          </w:p>
        </w:tc>
        <w:tc>
          <w:tcPr>
            <w:tcW w:w="440" w:type="dxa"/>
            <w:vAlign w:val="bottom"/>
          </w:tcPr>
          <w:p>
            <w:pPr>
              <w:spacing w:after="0"/>
              <w:rPr>
                <w:sz w:val="17"/>
                <w:szCs w:val="17"/>
                <w:color w:val="auto"/>
              </w:rPr>
            </w:pPr>
          </w:p>
        </w:tc>
      </w:tr>
      <w:tr>
        <w:trPr>
          <w:trHeight w:val="196"/>
        </w:trPr>
        <w:tc>
          <w:tcPr>
            <w:tcW w:w="43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33,801</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38,494</w:t>
            </w:r>
          </w:p>
        </w:tc>
        <w:tc>
          <w:tcPr>
            <w:tcW w:w="440" w:type="dxa"/>
            <w:vAlign w:val="bottom"/>
            <w:tcBorders>
              <w:bottom w:val="single" w:sz="8" w:color="CCEEFF"/>
            </w:tcBorders>
            <w:shd w:val="clear" w:color="auto" w:fill="CCEEFF"/>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(32,081)</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(37,436)</w:t>
            </w:r>
          </w:p>
        </w:tc>
        <w:tc>
          <w:tcPr>
            <w:tcW w:w="440" w:type="dxa"/>
            <w:vAlign w:val="bottom"/>
            <w:shd w:val="clear" w:color="auto" w:fill="CCEEFF"/>
          </w:tcPr>
          <w:p>
            <w:pPr>
              <w:spacing w:after="0"/>
              <w:rPr>
                <w:sz w:val="18"/>
                <w:szCs w:val="18"/>
                <w:color w:val="auto"/>
              </w:rPr>
            </w:pPr>
          </w:p>
        </w:tc>
      </w:tr>
      <w:tr>
        <w:trPr>
          <w:trHeight w:val="203"/>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440" w:type="dxa"/>
            <w:vAlign w:val="bottom"/>
          </w:tcPr>
          <w:p>
            <w:pPr>
              <w:spacing w:after="0"/>
              <w:rPr>
                <w:sz w:val="17"/>
                <w:szCs w:val="17"/>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r>
      <w:tr>
        <w:trPr>
          <w:trHeight w:val="196"/>
        </w:trPr>
        <w:tc>
          <w:tcPr>
            <w:tcW w:w="434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440" w:type="dxa"/>
            <w:vAlign w:val="bottom"/>
          </w:tcPr>
          <w:p>
            <w:pPr>
              <w:spacing w:after="0"/>
              <w:rPr>
                <w:sz w:val="17"/>
                <w:szCs w:val="17"/>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(30,056)</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(37,497)</w:t>
            </w: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7"/>
                <w:szCs w:val="17"/>
                <w:color w:val="auto"/>
              </w:rPr>
            </w:pPr>
          </w:p>
        </w:tc>
        <w:tc>
          <w:tcPr>
            <w:tcW w:w="2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(1,208)</w:t>
            </w:r>
          </w:p>
        </w:tc>
        <w:tc>
          <w:tcPr>
            <w:tcW w:w="1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440" w:type="dxa"/>
            <w:vAlign w:val="bottom"/>
          </w:tcPr>
          <w:p>
            <w:pPr>
              <w:spacing w:after="0"/>
              <w:rPr>
                <w:sz w:val="17"/>
                <w:szCs w:val="17"/>
                <w:color w:val="auto"/>
              </w:rPr>
            </w:pPr>
          </w:p>
        </w:tc>
      </w:tr>
      <w:tr>
        <w:trPr>
          <w:trHeight w:val="236"/>
        </w:trPr>
        <w:tc>
          <w:tcPr>
            <w:tcW w:w="43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(31,264)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(37,513)</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0"/>
        </w:trPr>
        <w:tc>
          <w:tcPr>
            <w:tcW w:w="4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loss per common share</w:t>
            </w:r>
          </w:p>
        </w:tc>
        <w:tc>
          <w:tcPr>
            <w:tcW w:w="2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40" w:type="dxa"/>
            <w:vAlign w:val="bottom"/>
            <w:shd w:val="clear" w:color="auto" w:fill="CCEEFF"/>
          </w:tcPr>
          <w:p>
            <w:pPr>
              <w:spacing w:after="0"/>
              <w:rPr>
                <w:sz w:val="18"/>
                <w:szCs w:val="18"/>
                <w:color w:val="auto"/>
              </w:rPr>
            </w:pPr>
          </w:p>
        </w:tc>
      </w:tr>
      <w:tr>
        <w:trPr>
          <w:trHeight w:val="190"/>
        </w:trPr>
        <w:tc>
          <w:tcPr>
            <w:tcW w:w="4340" w:type="dxa"/>
            <w:vAlign w:val="bottom"/>
          </w:tcPr>
          <w:p>
            <w:pPr>
              <w:ind w:left="20"/>
              <w:spacing w:after="0" w:line="189" w:lineRule="exact"/>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58,610,375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57,051,539</w:t>
            </w:r>
          </w:p>
        </w:tc>
        <w:tc>
          <w:tcPr>
            <w:tcW w:w="440" w:type="dxa"/>
            <w:vAlign w:val="bottom"/>
          </w:tcPr>
          <w:p>
            <w:pPr>
              <w:spacing w:after="0"/>
              <w:rPr>
                <w:sz w:val="18"/>
                <w:szCs w:val="18"/>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(31,264)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(37,513)</w:t>
            </w:r>
          </w:p>
        </w:tc>
        <w:tc>
          <w:tcPr>
            <w:tcW w:w="440" w:type="dxa"/>
            <w:vAlign w:val="bottom"/>
          </w:tcPr>
          <w:p>
            <w:pPr>
              <w:spacing w:after="0"/>
              <w:rPr>
                <w:sz w:val="17"/>
                <w:szCs w:val="17"/>
                <w:color w:val="auto"/>
              </w:rPr>
            </w:pPr>
          </w:p>
        </w:tc>
      </w:tr>
      <w:tr>
        <w:trPr>
          <w:trHeight w:val="203"/>
        </w:trPr>
        <w:tc>
          <w:tcPr>
            <w:tcW w:w="4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Unrealized gain (loss) on investments</w:t>
            </w: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(1,986)</w:t>
            </w:r>
          </w:p>
        </w:tc>
        <w:tc>
          <w:tcPr>
            <w:tcW w:w="440" w:type="dxa"/>
            <w:vAlign w:val="bottom"/>
            <w:shd w:val="clear" w:color="auto" w:fill="CCEEFF"/>
          </w:tcPr>
          <w:p>
            <w:pPr>
              <w:spacing w:after="0"/>
              <w:rPr>
                <w:sz w:val="17"/>
                <w:szCs w:val="17"/>
                <w:color w:val="auto"/>
              </w:rPr>
            </w:pPr>
          </w:p>
        </w:tc>
      </w:tr>
      <w:tr>
        <w:trPr>
          <w:trHeight w:val="203"/>
        </w:trPr>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7"/>
                <w:szCs w:val="17"/>
                <w:color w:val="auto"/>
              </w:rPr>
            </w:pPr>
          </w:p>
        </w:tc>
        <w:tc>
          <w:tcPr>
            <w:tcW w:w="2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44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(39,505)</w:t>
            </w:r>
          </w:p>
        </w:tc>
        <w:tc>
          <w:tcPr>
            <w:tcW w:w="440" w:type="dxa"/>
            <w:vAlign w:val="bottom"/>
            <w:shd w:val="clear" w:color="auto" w:fill="CCEEFF"/>
          </w:tcPr>
          <w:p>
            <w:pPr>
              <w:spacing w:after="0"/>
              <w:rPr>
                <w:sz w:val="18"/>
                <w:szCs w:val="18"/>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6480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color w:val="auto"/>
                <w:w w:val="96"/>
              </w:rPr>
              <w:t>Total</w:t>
            </w:r>
          </w:p>
        </w:tc>
      </w:tr>
      <w:tr>
        <w:trPr>
          <w:trHeight w:val="167"/>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4"/>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r>
      <w:tr>
        <w:trPr>
          <w:trHeight w:val="169"/>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224"/>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rPr>
              <w:t>Loss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03"/>
              <w:spacing w:after="0"/>
              <w:rPr>
                <w:sz w:val="20"/>
                <w:szCs w:val="20"/>
                <w:color w:val="auto"/>
              </w:rPr>
            </w:pPr>
            <w:r>
              <w:rPr>
                <w:rFonts w:ascii="Arial" w:cs="Arial" w:eastAsia="Arial" w:hAnsi="Arial"/>
                <w:sz w:val="14"/>
                <w:szCs w:val="14"/>
                <w:color w:val="auto"/>
              </w:rPr>
              <w:t>Equity</w:t>
            </w:r>
          </w:p>
        </w:tc>
      </w:tr>
      <w:tr>
        <w:trPr>
          <w:trHeight w:val="115"/>
        </w:trPr>
        <w:tc>
          <w:tcPr>
            <w:tcW w:w="410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448</w:t>
            </w:r>
          </w:p>
        </w:tc>
      </w:tr>
      <w:tr>
        <w:trPr>
          <w:trHeight w:val="122"/>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269</w:t>
            </w:r>
          </w:p>
        </w:tc>
      </w:tr>
      <w:tr>
        <w:trPr>
          <w:trHeight w:val="121"/>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1,196</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r>
      <w:tr>
        <w:trPr>
          <w:trHeight w:val="122"/>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3,797</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(31,264)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(31,264)</w:t>
            </w:r>
          </w:p>
        </w:tc>
      </w:tr>
      <w:tr>
        <w:trPr>
          <w:trHeight w:val="115"/>
        </w:trPr>
        <w:tc>
          <w:tcPr>
            <w:tcW w:w="410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828,806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99"/>
        </w:trPr>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72"/>
        </w:trPr>
        <w:tc>
          <w:tcPr>
            <w:tcW w:w="3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62"/>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color w:val="auto"/>
                <w:w w:val="96"/>
              </w:rPr>
              <w:t>Total</w:t>
            </w:r>
          </w:p>
        </w:tc>
      </w:tr>
      <w:tr>
        <w:trPr>
          <w:trHeight w:val="167"/>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82"/>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960" w:type="dxa"/>
            <w:vAlign w:val="bottom"/>
            <w:gridSpan w:val="2"/>
          </w:tcPr>
          <w:p>
            <w:pPr>
              <w:jc w:val="right"/>
              <w:ind w:right="24"/>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r>
      <w:tr>
        <w:trPr>
          <w:trHeight w:val="155"/>
        </w:trPr>
        <w:tc>
          <w:tcPr>
            <w:tcW w:w="39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
              <w:spacing w:after="0" w:line="155"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rPr>
              <w:t>Amount</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color w:val="auto"/>
              </w:rPr>
              <w:t>Capital</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color w:val="auto"/>
              </w:rPr>
              <w:t>Deficit</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color w:val="auto"/>
              </w:rPr>
              <w:t>Loss</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3"/>
              <w:spacing w:after="0" w:line="155" w:lineRule="exact"/>
              <w:rPr>
                <w:sz w:val="20"/>
                <w:szCs w:val="20"/>
                <w:color w:val="auto"/>
              </w:rPr>
            </w:pPr>
            <w:r>
              <w:rPr>
                <w:rFonts w:ascii="Arial" w:cs="Arial" w:eastAsia="Arial" w:hAnsi="Arial"/>
                <w:sz w:val="14"/>
                <w:szCs w:val="14"/>
                <w:color w:val="auto"/>
              </w:rPr>
              <w:t>Equity</w:t>
            </w:r>
          </w:p>
        </w:tc>
      </w:tr>
      <w:tr>
        <w:trPr>
          <w:trHeight w:val="115"/>
        </w:trPr>
        <w:tc>
          <w:tcPr>
            <w:tcW w:w="392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55,005,523</w:t>
            </w:r>
          </w:p>
        </w:tc>
        <w:tc>
          <w:tcPr>
            <w:tcW w:w="340" w:type="dxa"/>
            <w:vAlign w:val="bottom"/>
            <w:gridSpan w:val="2"/>
            <w:shd w:val="clear" w:color="auto" w:fill="CCEEFF"/>
          </w:tcPr>
          <w:p>
            <w:pPr>
              <w:jc w:val="right"/>
              <w:ind w:right="113"/>
              <w:spacing w:after="0" w:line="115" w:lineRule="exact"/>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11"/>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ind w:right="2"/>
              <w:spacing w:after="0" w:line="115" w:lineRule="exact"/>
              <w:rPr>
                <w:sz w:val="20"/>
                <w:szCs w:val="20"/>
                <w:color w:val="auto"/>
              </w:rPr>
            </w:pPr>
            <w:r>
              <w:rPr>
                <w:rFonts w:ascii="Arial" w:cs="Arial" w:eastAsia="Arial" w:hAnsi="Arial"/>
                <w:sz w:val="11"/>
                <w:szCs w:val="11"/>
                <w:b w:val="1"/>
                <w:bCs w:val="1"/>
                <w:color w:val="auto"/>
              </w:rPr>
              <w:t>785,049</w:t>
            </w:r>
          </w:p>
        </w:tc>
        <w:tc>
          <w:tcPr>
            <w:tcW w:w="1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396,238</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2,160,760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26,812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26,813</w:t>
            </w:r>
          </w:p>
        </w:tc>
      </w:tr>
      <w:tr>
        <w:trPr>
          <w:trHeight w:val="122"/>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85,396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65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65</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161,159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r>
      <w:tr>
        <w:trPr>
          <w:trHeight w:val="121"/>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173,192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673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673</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2,380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2,380</w:t>
            </w:r>
          </w:p>
        </w:tc>
      </w:tr>
      <w:tr>
        <w:trPr>
          <w:trHeight w:val="122"/>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(1,986)</w:t>
            </w:r>
          </w:p>
        </w:tc>
      </w:tr>
      <w:tr>
        <w:trPr>
          <w:trHeight w:val="122"/>
        </w:trPr>
        <w:tc>
          <w:tcPr>
            <w:tcW w:w="410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ind w:right="4"/>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w:t>
            </w:r>
          </w:p>
        </w:tc>
      </w:tr>
      <w:tr>
        <w:trPr>
          <w:trHeight w:val="121"/>
        </w:trPr>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(37,513)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(37,513)</w:t>
            </w:r>
          </w:p>
        </w:tc>
      </w:tr>
      <w:tr>
        <w:trPr>
          <w:trHeight w:val="115"/>
        </w:trPr>
        <w:tc>
          <w:tcPr>
            <w:tcW w:w="3920" w:type="dxa"/>
            <w:vAlign w:val="bottom"/>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1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57,586,030</w:t>
            </w:r>
          </w:p>
        </w:tc>
        <w:tc>
          <w:tcPr>
            <w:tcW w:w="340" w:type="dxa"/>
            <w:vAlign w:val="bottom"/>
            <w:tcBorders>
              <w:top w:val="single" w:sz="8" w:color="auto"/>
              <w:bottom w:val="single" w:sz="8" w:color="auto"/>
            </w:tcBorders>
            <w:gridSpan w:val="2"/>
          </w:tcPr>
          <w:p>
            <w:pPr>
              <w:jc w:val="right"/>
              <w:ind w:right="113"/>
              <w:spacing w:after="0" w:line="115" w:lineRule="exact"/>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gridSpan w:val="2"/>
          </w:tcPr>
          <w:p>
            <w:pPr>
              <w:jc w:val="right"/>
              <w:ind w:right="11"/>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tcBorders>
              <w:top w:val="single" w:sz="8" w:color="auto"/>
              <w:bottom w:val="single" w:sz="8" w:color="auto"/>
            </w:tcBorders>
          </w:tcPr>
          <w:p>
            <w:pPr>
              <w:jc w:val="right"/>
              <w:ind w:right="2"/>
              <w:spacing w:after="0" w:line="115" w:lineRule="exact"/>
              <w:rPr>
                <w:sz w:val="20"/>
                <w:szCs w:val="20"/>
                <w:color w:val="auto"/>
              </w:rPr>
            </w:pPr>
            <w:r>
              <w:rPr>
                <w:rFonts w:ascii="Arial" w:cs="Arial" w:eastAsia="Arial" w:hAnsi="Arial"/>
                <w:sz w:val="11"/>
                <w:szCs w:val="11"/>
                <w:b w:val="1"/>
                <w:bCs w:val="1"/>
                <w:color w:val="auto"/>
              </w:rPr>
              <w:t>814,979</w:t>
            </w:r>
          </w:p>
        </w:tc>
        <w:tc>
          <w:tcPr>
            <w:tcW w:w="1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(425,679)</w:t>
            </w:r>
          </w:p>
        </w:tc>
        <w:tc>
          <w:tcPr>
            <w:tcW w:w="2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(2,642)</w:t>
            </w:r>
          </w:p>
        </w:tc>
        <w:tc>
          <w:tcPr>
            <w:tcW w:w="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gridSpan w:val="2"/>
          </w:tcPr>
          <w:p>
            <w:pPr>
              <w:ind w:left="60"/>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386,664</w:t>
            </w: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347980</wp:posOffset>
            </wp:positionV>
            <wp:extent cx="64808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8" w:right="8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4"/>
                <w:szCs w:val="14"/>
                <w:color w:val="auto"/>
              </w:rPr>
              <w:t>Three Months Ended</w:t>
            </w:r>
          </w:p>
        </w:tc>
      </w:t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color w:val="auto"/>
              </w:rPr>
              <w:t>March 31,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4"/>
                <w:szCs w:val="14"/>
                <w:color w:val="auto"/>
              </w:rPr>
              <w:t>March 31, 2022</w:t>
            </w:r>
          </w:p>
        </w:tc>
      </w:tr>
      <w:tr>
        <w:trPr>
          <w:trHeight w:val="167"/>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500"/>
              <w:spacing w:after="0"/>
              <w:rPr>
                <w:sz w:val="20"/>
                <w:szCs w:val="20"/>
                <w:color w:val="auto"/>
              </w:rPr>
            </w:pPr>
            <w:r>
              <w:rPr>
                <w:rFonts w:ascii="Arial" w:cs="Arial" w:eastAsia="Arial" w:hAnsi="Arial"/>
                <w:sz w:val="14"/>
                <w:szCs w:val="14"/>
                <w:color w:val="auto"/>
              </w:rPr>
              <w:t>(unaudited)</w:t>
            </w:r>
          </w:p>
        </w:tc>
      </w:tr>
      <w:tr>
        <w:trPr>
          <w:trHeight w:val="156"/>
        </w:trPr>
        <w:tc>
          <w:tcPr>
            <w:tcW w:w="48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r>
      <w:tr>
        <w:trPr>
          <w:trHeight w:val="162"/>
        </w:trPr>
        <w:tc>
          <w:tcPr>
            <w:tcW w:w="48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(31,264)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(37,513)</w:t>
            </w:r>
          </w:p>
        </w:tc>
        <w:tc>
          <w:tcPr>
            <w:tcW w:w="380" w:type="dxa"/>
            <w:vAlign w:val="bottom"/>
          </w:tcPr>
          <w:p>
            <w:pPr>
              <w:spacing w:after="0"/>
              <w:rPr>
                <w:sz w:val="14"/>
                <w:szCs w:val="14"/>
                <w:color w:val="auto"/>
              </w:rPr>
            </w:pPr>
          </w:p>
        </w:tc>
      </w:tr>
      <w:tr>
        <w:trPr>
          <w:trHeight w:val="149"/>
        </w:trPr>
        <w:tc>
          <w:tcPr>
            <w:tcW w:w="4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75"/>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2,908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1,160</w:t>
            </w: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188</w:t>
            </w: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Escrow deposit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1,033</w:t>
            </w: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(1,720)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122,129</w:t>
            </w: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(3,206)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(1,170)</w:t>
            </w:r>
          </w:p>
        </w:tc>
        <w:tc>
          <w:tcPr>
            <w:tcW w:w="380" w:type="dxa"/>
            <w:vAlign w:val="bottom"/>
          </w:tcPr>
          <w:p>
            <w:pPr>
              <w:spacing w:after="0"/>
              <w:rPr>
                <w:sz w:val="14"/>
                <w:szCs w:val="14"/>
                <w:color w:val="auto"/>
              </w:rPr>
            </w:pPr>
          </w:p>
        </w:tc>
      </w:tr>
      <w:tr>
        <w:trPr>
          <w:trHeight w:val="156"/>
        </w:trPr>
        <w:tc>
          <w:tcPr>
            <w:tcW w:w="4820" w:type="dxa"/>
            <w:vAlign w:val="bottom"/>
            <w:tcBorders>
              <w:top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(29,219)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86,753</w:t>
            </w:r>
          </w:p>
        </w:tc>
        <w:tc>
          <w:tcPr>
            <w:tcW w:w="380" w:type="dxa"/>
            <w:vAlign w:val="bottom"/>
            <w:tcBorders>
              <w:top w:val="single" w:sz="8" w:color="CCEEFF"/>
            </w:tcBorders>
            <w:shd w:val="clear" w:color="auto" w:fill="CCEEFF"/>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(4,991)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(4,067)</w:t>
            </w: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(42,829)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(103,060)</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79,158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63,090</w:t>
            </w:r>
          </w:p>
        </w:tc>
        <w:tc>
          <w:tcPr>
            <w:tcW w:w="380" w:type="dxa"/>
            <w:vAlign w:val="bottom"/>
            <w:tcBorders>
              <w:bottom w:val="single" w:sz="8" w:color="CCEEFF"/>
            </w:tcBorders>
          </w:tcPr>
          <w:p>
            <w:pPr>
              <w:spacing w:after="0"/>
              <w:rPr>
                <w:sz w:val="14"/>
                <w:szCs w:val="14"/>
                <w:color w:val="auto"/>
              </w:rPr>
            </w:pPr>
          </w:p>
        </w:tc>
      </w:tr>
      <w:tr>
        <w:trPr>
          <w:trHeight w:val="156"/>
        </w:trPr>
        <w:tc>
          <w:tcPr>
            <w:tcW w:w="48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31,338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(44,037)</w:t>
            </w:r>
          </w:p>
        </w:tc>
        <w:tc>
          <w:tcPr>
            <w:tcW w:w="380" w:type="dxa"/>
            <w:vAlign w:val="bottom"/>
            <w:shd w:val="clear" w:color="auto" w:fill="CCEEFF"/>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380" w:type="dxa"/>
            <w:vAlign w:val="bottom"/>
            <w:shd w:val="clear" w:color="auto" w:fill="CCEEFF"/>
          </w:tcPr>
          <w:p>
            <w:pPr>
              <w:spacing w:after="0"/>
              <w:rPr>
                <w:sz w:val="14"/>
                <w:szCs w:val="14"/>
                <w:color w:val="auto"/>
              </w:rPr>
            </w:pPr>
          </w:p>
        </w:tc>
      </w:tr>
      <w:tr>
        <w:trPr>
          <w:trHeight w:val="162"/>
        </w:trPr>
        <w:tc>
          <w:tcPr>
            <w:tcW w:w="4820" w:type="dxa"/>
            <w:vAlign w:val="bottom"/>
          </w:tcPr>
          <w:p>
            <w:pPr>
              <w:ind w:left="120"/>
              <w:spacing w:after="0"/>
              <w:rPr>
                <w:sz w:val="20"/>
                <w:szCs w:val="20"/>
                <w:color w:val="auto"/>
              </w:rPr>
            </w:pPr>
            <w:r>
              <w:rPr>
                <w:rFonts w:ascii="Arial" w:cs="Arial" w:eastAsia="Arial" w:hAnsi="Arial"/>
                <w:sz w:val="14"/>
                <w:szCs w:val="14"/>
                <w:color w:val="auto"/>
              </w:rPr>
              <w:t>Proceeds from issuance of shares to collaboration partner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26,813</w:t>
            </w:r>
          </w:p>
        </w:tc>
        <w:tc>
          <w:tcPr>
            <w:tcW w:w="380" w:type="dxa"/>
            <w:vAlign w:val="bottom"/>
          </w:tcPr>
          <w:p>
            <w:pPr>
              <w:spacing w:after="0"/>
              <w:rPr>
                <w:sz w:val="14"/>
                <w:szCs w:val="14"/>
                <w:color w:val="auto"/>
              </w:rPr>
            </w:pPr>
          </w:p>
        </w:tc>
      </w:tr>
      <w:tr>
        <w:trPr>
          <w:trHeight w:val="155"/>
        </w:trPr>
        <w:tc>
          <w:tcPr>
            <w:tcW w:w="482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448</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26,878</w:t>
            </w:r>
          </w:p>
        </w:tc>
        <w:tc>
          <w:tcPr>
            <w:tcW w:w="380" w:type="dxa"/>
            <w:vAlign w:val="bottom"/>
            <w:tcBorders>
              <w:top w:val="single" w:sz="8" w:color="CCEEFF"/>
            </w:tcBorders>
            <w:shd w:val="clear" w:color="auto" w:fill="CCEEFF"/>
          </w:tcPr>
          <w:p>
            <w:pPr>
              <w:spacing w:after="0"/>
              <w:rPr>
                <w:sz w:val="13"/>
                <w:szCs w:val="13"/>
                <w:color w:val="auto"/>
              </w:rPr>
            </w:pPr>
          </w:p>
        </w:tc>
      </w:tr>
      <w:tr>
        <w:trPr>
          <w:trHeight w:val="162"/>
        </w:trPr>
        <w:tc>
          <w:tcPr>
            <w:tcW w:w="4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r>
      <w:tr>
        <w:trPr>
          <w:trHeight w:val="155"/>
        </w:trPr>
        <w:tc>
          <w:tcPr>
            <w:tcW w:w="482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b w:val="1"/>
                <w:bCs w:val="1"/>
                <w:color w:val="auto"/>
              </w:rPr>
              <w:t>Net increase in cash, cash equivalents, and restricted cash</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2,567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69,594</w:t>
            </w:r>
          </w:p>
        </w:tc>
        <w:tc>
          <w:tcPr>
            <w:tcW w:w="380" w:type="dxa"/>
            <w:vAlign w:val="bottom"/>
            <w:shd w:val="clear" w:color="auto" w:fill="CCEEFF"/>
          </w:tcPr>
          <w:p>
            <w:pPr>
              <w:spacing w:after="0"/>
              <w:rPr>
                <w:sz w:val="13"/>
                <w:szCs w:val="13"/>
                <w:color w:val="auto"/>
              </w:rPr>
            </w:pPr>
          </w:p>
        </w:tc>
      </w:t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58,162</w:t>
            </w:r>
          </w:p>
        </w:tc>
        <w:tc>
          <w:tcPr>
            <w:tcW w:w="380" w:type="dxa"/>
            <w:vAlign w:val="bottom"/>
            <w:shd w:val="clear" w:color="auto" w:fill="CCEEFF"/>
          </w:tcPr>
          <w:p>
            <w:pPr>
              <w:spacing w:after="0"/>
              <w:rPr>
                <w:sz w:val="14"/>
                <w:szCs w:val="14"/>
                <w:color w:val="auto"/>
              </w:rPr>
            </w:pPr>
          </w:p>
        </w:tc>
      </w:tr>
      <w:tr>
        <w:trPr>
          <w:trHeight w:val="155"/>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88,811</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127,756</w:t>
            </w:r>
          </w:p>
        </w:tc>
        <w:tc>
          <w:tcPr>
            <w:tcW w:w="380" w:type="dxa"/>
            <w:vAlign w:val="bottom"/>
            <w:shd w:val="clear" w:color="auto" w:fill="CCEEFF"/>
          </w:tcPr>
          <w:p>
            <w:pPr>
              <w:spacing w:after="0"/>
              <w:rPr>
                <w:sz w:val="14"/>
                <w:szCs w:val="1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r>
        <w:trPr>
          <w:trHeight w:val="143"/>
        </w:trPr>
        <w:tc>
          <w:tcPr>
            <w:tcW w:w="4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202"/>
        </w:trPr>
        <w:tc>
          <w:tcPr>
            <w:tcW w:w="482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238</w:t>
            </w:r>
          </w:p>
        </w:tc>
        <w:tc>
          <w:tcPr>
            <w:tcW w:w="380" w:type="dxa"/>
            <w:vAlign w:val="bottom"/>
          </w:tcPr>
          <w:p>
            <w:pPr>
              <w:spacing w:after="0"/>
              <w:rPr>
                <w:sz w:val="17"/>
                <w:szCs w:val="17"/>
                <w:color w:val="auto"/>
              </w:rPr>
            </w:pPr>
          </w:p>
        </w:tc>
      </w:tr>
      <w:tr>
        <w:trPr>
          <w:trHeight w:val="143"/>
        </w:trPr>
        <w:tc>
          <w:tcPr>
            <w:tcW w:w="48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activities: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2"/>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property and equipment, accrued and unpaid</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3,796</w:t>
            </w:r>
          </w:p>
        </w:tc>
        <w:tc>
          <w:tcPr>
            <w:tcW w:w="380" w:type="dxa"/>
            <w:vAlign w:val="bottom"/>
            <w:shd w:val="clear" w:color="auto" w:fill="CCEEFF"/>
          </w:tcPr>
          <w:p>
            <w:pPr>
              <w:spacing w:after="0"/>
              <w:rPr>
                <w:sz w:val="14"/>
                <w:szCs w:val="14"/>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5"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89"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Century Therapeutics Canada ULC (“Century Canada”) is the Company’s wholly owned subsidiary performing research and development activities in Canada.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91"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08"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Since inception, the Company has incurred net losses. During the three months ended March 31, 2023, the Company incurred a net loss of $ 31,264. During the three months ended March 31, 2023, the Company used $29,219 of cash from operations. Cash and cash equivalents and investments were $334,785 at March 31, 2023. Management expects to incur additional losses in the future to fund its operations and conduct product research and preclinical and clinical development and recognizes the need to raise additional capital to fully implement its business plan. The Company believes it has adequate cash and financial resources to operate for at least the next 12 months from the date of issuance of these consolidated financial statements.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in force</w:t>
      </w:r>
    </w:p>
    <w:p>
      <w:pPr>
        <w:spacing w:after="0" w:line="17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 pausing investment in CNTY-103 for glioblastoma as well as a discovery program in hematologic malignancies. The Company will focus on CNTY-101 and will accelerate key programs, including one follow-on candidate for lymphoma, CNTY-102, and CNTY-107 for Nectin-4+ solid tumors. In addition, the Company will continue its partnered programs with Bristol Myers Squibb. The restructuring plan resulted in a reduction in the Company's workforce of approximately 25%. In addition, lab operations in Seattle and Hamilton, Ontario were closed and research activities were consolidated in Philadelphia.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7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March 31, 2023, the consolidated statements of operations and comprehensive loss, and consolidated statements of changes in stockholders’ equity for the three months ended March 31, 2023 and 2022, and the consolidated statements of cash flows for the three months ended March 31, 2023 and 2022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consolidated balance sheet at December 31, 2022 has been derived from the Company’s audited consolidated financial statements.</w:t>
      </w:r>
    </w:p>
    <w:p>
      <w:pPr>
        <w:spacing w:after="0" w:line="153" w:lineRule="exact"/>
        <w:rPr>
          <w:sz w:val="20"/>
          <w:szCs w:val="20"/>
          <w:color w:val="auto"/>
        </w:rPr>
      </w:pPr>
    </w:p>
    <w:p>
      <w:pPr>
        <w:ind w:left="60" w:right="1099"/>
        <w:spacing w:after="0" w:line="446" w:lineRule="auto"/>
        <w:rPr>
          <w:sz w:val="20"/>
          <w:szCs w:val="20"/>
          <w:color w:val="auto"/>
        </w:rPr>
      </w:pPr>
      <w:r>
        <w:rPr>
          <w:rFonts w:ascii="Arial" w:cs="Arial" w:eastAsia="Arial" w:hAnsi="Arial"/>
          <w:sz w:val="18"/>
          <w:szCs w:val="18"/>
          <w:color w:val="auto"/>
        </w:rPr>
        <w:t xml:space="preserve">Certain prior year information has been reclassified to conform to the fiscal year 2023 presentation. </w:t>
      </w:r>
      <w:r>
        <w:rPr>
          <w:rFonts w:ascii="Arial" w:cs="Arial" w:eastAsia="Arial" w:hAnsi="Arial"/>
          <w:sz w:val="18"/>
          <w:szCs w:val="18"/>
          <w:i w:val="1"/>
          <w:iCs w:val="1"/>
          <w:color w:val="auto"/>
        </w:rPr>
        <w:t>Segment information</w:t>
      </w:r>
    </w:p>
    <w:p>
      <w:pPr>
        <w:ind w:left="60" w:right="199"/>
        <w:spacing w:after="0" w:line="24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91"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7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2023 and December 31, 2022, the Company has not experienced any losses on its deposits of cash and cash equivalents.</w:t>
      </w:r>
    </w:p>
    <w:p>
      <w:pPr>
        <w:spacing w:after="0" w:line="167" w:lineRule="exact"/>
        <w:rPr>
          <w:sz w:val="20"/>
          <w:szCs w:val="20"/>
          <w:color w:val="auto"/>
        </w:rPr>
      </w:pPr>
    </w:p>
    <w:p>
      <w:pPr>
        <w:ind w:left="60" w:right="459"/>
        <w:spacing w:after="0" w:line="241"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479"/>
        <w:spacing w:after="0" w:line="269" w:lineRule="auto"/>
        <w:rPr>
          <w:sz w:val="20"/>
          <w:szCs w:val="20"/>
          <w:color w:val="auto"/>
        </w:rPr>
      </w:pPr>
      <w:r>
        <w:rPr>
          <w:rFonts w:ascii="Arial" w:cs="Arial" w:eastAsia="Arial" w:hAnsi="Arial"/>
          <w:sz w:val="17"/>
          <w:szCs w:val="17"/>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clearance was delayed, or if the Company was unable to maintain clearance, it could have a material adverse impact on the Company.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9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50" w:lineRule="exact"/>
        <w:rPr>
          <w:sz w:val="20"/>
          <w:szCs w:val="20"/>
          <w:color w:val="auto"/>
        </w:rPr>
      </w:pPr>
    </w:p>
    <w:p>
      <w:pPr>
        <w:ind w:left="700" w:right="359" w:hanging="647"/>
        <w:spacing w:after="0" w:line="260"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32" w:lineRule="exact"/>
        <w:rPr>
          <w:sz w:val="20"/>
          <w:szCs w:val="20"/>
          <w:color w:val="auto"/>
        </w:rPr>
      </w:pPr>
    </w:p>
    <w:p>
      <w:pPr>
        <w:ind w:left="700" w:right="279" w:hanging="647"/>
        <w:spacing w:after="0" w:line="260"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46" w:lineRule="exact"/>
        <w:rPr>
          <w:sz w:val="20"/>
          <w:szCs w:val="20"/>
          <w:color w:val="auto"/>
        </w:rPr>
      </w:pPr>
    </w:p>
    <w:p>
      <w:pPr>
        <w:ind w:left="700" w:right="239" w:hanging="647"/>
        <w:spacing w:after="0" w:line="260"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3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9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77" w:lineRule="exact"/>
        <w:rPr>
          <w:sz w:val="20"/>
          <w:szCs w:val="20"/>
          <w:color w:val="auto"/>
        </w:rPr>
      </w:pPr>
    </w:p>
    <w:p>
      <w:pPr>
        <w:ind w:left="60" w:right="279"/>
        <w:spacing w:after="0" w:line="289" w:lineRule="auto"/>
        <w:rPr>
          <w:sz w:val="20"/>
          <w:szCs w:val="20"/>
          <w:color w:val="auto"/>
        </w:rPr>
      </w:pPr>
      <w:r>
        <w:rPr>
          <w:rFonts w:ascii="Arial" w:cs="Arial" w:eastAsia="Arial" w:hAnsi="Arial"/>
          <w:sz w:val="17"/>
          <w:szCs w:val="17"/>
          <w:color w:val="auto"/>
        </w:rPr>
        <w:t>As of March 31, 2023 and December 31, 2022, the Company had $1,979 in cash on deposit to secure certain lease commitments. Restricted cash is recorded separately in the Company’s consolidated balance sheets.</w:t>
      </w:r>
    </w:p>
    <w:p>
      <w:pPr>
        <w:spacing w:after="0" w:line="123"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March 31, 2023</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2022</w:t>
            </w: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86,832</w:t>
            </w:r>
          </w:p>
        </w:tc>
        <w:tc>
          <w:tcPr>
            <w:tcW w:w="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84,265</w:t>
            </w:r>
          </w:p>
        </w:tc>
      </w:tr>
      <w:tr>
        <w:trPr>
          <w:trHeight w:val="202"/>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216"/>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88,811</w:t>
            </w:r>
          </w:p>
        </w:tc>
        <w:tc>
          <w:tcPr>
            <w:tcW w:w="56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86,244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7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899"/>
        <w:spacing w:after="0" w:line="247" w:lineRule="auto"/>
        <w:rPr>
          <w:sz w:val="20"/>
          <w:szCs w:val="20"/>
          <w:color w:val="auto"/>
        </w:rPr>
      </w:pPr>
      <w:r>
        <w:rPr>
          <w:rFonts w:ascii="Arial" w:cs="Arial" w:eastAsia="Arial" w:hAnsi="Arial"/>
          <w:sz w:val="18"/>
          <w:szCs w:val="18"/>
          <w:color w:val="auto"/>
        </w:rPr>
        <w:t>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9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94"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77"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8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7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00" w:lineRule="exact"/>
        <w:rPr>
          <w:sz w:val="20"/>
          <w:szCs w:val="20"/>
          <w:color w:val="auto"/>
        </w:rPr>
      </w:pPr>
    </w:p>
    <w:p>
      <w:pPr>
        <w:ind w:left="60" w:right="299"/>
        <w:spacing w:after="0" w:line="289" w:lineRule="auto"/>
        <w:rPr>
          <w:sz w:val="20"/>
          <w:szCs w:val="20"/>
          <w:color w:val="auto"/>
        </w:rPr>
      </w:pPr>
      <w:r>
        <w:rPr>
          <w:rFonts w:ascii="Arial" w:cs="Arial" w:eastAsia="Arial" w:hAnsi="Arial"/>
          <w:sz w:val="17"/>
          <w:szCs w:val="17"/>
          <w:color w:val="auto"/>
        </w:rPr>
        <w:t>Black-Scholes requires inputs based on certain subjective assumptions, including (i) the expected stock price volatility, (ii) the expected term of the award, (iii) the risk-free interest rate and (iv) expected dividends. Due 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lack of a public market for the Company’s common stock prior to its initial public offering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91"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77"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53" w:lineRule="exact"/>
        <w:rPr>
          <w:sz w:val="20"/>
          <w:szCs w:val="20"/>
          <w:color w:val="auto"/>
        </w:rPr>
      </w:pPr>
    </w:p>
    <w:p>
      <w:pPr>
        <w:jc w:val="both"/>
        <w:ind w:left="60" w:right="259"/>
        <w:spacing w:after="0" w:line="269"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months ended March 31, 2023 and 2022.</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9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Stock Option and Grant Plan (the “2018 Incentive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(deficit) until the awards vest. The deposits received are initially recorded in deposit liability. The liabilities are reclassified to common stock and additional paid-in-capital as the repurchase right lapses. At March 31, 2023 and December 31, 2022, there were $1,314 and $1,584, respectively, recorded in deposit liability related to shares held by employees and nonemployees that were subject to repurchase.</w:t>
      </w:r>
    </w:p>
    <w:p>
      <w:pPr>
        <w:spacing w:after="0" w:line="167"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color w:val="231F20"/>
              </w:rPr>
              <w:t>March 31, 2023</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2022</w:t>
            </w:r>
          </w:p>
        </w:tc>
      </w:tr>
      <w:tr>
        <w:trPr>
          <w:trHeight w:val="196"/>
        </w:trPr>
        <w:tc>
          <w:tcPr>
            <w:tcW w:w="6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18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59,541,904</w:t>
            </w:r>
          </w:p>
        </w:tc>
        <w:tc>
          <w:tcPr>
            <w:tcW w:w="180" w:type="dxa"/>
            <w:vAlign w:val="bottom"/>
            <w:shd w:val="clear" w:color="auto" w:fill="CCEEFF"/>
          </w:tcPr>
          <w:p>
            <w:pPr>
              <w:spacing w:after="0"/>
              <w:rPr>
                <w:sz w:val="17"/>
                <w:szCs w:val="17"/>
                <w:color w:val="auto"/>
              </w:rPr>
            </w:pPr>
          </w:p>
        </w:tc>
        <w:tc>
          <w:tcPr>
            <w:tcW w:w="144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59,137,491</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231F20"/>
              </w:rPr>
              <w:t>(385,655)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231F20"/>
              </w:rPr>
              <w:t>(470,800)</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 awards (Note 16)</w:t>
            </w:r>
          </w:p>
        </w:tc>
        <w:tc>
          <w:tcPr>
            <w:tcW w:w="13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231F20"/>
              </w:rPr>
              <w:t>(49,465)</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(193,031)</w:t>
            </w:r>
          </w:p>
        </w:tc>
      </w:tr>
      <w:tr>
        <w:trPr>
          <w:trHeight w:val="196"/>
        </w:trPr>
        <w:tc>
          <w:tcPr>
            <w:tcW w:w="612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59,106,784</w:t>
            </w:r>
          </w:p>
        </w:tc>
        <w:tc>
          <w:tcPr>
            <w:tcW w:w="180" w:type="dxa"/>
            <w:vAlign w:val="bottom"/>
            <w:tcBorders>
              <w:top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58,473,660</w:t>
            </w:r>
          </w:p>
        </w:tc>
      </w:tr>
      <w:tr>
        <w:trPr>
          <w:trHeight w:val="20"/>
        </w:trPr>
        <w:tc>
          <w:tcPr>
            <w:tcW w:w="6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March 31, 2023 and December 31, 2022, no accrued interest or penalties are included on the related tax liability line in the consolidated balance sheet.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77"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62"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89" w:lineRule="auto"/>
        <w:rPr>
          <w:sz w:val="20"/>
          <w:szCs w:val="20"/>
          <w:color w:val="auto"/>
        </w:rPr>
      </w:pPr>
      <w:r>
        <w:rPr>
          <w:rFonts w:ascii="Arial" w:cs="Arial" w:eastAsia="Arial" w:hAnsi="Arial"/>
          <w:sz w:val="17"/>
          <w:szCs w:val="17"/>
          <w:color w:val="auto"/>
        </w:rPr>
        <w:t>performance obligations in the agreements if those performance obligations are with a customer. Revenue recognized by analogizing to ASC 606 is recorded as collaboration revenue on the statements of operations.</w:t>
      </w:r>
    </w:p>
    <w:p>
      <w:pPr>
        <w:spacing w:after="0" w:line="12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1"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14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67" w:lineRule="exact"/>
        <w:rPr>
          <w:sz w:val="20"/>
          <w:szCs w:val="20"/>
          <w:color w:val="auto"/>
        </w:rPr>
      </w:pPr>
    </w:p>
    <w:p>
      <w:pPr>
        <w:ind w:left="60" w:right="159"/>
        <w:spacing w:after="0" w:line="258"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3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3—Reduction in force</w:t>
      </w:r>
    </w:p>
    <w:p>
      <w:pPr>
        <w:spacing w:after="0" w:line="175"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During the three months ended March 31,2023, the Company incurred $2,032 of cash-based expenses related to employee severances, benefits and related costs. In addition, the Company recorded non-cash stock-based compensation charge of $581 related to modification of equity awards for employees impacted by the restructuring during the quarter ended March 31, 2023. There were no remaining outstanding liabilities related to the reduction in force during the quarter ended March 31, 2023.</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On June 9, 2020, Century Canada and the Company entered into an agreement with Empirica Therapeutics, Inc.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In July 2021, the first annual installment of $ 523 was released from the Escrow Deposit. In June 2022, the second annual installment of $517 was released from the Escrow Deposit. In February 2023, the third installment of $494 was released from Escrow Deposit. As of March 31, 2023 and December 31, 2022, accrued compensation expense on the promissory note was $0 and $220, which is presented within escrow deposits on the consolidated balance sheets.</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7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March 31, 2023 by level within the fair value hierarchy:</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6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1</w:t>
            </w: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color w:val="auto"/>
              </w:rPr>
              <w:t>Total</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83,187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83,187</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65,197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65,197</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182,756</w:t>
            </w:r>
          </w:p>
        </w:tc>
        <w:tc>
          <w:tcPr>
            <w:tcW w:w="2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182,756</w:t>
            </w: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148,384</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182,756</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659"/>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331,140</w:t>
            </w: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33"/>
        </w:trPr>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2022, by level within the fair value hierarchy: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Level 3</w:t>
            </w: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77,736</w:t>
            </w:r>
          </w:p>
        </w:tc>
        <w:tc>
          <w:tcPr>
            <w:tcW w:w="10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86,475</w:t>
            </w: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r>
      <w:tr>
        <w:trPr>
          <w:trHeight w:val="203"/>
        </w:trPr>
        <w:tc>
          <w:tcPr>
            <w:tcW w:w="5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196,603</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236"/>
        </w:trPr>
        <w:tc>
          <w:tcPr>
            <w:tcW w:w="5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164,211</w:t>
            </w:r>
          </w:p>
        </w:tc>
        <w:tc>
          <w:tcPr>
            <w:tcW w:w="10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$ 196,603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360,814</w:t>
            </w:r>
          </w:p>
        </w:tc>
      </w:tr>
    </w:tbl>
    <w:p>
      <w:pPr>
        <w:spacing w:after="0" w:line="19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There were no transfers between levels during the period ended March 31, 2023. The Company uses the services of its investment manager, which uses widely accepted models for assumptions in valuing securities with inputs from major third-party data providers.</w:t>
      </w:r>
    </w:p>
    <w:p>
      <w:pPr>
        <w:spacing w:after="0" w:line="157"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32"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March 31, 2023:</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840" w:type="dxa"/>
            <w:vAlign w:val="bottom"/>
            <w:gridSpan w:val="2"/>
          </w:tcPr>
          <w:p>
            <w:pPr>
              <w:jc w:val="right"/>
              <w:ind w:right="17"/>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3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1980" w:type="dxa"/>
            <w:vAlign w:val="bottom"/>
            <w:gridSpan w:val="2"/>
            <w:shd w:val="clear" w:color="auto" w:fill="CCEEFF"/>
          </w:tcPr>
          <w:p>
            <w:pPr>
              <w:ind w:left="17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65,807</w:t>
            </w:r>
          </w:p>
        </w:tc>
        <w:tc>
          <w:tcPr>
            <w:tcW w:w="38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65,197</w:t>
            </w: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183,329</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182,756</w:t>
            </w:r>
          </w:p>
        </w:tc>
      </w:tr>
      <w:tr>
        <w:trPr>
          <w:trHeight w:val="216"/>
        </w:trPr>
        <w:tc>
          <w:tcPr>
            <w:tcW w:w="3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249,136</w:t>
            </w:r>
          </w:p>
        </w:tc>
        <w:tc>
          <w:tcPr>
            <w:tcW w:w="38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36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247,953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190" w:lineRule="exact"/>
        <w:rPr>
          <w:sz w:val="20"/>
          <w:szCs w:val="20"/>
          <w:color w:val="auto"/>
        </w:rPr>
      </w:pPr>
    </w:p>
    <w:p>
      <w:pPr>
        <w:jc w:val="both"/>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2022:</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Gross</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6"/>
              </w:rPr>
              <w:t>Gross</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7"/>
        </w:trPr>
        <w:tc>
          <w:tcPr>
            <w:tcW w:w="49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Amortized Cost</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0"/>
              </w:rPr>
              <w:t>Losses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(1,323)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86,475</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197,668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9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196"/>
        </w:trPr>
        <w:tc>
          <w:tcPr>
            <w:tcW w:w="4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285,466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(2,390)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99"/>
        </w:trPr>
        <w:tc>
          <w:tcPr>
            <w:tcW w:w="7400" w:type="dxa"/>
            <w:vAlign w:val="bottom"/>
            <w:gridSpan w:val="9"/>
          </w:tcPr>
          <w:p>
            <w:pPr>
              <w:ind w:left="2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4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spacing w:after="0"/>
              <w:rPr>
                <w:sz w:val="17"/>
                <w:szCs w:val="17"/>
                <w:color w:val="auto"/>
              </w:rPr>
            </w:pPr>
          </w:p>
        </w:tc>
      </w:tr>
      <w:tr>
        <w:trPr>
          <w:trHeight w:val="155"/>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9"/>
          </w:tcPr>
          <w:p>
            <w:pPr>
              <w:ind w:left="20"/>
              <w:spacing w:after="0" w:line="155" w:lineRule="exact"/>
              <w:rPr>
                <w:sz w:val="20"/>
                <w:szCs w:val="20"/>
                <w:color w:val="auto"/>
              </w:rPr>
            </w:pPr>
            <w:r>
              <w:rPr>
                <w:rFonts w:ascii="Arial" w:cs="Arial" w:eastAsia="Arial" w:hAnsi="Arial"/>
                <w:sz w:val="14"/>
                <w:szCs w:val="14"/>
                <w:color w:val="auto"/>
              </w:rPr>
              <w:t>March 31, 2023   December 31, 2022</w:t>
            </w:r>
          </w:p>
        </w:tc>
      </w:tr>
      <w:tr>
        <w:trPr>
          <w:trHeight w:val="20"/>
        </w:trPr>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40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164,637</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231,224</w:t>
            </w: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83,316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51,854</w:t>
            </w:r>
          </w:p>
        </w:tc>
      </w:tr>
      <w:tr>
        <w:trPr>
          <w:trHeight w:val="196"/>
        </w:trPr>
        <w:tc>
          <w:tcPr>
            <w:tcW w:w="4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40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247,953</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4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4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At March 31, 2023 and December 31, 2022, respectively, the Company had 32 and 42 available-for-sale investment debt securities in an unrealized loss position without an allowance for credit losses.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19"/>
        <w:spacing w:after="0" w:line="260" w:lineRule="auto"/>
        <w:rPr>
          <w:sz w:val="20"/>
          <w:szCs w:val="20"/>
          <w:color w:val="auto"/>
        </w:rPr>
      </w:pPr>
      <w:r>
        <w:rPr>
          <w:rFonts w:ascii="Arial" w:cs="Arial" w:eastAsia="Arial" w:hAnsi="Arial"/>
          <w:sz w:val="18"/>
          <w:szCs w:val="18"/>
          <w:color w:val="auto"/>
        </w:rPr>
        <w:t>continue to make timely payments on the bonds. The fair value is expected to recover as the bond approach maturity.</w:t>
      </w:r>
    </w:p>
    <w:p>
      <w:pPr>
        <w:spacing w:after="0" w:line="173"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As of March 31, 2023 and December 31, 2022, accrued interest receivable on available-for-sale investment debt securities totaling $855 and $0, respectively, is excluded from the estimate of credit losses and is included in prepaid expenses and other current assets.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color w:val="auto"/>
              </w:rPr>
              <w:t>March 31, 2023   December 31, 2022</w:t>
            </w: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Prepaid clinical trial related costs</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Software licenses and other</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1,123</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1,417</w:t>
            </w: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Warranties</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4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receivable</w:t>
            </w:r>
          </w:p>
        </w:tc>
        <w:tc>
          <w:tcPr>
            <w:tcW w:w="3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400" w:type="dxa"/>
            <w:vAlign w:val="bottom"/>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4,465</w:t>
            </w:r>
          </w:p>
        </w:tc>
        <w:tc>
          <w:tcPr>
            <w:tcW w:w="6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4,003</w:t>
            </w:r>
          </w:p>
        </w:tc>
      </w:tr>
      <w:tr>
        <w:trPr>
          <w:trHeight w:val="20"/>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5"/>
          </w:tcPr>
          <w:p>
            <w:pPr>
              <w:spacing w:after="0"/>
              <w:rPr>
                <w:sz w:val="20"/>
                <w:szCs w:val="20"/>
                <w:color w:val="auto"/>
              </w:rPr>
            </w:pPr>
            <w:r>
              <w:rPr>
                <w:rFonts w:ascii="Arial" w:cs="Arial" w:eastAsia="Arial" w:hAnsi="Arial"/>
                <w:sz w:val="14"/>
                <w:szCs w:val="14"/>
                <w:color w:val="auto"/>
              </w:rPr>
              <w:t>March 31, 2023   December 31, 2022</w:t>
            </w:r>
          </w:p>
        </w:tc>
      </w:tr>
      <w:tr>
        <w:trPr>
          <w:trHeight w:val="196"/>
        </w:trPr>
        <w:tc>
          <w:tcPr>
            <w:tcW w:w="6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28,787</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28,811</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49,180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48,951</w:t>
            </w:r>
          </w:p>
        </w:tc>
      </w:tr>
      <w:tr>
        <w:trPr>
          <w:trHeight w:val="203"/>
        </w:trPr>
        <w:tc>
          <w:tcPr>
            <w:tcW w:w="6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19,758</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13,998</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r>
      <w:tr>
        <w:trPr>
          <w:trHeight w:val="203"/>
        </w:trPr>
        <w:tc>
          <w:tcPr>
            <w:tcW w:w="6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102,405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96,440</w:t>
            </w:r>
          </w:p>
        </w:tc>
      </w:tr>
      <w:tr>
        <w:trPr>
          <w:trHeight w:val="203"/>
        </w:trPr>
        <w:tc>
          <w:tcPr>
            <w:tcW w:w="6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(16,563)</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(13,655)</w:t>
            </w:r>
          </w:p>
        </w:tc>
      </w:tr>
      <w:tr>
        <w:trPr>
          <w:trHeight w:val="196"/>
        </w:trPr>
        <w:tc>
          <w:tcPr>
            <w:tcW w:w="644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85,842</w:t>
            </w:r>
          </w:p>
        </w:tc>
        <w:tc>
          <w:tcPr>
            <w:tcW w:w="1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82,785</w:t>
            </w: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939"/>
        <w:spacing w:after="0" w:line="260" w:lineRule="auto"/>
        <w:rPr>
          <w:sz w:val="20"/>
          <w:szCs w:val="20"/>
          <w:color w:val="auto"/>
        </w:rPr>
      </w:pPr>
      <w:r>
        <w:rPr>
          <w:rFonts w:ascii="Arial" w:cs="Arial" w:eastAsia="Arial" w:hAnsi="Arial"/>
          <w:sz w:val="18"/>
          <w:szCs w:val="18"/>
          <w:color w:val="auto"/>
        </w:rPr>
        <w:t>Depreciation expense was $2,908 and $1,160 for the three months ended March 31, 2023 and 2022, respectively.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color w:val="auto"/>
              </w:rPr>
              <w:t>March 31, 2023   December 31, 2022</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2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3,139</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2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2,432</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2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3"/>
        </w:trPr>
        <w:tc>
          <w:tcPr>
            <w:tcW w:w="39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24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2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6,531</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60" w:type="dxa"/>
            <w:vAlign w:val="bottom"/>
            <w:vMerge w:val="restart"/>
          </w:tcPr>
          <w:p>
            <w:pPr>
              <w:jc w:val="right"/>
              <w:ind w:right="171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color w:val="auto"/>
              </w:rPr>
              <w:t>March 31, 2023   December 31, 2022</w:t>
            </w: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Principal</w:t>
            </w:r>
          </w:p>
        </w:tc>
        <w:tc>
          <w:tcPr>
            <w:tcW w:w="3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Plus: End of term fee</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0"/>
        </w:trPr>
        <w:tc>
          <w:tcPr>
            <w:tcW w:w="5940" w:type="dxa"/>
            <w:vAlign w:val="bottom"/>
          </w:tcPr>
          <w:p>
            <w:pPr>
              <w:ind w:left="20"/>
              <w:spacing w:after="0" w:line="189" w:lineRule="exact"/>
              <w:rPr>
                <w:sz w:val="20"/>
                <w:szCs w:val="20"/>
                <w:color w:val="auto"/>
              </w:rPr>
            </w:pPr>
            <w:r>
              <w:rPr>
                <w:rFonts w:ascii="Arial" w:cs="Arial" w:eastAsia="Arial" w:hAnsi="Arial"/>
                <w:sz w:val="18"/>
                <w:szCs w:val="18"/>
                <w:color w:val="auto"/>
              </w:rPr>
              <w:t>Less: Unamortized deferred financing cost and end of term fee, net of</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196"/>
        </w:trPr>
        <w:tc>
          <w:tcPr>
            <w:tcW w:w="5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10,241</w:t>
            </w:r>
          </w:p>
        </w:tc>
      </w:tr>
      <w:tr>
        <w:trPr>
          <w:trHeight w:val="20"/>
        </w:trPr>
        <w:tc>
          <w:tcPr>
            <w:tcW w:w="5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160"/>
        <w:spacing w:after="0" w:line="239"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Beginning January 1, 2021 and upon the achievement of certain development milestones and continuing through September 30, 2021 the Company may borrow an additional $10,000 (the “Tranche 2 Advance”). The remaining $10,000 tranche (“Tranche 3 Advance”) is subject to Hercules’ investment committee’s sole discretion.</w:t>
      </w:r>
    </w:p>
    <w:p>
      <w:pPr>
        <w:spacing w:after="0" w:line="154" w:lineRule="exact"/>
        <w:rPr>
          <w:sz w:val="20"/>
          <w:szCs w:val="20"/>
          <w:color w:val="auto"/>
        </w:rPr>
      </w:pPr>
    </w:p>
    <w:p>
      <w:pPr>
        <w:ind w:left="60" w:right="100"/>
        <w:spacing w:after="0" w:line="239" w:lineRule="auto"/>
        <w:rPr>
          <w:sz w:val="20"/>
          <w:szCs w:val="20"/>
          <w:color w:val="auto"/>
        </w:rPr>
      </w:pPr>
      <w:r>
        <w:rPr>
          <w:rFonts w:ascii="Arial" w:cs="Arial" w:eastAsia="Arial" w:hAnsi="Arial"/>
          <w:sz w:val="18"/>
          <w:szCs w:val="18"/>
          <w:color w:val="auto"/>
        </w:rPr>
        <w:t xml:space="preserve">The Loan Agreement has a four-year term and an interest-only period of up to 30 months. The Company was in compliance with all provisions of the Loan Agreement as of March 31, 2023. Amounts borrowed under the Loan Agreement accrue interest at a floating rate per annum (based on a year of 360 days) equal to (i) 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March 31, 2023 was 14.3%.</w:t>
      </w:r>
    </w:p>
    <w:p>
      <w:pPr>
        <w:spacing w:after="0" w:line="154" w:lineRule="exact"/>
        <w:rPr>
          <w:sz w:val="20"/>
          <w:szCs w:val="20"/>
          <w:color w:val="auto"/>
        </w:rPr>
      </w:pPr>
    </w:p>
    <w:p>
      <w:pPr>
        <w:ind w:left="60" w:right="280"/>
        <w:spacing w:after="0" w:line="239"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167" w:lineRule="exact"/>
        <w:rPr>
          <w:sz w:val="20"/>
          <w:szCs w:val="20"/>
          <w:color w:val="auto"/>
        </w:rPr>
      </w:pPr>
    </w:p>
    <w:p>
      <w:pPr>
        <w:ind w:left="60" w:right="640"/>
        <w:spacing w:after="0" w:line="260"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32" w:lineRule="exact"/>
        <w:rPr>
          <w:sz w:val="20"/>
          <w:szCs w:val="20"/>
          <w:color w:val="auto"/>
        </w:rPr>
      </w:pPr>
    </w:p>
    <w:p>
      <w:pPr>
        <w:ind w:left="60" w:right="180"/>
        <w:spacing w:after="0" w:line="238"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3128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For the Three Months Ended</w:t>
            </w:r>
          </w:p>
        </w:tc>
        <w:tc>
          <w:tcPr>
            <w:tcW w:w="160" w:type="dxa"/>
            <w:vAlign w:val="bottom"/>
          </w:tcPr>
          <w:p>
            <w:pPr>
              <w:spacing w:after="0"/>
              <w:rPr>
                <w:sz w:val="14"/>
                <w:szCs w:val="14"/>
                <w:color w:val="auto"/>
              </w:rPr>
            </w:pPr>
          </w:p>
        </w:tc>
        <w:tc>
          <w:tcPr>
            <w:tcW w:w="1940" w:type="dxa"/>
            <w:vAlign w:val="bottom"/>
            <w:gridSpan w:val="3"/>
          </w:tcPr>
          <w:p>
            <w:pPr>
              <w:jc w:val="center"/>
              <w:ind w:right="2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4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March 31, 2023</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March 31, 2022</w:t>
            </w: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debt issuance costs, including end of term</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fee accretion</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w:t>
            </w:r>
          </w:p>
        </w:tc>
        <w:tc>
          <w:tcPr>
            <w:tcW w:w="440" w:type="dxa"/>
            <w:vAlign w:val="bottom"/>
            <w:gridSpan w:val="2"/>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47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8" w:right="143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79"/>
        <w:spacing w:after="0" w:line="260" w:lineRule="auto"/>
        <w:rPr>
          <w:sz w:val="20"/>
          <w:szCs w:val="20"/>
          <w:color w:val="auto"/>
        </w:rPr>
      </w:pPr>
      <w:r>
        <w:rPr>
          <w:rFonts w:ascii="Arial" w:cs="Arial" w:eastAsia="Arial" w:hAnsi="Arial"/>
          <w:sz w:val="18"/>
          <w:szCs w:val="18"/>
          <w:color w:val="auto"/>
        </w:rPr>
        <w:t>Included in accrued expenses in the accompanying consolidated balance sheets as of March 31, 2023 and December 31, 2022 was $122 and $117 of accrued interest, respectively.</w:t>
      </w:r>
    </w:p>
    <w:p>
      <w:pPr>
        <w:spacing w:after="0" w:line="146"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Principal Payments</w:t>
            </w:r>
          </w:p>
        </w:tc>
      </w:tr>
      <w:tr>
        <w:trPr>
          <w:trHeight w:val="202"/>
        </w:trPr>
        <w:tc>
          <w:tcPr>
            <w:tcW w:w="7500" w:type="dxa"/>
            <w:vAlign w:val="bottom"/>
            <w:shd w:val="clear" w:color="auto" w:fill="CCEEFF"/>
          </w:tcPr>
          <w:p>
            <w:pPr>
              <w:jc w:val="right"/>
              <w:ind w:right="6990"/>
              <w:spacing w:after="0" w:line="202" w:lineRule="exact"/>
              <w:rPr>
                <w:sz w:val="20"/>
                <w:szCs w:val="20"/>
                <w:color w:val="auto"/>
              </w:rPr>
            </w:pPr>
            <w:r>
              <w:rPr>
                <w:rFonts w:ascii="Arial" w:cs="Arial" w:eastAsia="Arial" w:hAnsi="Arial"/>
                <w:sz w:val="18"/>
                <w:szCs w:val="18"/>
                <w:color w:val="231F20"/>
                <w:w w:val="99"/>
              </w:rPr>
              <w:t>2023</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231F20"/>
                <w:w w:val="71"/>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10,395</w:t>
            </w:r>
          </w:p>
        </w:tc>
      </w:tr>
      <w:tr>
        <w:trPr>
          <w:trHeight w:val="203"/>
        </w:trPr>
        <w:tc>
          <w:tcPr>
            <w:tcW w:w="7500" w:type="dxa"/>
            <w:vAlign w:val="bottom"/>
          </w:tcPr>
          <w:p>
            <w:pPr>
              <w:jc w:val="right"/>
              <w:ind w:right="5570"/>
              <w:spacing w:after="0" w:line="202" w:lineRule="exact"/>
              <w:rPr>
                <w:sz w:val="20"/>
                <w:szCs w:val="20"/>
                <w:color w:val="auto"/>
              </w:rPr>
            </w:pPr>
            <w:r>
              <w:rPr>
                <w:rFonts w:ascii="Arial" w:cs="Arial" w:eastAsia="Arial" w:hAnsi="Arial"/>
                <w:sz w:val="18"/>
                <w:szCs w:val="18"/>
                <w:color w:val="231F20"/>
              </w:rPr>
              <w:t>Total future payments</w:t>
            </w:r>
          </w:p>
        </w:tc>
        <w:tc>
          <w:tcPr>
            <w:tcW w:w="460" w:type="dxa"/>
            <w:vAlign w:val="bottom"/>
            <w:tcBorders>
              <w:bottom w:val="single" w:sz="8" w:color="auto"/>
            </w:tcBorders>
            <w:gridSpan w:val="2"/>
          </w:tcPr>
          <w:p>
            <w:pPr>
              <w:jc w:val="right"/>
              <w:ind w:right="287"/>
              <w:spacing w:after="0" w:line="202" w:lineRule="exact"/>
              <w:rPr>
                <w:sz w:val="20"/>
                <w:szCs w:val="20"/>
                <w:color w:val="auto"/>
              </w:rPr>
            </w:pPr>
            <w:r>
              <w:rPr>
                <w:rFonts w:ascii="Arial" w:cs="Arial" w:eastAsia="Arial" w:hAnsi="Arial"/>
                <w:sz w:val="18"/>
                <w:szCs w:val="18"/>
                <w:color w:val="231F20"/>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10,395</w:t>
            </w: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May 1, 2023, the Company repaid the loan in its entirety. See Note 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 – Bristol-Myers Squibb Collaboration</w:t>
      </w:r>
    </w:p>
    <w:p>
      <w:pPr>
        <w:spacing w:after="0" w:line="1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5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country, all licenses granted by the Company to Bristol-Myers Squibb for such Licensed Product in such country will be fully paid-up, royalty- free, perpetual and irrevocable.</w:t>
      </w:r>
    </w:p>
    <w:p>
      <w:pPr>
        <w:spacing w:after="0" w:line="146"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5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At March 31, 2023, the total transaction price of $123,187 is allocated to the performance obligations based on their estimated standalone selling price.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50" w:lineRule="exact"/>
        <w:rPr>
          <w:sz w:val="20"/>
          <w:szCs w:val="20"/>
          <w:color w:val="auto"/>
        </w:rPr>
      </w:pPr>
    </w:p>
    <w:p>
      <w:pPr>
        <w:ind w:left="720" w:right="219" w:hanging="319"/>
        <w:spacing w:after="0" w:line="23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50" w:lineRule="exact"/>
        <w:rPr>
          <w:rFonts w:ascii="Arial" w:cs="Arial" w:eastAsia="Arial" w:hAnsi="Arial"/>
          <w:sz w:val="18"/>
          <w:szCs w:val="18"/>
          <w:color w:val="auto"/>
        </w:rPr>
      </w:pPr>
    </w:p>
    <w:p>
      <w:pPr>
        <w:ind w:left="720" w:right="59" w:hanging="319"/>
        <w:spacing w:after="0" w:line="24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99"/>
        <w:spacing w:after="0" w:line="289"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March 31, 2023:</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ind w:right="115"/>
              <w:spacing w:after="0"/>
              <w:rPr>
                <w:sz w:val="20"/>
                <w:szCs w:val="20"/>
                <w:color w:val="auto"/>
              </w:rPr>
            </w:pPr>
            <w:r>
              <w:rPr>
                <w:rFonts w:ascii="Arial" w:cs="Arial" w:eastAsia="Arial" w:hAnsi="Arial"/>
                <w:sz w:val="14"/>
                <w:szCs w:val="14"/>
                <w:color w:val="231F20"/>
              </w:rPr>
              <w:t>Cumulative collaboration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c>
          <w:tcPr>
            <w:tcW w:w="0" w:type="dxa"/>
            <w:vAlign w:val="bottom"/>
          </w:tcPr>
          <w:p>
            <w:pPr>
              <w:spacing w:after="0"/>
              <w:rPr>
                <w:sz w:val="1"/>
                <w:szCs w:val="1"/>
                <w:color w:val="auto"/>
              </w:rPr>
            </w:pPr>
          </w:p>
        </w:tc>
      </w:tr>
      <w:tr>
        <w:trPr>
          <w:trHeight w:val="214"/>
        </w:trPr>
        <w:tc>
          <w:tcPr>
            <w:tcW w:w="322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Transaction price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231F20"/>
              </w:rPr>
              <w:t>revenue recognized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231F20"/>
              </w:rPr>
              <w:t>collaboration revenue</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109,164</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116,268</w:t>
            </w:r>
          </w:p>
        </w:tc>
        <w:tc>
          <w:tcPr>
            <w:tcW w:w="0" w:type="dxa"/>
            <w:vAlign w:val="bottom"/>
          </w:tcPr>
          <w:p>
            <w:pPr>
              <w:spacing w:after="0"/>
              <w:rPr>
                <w:sz w:val="1"/>
                <w:szCs w:val="1"/>
                <w:color w:val="auto"/>
              </w:rPr>
            </w:pPr>
          </w:p>
        </w:tc>
      </w:tr>
      <w:tr>
        <w:trPr>
          <w:trHeight w:val="190"/>
        </w:trPr>
        <w:tc>
          <w:tcPr>
            <w:tcW w:w="3220" w:type="dxa"/>
            <w:vAlign w:val="bottom"/>
          </w:tcPr>
          <w:p>
            <w:pPr>
              <w:ind w:left="120"/>
              <w:spacing w:after="0" w:line="189" w:lineRule="exact"/>
              <w:rPr>
                <w:sz w:val="20"/>
                <w:szCs w:val="20"/>
                <w:color w:val="auto"/>
              </w:rPr>
            </w:pPr>
            <w:r>
              <w:rPr>
                <w:rFonts w:ascii="Arial" w:cs="Arial" w:eastAsia="Arial" w:hAnsi="Arial"/>
                <w:sz w:val="18"/>
                <w:szCs w:val="18"/>
                <w:color w:val="231F20"/>
              </w:rPr>
              <w:t>Less current portion of deferred</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5"/>
        </w:trPr>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revenue</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231F20"/>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479"/>
        <w:spacing w:after="0" w:line="247"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2022:</w:t>
      </w:r>
    </w:p>
    <w:p>
      <w:pPr>
        <w:sectPr>
          <w:pgSz w:w="11900" w:h="16838" w:orient="portrait"/>
          <w:cols w:equalWidth="0" w:num="1">
            <w:col w:w="9019"/>
          </w:cols>
          <w:pgMar w:left="1440" w:top="518" w:right="1440" w:bottom="1440" w:gutter="0" w:footer="0" w:header="0"/>
        </w:sect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8" w:lineRule="exact"/>
        <w:rPr>
          <w:sz w:val="20"/>
          <w:szCs w:val="20"/>
          <w:color w:val="auto"/>
        </w:rPr>
      </w:pPr>
    </w:p>
    <w:p>
      <w:pPr>
        <w:ind w:left="160" w:right="400"/>
        <w:spacing w:after="0" w:line="246" w:lineRule="auto"/>
        <w:rPr>
          <w:sz w:val="20"/>
          <w:szCs w:val="20"/>
          <w:color w:val="auto"/>
        </w:rPr>
      </w:pPr>
      <w:r>
        <w:rPr>
          <w:rFonts w:ascii="Arial" w:cs="Arial" w:eastAsia="Arial" w:hAnsi="Arial"/>
          <w:sz w:val="18"/>
          <w:szCs w:val="18"/>
          <w:color w:val="231F20"/>
        </w:rPr>
        <w:t>Less current portion of deferred revenue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right"/>
              <w:ind w:right="115"/>
              <w:spacing w:after="0"/>
              <w:rPr>
                <w:sz w:val="20"/>
                <w:szCs w:val="20"/>
                <w:color w:val="auto"/>
              </w:rPr>
            </w:pPr>
            <w:r>
              <w:rPr>
                <w:rFonts w:ascii="Arial" w:cs="Arial" w:eastAsia="Arial" w:hAnsi="Arial"/>
                <w:sz w:val="14"/>
                <w:szCs w:val="14"/>
                <w:color w:val="231F20"/>
              </w:rPr>
              <w:t>Cumulative collaboration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575"/>
              <w:spacing w:after="0"/>
              <w:rPr>
                <w:sz w:val="20"/>
                <w:szCs w:val="20"/>
                <w:color w:val="auto"/>
              </w:rPr>
            </w:pPr>
            <w:r>
              <w:rPr>
                <w:rFonts w:ascii="Arial" w:cs="Arial" w:eastAsia="Arial" w:hAnsi="Arial"/>
                <w:sz w:val="14"/>
                <w:szCs w:val="14"/>
                <w:color w:val="231F20"/>
              </w:rPr>
              <w:t>Deferred</w:t>
            </w:r>
          </w:p>
        </w:tc>
      </w:tr>
      <w:tr>
        <w:trPr>
          <w:trHeight w:val="222"/>
        </w:trPr>
        <w:tc>
          <w:tcPr>
            <w:tcW w:w="2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Transaction price</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231F20"/>
              </w:rPr>
              <w:t>revenue recognized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231F20"/>
              </w:rPr>
              <w:t>collaboration revenue</w:t>
            </w:r>
          </w:p>
        </w:tc>
      </w:tr>
      <w:tr>
        <w:trPr>
          <w:trHeight w:val="201"/>
        </w:trPr>
        <w:tc>
          <w:tcPr>
            <w:tcW w:w="360" w:type="dxa"/>
            <w:vAlign w:val="bottom"/>
            <w:gridSpan w:val="2"/>
          </w:tcPr>
          <w:p>
            <w:pPr>
              <w:jc w:val="right"/>
              <w:ind w:right="188"/>
              <w:spacing w:after="0" w:line="201" w:lineRule="exact"/>
              <w:rPr>
                <w:sz w:val="20"/>
                <w:szCs w:val="20"/>
                <w:color w:val="auto"/>
              </w:rPr>
            </w:pPr>
            <w:r>
              <w:rPr>
                <w:rFonts w:ascii="Arial" w:cs="Arial" w:eastAsia="Arial" w:hAnsi="Arial"/>
                <w:sz w:val="18"/>
                <w:szCs w:val="18"/>
                <w:color w:val="231F20"/>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109,164</w:t>
            </w:r>
          </w:p>
        </w:tc>
        <w:tc>
          <w:tcPr>
            <w:tcW w:w="3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231F20"/>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231F20"/>
              </w:rPr>
              <w:t>$</w:t>
            </w:r>
          </w:p>
        </w:tc>
        <w:tc>
          <w:tcPr>
            <w:tcW w:w="1680" w:type="dxa"/>
            <w:vAlign w:val="bottom"/>
          </w:tcPr>
          <w:p>
            <w:pPr>
              <w:jc w:val="right"/>
              <w:spacing w:after="0" w:line="201" w:lineRule="exact"/>
              <w:rPr>
                <w:sz w:val="20"/>
                <w:szCs w:val="20"/>
                <w:color w:val="auto"/>
              </w:rPr>
            </w:pPr>
            <w:r>
              <w:rPr>
                <w:rFonts w:ascii="Arial" w:cs="Arial" w:eastAsia="Arial" w:hAnsi="Arial"/>
                <w:sz w:val="18"/>
                <w:szCs w:val="18"/>
                <w:color w:val="auto"/>
              </w:rPr>
              <w:t>109,164</w:t>
            </w:r>
          </w:p>
        </w:tc>
      </w:tr>
      <w:tr>
        <w:trPr>
          <w:trHeight w:val="230"/>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8,824</w:t>
            </w:r>
          </w:p>
        </w:tc>
      </w:tr>
      <w:tr>
        <w:trPr>
          <w:trHeight w:val="224"/>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117,988</w:t>
            </w:r>
          </w:p>
        </w:tc>
      </w:tr>
      <w:tr>
        <w:trPr>
          <w:trHeight w:val="377"/>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w:t>
            </w:r>
          </w:p>
        </w:tc>
      </w:tr>
      <w:tr>
        <w:trPr>
          <w:trHeight w:val="210"/>
        </w:trPr>
        <w:tc>
          <w:tcPr>
            <w:tcW w:w="360" w:type="dxa"/>
            <w:vAlign w:val="bottom"/>
            <w:gridSpan w:val="2"/>
          </w:tcPr>
          <w:p>
            <w:pPr>
              <w:jc w:val="right"/>
              <w:ind w:right="188"/>
              <w:spacing w:after="0"/>
              <w:rPr>
                <w:sz w:val="20"/>
                <w:szCs w:val="20"/>
                <w:color w:val="auto"/>
              </w:rPr>
            </w:pPr>
            <w:r>
              <w:rPr>
                <w:rFonts w:ascii="Arial" w:cs="Arial" w:eastAsia="Arial" w:hAnsi="Arial"/>
                <w:sz w:val="18"/>
                <w:szCs w:val="18"/>
                <w:color w:val="231F20"/>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123,187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(5,199)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110,834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-847725</wp:posOffset>
            </wp:positionV>
            <wp:extent cx="565785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45415"/>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-565150</wp:posOffset>
            </wp:positionV>
            <wp:extent cx="56578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46050"/>
                    </a:xfrm>
                    <a:prstGeom prst="rect">
                      <a:avLst/>
                    </a:prstGeom>
                    <a:noFill/>
                  </pic:spPr>
                </pic:pic>
              </a:graphicData>
            </a:graphic>
          </wp:anchor>
        </w:drawing>
        <w:drawing>
          <wp:anchor simplePos="0" relativeHeight="251657728" behindDoc="1" locked="0" layoutInCell="0" allowOverlap="1">
            <wp:simplePos x="0" y="0"/>
            <wp:positionH relativeFrom="column">
              <wp:posOffset>-2152650</wp:posOffset>
            </wp:positionH>
            <wp:positionV relativeFrom="paragraph">
              <wp:posOffset>-161925</wp:posOffset>
            </wp:positionV>
            <wp:extent cx="565785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380"/>
            <w:col w:w="5579"/>
          </w:cols>
          <w:pgMar w:left="1440" w:top="518" w:right="1440" w:bottom="1440" w:gutter="0" w:footer="0" w:header="0"/>
          <w:type w:val="continuous"/>
        </w:sectPr>
      </w:pPr>
    </w:p>
    <w:p>
      <w:pPr>
        <w:ind w:left="60" w:right="279"/>
        <w:spacing w:after="0" w:line="243"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three months ended March 31,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189" w:lineRule="exact"/>
        <w:rPr>
          <w:sz w:val="20"/>
          <w:szCs w:val="20"/>
          <w:color w:val="auto"/>
        </w:rPr>
      </w:pPr>
    </w:p>
    <w:p>
      <w:pPr>
        <w:jc w:val="both"/>
        <w:ind w:left="60" w:right="35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94"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Company had $27 within accounts payable as of March 31, 2023 and $110 as of December 31, 2022, in its consolidated balance sheets related to the Master Service Agreement.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receive payments of up to $4,250 in development and regulatory approval milestone payments. No milestones or royalties were due in 2022 or 2021.</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189" w:lineRule="exact"/>
        <w:rPr>
          <w:sz w:val="20"/>
          <w:szCs w:val="20"/>
          <w:color w:val="auto"/>
        </w:rPr>
      </w:pPr>
    </w:p>
    <w:p>
      <w:pPr>
        <w:ind w:left="60" w:right="559"/>
        <w:spacing w:after="0" w:line="241"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$950 and $1,260 within security deposits in its consolidated balance sheets at March 31, 2023 and December 31, 2022, respectively. The Company’s leases have initial lease terms ranging from 5 to 16 years. Certain lease agreements contain provisions for future rent increases.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142240</wp:posOffset>
            </wp:positionV>
            <wp:extent cx="5554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jc w:val="right"/>
              <w:ind w:right="276"/>
              <w:spacing w:after="0"/>
              <w:rPr>
                <w:sz w:val="20"/>
                <w:szCs w:val="20"/>
                <w:color w:val="auto"/>
              </w:rPr>
            </w:pPr>
            <w:r>
              <w:rPr>
                <w:rFonts w:ascii="Arial" w:cs="Arial" w:eastAsia="Arial" w:hAnsi="Arial"/>
                <w:sz w:val="14"/>
                <w:szCs w:val="14"/>
                <w:color w:val="auto"/>
              </w:rPr>
              <w:t>For the 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jc w:val="center"/>
              <w:ind w:right="420"/>
              <w:spacing w:after="0"/>
              <w:rPr>
                <w:sz w:val="20"/>
                <w:szCs w:val="20"/>
                <w:color w:val="auto"/>
              </w:rPr>
            </w:pPr>
            <w:r>
              <w:rPr>
                <w:rFonts w:ascii="Arial" w:cs="Arial" w:eastAsia="Arial" w:hAnsi="Arial"/>
                <w:sz w:val="14"/>
                <w:szCs w:val="14"/>
                <w:color w:val="auto"/>
              </w:rPr>
              <w:t>For the Three Months Ended</w:t>
            </w:r>
          </w:p>
        </w:tc>
      </w:tr>
      <w:tr>
        <w:trPr>
          <w:trHeight w:val="167"/>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jc w:val="right"/>
              <w:ind w:right="696"/>
              <w:spacing w:after="0"/>
              <w:rPr>
                <w:sz w:val="20"/>
                <w:szCs w:val="20"/>
                <w:color w:val="auto"/>
              </w:rPr>
            </w:pPr>
            <w:r>
              <w:rPr>
                <w:rFonts w:ascii="Arial" w:cs="Arial" w:eastAsia="Arial" w:hAnsi="Arial"/>
                <w:sz w:val="14"/>
                <w:szCs w:val="14"/>
                <w:color w:val="auto"/>
              </w:rPr>
              <w:t>March 31, 2023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2"/>
          </w:tcPr>
          <w:p>
            <w:pPr>
              <w:jc w:val="center"/>
              <w:ind w:right="420"/>
              <w:spacing w:after="0"/>
              <w:rPr>
                <w:sz w:val="20"/>
                <w:szCs w:val="20"/>
                <w:color w:val="auto"/>
              </w:rPr>
            </w:pPr>
            <w:r>
              <w:rPr>
                <w:rFonts w:ascii="Arial" w:cs="Arial" w:eastAsia="Arial" w:hAnsi="Arial"/>
                <w:sz w:val="14"/>
                <w:szCs w:val="14"/>
                <w:color w:val="auto"/>
              </w:rPr>
              <w:t>March 31, 2022</w:t>
            </w:r>
          </w:p>
        </w:tc>
      </w:tr>
      <w:tr>
        <w:trPr>
          <w:trHeight w:val="196"/>
        </w:trPr>
        <w:tc>
          <w:tcPr>
            <w:tcW w:w="2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4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860" w:type="dxa"/>
            <w:vAlign w:val="bottom"/>
          </w:tcPr>
          <w:p>
            <w:pPr>
              <w:ind w:left="120"/>
              <w:spacing w:after="0" w:line="202" w:lineRule="exact"/>
              <w:rPr>
                <w:sz w:val="20"/>
                <w:szCs w:val="20"/>
                <w:color w:val="auto"/>
              </w:rPr>
            </w:pPr>
            <w:r>
              <w:rPr>
                <w:rFonts w:ascii="Arial" w:cs="Arial" w:eastAsia="Arial" w:hAnsi="Arial"/>
                <w:sz w:val="18"/>
                <w:szCs w:val="18"/>
                <w:color w:val="auto"/>
              </w:rPr>
              <w:t>Fixed lease cost</w:t>
            </w:r>
          </w:p>
        </w:tc>
        <w:tc>
          <w:tcPr>
            <w:tcW w:w="7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1,395</w:t>
            </w:r>
          </w:p>
        </w:tc>
        <w:tc>
          <w:tcPr>
            <w:tcW w:w="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160" w:type="dxa"/>
            <w:vAlign w:val="bottom"/>
          </w:tcPr>
          <w:p>
            <w:pPr>
              <w:spacing w:after="0"/>
              <w:rPr>
                <w:sz w:val="17"/>
                <w:szCs w:val="17"/>
                <w:color w:val="auto"/>
              </w:rPr>
            </w:pPr>
          </w:p>
        </w:tc>
      </w:tr>
      <w:tr>
        <w:trPr>
          <w:trHeight w:val="203"/>
        </w:trPr>
        <w:tc>
          <w:tcPr>
            <w:tcW w:w="2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Variable lease cost</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7"/>
                <w:szCs w:val="17"/>
                <w:color w:val="auto"/>
              </w:rPr>
            </w:pPr>
          </w:p>
        </w:tc>
      </w:tr>
      <w:tr>
        <w:trPr>
          <w:trHeight w:val="203"/>
        </w:trPr>
        <w:tc>
          <w:tcPr>
            <w:tcW w:w="2860" w:type="dxa"/>
            <w:vAlign w:val="bottom"/>
          </w:tcPr>
          <w:p>
            <w:pPr>
              <w:ind w:left="120"/>
              <w:spacing w:after="0" w:line="202" w:lineRule="exact"/>
              <w:rPr>
                <w:sz w:val="20"/>
                <w:szCs w:val="20"/>
                <w:color w:val="auto"/>
              </w:rPr>
            </w:pPr>
            <w:r>
              <w:rPr>
                <w:rFonts w:ascii="Arial" w:cs="Arial" w:eastAsia="Arial" w:hAnsi="Arial"/>
                <w:sz w:val="18"/>
                <w:szCs w:val="18"/>
                <w:color w:val="auto"/>
              </w:rPr>
              <w:t>Short term lease expense</w:t>
            </w: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w:t>
            </w:r>
          </w:p>
        </w:tc>
        <w:tc>
          <w:tcPr>
            <w:tcW w:w="160" w:type="dxa"/>
            <w:vAlign w:val="bottom"/>
          </w:tcPr>
          <w:p>
            <w:pPr>
              <w:spacing w:after="0"/>
              <w:rPr>
                <w:sz w:val="17"/>
                <w:szCs w:val="17"/>
                <w:color w:val="auto"/>
              </w:rPr>
            </w:pPr>
          </w:p>
        </w:tc>
      </w:tr>
      <w:tr>
        <w:trPr>
          <w:trHeight w:val="216"/>
        </w:trPr>
        <w:tc>
          <w:tcPr>
            <w:tcW w:w="2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2,114</w:t>
            </w:r>
          </w:p>
        </w:tc>
        <w:tc>
          <w:tcPr>
            <w:tcW w:w="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1,543</w:t>
            </w:r>
          </w:p>
        </w:tc>
        <w:tc>
          <w:tcPr>
            <w:tcW w:w="160" w:type="dxa"/>
            <w:vAlign w:val="bottom"/>
            <w:shd w:val="clear" w:color="auto" w:fill="CCEEFF"/>
          </w:tcPr>
          <w:p>
            <w:pPr>
              <w:spacing w:after="0"/>
              <w:rPr>
                <w:sz w:val="18"/>
                <w:szCs w:val="18"/>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5683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53" w:lineRule="exact"/>
        <w:rPr>
          <w:sz w:val="20"/>
          <w:szCs w:val="20"/>
          <w:color w:val="auto"/>
        </w:rPr>
      </w:pPr>
    </w:p>
    <w:tbl>
      <w:tblPr>
        <w:tblLayout w:type="fixed"/>
        <w:tblInd w:w="4760" w:type="dxa"/>
        <w:tblCellMar>
          <w:top w:w="0" w:type="dxa"/>
          <w:left w:w="0" w:type="dxa"/>
          <w:bottom w:w="0" w:type="dxa"/>
          <w:right w:w="0" w:type="dxa"/>
        </w:tblCellMar>
      </w:tblPr>
      <w:tr>
        <w:trPr>
          <w:trHeight w:val="182"/>
        </w:trPr>
        <w:tc>
          <w:tcPr>
            <w:tcW w:w="1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As of</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As of</w:t>
            </w:r>
          </w:p>
        </w:tc>
      </w:tr>
      <w:tr>
        <w:trPr>
          <w:trHeight w:val="169"/>
        </w:trPr>
        <w:tc>
          <w:tcPr>
            <w:tcW w:w="19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r>
    </w:tbl>
    <w:p>
      <w:pPr>
        <w:spacing w:after="0" w:line="145" w:lineRule="exact"/>
        <w:rPr>
          <w:sz w:val="20"/>
          <w:szCs w:val="20"/>
          <w:color w:val="auto"/>
        </w:rPr>
      </w:pPr>
    </w:p>
    <w:p>
      <w:pPr>
        <w:sectPr>
          <w:pgSz w:w="11900" w:h="16838" w:orient="portrait"/>
          <w:cols w:equalWidth="0" w:num="1">
            <w:col w:w="9019"/>
          </w:cols>
          <w:pgMar w:left="1440" w:top="518"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28,207</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4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41,168</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38,698</w:t>
            </w:r>
          </w:p>
        </w:tc>
      </w:tr>
      <w:tr>
        <w:trPr>
          <w:trHeight w:val="196"/>
        </w:trPr>
        <w:tc>
          <w:tcPr>
            <w:tcW w:w="3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41,747</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-548005</wp:posOffset>
            </wp:positionV>
            <wp:extent cx="569214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-290830</wp:posOffset>
            </wp:positionV>
            <wp:extent cx="569214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120" w:space="160"/>
            <w:col w:w="5739"/>
          </w:cols>
          <w:pgMar w:left="1440" w:top="518"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60" w:type="dxa"/>
            <w:vAlign w:val="bottom"/>
            <w:tcBorders>
              <w:top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March 31, 2023</w:t>
            </w: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As of December 31, 2022</w:t>
            </w:r>
          </w:p>
        </w:tc>
        <w:tc>
          <w:tcPr>
            <w:tcW w:w="180" w:type="dxa"/>
            <w:vAlign w:val="bottom"/>
          </w:tcPr>
          <w:p>
            <w:pPr>
              <w:spacing w:after="0"/>
              <w:rPr>
                <w:sz w:val="15"/>
                <w:szCs w:val="15"/>
                <w:color w:val="auto"/>
              </w:rPr>
            </w:pPr>
          </w:p>
        </w:tc>
      </w:tr>
      <w:tr>
        <w:trPr>
          <w:trHeight w:val="196"/>
        </w:trPr>
        <w:tc>
          <w:tcPr>
            <w:tcW w:w="5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6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9.1 years</w:t>
            </w:r>
          </w:p>
        </w:tc>
        <w:tc>
          <w:tcPr>
            <w:tcW w:w="19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9.4 years</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9.0 %</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r>
    </w:tbl>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39"/>
              <w:spacing w:after="0"/>
              <w:rPr>
                <w:sz w:val="20"/>
                <w:szCs w:val="20"/>
                <w:color w:val="auto"/>
              </w:rPr>
            </w:pPr>
            <w:r>
              <w:rPr>
                <w:rFonts w:ascii="Arial" w:cs="Arial" w:eastAsia="Arial" w:hAnsi="Arial"/>
                <w:sz w:val="14"/>
                <w:szCs w:val="14"/>
                <w:color w:val="auto"/>
              </w:rPr>
              <w:t>For the Three</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2"/>
              <w:spacing w:after="0"/>
              <w:rPr>
                <w:sz w:val="20"/>
                <w:szCs w:val="20"/>
                <w:color w:val="auto"/>
              </w:rPr>
            </w:pPr>
            <w:r>
              <w:rPr>
                <w:rFonts w:ascii="Arial" w:cs="Arial" w:eastAsia="Arial" w:hAnsi="Arial"/>
                <w:sz w:val="14"/>
                <w:szCs w:val="14"/>
                <w:color w:val="auto"/>
              </w:rPr>
              <w:t>For the Three</w:t>
            </w:r>
          </w:p>
        </w:tc>
        <w:tc>
          <w:tcPr>
            <w:tcW w:w="2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rPr>
              <w:t>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Months Ended</w:t>
            </w:r>
          </w:p>
        </w:tc>
      </w:tr>
      <w:tr>
        <w:trPr>
          <w:trHeight w:val="167"/>
        </w:trPr>
        <w:tc>
          <w:tcPr>
            <w:tcW w:w="64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rPr>
              <w:t>March 31, 2023</w:t>
            </w:r>
          </w:p>
        </w:tc>
        <w:tc>
          <w:tcPr>
            <w:tcW w:w="22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color w:val="auto"/>
              </w:rPr>
              <w:t>March 31, 2022</w:t>
            </w: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824"/>
        </w:trPr>
        <w:tc>
          <w:tcPr>
            <w:tcW w:w="6440" w:type="dxa"/>
            <w:vAlign w:val="bottom"/>
          </w:tcPr>
          <w:p>
            <w:pPr>
              <w:jc w:val="right"/>
              <w:ind w:right="17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March 31, 2023:</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8,079</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8,727</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8,905</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53,073</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91,678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(46,097)</w:t>
            </w:r>
          </w:p>
        </w:tc>
      </w:tr>
      <w:tr>
        <w:trPr>
          <w:trHeight w:val="203"/>
        </w:trPr>
        <w:tc>
          <w:tcPr>
            <w:tcW w:w="7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(3,834)</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41,747</w:t>
            </w: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13—Income taxes</w:t>
      </w:r>
    </w:p>
    <w:p>
      <w:pPr>
        <w:spacing w:after="0" w:line="21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During the three months ended March 31, 2023, the Company recorded income tax expense of $1,208, which includes a tax provision of $13 related to its income tax obligations of its operating company in Canada. The Company is projecting taxable income for tax year 2023, due primarily to revenue recognition for tax purposes from the Company's Research Collaboration and Collaboration Agreement entered into with Bristol-Myers Squibb Company in 2022.</w:t>
      </w:r>
    </w:p>
    <w:p>
      <w:pPr>
        <w:spacing w:after="0" w:line="18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9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While the Company anticipates utilizing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March 31, 2023, the Company has recorded a full valuation allowance against its net deferred tax assets in the U.S.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14—Basic and diluted net loss per common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9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4"/>
                <w:szCs w:val="14"/>
                <w:color w:val="auto"/>
              </w:rPr>
            </w:pPr>
          </w:p>
        </w:tc>
      </w:tr>
      <w:tr>
        <w:trPr>
          <w:trHeight w:val="162"/>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97"/>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March 31,</w:t>
            </w:r>
          </w:p>
        </w:tc>
      </w:tr>
      <w:tr>
        <w:trPr>
          <w:trHeight w:val="167"/>
        </w:trPr>
        <w:tc>
          <w:tcPr>
            <w:tcW w:w="5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4"/>
                <w:szCs w:val="14"/>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(31,264)</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(37,513)</w:t>
            </w:r>
          </w:p>
        </w:tc>
      </w:tr>
      <w:tr>
        <w:trPr>
          <w:trHeight w:val="203"/>
        </w:trPr>
        <w:tc>
          <w:tcPr>
            <w:tcW w:w="5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0"/>
        </w:trPr>
        <w:tc>
          <w:tcPr>
            <w:tcW w:w="59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Weighted-average common shares for basic and diluted net loss per</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5"/>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58,610,375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57,051,539</w:t>
            </w:r>
          </w:p>
        </w:tc>
        <w:tc>
          <w:tcPr>
            <w:tcW w:w="20" w:type="dxa"/>
            <w:vAlign w:val="bottom"/>
            <w:shd w:val="clear" w:color="auto" w:fill="CCEEFF"/>
          </w:tcPr>
          <w:p>
            <w:pPr>
              <w:spacing w:after="0"/>
              <w:rPr>
                <w:sz w:val="18"/>
                <w:szCs w:val="18"/>
                <w:color w:val="auto"/>
              </w:rPr>
            </w:pPr>
          </w:p>
        </w:tc>
      </w:tr>
      <w:tr>
        <w:trPr>
          <w:trHeight w:val="203"/>
        </w:trPr>
        <w:tc>
          <w:tcPr>
            <w:tcW w:w="5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4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(0.66)</w:t>
            </w:r>
          </w:p>
        </w:tc>
      </w:tr>
      <w:tr>
        <w:trPr>
          <w:trHeight w:val="844"/>
        </w:trPr>
        <w:tc>
          <w:tcPr>
            <w:tcW w:w="5940" w:type="dxa"/>
            <w:vAlign w:val="bottom"/>
            <w:tcBorders>
              <w:top w:val="single" w:sz="8" w:color="CCEEFF"/>
            </w:tcBorders>
          </w:tcPr>
          <w:p>
            <w:pPr>
              <w:ind w:left="4360"/>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547"/>
        </w:trPr>
        <w:tc>
          <w:tcPr>
            <w:tcW w:w="5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potentially dilutive securities, which include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2023 and 2022 because including them would have had an anti-dilutive effect.</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0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color w:val="auto"/>
              </w:rPr>
              <w:t>March 31,</w:t>
            </w:r>
          </w:p>
        </w:tc>
      </w:tr>
      <w:tr>
        <w:trPr>
          <w:trHeight w:val="167"/>
        </w:trPr>
        <w:tc>
          <w:tcPr>
            <w:tcW w:w="60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2023</w:t>
            </w:r>
          </w:p>
        </w:tc>
        <w:tc>
          <w:tcPr>
            <w:tcW w:w="1520" w:type="dxa"/>
            <w:vAlign w:val="bottom"/>
            <w:gridSpan w:val="2"/>
          </w:tcPr>
          <w:p>
            <w:pPr>
              <w:jc w:val="center"/>
              <w:ind w:left="75"/>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4"/>
                <w:szCs w:val="14"/>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10,370,402</w:t>
            </w:r>
          </w:p>
        </w:tc>
        <w:tc>
          <w:tcPr>
            <w:tcW w:w="1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7,424,538</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385,655</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773,394</w:t>
            </w:r>
          </w:p>
        </w:tc>
        <w:tc>
          <w:tcPr>
            <w:tcW w:w="2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49,465</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520,630</w:t>
            </w:r>
          </w:p>
        </w:tc>
        <w:tc>
          <w:tcPr>
            <w:tcW w:w="2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544,650</w:t>
            </w:r>
          </w:p>
        </w:tc>
        <w:tc>
          <w:tcPr>
            <w:tcW w:w="160" w:type="dxa"/>
            <w:vAlign w:val="bottom"/>
          </w:tcPr>
          <w:p>
            <w:pPr>
              <w:spacing w:after="0"/>
              <w:rPr>
                <w:sz w:val="17"/>
                <w:szCs w:val="17"/>
                <w:color w:val="auto"/>
              </w:rPr>
            </w:pP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shd w:val="clear" w:color="auto" w:fill="CCEEFF"/>
          </w:tcPr>
          <w:p>
            <w:pPr>
              <w:spacing w:after="0"/>
              <w:rPr>
                <w:sz w:val="17"/>
                <w:szCs w:val="17"/>
                <w:color w:val="auto"/>
              </w:rPr>
            </w:pPr>
          </w:p>
        </w:tc>
      </w:tr>
      <w:tr>
        <w:trPr>
          <w:trHeight w:val="196"/>
        </w:trPr>
        <w:tc>
          <w:tcPr>
            <w:tcW w:w="60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11,382,181</w:t>
            </w:r>
          </w:p>
        </w:tc>
        <w:tc>
          <w:tcPr>
            <w:tcW w:w="1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8,750,571</w:t>
            </w:r>
          </w:p>
        </w:tc>
        <w:tc>
          <w:tcPr>
            <w:tcW w:w="20" w:type="dxa"/>
            <w:vAlign w:val="bottom"/>
          </w:tcPr>
          <w:p>
            <w:pPr>
              <w:spacing w:after="0"/>
              <w:rPr>
                <w:sz w:val="17"/>
                <w:szCs w:val="17"/>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15—Defined contribution plan</w:t>
      </w:r>
    </w:p>
    <w:p>
      <w:pPr>
        <w:spacing w:after="0" w:line="17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$384 and $158 for the three months ended March 31, 2023 and 2022, respectively. Such contribution expense has been recognized in the consolidated statement of operations for each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16—Stock-based compensation</w:t>
      </w:r>
    </w:p>
    <w:p>
      <w:pPr>
        <w:spacing w:after="0" w:line="17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57"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4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2022, the 2021 Incentive Plan reserved shares were increased under clause (i) by 2,750,276 shares, effective as of January 1, 2022. For 2023, the 2021 Incentive Plan reserved shares were increased under clause (i) by 2,954,788 shares, effective as of January 1, 2023. As of March 31, 2023, there were 4,863,670 shares available for issuance under the 2021 Incentive Plan.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2023, the Company had reserved shares of common stock for issuance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240" w:type="dxa"/>
            <w:vAlign w:val="bottom"/>
          </w:tcPr>
          <w:p>
            <w:pPr>
              <w:spacing w:after="0"/>
              <w:rPr>
                <w:sz w:val="16"/>
                <w:szCs w:val="16"/>
                <w:color w:val="auto"/>
              </w:rPr>
            </w:pPr>
          </w:p>
        </w:tc>
        <w:tc>
          <w:tcPr>
            <w:tcW w:w="16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Shares</w:t>
            </w:r>
          </w:p>
        </w:tc>
      </w:tr>
      <w:tr>
        <w:trPr>
          <w:trHeight w:val="202"/>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issued and outstanding</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10,915,052</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4,863,670</w:t>
            </w:r>
          </w:p>
        </w:tc>
      </w:tr>
      <w:tr>
        <w:trPr>
          <w:trHeight w:val="203"/>
        </w:trPr>
        <w:tc>
          <w:tcPr>
            <w:tcW w:w="72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1,114,126</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16,892,848</w:t>
            </w:r>
          </w:p>
        </w:tc>
      </w:tr>
      <w:tr>
        <w:trPr>
          <w:trHeight w:val="20"/>
        </w:trPr>
        <w:tc>
          <w:tcPr>
            <w:tcW w:w="7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shares of Common Stock available under the 2021 Incentive Plan as of March 31, 2023 are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2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r>
      <w:tr>
        <w:trPr>
          <w:trHeight w:val="202"/>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December 31, 2022</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5,786,358</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2,954,788</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(3,770,399)</w:t>
            </w: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(546,795)</w:t>
            </w: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439,718</w:t>
            </w: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March 31, 2023</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4,863,670</w:t>
            </w:r>
          </w:p>
        </w:tc>
      </w:tr>
      <w:tr>
        <w:trPr>
          <w:trHeight w:val="20"/>
        </w:trPr>
        <w:tc>
          <w:tcPr>
            <w:tcW w:w="7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three month period ended March 31, 2023:</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3"/>
          </w:tcPr>
          <w:p>
            <w:pPr>
              <w:jc w:val="right"/>
              <w:ind w:right="277"/>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50"/>
        </w:trPr>
        <w:tc>
          <w:tcPr>
            <w:tcW w:w="4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Arial" w:cs="Arial" w:eastAsia="Arial" w:hAnsi="Arial"/>
                <w:sz w:val="14"/>
                <w:szCs w:val="14"/>
                <w:color w:val="auto"/>
              </w:rPr>
              <w:t>Remaining</w:t>
            </w: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7"/>
        </w:trPr>
        <w:tc>
          <w:tcPr>
            <w:tcW w:w="48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2023</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7.77</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3,770,399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(452,102)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(437,573)</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10.39</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March 31, 2023</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10,370,402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Exercisable at March 31, 2023</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3,145,362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6.45</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weighted average grant date fair value of awards for options granted during the three months ended March 31, 2023 was $4.65. As of March 31, 2023, there was $38,428 of total unrecognized compensation expense related to unvested stock options with time-based vesting terms, which is expected to be recognized over a weighted average period of 3.13 years.</w:t>
      </w:r>
    </w:p>
    <w:p>
      <w:pPr>
        <w:spacing w:after="0" w:line="147" w:lineRule="exact"/>
        <w:rPr>
          <w:sz w:val="20"/>
          <w:szCs w:val="20"/>
          <w:color w:val="auto"/>
        </w:rPr>
      </w:pPr>
    </w:p>
    <w:p>
      <w:pPr>
        <w:jc w:val="both"/>
        <w:ind w:left="60" w:right="399"/>
        <w:spacing w:after="0" w:line="269"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58" w:lineRule="auto"/>
        <w:rPr>
          <w:sz w:val="20"/>
          <w:szCs w:val="20"/>
          <w:color w:val="auto"/>
        </w:rPr>
      </w:pPr>
      <w:r>
        <w:rPr>
          <w:rFonts w:ascii="Arial" w:cs="Arial" w:eastAsia="Arial" w:hAnsi="Arial"/>
          <w:sz w:val="17"/>
          <w:szCs w:val="17"/>
          <w:color w:val="auto"/>
        </w:rPr>
        <w:t>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160" w:type="dxa"/>
            <w:vAlign w:val="bottom"/>
            <w:tcBorders>
              <w:top w:val="single" w:sz="8" w:color="auto"/>
            </w:tcBorders>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March 31, 2022</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2022</w:t>
            </w:r>
          </w:p>
        </w:tc>
      </w:tr>
      <w:tr>
        <w:trPr>
          <w:trHeight w:val="196"/>
        </w:trPr>
        <w:tc>
          <w:tcPr>
            <w:tcW w:w="6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r>
      <w:tr>
        <w:trPr>
          <w:trHeight w:val="203"/>
        </w:trPr>
        <w:tc>
          <w:tcPr>
            <w:tcW w:w="6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79.15 %</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69.73 %</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3.65 %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bl>
    <w:p>
      <w:pPr>
        <w:spacing w:after="0" w:line="163"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16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color w:val="auto"/>
              </w:rPr>
              <w:t>Three Months Ended Three Months Ended</w:t>
            </w:r>
          </w:p>
        </w:tc>
      </w:tr>
      <w:tr>
        <w:trPr>
          <w:trHeight w:val="203"/>
        </w:trPr>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7"/>
                <w:szCs w:val="17"/>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color w:val="auto"/>
              </w:rPr>
              <w:t>March 31,</w:t>
            </w:r>
          </w:p>
        </w:tc>
      </w:tr>
      <w:tr>
        <w:trPr>
          <w:trHeight w:val="201"/>
        </w:trPr>
        <w:tc>
          <w:tcPr>
            <w:tcW w:w="6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2022</w:t>
            </w: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2,112</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1,309</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1,685</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1,071</w:t>
            </w:r>
          </w:p>
        </w:tc>
      </w:tr>
      <w:tr>
        <w:trPr>
          <w:trHeight w:val="236"/>
        </w:trPr>
        <w:tc>
          <w:tcPr>
            <w:tcW w:w="61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3,797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2,380</w:t>
            </w:r>
          </w:p>
        </w:tc>
      </w:tr>
    </w:tbl>
    <w:p>
      <w:pPr>
        <w:spacing w:after="0" w:line="365"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16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color w:val="auto"/>
              </w:rPr>
              <w:t>Three Months Ended Three Months Ended</w:t>
            </w:r>
          </w:p>
        </w:tc>
      </w:tr>
      <w:tr>
        <w:trPr>
          <w:trHeight w:val="203"/>
        </w:trPr>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55"/>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7"/>
                <w:szCs w:val="17"/>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color w:val="auto"/>
              </w:rPr>
              <w:t>March 31,</w:t>
            </w:r>
          </w:p>
        </w:tc>
      </w:tr>
      <w:tr>
        <w:trPr>
          <w:trHeight w:val="201"/>
        </w:trPr>
        <w:tc>
          <w:tcPr>
            <w:tcW w:w="6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2022</w:t>
            </w: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3,546</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2,108</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320" w:type="dxa"/>
            <w:vAlign w:val="bottom"/>
          </w:tcPr>
          <w:p>
            <w:pPr>
              <w:spacing w:after="0"/>
              <w:rPr>
                <w:sz w:val="17"/>
                <w:szCs w:val="17"/>
                <w:color w:val="auto"/>
              </w:rPr>
            </w:pPr>
          </w:p>
        </w:tc>
        <w:tc>
          <w:tcPr>
            <w:tcW w:w="11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61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3,797</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2,380</w:t>
            </w: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RSU activity for the quarter ended March 31, 2023:</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201"/>
        </w:trPr>
        <w:tc>
          <w:tcPr>
            <w:tcW w:w="360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28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3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546,795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line="196" w:lineRule="exact"/>
              <w:rPr>
                <w:sz w:val="20"/>
                <w:szCs w:val="20"/>
                <w:color w:val="auto"/>
              </w:rPr>
            </w:pPr>
            <w:r>
              <w:rPr>
                <w:rFonts w:ascii="Arial" w:cs="Arial" w:eastAsia="Arial" w:hAnsi="Arial"/>
                <w:sz w:val="18"/>
                <w:szCs w:val="18"/>
                <w:color w:val="auto"/>
              </w:rPr>
              <w:t>Total Unvested March 31, 2023</w:t>
            </w:r>
          </w:p>
        </w:tc>
        <w:tc>
          <w:tcPr>
            <w:tcW w:w="28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544,650</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80" w:type="dxa"/>
            <w:vAlign w:val="bottom"/>
            <w:vMerge w:val="restart"/>
          </w:tcPr>
          <w:p>
            <w:pPr>
              <w:jc w:val="right"/>
              <w:ind w:right="1830"/>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60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of March 31, 2023, there was $2,428 of total unrecognized compensation expense related to the unvested restricted stock with time-based vesting terms, which is expected to be recognized over a weighted average period of 3.85 years. All restricted stock units vest over a four-year period.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March 31, 2023 and December 31, 2022: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67"/>
        </w:trPr>
        <w:tc>
          <w:tcPr>
            <w:tcW w:w="62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193,031</w:t>
            </w:r>
          </w:p>
        </w:tc>
        <w:tc>
          <w:tcPr>
            <w:tcW w:w="36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8.41</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(47,689)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(95,877)</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16"/>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March 31, 2023</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49,465</w:t>
            </w:r>
          </w:p>
        </w:tc>
        <w:tc>
          <w:tcPr>
            <w:tcW w:w="36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46" w:lineRule="exact"/>
        <w:rPr>
          <w:sz w:val="20"/>
          <w:szCs w:val="20"/>
          <w:color w:val="auto"/>
        </w:rPr>
      </w:pPr>
    </w:p>
    <w:p>
      <w:pPr>
        <w:jc w:val="both"/>
        <w:ind w:left="60" w:right="399"/>
        <w:spacing w:after="0" w:line="247" w:lineRule="auto"/>
        <w:rPr>
          <w:sz w:val="20"/>
          <w:szCs w:val="20"/>
          <w:color w:val="auto"/>
        </w:rPr>
      </w:pPr>
      <w:r>
        <w:rPr>
          <w:rFonts w:ascii="Arial" w:cs="Arial" w:eastAsia="Arial" w:hAnsi="Arial"/>
          <w:sz w:val="18"/>
          <w:szCs w:val="18"/>
          <w:color w:val="auto"/>
        </w:rPr>
        <w:t>As of March 31, 2023, there was $356 of total unrecognized compensation expense related to the unvested restricted stock with time-based vesting terms, which is expected to be recognized over a weighted average period of 1.98 years. All restricted stock vests over a four-year period.</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77"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$1,314 was recorded as a deposit liability on the Company’s balance sheet as of March 31,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9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the board waived the annual increase to the shares reserved under the ESPP. As of March 31, 2023, there were 1,114,126 shares available for issuance, under the ESPP.</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17—Related party transactions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77" w:lineRule="exact"/>
        <w:rPr>
          <w:sz w:val="20"/>
          <w:szCs w:val="20"/>
          <w:color w:val="auto"/>
        </w:rPr>
      </w:pPr>
    </w:p>
    <w:p>
      <w:pPr>
        <w:ind w:left="60" w:right="419"/>
        <w:spacing w:after="0" w:line="260"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77"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The Company also owns an exclusive license agreement with FCDI. The license provides the Company with patents and know-how related to human iPSC exclusively manufactured by FCDI.</w:t>
      </w:r>
    </w:p>
    <w:p>
      <w:pPr>
        <w:spacing w:after="0" w:line="146" w:lineRule="exact"/>
        <w:rPr>
          <w:sz w:val="20"/>
          <w:szCs w:val="20"/>
          <w:color w:val="auto"/>
        </w:rPr>
      </w:pPr>
    </w:p>
    <w:p>
      <w:pPr>
        <w:ind w:left="60" w:right="159"/>
        <w:spacing w:after="0" w:line="438"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FCDI Collaboration Agreement</w:t>
      </w:r>
    </w:p>
    <w:p>
      <w:pPr>
        <w:spacing w:after="0" w:line="1"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On July 29, 2022 the Company amended it’s Master Collaboration Agreement to extend the term through September 30, 2025.</w:t>
      </w:r>
    </w:p>
    <w:p>
      <w:pPr>
        <w:spacing w:after="0" w:line="16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March 23, 2021, the Company entered into a Manufacturing Agreement with FCDI, or the Manufacturing Agreement, pursuant to which FCDI will provide certain agreed upon technology transfer, process development, analytical testing and cGMP manufacturing services to the company.</w:t>
      </w:r>
    </w:p>
    <w:p>
      <w:pPr>
        <w:spacing w:after="0" w:line="14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7, 2022, the Company and FCDI entered into a letter agreement (the “Letter Agreement”), which amends each of the FCDI agreements pursuant to the Company’s Research Collaboration and License Agreement with Bristol-Myers Squibb. Pursuant to the Letter Agreement, and in consideration for amending the FCDI Agreements, the Company will pay to FCDI (i) an upfront payment of $10,000, (ii) a percentage of any milestone payments received by the Company under the FCDI Collaboration Agreement in respect of achievement of development or regulatory milestones specific to Japan, and (iii) a percentage of all royalties received by the Company under the FCDI Collaboration Agreement in respect of sales of products in Japan.</w:t>
      </w:r>
    </w:p>
    <w:p>
      <w:pPr>
        <w:spacing w:after="0" w:line="150"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During the three months ended March 31, 2023, the Company made payments of $12 and incurred research and development expenses of $32 and legal fees of $33, recorded within general and administrative expenses in its consolidated statements of operations and comprehensive loss. As of March 31, 2023, there was $21 in accrued expenses related to this agreement on the consolidated balance sheets. As of December 31, 2022, there was $0 in accrued expenses on the consolidated balance sheets.</w:t>
      </w:r>
    </w:p>
    <w:p>
      <w:pPr>
        <w:spacing w:after="0" w:line="16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During the three months ended March 31, 2022, the Company made payments of $3,003 and incurred research and development expenses of $1,445, and legal fees of $30, recorded within general and administrative expenses in its consolidated statements of operations and comprehensive loss.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77" w:lineRule="exact"/>
        <w:rPr>
          <w:sz w:val="20"/>
          <w:szCs w:val="20"/>
          <w:color w:val="auto"/>
        </w:rPr>
      </w:pPr>
    </w:p>
    <w:p>
      <w:pPr>
        <w:jc w:val="both"/>
        <w:ind w:left="60" w:right="219"/>
        <w:spacing w:after="0" w:line="243"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w:t>
      </w:r>
    </w:p>
    <w:p>
      <w:pPr>
        <w:spacing w:after="0" w:line="17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incurred $0 related to these consulting arrangements that were included in research and development expenses in the consolidated statements of operations and comprehensive loss for the three months ended March 31, 2023. The Company incurred $ 19 related to these consulting arrangements that were included in research and development expenses in the consolidated statements of operations and comprehensive loss for the three months ended March 31, 2022. As of March 31, 2023 and December 31, 2022, there was $0 in accrued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expenses related to this agreement on the consolidated balance sheets. This agreement was terminated in January 2023.</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18—Subsequent Events</w:t>
      </w:r>
    </w:p>
    <w:p>
      <w:pPr>
        <w:spacing w:after="0" w:line="18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171"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On May 1, 2023 the Company repaid the Loan Agreement with Hercules in full. The total repayment was $10,617, which included principal, interest, and end of term and prepayment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2022 and the related Management’s Discussion and Analysis of Financial Condition and Results of Operations, which are contained in our Annual Report on Form 10-K filed with the Securities and Exchange Commission on March 16, 2023 (the “Annual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7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$550.4 million as of March 31, 2023.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w:t>
      </w:r>
    </w:p>
    <w:p>
      <w:pPr>
        <w:spacing w:after="0" w:line="157"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August 2022, the FDA notified us that our ELiPSE-1 clinical trial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initiated our phase 1 trial and in February 2023, we began dosing patients in ELiPSE-1, evaluating CNTY-101.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collaborations as described below, and have not generated any revenues. Since our inception, we have raised approximately $591 million in net proceeds from sales of our equity securities. As of March 31, 2023, we had cash and cash equivalents of $86.8 million and investments of $248.0 million.</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January 2023, we announced a strategic internal portfolio prioritization through which, among other discovery efforts, CNTY-103, a CAR-iNK product targeting CD133 and a discovery program for hematological malignancies, was de -prioritized,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5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Based on our current business plans and the January 2023 strategic reprioritization, we believe, our cash, cash equivalents and investments as of March 31, 2023,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67"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84" w:lineRule="exact"/>
        <w:rPr>
          <w:rFonts w:ascii="Arial" w:cs="Arial" w:eastAsia="Arial" w:hAnsi="Arial"/>
          <w:sz w:val="18"/>
          <w:szCs w:val="18"/>
          <w:color w:val="auto"/>
        </w:rPr>
      </w:pPr>
    </w:p>
    <w:p>
      <w:pPr>
        <w:ind w:left="380" w:right="55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5"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4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and CNTY-107,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While the COVID-19 pandemic has stabilized within many global regions, it may cyclically continue to adversely affect our business, financial condition and results of operations. Although the Department of Health and Human Services announced that the federal public health emergency for COVID-19 ended on May 11, 2023, we expect the trends that emerged as a result of the pandemic may continue to result in disruptions to the global economy, as well as businesses and capital markets around the world. We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We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emergence of new variants, which could prove resistant to existing vaccines, could again result in major disruptions to businesses and markets worldwide. The extent to which the outbreak may affect our preclinical studies, clinical trials, business, financial condition, and results of operations will depend on future developments, which are uncertain and cannot be predicted at this time.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9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or the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6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53"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8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9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9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10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9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During the three months ended March 31, 2023, the Company made payments of $12 thousand and incurred research and development expenses of $33 thousand and legal fees of $ 31 thousand, recorded within general and administrative expenses in its consolidated statements of operations and comprehensive loss.</w:t>
      </w:r>
    </w:p>
    <w:p>
      <w:pPr>
        <w:spacing w:after="0" w:line="14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During the three months ended March 31, 2022, the Company made payments of $0.8 million and incurred research and development expenses of $0.3 million, and legal fees of $21 thousand, recorded within general and administrative expenses in its consolidated statements of operations and comprehensive loss.</w:t>
      </w:r>
    </w:p>
    <w:p>
      <w:pPr>
        <w:spacing w:after="0" w:line="157"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From inception of the FCDI Collaboration Agreement through March 31, 2023, we incurred $36.1 million of expenses under the FCDI Collaboration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77"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89" w:lineRule="exact"/>
        <w:rPr>
          <w:sz w:val="20"/>
          <w:szCs w:val="20"/>
          <w:color w:val="auto"/>
        </w:rPr>
      </w:pPr>
    </w:p>
    <w:p>
      <w:pPr>
        <w:ind w:left="60" w:right="139"/>
        <w:spacing w:after="0" w:line="262"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72" w:lineRule="exact"/>
        <w:rPr>
          <w:sz w:val="20"/>
          <w:szCs w:val="20"/>
          <w:color w:val="auto"/>
        </w:rPr>
      </w:pPr>
    </w:p>
    <w:p>
      <w:pPr>
        <w:ind w:left="60" w:right="199"/>
        <w:spacing w:after="0" w:line="258"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7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8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9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10 to our consolidated financial statements.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5" w:lineRule="exact"/>
        <w:rPr>
          <w:sz w:val="20"/>
          <w:szCs w:val="20"/>
          <w:color w:val="auto"/>
        </w:rPr>
      </w:pPr>
    </w:p>
    <w:p>
      <w:pPr>
        <w:ind w:left="60" w:right="99"/>
        <w:spacing w:after="0" w:line="258" w:lineRule="auto"/>
        <w:rPr>
          <w:sz w:val="20"/>
          <w:szCs w:val="20"/>
          <w:color w:val="auto"/>
        </w:rPr>
      </w:pPr>
      <w:r>
        <w:rPr>
          <w:rFonts w:ascii="Arial" w:cs="Arial" w:eastAsia="Arial" w:hAnsi="Arial"/>
          <w:sz w:val="17"/>
          <w:szCs w:val="17"/>
          <w:color w:val="auto"/>
        </w:rPr>
        <w:t>We have incurred losses and recorded a full valuation allowance on all of our net deferred tax assets. For the three months ended March 31, 2023, the Company recorded $1.2 million in provisions for income taxes in the accompanying consolidated financial statements. The main drivers of the tax provision during the quarter ended March 31, 2023 are taxable revenue related to the Collaboration Agreement with Bristol-Myers Squibb and the limitation of deductions for research and development under Section 174 of the Internal Revenue Code.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2023 and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7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Three Months Ended</w:t>
            </w: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67"/>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March 31, 2023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March 31, 2022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Change</w:t>
            </w:r>
          </w:p>
        </w:tc>
        <w:tc>
          <w:tcPr>
            <w:tcW w:w="60" w:type="dxa"/>
            <w:vAlign w:val="bottom"/>
          </w:tcPr>
          <w:p>
            <w:pPr>
              <w:spacing w:after="0"/>
              <w:rPr>
                <w:sz w:val="14"/>
                <w:szCs w:val="14"/>
                <w:color w:val="auto"/>
              </w:rPr>
            </w:pPr>
          </w:p>
        </w:tc>
      </w:tr>
      <w:tr>
        <w:trPr>
          <w:trHeight w:val="155"/>
        </w:trPr>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3"/>
          </w:tcPr>
          <w:p>
            <w:pPr>
              <w:jc w:val="right"/>
              <w:ind w:right="511"/>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w:t>
            </w: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21,196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3,703</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8,902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7,298</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1,604</w:t>
            </w:r>
          </w:p>
        </w:tc>
        <w:tc>
          <w:tcPr>
            <w:tcW w:w="60" w:type="dxa"/>
            <w:vAlign w:val="bottom"/>
          </w:tcPr>
          <w:p>
            <w:pPr>
              <w:spacing w:after="0"/>
              <w:rPr>
                <w:sz w:val="17"/>
                <w:szCs w:val="17"/>
                <w:color w:val="auto"/>
              </w:rPr>
            </w:pPr>
          </w:p>
        </w:tc>
      </w:tr>
      <w:tr>
        <w:trPr>
          <w:trHeight w:val="203"/>
        </w:trPr>
        <w:tc>
          <w:tcPr>
            <w:tcW w:w="4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7"/>
                <w:szCs w:val="17"/>
                <w:color w:val="auto"/>
              </w:rPr>
            </w:pPr>
          </w:p>
        </w:tc>
      </w:tr>
      <w:tr>
        <w:trPr>
          <w:trHeight w:val="196"/>
        </w:trPr>
        <w:tc>
          <w:tcPr>
            <w:tcW w:w="4760" w:type="dxa"/>
            <w:vAlign w:val="bottom"/>
            <w:tcBorders>
              <w:top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33,801</w:t>
            </w: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38,494</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(4,693)</w:t>
            </w:r>
          </w:p>
        </w:tc>
        <w:tc>
          <w:tcPr>
            <w:tcW w:w="60" w:type="dxa"/>
            <w:vAlign w:val="bottom"/>
            <w:tcBorders>
              <w:top w:val="single" w:sz="8" w:color="CCEEFF"/>
            </w:tcBorders>
          </w:tcPr>
          <w:p>
            <w:pPr>
              <w:spacing w:after="0"/>
              <w:rPr>
                <w:sz w:val="17"/>
                <w:szCs w:val="17"/>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(32,081)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(37,436)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5,355</w:t>
            </w:r>
          </w:p>
        </w:tc>
        <w:tc>
          <w:tcPr>
            <w:tcW w:w="60" w:type="dxa"/>
            <w:vAlign w:val="bottom"/>
            <w:shd w:val="clear" w:color="auto" w:fill="CCEEFF"/>
          </w:tcPr>
          <w:p>
            <w:pPr>
              <w:spacing w:after="0"/>
              <w:rPr>
                <w:sz w:val="17"/>
                <w:szCs w:val="17"/>
                <w:color w:val="auto"/>
              </w:rPr>
            </w:pPr>
          </w:p>
        </w:tc>
      </w:tr>
      <w:tr>
        <w:trPr>
          <w:trHeight w:val="196"/>
        </w:trPr>
        <w:tc>
          <w:tcPr>
            <w:tcW w:w="476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2,370</w:t>
            </w:r>
          </w:p>
        </w:tc>
        <w:tc>
          <w:tcPr>
            <w:tcW w:w="60" w:type="dxa"/>
            <w:vAlign w:val="bottom"/>
          </w:tcPr>
          <w:p>
            <w:pPr>
              <w:spacing w:after="0"/>
              <w:rPr>
                <w:sz w:val="17"/>
                <w:szCs w:val="17"/>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7"/>
                <w:szCs w:val="17"/>
                <w:color w:val="auto"/>
              </w:rPr>
            </w:pPr>
          </w:p>
        </w:tc>
      </w:tr>
      <w:tr>
        <w:trPr>
          <w:trHeight w:val="196"/>
        </w:trPr>
        <w:tc>
          <w:tcPr>
            <w:tcW w:w="476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2,025</w:t>
            </w: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2,086</w:t>
            </w:r>
          </w:p>
        </w:tc>
        <w:tc>
          <w:tcPr>
            <w:tcW w:w="60" w:type="dxa"/>
            <w:vAlign w:val="bottom"/>
            <w:tcBorders>
              <w:top w:val="single" w:sz="8" w:color="CCEEFF"/>
            </w:tcBorders>
          </w:tcPr>
          <w:p>
            <w:pPr>
              <w:spacing w:after="0"/>
              <w:rPr>
                <w:sz w:val="17"/>
                <w:szCs w:val="17"/>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(30,056)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(37,497)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7,441</w:t>
            </w:r>
          </w:p>
        </w:tc>
        <w:tc>
          <w:tcPr>
            <w:tcW w:w="60" w:type="dxa"/>
            <w:vAlign w:val="bottom"/>
            <w:shd w:val="clear" w:color="auto" w:fill="CCEEFF"/>
          </w:tcPr>
          <w:p>
            <w:pPr>
              <w:spacing w:after="0"/>
              <w:rPr>
                <w:sz w:val="17"/>
                <w:szCs w:val="17"/>
                <w:color w:val="auto"/>
              </w:rPr>
            </w:pPr>
          </w:p>
        </w:tc>
      </w:tr>
      <w:tr>
        <w:trPr>
          <w:trHeight w:val="203"/>
        </w:trPr>
        <w:tc>
          <w:tcPr>
            <w:tcW w:w="4760" w:type="dxa"/>
            <w:vAlign w:val="bottom"/>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(1,192)</w:t>
            </w:r>
          </w:p>
        </w:tc>
        <w:tc>
          <w:tcPr>
            <w:tcW w:w="6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(31,264)</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(37,513)$</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6,249</w:t>
            </w:r>
          </w:p>
        </w:tc>
        <w:tc>
          <w:tcPr>
            <w:tcW w:w="60" w:type="dxa"/>
            <w:vAlign w:val="bottom"/>
            <w:shd w:val="clear" w:color="auto" w:fill="CCEEFF"/>
          </w:tcPr>
          <w:p>
            <w:pPr>
              <w:spacing w:after="0"/>
              <w:rPr>
                <w:sz w:val="18"/>
                <w:szCs w:val="18"/>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During the three months ended March 31, 2023 and 2022, we recognized revenue of $1.7 and $1.1 million under our collaboration agreement with Bristol-Myers Squibb,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5"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9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67"/>
        </w:trPr>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March 31, 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color w:val="auto"/>
              </w:rPr>
              <w:t>March 31, 2022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Change</w:t>
            </w:r>
          </w:p>
        </w:tc>
      </w:tr>
      <w:tr>
        <w:trPr>
          <w:trHeight w:val="156"/>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306"/>
              <w:spacing w:after="0" w:line="155"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12,469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9,595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2,874</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Facility and other allocated costs</w:t>
            </w:r>
          </w:p>
        </w:tc>
        <w:tc>
          <w:tcPr>
            <w:tcW w:w="16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20"/>
                <w:szCs w:val="20"/>
                <w:color w:val="auto"/>
              </w:rPr>
              <w:t>5,814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3,173</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laboratory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5,804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320</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Collaborations</w:t>
            </w:r>
          </w:p>
        </w:tc>
        <w:tc>
          <w:tcPr>
            <w:tcW w:w="16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20"/>
                <w:szCs w:val="20"/>
                <w:color w:val="auto"/>
              </w:rPr>
              <w:t>254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2,385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20"/>
                <w:szCs w:val="20"/>
                <w:color w:val="auto"/>
              </w:rPr>
              <w:t>(2,131)</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609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(371)</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162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(162)</w:t>
            </w:r>
          </w:p>
        </w:tc>
      </w:tr>
      <w:tr>
        <w:trPr>
          <w:trHeight w:val="236"/>
        </w:trPr>
        <w:tc>
          <w:tcPr>
            <w:tcW w:w="49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24,899</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21,196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3,703</w:t>
            </w:r>
          </w:p>
        </w:tc>
      </w:tr>
    </w:tbl>
    <w:p>
      <w:pPr>
        <w:spacing w:after="0" w:line="190"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Research and development expenses were $24.9 million and $21.2 million for the three months ended March 31, 2023 and 2022. The increase of $3.7 million was primarily due to:</w:t>
      </w:r>
    </w:p>
    <w:p>
      <w:pPr>
        <w:spacing w:after="0" w:line="132" w:lineRule="exact"/>
        <w:rPr>
          <w:sz w:val="20"/>
          <w:szCs w:val="20"/>
          <w:color w:val="auto"/>
        </w:rPr>
      </w:pPr>
    </w:p>
    <w:p>
      <w:pPr>
        <w:ind w:left="380" w:right="239" w:hanging="330"/>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personnel-related expenses of $2.9 million, including an increase of severance pay of $1.7, which was related to the reduction in force in January of 2023; an increase of $0.2 million in payroll tax expense; and an increase of $0.8 million in stock-based compensation.</w:t>
      </w:r>
    </w:p>
    <w:p>
      <w:pPr>
        <w:spacing w:after="0" w:line="157" w:lineRule="exact"/>
        <w:rPr>
          <w:rFonts w:ascii="Arial" w:cs="Arial" w:eastAsia="Arial" w:hAnsi="Arial"/>
          <w:sz w:val="18"/>
          <w:szCs w:val="18"/>
          <w:color w:val="auto"/>
        </w:rPr>
      </w:pPr>
    </w:p>
    <w:p>
      <w:pPr>
        <w:ind w:left="380" w:right="279" w:hanging="330"/>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$3.2 million of facility and other allocated costs, including an increase of rent and allocated overhead costs of $1.4 million and an increase in depreciation expense of $1.8 million as a result of an expansion of our geographic footprint for office and lab space;</w:t>
      </w:r>
    </w:p>
    <w:p>
      <w:pPr>
        <w:spacing w:after="0" w:line="143" w:lineRule="exact"/>
        <w:rPr>
          <w:rFonts w:ascii="Arial" w:cs="Arial" w:eastAsia="Arial" w:hAnsi="Arial"/>
          <w:sz w:val="18"/>
          <w:szCs w:val="18"/>
          <w:color w:val="auto"/>
        </w:rPr>
      </w:pPr>
    </w:p>
    <w:p>
      <w:pPr>
        <w:ind w:left="380" w:right="79" w:hanging="330"/>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$2.1 million related to our collaboration with FCDI. The decline was due to in process development work being completed in 2022 as the scope of work with FCDI has narrowed down to primarily manufacturing CNTY-101 clinical supply for us.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General and administrative expenses were $8.9 million for the three months ended March 31, 2023 and $7.3 million for three months ended March 31, 2022. The increase of $1.6 million was primarily due to increased personnel-related expenses of $0.8 million, and an increase of stock-based compensation of $0.6 million primarily attributable to an increase in headcount to build our infrastructure, increased information technology and facility costs, including rent, of $0.8 million, partially offset by a decrease in directors’ and officers’ insurance expense of $0.2 million, and decrease in professional development of $0.3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Interest expense was $0.4 million and $0.3 million for the three months ended March 31, 2023 and 2022, respectively, which related to our Loan Agreement with Hercules. On May 1, 2023, we repaid the loan in its entirety and thus expect our interest expenses to decrease accordingly in subsequent periods.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1"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Interest income was $2.6 million and $0.3 million for the three months ended March 31,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right="4419"/>
        <w:spacing w:after="0" w:line="451"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2"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To date, we have funded our operations from the issuance and sale of our equity securities, debt financing and collaboration revenues. Since our inception, we have raised approximately $591 million in net proceeds from the sales of our equity securities. As of March 31, 2023, we had cash, and cash equivalents of $86.8 million and investments of $248.0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$550.4 million as of March 31, 2023.</w:t>
      </w:r>
    </w:p>
    <w:p>
      <w:pPr>
        <w:spacing w:after="0" w:line="140"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No sales have been made under the Sales Agreement since its inception.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1"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4" w:lineRule="exact"/>
        <w:rPr>
          <w:rFonts w:ascii="Arial" w:cs="Arial" w:eastAsia="Arial" w:hAnsi="Arial"/>
          <w:sz w:val="18"/>
          <w:szCs w:val="18"/>
          <w:color w:val="auto"/>
        </w:rPr>
      </w:pPr>
    </w:p>
    <w:p>
      <w:pPr>
        <w:ind w:left="380" w:right="29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32" w:lineRule="exact"/>
        <w:rPr>
          <w:rFonts w:ascii="Arial" w:cs="Arial" w:eastAsia="Arial" w:hAnsi="Arial"/>
          <w:sz w:val="18"/>
          <w:szCs w:val="18"/>
          <w:color w:val="auto"/>
        </w:rPr>
      </w:pPr>
    </w:p>
    <w:p>
      <w:pPr>
        <w:ind w:left="380" w:right="219" w:hanging="330"/>
        <w:spacing w:after="0" w:line="24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60" w:lineRule="exact"/>
        <w:rPr>
          <w:rFonts w:ascii="Arial" w:cs="Arial" w:eastAsia="Arial" w:hAnsi="Arial"/>
          <w:sz w:val="18"/>
          <w:szCs w:val="18"/>
          <w:color w:val="auto"/>
        </w:rPr>
      </w:pPr>
    </w:p>
    <w:p>
      <w:pPr>
        <w:ind w:left="380" w:right="139" w:hanging="33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Arial" w:cs="Arial" w:eastAsia="Arial" w:hAnsi="Arial"/>
          <w:sz w:val="18"/>
          <w:szCs w:val="18"/>
          <w:color w:val="auto"/>
        </w:rPr>
      </w:pPr>
    </w:p>
    <w:p>
      <w:pPr>
        <w:ind w:left="380" w:right="7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right="779" w:hanging="330"/>
        <w:spacing w:after="0" w:line="26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7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79" w:lineRule="exact"/>
        <w:rPr>
          <w:sz w:val="20"/>
          <w:szCs w:val="20"/>
          <w:color w:val="auto"/>
        </w:rPr>
      </w:pPr>
    </w:p>
    <w:tbl>
      <w:tblPr>
        <w:tblLayout w:type="fixed"/>
        <w:tblInd w:w="4460" w:type="dxa"/>
        <w:tblCellMar>
          <w:top w:w="0" w:type="dxa"/>
          <w:left w:w="0" w:type="dxa"/>
          <w:bottom w:w="0" w:type="dxa"/>
          <w:right w:w="0" w:type="dxa"/>
        </w:tblCellMar>
      </w:tblPr>
      <w:tr>
        <w:trPr>
          <w:trHeight w:val="175"/>
        </w:trPr>
        <w:tc>
          <w:tcPr>
            <w:tcW w:w="1460" w:type="dxa"/>
            <w:vAlign w:val="bottom"/>
          </w:tcPr>
          <w:p>
            <w:pPr>
              <w:jc w:val="center"/>
              <w:ind w:right="8"/>
              <w:spacing w:after="0"/>
              <w:rPr>
                <w:sz w:val="20"/>
                <w:szCs w:val="20"/>
                <w:color w:val="auto"/>
              </w:rPr>
            </w:pPr>
            <w:r>
              <w:rPr>
                <w:rFonts w:ascii="Arial" w:cs="Arial" w:eastAsia="Arial" w:hAnsi="Arial"/>
                <w:sz w:val="14"/>
                <w:szCs w:val="14"/>
                <w:color w:val="auto"/>
              </w:rPr>
              <w:t>Three months ended</w:t>
            </w:r>
          </w:p>
        </w:tc>
        <w:tc>
          <w:tcPr>
            <w:tcW w:w="1720" w:type="dxa"/>
            <w:vAlign w:val="bottom"/>
          </w:tcPr>
          <w:p>
            <w:pPr>
              <w:jc w:val="center"/>
              <w:ind w:right="68"/>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5"/>
                <w:szCs w:val="15"/>
                <w:color w:val="auto"/>
              </w:rPr>
            </w:pPr>
          </w:p>
        </w:tc>
      </w:tr>
      <w:tr>
        <w:trPr>
          <w:trHeight w:val="167"/>
        </w:trPr>
        <w:tc>
          <w:tcPr>
            <w:tcW w:w="1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March 31, 2023</w:t>
            </w:r>
          </w:p>
        </w:tc>
        <w:tc>
          <w:tcPr>
            <w:tcW w:w="1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March 31, 2022</w:t>
            </w: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r>
    </w:tbl>
    <w:p>
      <w:pPr>
        <w:spacing w:after="0" w:line="149" w:lineRule="exact"/>
        <w:rPr>
          <w:sz w:val="20"/>
          <w:szCs w:val="20"/>
          <w:color w:val="auto"/>
        </w:rPr>
      </w:pPr>
    </w:p>
    <w:p>
      <w:pPr>
        <w:sectPr>
          <w:pgSz w:w="11900" w:h="16838" w:orient="portrait"/>
          <w:cols w:equalWidth="0" w:num="1">
            <w:col w:w="9019"/>
          </w:cols>
          <w:pgMar w:left="1440" w:top="518" w:right="1440" w:bottom="1440" w:gutter="0" w:footer="0" w:header="0"/>
        </w:sectPr>
      </w:pPr>
    </w:p>
    <w:p>
      <w:pPr>
        <w:ind w:left="60"/>
        <w:spacing w:after="0"/>
        <w:rPr>
          <w:sz w:val="20"/>
          <w:szCs w:val="20"/>
          <w:color w:val="auto"/>
        </w:rPr>
      </w:pPr>
      <w:r>
        <w:rPr>
          <w:rFonts w:ascii="Arial" w:cs="Arial" w:eastAsia="Arial" w:hAnsi="Arial"/>
          <w:sz w:val="18"/>
          <w:szCs w:val="18"/>
          <w:color w:val="auto"/>
        </w:rPr>
        <w:t>Net cash provided by (used in):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activities</w:t>
      </w:r>
    </w:p>
    <w:p>
      <w:pPr>
        <w:ind w:left="60"/>
        <w:spacing w:after="0" w:line="234" w:lineRule="auto"/>
        <w:rPr>
          <w:sz w:val="20"/>
          <w:szCs w:val="20"/>
          <w:color w:val="auto"/>
        </w:rPr>
      </w:pPr>
      <w:r>
        <w:rPr>
          <w:rFonts w:ascii="Arial" w:cs="Arial" w:eastAsia="Arial" w:hAnsi="Arial"/>
          <w:sz w:val="18"/>
          <w:szCs w:val="18"/>
          <w:color w:val="auto"/>
        </w:rPr>
        <w:t>Investing activities</w:t>
      </w:r>
    </w:p>
    <w:p>
      <w:pPr>
        <w:ind w:left="60"/>
        <w:spacing w:after="0" w:line="235" w:lineRule="auto"/>
        <w:rPr>
          <w:sz w:val="20"/>
          <w:szCs w:val="20"/>
          <w:color w:val="auto"/>
        </w:rPr>
      </w:pPr>
      <w:r>
        <w:rPr>
          <w:rFonts w:ascii="Arial" w:cs="Arial" w:eastAsia="Arial" w:hAnsi="Arial"/>
          <w:sz w:val="18"/>
          <w:szCs w:val="18"/>
          <w:color w:val="auto"/>
        </w:rPr>
        <w:t>Financing activities</w:t>
      </w:r>
    </w:p>
    <w:p>
      <w:pPr>
        <w:spacing w:after="0" w:line="1" w:lineRule="exact"/>
        <w:rPr>
          <w:sz w:val="20"/>
          <w:szCs w:val="20"/>
          <w:color w:val="auto"/>
        </w:rPr>
      </w:pPr>
    </w:p>
    <w:p>
      <w:pPr>
        <w:ind w:left="60"/>
        <w:spacing w:after="0" w:line="246" w:lineRule="auto"/>
        <w:rPr>
          <w:sz w:val="20"/>
          <w:szCs w:val="20"/>
          <w:color w:val="auto"/>
        </w:rPr>
      </w:pPr>
      <w:r>
        <w:rPr>
          <w:rFonts w:ascii="Arial" w:cs="Arial" w:eastAsia="Arial" w:hAnsi="Arial"/>
          <w:sz w:val="18"/>
          <w:szCs w:val="18"/>
          <w:color w:val="auto"/>
        </w:rPr>
        <w:t>Net increase in cash, cash equivalents, and restricted cash</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(29,219)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86,753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(115,972)</w:t>
            </w:r>
          </w:p>
        </w:tc>
      </w:tr>
      <w:tr>
        <w:trPr>
          <w:trHeight w:val="203"/>
        </w:trPr>
        <w:tc>
          <w:tcPr>
            <w:tcW w:w="40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31,338</w:t>
            </w:r>
          </w:p>
        </w:tc>
        <w:tc>
          <w:tcPr>
            <w:tcW w:w="5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(44,037)</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75,375</w:t>
            </w:r>
          </w:p>
        </w:tc>
      </w:tr>
      <w:tr>
        <w:trPr>
          <w:trHeight w:val="215"/>
        </w:trPr>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448</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26,878</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(26,430)</w:t>
            </w:r>
          </w:p>
        </w:tc>
      </w:tr>
      <w:tr>
        <w:trPr>
          <w:trHeight w:val="385"/>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2,567</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69,594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-779145</wp:posOffset>
            </wp:positionV>
            <wp:extent cx="56578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-521970</wp:posOffset>
            </wp:positionV>
            <wp:extent cx="565785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-264795</wp:posOffset>
            </wp:positionV>
            <wp:extent cx="565785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7175"/>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4320" w:space="140"/>
            <w:col w:w="4559"/>
          </w:cols>
          <w:pgMar w:left="1440" w:top="518" w:right="1440" w:bottom="1440" w:gutter="0" w:footer="0" w:header="0"/>
          <w:type w:val="continuous"/>
        </w:sectPr>
      </w:pPr>
    </w:p>
    <w:p>
      <w:pPr>
        <w:ind w:left="60" w:right="119"/>
        <w:spacing w:after="0" w:line="239" w:lineRule="auto"/>
        <w:rPr>
          <w:sz w:val="20"/>
          <w:szCs w:val="20"/>
          <w:color w:val="auto"/>
        </w:rPr>
      </w:pPr>
      <w:r>
        <w:rPr>
          <w:rFonts w:ascii="Arial" w:cs="Arial" w:eastAsia="Arial" w:hAnsi="Arial"/>
          <w:sz w:val="18"/>
          <w:szCs w:val="18"/>
          <w:color w:val="auto"/>
        </w:rPr>
        <w:t>Net cash used in operating activities was $29.2 million for the three months ended March 31, 2023. Net cash used in operating activities during the three months ended March 31, 2023 consisted primarily of our net loss of $31.3 million. The non-cash charges of $6.0 million consisted primarily of $2.9 million for depreciation expense, non-cash stock-based compensation expense of $3.8 million, and non-cash operating lease expense of $0.7 million. and net cash outflows from decreases in our accounts payable of $3.0 million and accrued expenses and other liabilities of $3.2 million.</w:t>
      </w:r>
    </w:p>
    <w:p>
      <w:pPr>
        <w:spacing w:after="0" w:line="167"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Net cash provided by operating activities was $86.8 million for the three months ended March 31, 2022. Net cash provided by operating activities during the three months ended March 31, 2022 consisted primarily of our deferred revenue of $122.1 million from our collaboration agreement with Bristol-Myers Squibb partially offset by our net loss of $37.5 million and net cash outflows from decreases in our accounts payable of $1.5 million, and accrued expenses and other liabilities of $1.2 million.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left="60" w:right="319"/>
        <w:spacing w:after="0" w:line="289" w:lineRule="auto"/>
        <w:rPr>
          <w:sz w:val="20"/>
          <w:szCs w:val="20"/>
          <w:color w:val="auto"/>
        </w:rPr>
      </w:pPr>
      <w:r>
        <w:rPr>
          <w:rFonts w:ascii="Arial" w:cs="Arial" w:eastAsia="Arial" w:hAnsi="Arial"/>
          <w:sz w:val="17"/>
          <w:szCs w:val="17"/>
          <w:color w:val="auto"/>
        </w:rPr>
        <w:t>Net cash provided by investing activities was $31.3 million for the three months ended March 31, 2023. Cash provided by investing activities for the three months ended March 31, 2023 consisted primarily of the sale 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39"/>
        <w:spacing w:after="0" w:line="260" w:lineRule="auto"/>
        <w:rPr>
          <w:sz w:val="20"/>
          <w:szCs w:val="20"/>
          <w:color w:val="auto"/>
        </w:rPr>
      </w:pPr>
      <w:r>
        <w:rPr>
          <w:rFonts w:ascii="Arial" w:cs="Arial" w:eastAsia="Arial" w:hAnsi="Arial"/>
          <w:sz w:val="18"/>
          <w:szCs w:val="18"/>
          <w:color w:val="auto"/>
        </w:rPr>
        <w:t>fixed maturity securities, available for sale of $79.2 million, which was partially offset by purchases of fixed maturity securities of $42.8 million and acquisition of property and equipment of $5.0 million.</w:t>
      </w:r>
    </w:p>
    <w:p>
      <w:pPr>
        <w:spacing w:after="0" w:line="146"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Cash used in investing activities was $44.0 million for the three months ended March 31, 2022. Cash used in investing activities for the three months ended March 31, 2022 consisted primarily of net purchases of fixed maturity securities of $103.1 million and purchases of property and equipment of $4.1 million.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5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Net cash provided by financing activities was $0.4 million for the three months ended March 31, 2023. Cash provided by financing activities consisted of $0.4 million from issuance of our common stock from equity incentive plans pursuant to the exercise of employee stock options.</w:t>
      </w:r>
    </w:p>
    <w:p>
      <w:pPr>
        <w:spacing w:after="0" w:line="103"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Net cash provided by financing activities was $26.9 million for the three months ended March 31, 2022. Cash provided by financing activities consisted primarily of net proceeds of $26.8 million from Bristol-Myers Squibb for the purchase of our common stock, and cash of $ 0.1 million from issuance of our common stock from equity incentive plans pursuant to the exercise of employee stock options.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March 31,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3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color w:val="auto"/>
              </w:rPr>
              <w:t>1 Year</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 to 3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 to 5 Years</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30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3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1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6,317</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$ 16,829</w:t>
            </w: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$ 17,721</w:t>
            </w:r>
          </w:p>
        </w:tc>
        <w:tc>
          <w:tcPr>
            <w:tcW w:w="54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50,811</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$ 91,678</w:t>
            </w: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10,395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10,395</w:t>
            </w:r>
          </w:p>
        </w:tc>
      </w:tr>
      <w:tr>
        <w:trPr>
          <w:trHeight w:val="256"/>
        </w:trPr>
        <w:tc>
          <w:tcPr>
            <w:tcW w:w="30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on long-term debt </w:t>
            </w:r>
            <w:r>
              <w:rPr>
                <w:rFonts w:ascii="Arial" w:cs="Arial" w:eastAsia="Arial" w:hAnsi="Arial"/>
                <w:sz w:val="25"/>
                <w:szCs w:val="25"/>
                <w:color w:val="auto"/>
                <w:vertAlign w:val="superscript"/>
              </w:rPr>
              <w:t>(1)</w:t>
            </w:r>
          </w:p>
        </w:tc>
        <w:tc>
          <w:tcPr>
            <w:tcW w:w="7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bl>
    <w:p>
      <w:pPr>
        <w:spacing w:after="0" w:line="189" w:lineRule="exact"/>
        <w:rPr>
          <w:sz w:val="20"/>
          <w:szCs w:val="20"/>
          <w:color w:val="auto"/>
        </w:rPr>
      </w:pPr>
    </w:p>
    <w:p>
      <w:pPr>
        <w:ind w:left="60" w:right="639" w:hanging="10"/>
        <w:spacing w:after="0" w:line="255" w:lineRule="auto"/>
        <w:tabs>
          <w:tab w:leader="none" w:pos="374"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34"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March 31, 2023 are contingent upon future events such as our achievement of pre- specified development, regulatory, and commercial milestones, or royalties on net product sales. As of March 31, 2023,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w:t>
      </w:r>
    </w:p>
    <w:p>
      <w:pPr>
        <w:spacing w:after="0" w:line="167"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unaudited consolidated financial statements for additional information.</w:t>
      </w:r>
    </w:p>
    <w:p>
      <w:pPr>
        <w:spacing w:after="0" w:line="147"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On May 1, 2023, the Company repaid the loan in its entirety See Note 9 to our unaudited consolidated financial statements for additional information.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otherwise generally applicable to public companies. As such, we may take advantage of reduced disclosure and other requirements otherwise generally applicable to public companies, including:</w:t>
      </w:r>
    </w:p>
    <w:p>
      <w:pPr>
        <w:spacing w:after="0" w:line="146" w:lineRule="exact"/>
        <w:rPr>
          <w:sz w:val="20"/>
          <w:szCs w:val="20"/>
          <w:color w:val="auto"/>
        </w:rPr>
      </w:pPr>
    </w:p>
    <w:p>
      <w:pPr>
        <w:ind w:left="380" w:right="63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71" w:lineRule="exact"/>
        <w:rPr>
          <w:rFonts w:ascii="Arial" w:cs="Arial" w:eastAsia="Arial" w:hAnsi="Arial"/>
          <w:sz w:val="18"/>
          <w:szCs w:val="18"/>
          <w:color w:val="auto"/>
        </w:rPr>
      </w:pPr>
    </w:p>
    <w:p>
      <w:pPr>
        <w:ind w:left="380" w:right="179" w:hanging="330"/>
        <w:spacing w:after="0" w:line="24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57" w:lineRule="exact"/>
        <w:rPr>
          <w:rFonts w:ascii="Arial" w:cs="Arial" w:eastAsia="Arial" w:hAnsi="Arial"/>
          <w:sz w:val="18"/>
          <w:szCs w:val="18"/>
          <w:color w:val="auto"/>
        </w:rPr>
      </w:pPr>
    </w:p>
    <w:p>
      <w:pPr>
        <w:ind w:left="380" w:right="53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95"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32" w:lineRule="exact"/>
        <w:rPr>
          <w:sz w:val="20"/>
          <w:szCs w:val="20"/>
          <w:color w:val="auto"/>
        </w:rPr>
      </w:pPr>
    </w:p>
    <w:p>
      <w:pPr>
        <w:ind w:left="60" w:right="579"/>
        <w:spacing w:after="0" w:line="289" w:lineRule="auto"/>
        <w:rPr>
          <w:sz w:val="20"/>
          <w:szCs w:val="20"/>
          <w:color w:val="auto"/>
        </w:rPr>
      </w:pPr>
      <w:r>
        <w:rPr>
          <w:rFonts w:ascii="Arial" w:cs="Arial" w:eastAsia="Arial" w:hAnsi="Arial"/>
          <w:sz w:val="17"/>
          <w:szCs w:val="17"/>
          <w:color w:val="auto"/>
        </w:rPr>
        <w:t>During the three months ended March 31, 2023, there were no material changes to our critical accounting policies from those described in our audited financial statements for the year ended December 31, 2022</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included in the our Annual Report on Form 10-K filed with the SEC on March 16, 2023, except as noted below.</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1" w:lineRule="exact"/>
        <w:rPr>
          <w:sz w:val="20"/>
          <w:szCs w:val="20"/>
          <w:color w:val="auto"/>
        </w:rPr>
      </w:pPr>
    </w:p>
    <w:p>
      <w:pPr>
        <w:jc w:val="both"/>
        <w:ind w:left="60" w:right="379"/>
        <w:spacing w:after="0" w:line="24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5"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had cash, cash equivalents, and restricted cash of $86.0 million as of March 31, 2023, which consisted of bank deposits and money market funds. We also had investments of $248.8 million as of March 31, 2023.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81" w:lineRule="exact"/>
        <w:rPr>
          <w:sz w:val="20"/>
          <w:szCs w:val="20"/>
          <w:color w:val="auto"/>
        </w:rPr>
      </w:pPr>
    </w:p>
    <w:p>
      <w:pPr>
        <w:ind w:left="60" w:right="79"/>
        <w:spacing w:after="0" w:line="28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1"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95"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spacing w:after="0" w:line="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15(e) under the Exchange Act,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principal executive officer and principal financial officer concluded that, as of such date, our disclosure controls and procedures were effective at a reasonable assurance level.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5" w:lineRule="exact"/>
        <w:rPr>
          <w:sz w:val="20"/>
          <w:szCs w:val="20"/>
          <w:color w:val="auto"/>
        </w:rPr>
      </w:pPr>
    </w:p>
    <w:p>
      <w:pPr>
        <w:jc w:val="both"/>
        <w:ind w:left="60" w:right="679"/>
        <w:spacing w:after="0" w:line="247" w:lineRule="auto"/>
        <w:rPr>
          <w:sz w:val="20"/>
          <w:szCs w:val="20"/>
          <w:color w:val="auto"/>
        </w:rPr>
      </w:pPr>
      <w:r>
        <w:rPr>
          <w:rFonts w:ascii="Arial" w:cs="Arial" w:eastAsia="Arial" w:hAnsi="Arial"/>
          <w:sz w:val="18"/>
          <w:szCs w:val="18"/>
          <w:color w:val="auto"/>
        </w:rPr>
        <w:t>Management determined that, as of March 31, 2023,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1"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1"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2022.</w:t>
      </w:r>
    </w:p>
    <w:p>
      <w:pPr>
        <w:spacing w:after="0" w:line="136" w:lineRule="exact"/>
        <w:rPr>
          <w:sz w:val="20"/>
          <w:szCs w:val="20"/>
          <w:color w:val="auto"/>
        </w:rPr>
      </w:pPr>
    </w:p>
    <w:p>
      <w:pPr>
        <w:ind w:left="60" w:right="3159"/>
        <w:spacing w:after="0" w:line="44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ind w:left="60" w:right="99"/>
        <w:spacing w:after="0" w:line="256"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53"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32" w:lineRule="exact"/>
        <w:rPr>
          <w:sz w:val="20"/>
          <w:szCs w:val="20"/>
          <w:color w:val="auto"/>
        </w:rPr>
      </w:pPr>
    </w:p>
    <w:p>
      <w:pPr>
        <w:ind w:left="60" w:right="459"/>
        <w:spacing w:after="0" w:line="260"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95"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20" w:type="dxa"/>
            <w:vAlign w:val="bottom"/>
            <w:tcBorders>
              <w:top w:val="single" w:sz="8" w:color="auto"/>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Executive Employment Agreement, by and between the Company and Hyam Levitsky, M.D., dated</w:t>
            </w:r>
          </w:p>
        </w:tc>
        <w:tc>
          <w:tcPr>
            <w:tcW w:w="120" w:type="dxa"/>
            <w:vAlign w:val="bottom"/>
            <w:tcBorders>
              <w:top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April 15, 2023</w:t>
            </w:r>
          </w:p>
        </w:tc>
        <w:tc>
          <w:tcPr>
            <w:tcW w:w="68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0000EE"/>
              </w:rPr>
              <w:t>Separation Agreement and Release by and between the Company and Hyam Levitsky, M.D., dated</w:t>
            </w:r>
          </w:p>
        </w:tc>
        <w:tc>
          <w:tcPr>
            <w:tcW w:w="0" w:type="dxa"/>
            <w:vAlign w:val="bottom"/>
          </w:tcPr>
          <w:p>
            <w:pPr>
              <w:spacing w:after="0"/>
              <w:rPr>
                <w:sz w:val="1"/>
                <w:szCs w:val="1"/>
                <w:color w:val="auto"/>
              </w:rPr>
            </w:pPr>
          </w:p>
        </w:tc>
      </w:tr>
      <w:tr>
        <w:trPr>
          <w:trHeight w:val="183"/>
        </w:trPr>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January 23, 2023</w:t>
            </w:r>
          </w:p>
        </w:tc>
        <w:tc>
          <w:tcPr>
            <w:tcW w:w="6480" w:type="dxa"/>
            <w:vAlign w:val="bottom"/>
            <w:tcBorders>
              <w:top w:val="single" w:sz="8" w:color="0000EE"/>
            </w:tcBorders>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Arial" w:cs="Arial" w:eastAsia="Arial" w:hAnsi="Arial"/>
                <w:sz w:val="18"/>
                <w:szCs w:val="18"/>
                <w:color w:val="0000EE"/>
              </w:rPr>
              <w:t>Certification of Principal Executive Officer Pursuant to Rules 13a-14(a) and 15d-14(a) under the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580" w:type="dxa"/>
            <w:vAlign w:val="bottom"/>
            <w:gridSpan w:val="3"/>
          </w:tcPr>
          <w:p>
            <w:pPr>
              <w:ind w:left="180"/>
              <w:spacing w:after="0" w:line="182" w:lineRule="exact"/>
              <w:rPr>
                <w:sz w:val="20"/>
                <w:szCs w:val="20"/>
                <w:color w:val="auto"/>
              </w:rPr>
            </w:pPr>
            <w:r>
              <w:rPr>
                <w:rFonts w:ascii="Arial" w:cs="Arial" w:eastAsia="Arial" w:hAnsi="Arial"/>
                <w:sz w:val="18"/>
                <w:szCs w:val="18"/>
                <w:color w:val="0000EE"/>
                <w:w w:val="94"/>
              </w:rPr>
              <w:t>2002</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0000EE"/>
              </w:rPr>
              <w:t>Certification of Principal Financial Officer Pursuant to Rules 13a-14(a) and 15d-14(a) under the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580" w:type="dxa"/>
            <w:vAlign w:val="bottom"/>
            <w:gridSpan w:val="3"/>
          </w:tcPr>
          <w:p>
            <w:pPr>
              <w:ind w:left="180"/>
              <w:spacing w:after="0" w:line="182" w:lineRule="exact"/>
              <w:rPr>
                <w:sz w:val="20"/>
                <w:szCs w:val="20"/>
                <w:color w:val="auto"/>
              </w:rPr>
            </w:pPr>
            <w:r>
              <w:rPr>
                <w:rFonts w:ascii="Arial" w:cs="Arial" w:eastAsia="Arial" w:hAnsi="Arial"/>
                <w:sz w:val="18"/>
                <w:szCs w:val="18"/>
                <w:color w:val="0000EE"/>
                <w:w w:val="94"/>
              </w:rPr>
              <w:t>2002</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Certification of Chief Executive Officer pursuant to 18 U.S.C. Section 1350, as adopted pursuant to</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40" w:type="dxa"/>
            <w:vAlign w:val="bottom"/>
            <w:gridSpan w:val="11"/>
          </w:tcPr>
          <w:p>
            <w:pPr>
              <w:spacing w:after="0" w:line="182" w:lineRule="exact"/>
              <w:rPr>
                <w:sz w:val="20"/>
                <w:szCs w:val="20"/>
                <w:color w:val="auto"/>
              </w:rPr>
            </w:pPr>
            <w:r>
              <w:rPr>
                <w:rFonts w:ascii="Arial" w:cs="Arial" w:eastAsia="Arial" w:hAnsi="Arial"/>
                <w:sz w:val="18"/>
                <w:szCs w:val="18"/>
                <w:color w:val="0000EE"/>
              </w:rPr>
              <w:t>Section 906 of the Sarbanes-Oxley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Arial" w:cs="Arial" w:eastAsia="Arial" w:hAnsi="Arial"/>
                <w:sz w:val="18"/>
                <w:szCs w:val="18"/>
                <w:color w:val="0000EE"/>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to Section 906 of the Sarbanes-Oxley Act of 2002</w:t>
            </w: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7"/>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7"/>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00" w:right="459" w:hanging="945"/>
        <w:spacing w:after="0" w:line="26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March 31, 2023,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7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193" w:lineRule="exact"/>
        <w:rPr>
          <w:sz w:val="20"/>
          <w:szCs w:val="20"/>
          <w:color w:val="auto"/>
        </w:rPr>
      </w:pPr>
    </w:p>
    <w:p>
      <w:pPr>
        <w:ind w:left="460" w:hanging="405"/>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7" w:lineRule="exact"/>
        <w:rPr>
          <w:rFonts w:ascii="Arial" w:cs="Arial" w:eastAsia="Arial" w:hAnsi="Arial"/>
          <w:sz w:val="18"/>
          <w:szCs w:val="18"/>
          <w:color w:val="auto"/>
        </w:rPr>
      </w:pPr>
    </w:p>
    <w:p>
      <w:pPr>
        <w:ind w:left="460" w:right="59"/>
        <w:spacing w:after="0" w:line="238"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90" w:lineRule="exact"/>
        <w:rPr>
          <w:sz w:val="20"/>
          <w:szCs w:val="20"/>
          <w:color w:val="auto"/>
        </w:rPr>
      </w:pPr>
    </w:p>
    <w:p>
      <w:pPr>
        <w:ind w:left="200" w:hanging="150"/>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5" w:lineRule="exact"/>
        <w:rPr>
          <w:sz w:val="20"/>
          <w:szCs w:val="20"/>
          <w:color w:val="auto"/>
        </w:rPr>
      </w:pPr>
    </w:p>
    <w:p>
      <w:pPr>
        <w:ind w:left="60" w:right="539"/>
        <w:spacing w:after="0" w:line="24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480" w:val="left"/>
          <w:tab w:leader="none" w:pos="58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Gregory Russotti, Ph.D.</w:t>
      </w:r>
    </w:p>
    <w:p>
      <w:pPr>
        <w:jc w:val="center"/>
        <w:ind w:left="4780"/>
        <w:spacing w:after="0"/>
        <w:rPr>
          <w:sz w:val="20"/>
          <w:szCs w:val="20"/>
          <w:color w:val="auto"/>
        </w:rPr>
      </w:pPr>
      <w:r>
        <w:rPr>
          <w:rFonts w:ascii="Arial" w:cs="Arial" w:eastAsia="Arial" w:hAnsi="Arial"/>
          <w:sz w:val="17"/>
          <w:szCs w:val="17"/>
          <w:color w:val="auto"/>
        </w:rPr>
        <w:t>interim President and Chief Executive Officer</w:t>
      </w:r>
    </w:p>
    <w:p>
      <w:pPr>
        <w:spacing w:after="0" w:line="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Executive Officer)</w:t>
      </w:r>
    </w:p>
    <w:p>
      <w:pPr>
        <w:spacing w:after="0" w:line="186" w:lineRule="exact"/>
        <w:rPr>
          <w:sz w:val="20"/>
          <w:szCs w:val="20"/>
          <w:color w:val="auto"/>
        </w:rPr>
      </w:pPr>
    </w:p>
    <w:p>
      <w:pPr>
        <w:ind w:left="60"/>
        <w:spacing w:after="0"/>
        <w:tabs>
          <w:tab w:leader="none" w:pos="4480" w:val="left"/>
          <w:tab w:leader="none" w:pos="598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2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Michael Diem, M.D.</w:t>
      </w:r>
    </w:p>
    <w:p>
      <w:pPr>
        <w:jc w:val="center"/>
        <w:ind w:left="47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7" w:name="page48"/>
    <w:bookmarkEnd w:id="47"/>
    <w:p>
      <w:pPr>
        <w:ind w:left="880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Executive Employment Agreement (the “</w:t>
      </w:r>
      <w:r>
        <w:rPr>
          <w:rFonts w:ascii="Arial" w:cs="Arial" w:eastAsia="Arial" w:hAnsi="Arial"/>
          <w:sz w:val="21"/>
          <w:szCs w:val="21"/>
          <w:b w:val="1"/>
          <w:bCs w:val="1"/>
          <w:color w:val="auto"/>
        </w:rPr>
        <w:t>Agreement</w:t>
      </w:r>
      <w:r>
        <w:rPr>
          <w:rFonts w:ascii="Arial" w:cs="Arial" w:eastAsia="Arial" w:hAnsi="Arial"/>
          <w:sz w:val="21"/>
          <w:szCs w:val="21"/>
          <w:color w:val="auto"/>
        </w:rPr>
        <w:t>”), dated April 15, 2023, is made and entered into by and between CENTURY THERAPEUTICS,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HYAM LEVITSKY (“</w:t>
      </w:r>
      <w:r>
        <w:rPr>
          <w:rFonts w:ascii="Arial" w:cs="Arial" w:eastAsia="Arial" w:hAnsi="Arial"/>
          <w:sz w:val="21"/>
          <w:szCs w:val="21"/>
          <w:b w:val="1"/>
          <w:bCs w:val="1"/>
          <w:color w:val="auto"/>
        </w:rPr>
        <w:t>Executive</w:t>
      </w:r>
      <w:r>
        <w:rPr>
          <w:rFonts w:ascii="Arial" w:cs="Arial" w:eastAsia="Arial" w:hAnsi="Arial"/>
          <w:sz w:val="21"/>
          <w:szCs w:val="21"/>
          <w:color w:val="auto"/>
        </w:rPr>
        <w:t>”), and will become effective as of April 12, 2023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22"/>
          <w:szCs w:val="22"/>
          <w:u w:val="single" w:color="auto"/>
          <w:color w:val="auto"/>
        </w:rPr>
        <w:t>Introduction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desires to employ Executive on the terms and conditions set forth herein; and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desires to be employed by the Company on such terms and conditions.</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and intending to be legally bound hereby, the parties agree as follows:</w:t>
      </w:r>
    </w:p>
    <w:p>
      <w:pPr>
        <w:spacing w:after="0" w:line="169" w:lineRule="exact"/>
        <w:rPr>
          <w:sz w:val="20"/>
          <w:szCs w:val="20"/>
          <w:color w:val="auto"/>
        </w:rPr>
      </w:pPr>
    </w:p>
    <w:p>
      <w:pPr>
        <w:jc w:val="both"/>
        <w:ind w:firstLine="8"/>
        <w:spacing w:after="0" w:line="245" w:lineRule="auto"/>
        <w:tabs>
          <w:tab w:leader="none" w:pos="648"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Position</w:t>
      </w:r>
      <w:r>
        <w:rPr>
          <w:rFonts w:ascii="Arial" w:cs="Arial" w:eastAsia="Arial" w:hAnsi="Arial"/>
          <w:sz w:val="21"/>
          <w:szCs w:val="21"/>
          <w:color w:val="auto"/>
        </w:rPr>
        <w:t>. Executive will serve as the President of Research and Development of the Company and will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report directly to the Chief Executive Officer of the Company or his or her delegate. In addition to 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(i) charitable or public service and (ii) the activities described on </w:t>
      </w:r>
      <w:r>
        <w:rPr>
          <w:rFonts w:ascii="Arial" w:cs="Arial" w:eastAsia="Arial" w:hAnsi="Arial"/>
          <w:sz w:val="21"/>
          <w:szCs w:val="21"/>
          <w:u w:val="single" w:color="auto"/>
          <w:color w:val="auto"/>
        </w:rPr>
        <w:t>Schedule 1</w:t>
      </w:r>
      <w:r>
        <w:rPr>
          <w:rFonts w:ascii="Arial" w:cs="Arial" w:eastAsia="Arial" w:hAnsi="Arial"/>
          <w:sz w:val="21"/>
          <w:szCs w:val="21"/>
          <w:color w:val="auto"/>
        </w:rPr>
        <w:t>, so long as such activities do not interfere with the performance of his duties and obligations to the Company.</w:t>
      </w:r>
    </w:p>
    <w:p>
      <w:pPr>
        <w:spacing w:after="0" w:line="180" w:lineRule="exact"/>
        <w:rPr>
          <w:rFonts w:ascii="Arial" w:cs="Arial" w:eastAsia="Arial" w:hAnsi="Arial"/>
          <w:sz w:val="21"/>
          <w:szCs w:val="21"/>
          <w:color w:val="auto"/>
        </w:rPr>
      </w:pPr>
    </w:p>
    <w:p>
      <w:pPr>
        <w:ind w:firstLine="8"/>
        <w:spacing w:after="0" w:line="256" w:lineRule="auto"/>
        <w:tabs>
          <w:tab w:leader="none" w:pos="64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Executive’s employment pursuant to this Agreement will commence on the Effective Date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continue until terminated in accordance with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hereof.</w:t>
      </w:r>
    </w:p>
    <w:p>
      <w:pPr>
        <w:spacing w:after="0" w:line="162" w:lineRule="exact"/>
        <w:rPr>
          <w:rFonts w:ascii="Arial" w:cs="Arial" w:eastAsia="Arial" w:hAnsi="Arial"/>
          <w:sz w:val="22"/>
          <w:szCs w:val="22"/>
          <w:color w:val="auto"/>
        </w:rPr>
      </w:pPr>
    </w:p>
    <w:p>
      <w:pPr>
        <w:jc w:val="both"/>
        <w:ind w:firstLine="8"/>
        <w:spacing w:after="0" w:line="260" w:lineRule="auto"/>
        <w:tabs>
          <w:tab w:leader="none" w:pos="648"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Place of Performance</w:t>
      </w:r>
      <w:r>
        <w:rPr>
          <w:rFonts w:ascii="Arial" w:cs="Arial" w:eastAsia="Arial" w:hAnsi="Arial"/>
          <w:sz w:val="21"/>
          <w:szCs w:val="21"/>
          <w:color w:val="auto"/>
        </w:rPr>
        <w:t>. Executive will perform services hereunder at the principal executive offices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in a location to be determined by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provided, however, that Executive may be required to travel from time to time for business purposes.</w:t>
      </w:r>
    </w:p>
    <w:p>
      <w:pPr>
        <w:spacing w:after="0" w:line="160" w:lineRule="exact"/>
        <w:rPr>
          <w:rFonts w:ascii="Arial" w:cs="Arial" w:eastAsia="Arial" w:hAnsi="Arial"/>
          <w:sz w:val="21"/>
          <w:szCs w:val="21"/>
          <w:color w:val="auto"/>
        </w:rPr>
      </w:pPr>
    </w:p>
    <w:p>
      <w:pPr>
        <w:jc w:val="both"/>
        <w:ind w:firstLine="8"/>
        <w:spacing w:after="0" w:line="237" w:lineRule="auto"/>
        <w:tabs>
          <w:tab w:leader="none" w:pos="64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Salary</w:t>
      </w:r>
      <w:r>
        <w:rPr>
          <w:rFonts w:ascii="Arial" w:cs="Arial" w:eastAsia="Arial" w:hAnsi="Arial"/>
          <w:sz w:val="22"/>
          <w:szCs w:val="22"/>
          <w:color w:val="auto"/>
        </w:rPr>
        <w:t>. This is a frill-time exempt position. The Company will pay Executive a salary at an annual rate of</w:t>
      </w:r>
      <w:r>
        <w:rPr>
          <w:rFonts w:ascii="Arial" w:cs="Arial" w:eastAsia="Arial" w:hAnsi="Arial"/>
          <w:sz w:val="22"/>
          <w:szCs w:val="22"/>
          <w:b w:val="1"/>
          <w:bCs w:val="1"/>
          <w:color w:val="auto"/>
        </w:rPr>
        <w:t xml:space="preserve"> </w:t>
      </w:r>
      <w:r>
        <w:rPr>
          <w:rFonts w:ascii="Arial" w:cs="Arial" w:eastAsia="Arial" w:hAnsi="Arial"/>
          <w:sz w:val="22"/>
          <w:szCs w:val="22"/>
          <w:color w:val="auto"/>
        </w:rPr>
        <w:t>$430,700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Company’s standard payroll schedule and subject to applicable deductions and withholdings. The Base Salary shall be reviewed on an annual basis by the Compensation Committee of the Board (the “</w:t>
      </w:r>
      <w:r>
        <w:rPr>
          <w:rFonts w:ascii="Arial" w:cs="Arial" w:eastAsia="Arial" w:hAnsi="Arial"/>
          <w:sz w:val="22"/>
          <w:szCs w:val="22"/>
          <w:b w:val="1"/>
          <w:bCs w:val="1"/>
          <w:color w:val="auto"/>
        </w:rPr>
        <w:t>Committee</w:t>
      </w:r>
      <w:r>
        <w:rPr>
          <w:rFonts w:ascii="Arial" w:cs="Arial" w:eastAsia="Arial" w:hAnsi="Arial"/>
          <w:sz w:val="22"/>
          <w:szCs w:val="22"/>
          <w:color w:val="auto"/>
        </w:rPr>
        <w:t>”) and may be adjusted from time to time by the Committee.</w:t>
      </w:r>
    </w:p>
    <w:p>
      <w:pPr>
        <w:spacing w:after="0" w:line="181" w:lineRule="exact"/>
        <w:rPr>
          <w:rFonts w:ascii="Arial" w:cs="Arial" w:eastAsia="Arial" w:hAnsi="Arial"/>
          <w:sz w:val="22"/>
          <w:szCs w:val="22"/>
          <w:color w:val="auto"/>
        </w:rPr>
      </w:pPr>
    </w:p>
    <w:p>
      <w:pPr>
        <w:jc w:val="both"/>
        <w:ind w:firstLine="8"/>
        <w:spacing w:after="0" w:line="243" w:lineRule="auto"/>
        <w:tabs>
          <w:tab w:leader="none" w:pos="64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Bonus</w:t>
      </w:r>
      <w:r>
        <w:rPr>
          <w:rFonts w:ascii="Arial" w:cs="Arial" w:eastAsia="Arial" w:hAnsi="Arial"/>
          <w:sz w:val="22"/>
          <w:szCs w:val="22"/>
          <w:color w:val="auto"/>
        </w:rPr>
        <w:t>. For each calendar year ending during his employment, Executive will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earn an annual bonus with a target amount of 40% of the Base Salary in effect at the end of the applicable year (the “</w:t>
      </w:r>
      <w:r>
        <w:rPr>
          <w:rFonts w:ascii="Arial" w:cs="Arial" w:eastAsia="Arial" w:hAnsi="Arial"/>
          <w:sz w:val="22"/>
          <w:szCs w:val="22"/>
          <w:b w:val="1"/>
          <w:bCs w:val="1"/>
          <w:color w:val="auto"/>
        </w:rPr>
        <w:t>Target Bonus</w:t>
      </w:r>
      <w:r>
        <w:rPr>
          <w:rFonts w:ascii="Arial" w:cs="Arial" w:eastAsia="Arial" w:hAnsi="Arial"/>
          <w:sz w:val="22"/>
          <w:szCs w:val="22"/>
          <w:color w:val="auto"/>
        </w:rPr>
        <w:t>”). The actual bonus payable to Executive,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746760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9"/>
          <w:szCs w:val="19"/>
          <w:color w:val="auto"/>
        </w:rPr>
        <w:t>any, with respect to any year may be more or less than the Target Bonus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1" w:lineRule="exact"/>
        <w:rPr>
          <w:sz w:val="20"/>
          <w:szCs w:val="20"/>
          <w:color w:val="auto"/>
        </w:rPr>
      </w:pPr>
    </w:p>
    <w:p>
      <w:pPr>
        <w:jc w:val="both"/>
        <w:ind w:firstLine="8"/>
        <w:spacing w:after="0" w:line="275" w:lineRule="auto"/>
        <w:tabs>
          <w:tab w:leader="none" w:pos="648"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Incentives</w:t>
      </w:r>
      <w:r>
        <w:rPr>
          <w:rFonts w:ascii="Arial" w:cs="Arial" w:eastAsia="Arial" w:hAnsi="Arial"/>
          <w:sz w:val="19"/>
          <w:szCs w:val="19"/>
          <w:color w:val="auto"/>
        </w:rPr>
        <w:t>. As soon as practicable after the Effective Date, the Company will recommend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that Executive receive a one-time grant of, as elected by Executive, either (i) stock options to purchase 131,250 shares of the Company’s common stock (as such term is defined in the Equity Documents) or (ii) stock options to purchase 98,437 shares of the Company’s common stock and restricted stock units covering 32,813 shares of the Company’s common stock. The Executive’s eligibility for and other rights with respect to the options and restricted stock units will be governed by the 2021 Equity Incentive Plan and the associated equity grant agreements required to be entered into by Executive and the Company (the “</w:t>
      </w:r>
      <w:r>
        <w:rPr>
          <w:rFonts w:ascii="Arial" w:cs="Arial" w:eastAsia="Arial" w:hAnsi="Arial"/>
          <w:sz w:val="19"/>
          <w:szCs w:val="19"/>
          <w:b w:val="1"/>
          <w:bCs w:val="1"/>
          <w:color w:val="auto"/>
        </w:rPr>
        <w:t>Equity Documents</w:t>
      </w:r>
      <w:r>
        <w:rPr>
          <w:rFonts w:ascii="Arial" w:cs="Arial" w:eastAsia="Arial" w:hAnsi="Arial"/>
          <w:sz w:val="19"/>
          <w:szCs w:val="19"/>
          <w:color w:val="auto"/>
        </w:rPr>
        <w:t>”). To the extent this Agreement conflicts with the Equity Documents, the Equity Documents shall control. Executive may receive additional equity awards, at times and on terms determined by the Committee in its discretion.</w:t>
      </w:r>
    </w:p>
    <w:p>
      <w:pPr>
        <w:spacing w:after="0" w:line="149" w:lineRule="exact"/>
        <w:rPr>
          <w:rFonts w:ascii="Arial" w:cs="Arial" w:eastAsia="Arial" w:hAnsi="Arial"/>
          <w:sz w:val="19"/>
          <w:szCs w:val="19"/>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 Business Expenses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656"/>
        <w:spacing w:after="0"/>
        <w:tabs>
          <w:tab w:leader="none" w:pos="12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86" w:lineRule="exact"/>
        <w:rPr>
          <w:rFonts w:ascii="Arial" w:cs="Arial" w:eastAsia="Arial" w:hAnsi="Arial"/>
          <w:sz w:val="22"/>
          <w:szCs w:val="22"/>
          <w:color w:val="auto"/>
        </w:rPr>
      </w:pPr>
    </w:p>
    <w:p>
      <w:pPr>
        <w:jc w:val="both"/>
        <w:ind w:firstLine="656"/>
        <w:spacing w:after="0" w:line="257" w:lineRule="auto"/>
        <w:tabs>
          <w:tab w:leader="none" w:pos="1296"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63" w:lineRule="exact"/>
        <w:rPr>
          <w:rFonts w:ascii="Arial" w:cs="Arial" w:eastAsia="Arial" w:hAnsi="Arial"/>
          <w:sz w:val="21"/>
          <w:szCs w:val="21"/>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656"/>
        <w:spacing w:after="0" w:line="275" w:lineRule="auto"/>
        <w:tabs>
          <w:tab w:leader="none" w:pos="1296" w:val="left"/>
        </w:tabs>
        <w:numPr>
          <w:ilvl w:val="1"/>
          <w:numId w:val="16"/>
        </w:numPr>
        <w:rPr>
          <w:rFonts w:ascii="Arial" w:cs="Arial" w:eastAsia="Arial" w:hAnsi="Arial"/>
          <w:sz w:val="19"/>
          <w:szCs w:val="19"/>
          <w:color w:val="auto"/>
        </w:rPr>
      </w:pPr>
      <w:r>
        <w:rPr>
          <w:rFonts w:ascii="Arial" w:cs="Arial" w:eastAsia="Arial" w:hAnsi="Arial"/>
          <w:sz w:val="19"/>
          <w:szCs w:val="19"/>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57" w:lineRule="exact"/>
        <w:rPr>
          <w:rFonts w:ascii="Arial" w:cs="Arial" w:eastAsia="Arial" w:hAnsi="Arial"/>
          <w:sz w:val="19"/>
          <w:szCs w:val="19"/>
          <w:color w:val="auto"/>
        </w:rPr>
      </w:pPr>
    </w:p>
    <w:p>
      <w:pPr>
        <w:jc w:val="both"/>
        <w:ind w:firstLine="656"/>
        <w:spacing w:after="0" w:line="238" w:lineRule="auto"/>
        <w:tabs>
          <w:tab w:leader="none" w:pos="1296" w:val="left"/>
        </w:tabs>
        <w:numPr>
          <w:ilvl w:val="1"/>
          <w:numId w:val="16"/>
        </w:numPr>
        <w:rPr>
          <w:rFonts w:ascii="Arial" w:cs="Arial" w:eastAsia="Arial" w:hAnsi="Arial"/>
          <w:sz w:val="22"/>
          <w:szCs w:val="22"/>
          <w:color w:val="auto"/>
        </w:rPr>
      </w:pPr>
      <w:r>
        <w:rPr>
          <w:rFonts w:ascii="Arial" w:cs="Arial" w:eastAsia="Arial" w:hAnsi="Arial"/>
          <w:sz w:val="22"/>
          <w:szCs w:val="22"/>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748030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49" w:name="page50"/>
    <w:bookmarkEnd w:id="49"/>
    <w:p>
      <w:pPr>
        <w:ind w:left="-8" w:firstLine="656"/>
        <w:spacing w:after="0" w:line="250" w:lineRule="auto"/>
        <w:tabs>
          <w:tab w:leader="none" w:pos="1288"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Upon any cessation of Executive’s employment with the Company, Executive will be entitled only to such compensation and benefits as described in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below.</w:t>
      </w:r>
    </w:p>
    <w:p>
      <w:pPr>
        <w:spacing w:after="0" w:line="174" w:lineRule="exact"/>
        <w:rPr>
          <w:rFonts w:ascii="Arial" w:cs="Arial" w:eastAsia="Arial" w:hAnsi="Arial"/>
          <w:sz w:val="22"/>
          <w:szCs w:val="22"/>
          <w:color w:val="auto"/>
        </w:rPr>
      </w:pPr>
    </w:p>
    <w:p>
      <w:pPr>
        <w:jc w:val="both"/>
        <w:ind w:left="-8" w:firstLine="656"/>
        <w:spacing w:after="0" w:line="279" w:lineRule="auto"/>
        <w:tabs>
          <w:tab w:leader="none" w:pos="1288" w:val="left"/>
        </w:tabs>
        <w:numPr>
          <w:ilvl w:val="1"/>
          <w:numId w:val="17"/>
        </w:numPr>
        <w:rPr>
          <w:rFonts w:ascii="Arial" w:cs="Arial" w:eastAsia="Arial" w:hAnsi="Arial"/>
          <w:sz w:val="19"/>
          <w:szCs w:val="19"/>
          <w:color w:val="auto"/>
        </w:rPr>
      </w:pPr>
      <w:r>
        <w:rPr>
          <w:rFonts w:ascii="Arial" w:cs="Arial" w:eastAsia="Arial" w:hAnsi="Arial"/>
          <w:sz w:val="19"/>
          <w:szCs w:val="19"/>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50" w:lineRule="exact"/>
        <w:rPr>
          <w:rFonts w:ascii="Arial" w:cs="Arial" w:eastAsia="Arial" w:hAnsi="Arial"/>
          <w:sz w:val="19"/>
          <w:szCs w:val="19"/>
          <w:color w:val="auto"/>
        </w:rPr>
      </w:pPr>
    </w:p>
    <w:p>
      <w:pPr>
        <w:jc w:val="both"/>
        <w:ind w:left="-8" w:firstLine="656"/>
        <w:spacing w:after="0" w:line="282" w:lineRule="auto"/>
        <w:tabs>
          <w:tab w:leader="none" w:pos="1288" w:val="left"/>
        </w:tabs>
        <w:numPr>
          <w:ilvl w:val="1"/>
          <w:numId w:val="17"/>
        </w:numPr>
        <w:rPr>
          <w:rFonts w:ascii="Arial" w:cs="Arial" w:eastAsia="Arial" w:hAnsi="Arial"/>
          <w:sz w:val="19"/>
          <w:szCs w:val="19"/>
          <w:color w:val="auto"/>
        </w:rPr>
      </w:pPr>
      <w:r>
        <w:rPr>
          <w:rFonts w:ascii="Arial" w:cs="Arial" w:eastAsia="Arial" w:hAnsi="Arial"/>
          <w:sz w:val="19"/>
          <w:szCs w:val="19"/>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41" w:lineRule="exact"/>
        <w:rPr>
          <w:rFonts w:ascii="Arial" w:cs="Arial" w:eastAsia="Arial" w:hAnsi="Arial"/>
          <w:sz w:val="19"/>
          <w:szCs w:val="19"/>
          <w:color w:val="auto"/>
        </w:rPr>
      </w:pPr>
    </w:p>
    <w:p>
      <w:pPr>
        <w:ind w:left="652" w:hanging="652"/>
        <w:spacing w:after="0"/>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Upon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 w:firstLine="656"/>
        <w:spacing w:after="0" w:line="243" w:lineRule="auto"/>
        <w:tabs>
          <w:tab w:leader="none" w:pos="1288" w:val="left"/>
        </w:tabs>
        <w:numPr>
          <w:ilvl w:val="1"/>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without Cause or Resignation for Good Reason</w:t>
      </w:r>
      <w:r>
        <w:rPr>
          <w:rFonts w:ascii="Arial" w:cs="Arial" w:eastAsia="Arial" w:hAnsi="Arial"/>
          <w:sz w:val="22"/>
          <w:szCs w:val="22"/>
          <w:color w:val="auto"/>
        </w:rPr>
        <w:t>. If Executive’s employment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ceases due to a termination by the Company without Cause (as defined below) or a resignation by Executive for Good Reason (as defined below):</w:t>
      </w:r>
    </w:p>
    <w:p>
      <w:pPr>
        <w:spacing w:after="0" w:line="182" w:lineRule="exact"/>
        <w:rPr>
          <w:rFonts w:ascii="Arial" w:cs="Arial" w:eastAsia="Arial" w:hAnsi="Arial"/>
          <w:sz w:val="22"/>
          <w:szCs w:val="22"/>
          <w:color w:val="auto"/>
        </w:rPr>
      </w:pPr>
    </w:p>
    <w:p>
      <w:pPr>
        <w:jc w:val="both"/>
        <w:ind w:left="-8" w:firstLine="1304"/>
        <w:spacing w:after="0"/>
        <w:tabs>
          <w:tab w:leader="none" w:pos="1936" w:val="left"/>
        </w:tabs>
        <w:numPr>
          <w:ilvl w:val="2"/>
          <w:numId w:val="18"/>
        </w:numPr>
        <w:rPr>
          <w:rFonts w:ascii="Arial" w:cs="Arial" w:eastAsia="Arial" w:hAnsi="Arial"/>
          <w:sz w:val="22"/>
          <w:szCs w:val="22"/>
          <w:color w:val="auto"/>
        </w:rPr>
      </w:pPr>
      <w:r>
        <w:rPr>
          <w:rFonts w:ascii="Arial" w:cs="Arial" w:eastAsia="Arial" w:hAnsi="Arial"/>
          <w:sz w:val="22"/>
          <w:szCs w:val="22"/>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86" w:lineRule="exact"/>
        <w:rPr>
          <w:rFonts w:ascii="Arial" w:cs="Arial" w:eastAsia="Arial" w:hAnsi="Arial"/>
          <w:sz w:val="22"/>
          <w:szCs w:val="22"/>
          <w:color w:val="auto"/>
        </w:rPr>
      </w:pPr>
    </w:p>
    <w:p>
      <w:pPr>
        <w:ind w:left="-8" w:firstLine="1304"/>
        <w:spacing w:after="0" w:line="328" w:lineRule="auto"/>
        <w:tabs>
          <w:tab w:leader="none" w:pos="1936" w:val="left"/>
        </w:tabs>
        <w:numPr>
          <w:ilvl w:val="2"/>
          <w:numId w:val="18"/>
        </w:numPr>
        <w:rPr>
          <w:rFonts w:ascii="Arial" w:cs="Arial" w:eastAsia="Arial" w:hAnsi="Arial"/>
          <w:sz w:val="19"/>
          <w:szCs w:val="19"/>
          <w:color w:val="auto"/>
        </w:rPr>
      </w:pPr>
      <w:r>
        <w:rPr>
          <w:rFonts w:ascii="Arial" w:cs="Arial" w:eastAsia="Arial" w:hAnsi="Arial"/>
          <w:sz w:val="19"/>
          <w:szCs w:val="19"/>
          <w:color w:val="auto"/>
        </w:rPr>
        <w:t xml:space="preserve">to the extent then unpaid, the Company shall pay to Executive the </w:t>
      </w:r>
      <w:r>
        <w:rPr>
          <w:rFonts w:ascii="Arial" w:cs="Arial" w:eastAsia="Arial" w:hAnsi="Arial"/>
          <w:sz w:val="19"/>
          <w:szCs w:val="19"/>
          <w:u w:val="single" w:color="auto"/>
          <w:color w:val="auto"/>
        </w:rPr>
        <w:t>annual</w:t>
      </w:r>
      <w:r>
        <w:rPr>
          <w:rFonts w:ascii="Arial" w:cs="Arial" w:eastAsia="Arial" w:hAnsi="Arial"/>
          <w:sz w:val="19"/>
          <w:szCs w:val="19"/>
          <w:color w:val="auto"/>
        </w:rPr>
        <w:t xml:space="preserve"> bonus (if any) earned with respect to the fiscal year ended immediately prior to the cessation of Executive’s employment;</w:t>
      </w:r>
    </w:p>
    <w:p>
      <w:pPr>
        <w:spacing w:after="0" w:line="104" w:lineRule="exact"/>
        <w:rPr>
          <w:rFonts w:ascii="Arial" w:cs="Arial" w:eastAsia="Arial" w:hAnsi="Arial"/>
          <w:sz w:val="19"/>
          <w:szCs w:val="19"/>
          <w:color w:val="auto"/>
        </w:rPr>
      </w:pPr>
    </w:p>
    <w:p>
      <w:pPr>
        <w:jc w:val="both"/>
        <w:ind w:left="-8" w:firstLine="1304"/>
        <w:spacing w:after="0" w:line="238" w:lineRule="auto"/>
        <w:tabs>
          <w:tab w:leader="none" w:pos="1936" w:val="left"/>
        </w:tabs>
        <w:numPr>
          <w:ilvl w:val="2"/>
          <w:numId w:val="18"/>
        </w:numPr>
        <w:rPr>
          <w:rFonts w:ascii="Arial" w:cs="Arial" w:eastAsia="Arial" w:hAnsi="Arial"/>
          <w:sz w:val="22"/>
          <w:szCs w:val="22"/>
          <w:color w:val="auto"/>
        </w:rPr>
      </w:pPr>
      <w:r>
        <w:rPr>
          <w:rFonts w:ascii="Arial" w:cs="Arial" w:eastAsia="Arial" w:hAnsi="Arial"/>
          <w:sz w:val="22"/>
          <w:szCs w:val="22"/>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184" w:lineRule="exact"/>
        <w:rPr>
          <w:rFonts w:ascii="Arial" w:cs="Arial" w:eastAsia="Arial" w:hAnsi="Arial"/>
          <w:sz w:val="22"/>
          <w:szCs w:val="22"/>
          <w:color w:val="auto"/>
        </w:rPr>
      </w:pPr>
    </w:p>
    <w:p>
      <w:pPr>
        <w:jc w:val="both"/>
        <w:ind w:left="-8" w:firstLine="1304"/>
        <w:spacing w:after="0" w:line="282" w:lineRule="auto"/>
        <w:tabs>
          <w:tab w:leader="none" w:pos="1936" w:val="left"/>
        </w:tabs>
        <w:numPr>
          <w:ilvl w:val="2"/>
          <w:numId w:val="18"/>
        </w:numPr>
        <w:rPr>
          <w:rFonts w:ascii="Arial" w:cs="Arial" w:eastAsia="Arial" w:hAnsi="Arial"/>
          <w:sz w:val="19"/>
          <w:szCs w:val="19"/>
          <w:color w:val="auto"/>
        </w:rPr>
      </w:pPr>
      <w:r>
        <w:rPr>
          <w:rFonts w:ascii="Arial" w:cs="Arial" w:eastAsia="Arial" w:hAnsi="Arial"/>
          <w:sz w:val="19"/>
          <w:szCs w:val="19"/>
          <w:color w:val="auto"/>
        </w:rPr>
        <w:t>if Executive validly elects to receive continuation coverage under the Company’s group health plan (if any) pursuant to the Consolidated Omnibus Budget Reconciliation Act of 1985 (“</w:t>
      </w:r>
      <w:r>
        <w:rPr>
          <w:rFonts w:ascii="Arial" w:cs="Arial" w:eastAsia="Arial" w:hAnsi="Arial"/>
          <w:sz w:val="19"/>
          <w:szCs w:val="19"/>
          <w:b w:val="1"/>
          <w:bCs w:val="1"/>
          <w:color w:val="auto"/>
        </w:rPr>
        <w:t>COBRA</w:t>
      </w:r>
      <w:r>
        <w:rPr>
          <w:rFonts w:ascii="Arial" w:cs="Arial" w:eastAsia="Arial" w:hAnsi="Arial"/>
          <w:sz w:val="19"/>
          <w:szCs w:val="19"/>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47" w:lineRule="exact"/>
        <w:rPr>
          <w:rFonts w:ascii="Arial" w:cs="Arial" w:eastAsia="Arial" w:hAnsi="Arial"/>
          <w:sz w:val="19"/>
          <w:szCs w:val="19"/>
          <w:color w:val="auto"/>
        </w:rPr>
      </w:pPr>
    </w:p>
    <w:p>
      <w:pPr>
        <w:jc w:val="both"/>
        <w:ind w:left="-8" w:firstLine="1304"/>
        <w:spacing w:after="0" w:line="238" w:lineRule="auto"/>
        <w:tabs>
          <w:tab w:leader="none" w:pos="1936" w:val="left"/>
        </w:tabs>
        <w:numPr>
          <w:ilvl w:val="2"/>
          <w:numId w:val="18"/>
        </w:numPr>
        <w:rPr>
          <w:rFonts w:ascii="Arial" w:cs="Arial" w:eastAsia="Arial" w:hAnsi="Arial"/>
          <w:sz w:val="22"/>
          <w:szCs w:val="22"/>
          <w:color w:val="auto"/>
        </w:rPr>
      </w:pPr>
      <w:r>
        <w:rPr>
          <w:rFonts w:ascii="Arial" w:cs="Arial" w:eastAsia="Arial" w:hAnsi="Arial"/>
          <w:sz w:val="22"/>
          <w:szCs w:val="22"/>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748030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90" w:right="99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22"/>
          <w:szCs w:val="22"/>
          <w:color w:val="auto"/>
        </w:rPr>
        <w:t>employment shall become vested upon the later of the date of Executive’s cessation of employment and the Change in Control.</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Except as otherwise provided in this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9"/>
          <w:szCs w:val="19"/>
          <w:u w:val="single" w:color="auto"/>
          <w:color w:val="auto"/>
        </w:rPr>
        <w:t>Section 9(a)(ii) - 9(a)(v)</w:t>
      </w:r>
      <w:r>
        <w:rPr>
          <w:rFonts w:ascii="Arial" w:cs="Arial" w:eastAsia="Arial" w:hAnsi="Arial"/>
          <w:sz w:val="19"/>
          <w:szCs w:val="19"/>
          <w:color w:val="auto"/>
        </w:rPr>
        <w:t xml:space="preserve"> are conditioned on Executive’s execution and delivery to the Company and the expiration of all applicable statutory revocation periods, by the 60</w:t>
      </w:r>
      <w:r>
        <w:rPr>
          <w:rFonts w:ascii="Arial" w:cs="Arial" w:eastAsia="Arial" w:hAnsi="Arial"/>
          <w:sz w:val="14"/>
          <w:szCs w:val="14"/>
          <w:color w:val="auto"/>
        </w:rPr>
        <w:t>th</w:t>
      </w:r>
      <w:r>
        <w:rPr>
          <w:rFonts w:ascii="Arial" w:cs="Arial" w:eastAsia="Arial" w:hAnsi="Arial"/>
          <w:sz w:val="19"/>
          <w:szCs w:val="19"/>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and on Executive’s continued compliance with the provisions of the Proprietary Information and Assignment Agreement (defined below).</w:t>
      </w:r>
    </w:p>
    <w:p>
      <w:pPr>
        <w:spacing w:after="0" w:line="200" w:lineRule="exact"/>
        <w:rPr>
          <w:sz w:val="20"/>
          <w:szCs w:val="20"/>
          <w:color w:val="auto"/>
        </w:rPr>
      </w:pP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Subject to Section 10 below (to the extent applicable) and provided the Release requirement described above has been timely satisfied: (x) the payment described in </w:t>
      </w:r>
      <w:r>
        <w:rPr>
          <w:rFonts w:ascii="Arial" w:cs="Arial" w:eastAsia="Arial" w:hAnsi="Arial"/>
          <w:sz w:val="21"/>
          <w:szCs w:val="21"/>
          <w:u w:val="single" w:color="auto"/>
          <w:color w:val="auto"/>
        </w:rPr>
        <w:t>Section 9(a)(ii)</w:t>
      </w:r>
      <w:r>
        <w:rPr>
          <w:rFonts w:ascii="Arial" w:cs="Arial" w:eastAsia="Arial" w:hAnsi="Arial"/>
          <w:sz w:val="21"/>
          <w:szCs w:val="21"/>
          <w:color w:val="auto"/>
        </w:rPr>
        <w:t xml:space="preserve"> will be paid on the later of the sixty-fifth (65th) day following Executive’s cessation of employment (the “</w:t>
      </w:r>
      <w:r>
        <w:rPr>
          <w:rFonts w:ascii="Arial" w:cs="Arial" w:eastAsia="Arial" w:hAnsi="Arial"/>
          <w:sz w:val="21"/>
          <w:szCs w:val="21"/>
          <w:b w:val="1"/>
          <w:bCs w:val="1"/>
          <w:color w:val="auto"/>
        </w:rPr>
        <w:t>Settlement Date</w:t>
      </w:r>
      <w:r>
        <w:rPr>
          <w:rFonts w:ascii="Arial" w:cs="Arial" w:eastAsia="Arial" w:hAnsi="Arial"/>
          <w:sz w:val="21"/>
          <w:szCs w:val="21"/>
          <w:color w:val="auto"/>
        </w:rPr>
        <w:t xml:space="preserve">”)and the date such annual bonus would have otherwise been paid, absent Executive’s cessation of employment; (y) the payments described in </w:t>
      </w:r>
      <w:r>
        <w:rPr>
          <w:rFonts w:ascii="Arial" w:cs="Arial" w:eastAsia="Arial" w:hAnsi="Arial"/>
          <w:sz w:val="21"/>
          <w:szCs w:val="21"/>
          <w:u w:val="single" w:color="auto"/>
          <w:color w:val="auto"/>
        </w:rPr>
        <w:t>Section 9(a)(iii)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9(a)(iv)</w:t>
      </w:r>
      <w:r>
        <w:rPr>
          <w:rFonts w:ascii="Arial" w:cs="Arial" w:eastAsia="Arial" w:hAnsi="Arial"/>
          <w:sz w:val="21"/>
          <w:szCs w:val="21"/>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21"/>
          <w:szCs w:val="21"/>
          <w:u w:val="single" w:color="auto"/>
          <w:color w:val="auto"/>
        </w:rPr>
        <w:t>Section 9(a)(v)</w:t>
      </w:r>
      <w:r>
        <w:rPr>
          <w:rFonts w:ascii="Arial" w:cs="Arial" w:eastAsia="Arial" w:hAnsi="Arial"/>
          <w:sz w:val="21"/>
          <w:szCs w:val="21"/>
          <w:color w:val="auto"/>
        </w:rPr>
        <w:t xml:space="preserve"> will be paid on the later of the Settlement Date or the tenth (10th) day following the Change in Control.</w:t>
      </w:r>
    </w:p>
    <w:p>
      <w:pPr>
        <w:spacing w:after="0" w:line="178" w:lineRule="exact"/>
        <w:rPr>
          <w:sz w:val="20"/>
          <w:szCs w:val="20"/>
          <w:color w:val="auto"/>
        </w:rPr>
      </w:pPr>
    </w:p>
    <w:p>
      <w:pPr>
        <w:jc w:val="both"/>
        <w:ind w:firstLine="656"/>
        <w:spacing w:after="0" w:line="280" w:lineRule="auto"/>
        <w:tabs>
          <w:tab w:leader="none" w:pos="1296" w:val="left"/>
        </w:tabs>
        <w:numPr>
          <w:ilvl w:val="1"/>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Terminations</w:t>
      </w:r>
      <w:r>
        <w:rPr>
          <w:rFonts w:ascii="Arial" w:cs="Arial" w:eastAsia="Arial" w:hAnsi="Arial"/>
          <w:sz w:val="19"/>
          <w:szCs w:val="19"/>
          <w:color w:val="auto"/>
        </w:rPr>
        <w:t>. If Executive’s employment with the Company ceases for any reason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as described in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above (including but not limited to (i) termination by the Company for Cause,</w:t>
      </w:r>
    </w:p>
    <w:p>
      <w:pPr>
        <w:jc w:val="both"/>
        <w:ind w:firstLine="8"/>
        <w:spacing w:after="0" w:line="243" w:lineRule="auto"/>
        <w:tabs>
          <w:tab w:leader="none" w:pos="335" w:val="left"/>
        </w:tabs>
        <w:numPr>
          <w:ilvl w:val="0"/>
          <w:numId w:val="20"/>
        </w:numPr>
        <w:rPr>
          <w:rFonts w:ascii="Arial" w:cs="Arial" w:eastAsia="Arial" w:hAnsi="Arial"/>
          <w:sz w:val="21"/>
          <w:szCs w:val="21"/>
          <w:color w:val="auto"/>
        </w:rPr>
      </w:pPr>
      <w:r>
        <w:rPr>
          <w:rFonts w:ascii="Arial" w:cs="Arial" w:eastAsia="Arial" w:hAnsi="Arial"/>
          <w:sz w:val="21"/>
          <w:szCs w:val="21"/>
          <w:color w:val="auto"/>
        </w:rPr>
        <w:t>resignation by Executive without Good Reason, (iii) termination as a result of Executive’s Disability, or (iv) Executive’s death), then the Company’s 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8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656"/>
        <w:spacing w:after="0" w:line="250" w:lineRule="auto"/>
        <w:tabs>
          <w:tab w:leader="none" w:pos="12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parties intend for this Agreement to comply with or be exempt from Section 409A of the Code, and all provisions of this Agreement will be interpreted and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51" w:name="page52"/>
    <w:bookmarkEnd w:id="51"/>
    <w:p>
      <w:pPr>
        <w:spacing w:after="0" w:line="250" w:lineRule="auto"/>
        <w:rPr>
          <w:sz w:val="20"/>
          <w:szCs w:val="20"/>
          <w:color w:val="auto"/>
        </w:rPr>
      </w:pPr>
      <w:r>
        <w:rPr>
          <w:rFonts w:ascii="Arial" w:cs="Arial" w:eastAsia="Arial" w:hAnsi="Arial"/>
          <w:sz w:val="22"/>
          <w:szCs w:val="22"/>
          <w:color w:val="auto"/>
        </w:rPr>
        <w:t>accordingly. Nonetheless, the Company does not guaranty the tax treatment of any compensation payable to Executive.</w:t>
      </w:r>
    </w:p>
    <w:p>
      <w:pPr>
        <w:spacing w:after="0" w:line="175" w:lineRule="exact"/>
        <w:rPr>
          <w:sz w:val="20"/>
          <w:szCs w:val="20"/>
          <w:color w:val="auto"/>
        </w:rPr>
      </w:pPr>
    </w:p>
    <w:p>
      <w:pPr>
        <w:jc w:val="both"/>
        <w:ind w:firstLine="656"/>
        <w:spacing w:after="0" w:line="272" w:lineRule="auto"/>
        <w:tabs>
          <w:tab w:leader="none" w:pos="1296"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no portion of the benefits or payments to be made under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1.409A-l(b)(9)(iii) (or any successor provision) to amounts payable hereunder. For purposes of the application of Section 409A of the Code, each payment in a series of payments will be deemed a separate payment.</w:t>
      </w:r>
    </w:p>
    <w:p>
      <w:pPr>
        <w:spacing w:after="0" w:line="160" w:lineRule="exact"/>
        <w:rPr>
          <w:rFonts w:ascii="Arial" w:cs="Arial" w:eastAsia="Arial" w:hAnsi="Arial"/>
          <w:sz w:val="19"/>
          <w:szCs w:val="19"/>
          <w:color w:val="auto"/>
        </w:rPr>
      </w:pPr>
    </w:p>
    <w:p>
      <w:pPr>
        <w:jc w:val="both"/>
        <w:ind w:firstLine="656"/>
        <w:spacing w:after="0" w:line="245" w:lineRule="auto"/>
        <w:tabs>
          <w:tab w:leader="none" w:pos="1296"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8" w:lineRule="exact"/>
        <w:rPr>
          <w:rFonts w:ascii="Arial" w:cs="Arial" w:eastAsia="Arial" w:hAnsi="Arial"/>
          <w:sz w:val="21"/>
          <w:szCs w:val="21"/>
          <w:color w:val="auto"/>
        </w:rPr>
      </w:pPr>
    </w:p>
    <w:p>
      <w:pPr>
        <w:jc w:val="both"/>
        <w:ind w:firstLine="8"/>
        <w:spacing w:after="0" w:line="272" w:lineRule="auto"/>
        <w:tabs>
          <w:tab w:leader="none" w:pos="648"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280G</w:t>
      </w:r>
      <w:r>
        <w:rPr>
          <w:rFonts w:ascii="Arial" w:cs="Arial" w:eastAsia="Arial" w:hAnsi="Arial"/>
          <w:sz w:val="19"/>
          <w:szCs w:val="19"/>
          <w:color w:val="auto"/>
        </w:rPr>
        <w:t>. Notwithstanding any contrary provision of this Agreement (or any plan, policy,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arrangement covering Executive), if any payment, right or benefit paid, provided or due to Executive, whether pursuant to this Agreement or otherwise (each, a “</w:t>
      </w:r>
      <w:r>
        <w:rPr>
          <w:rFonts w:ascii="Arial" w:cs="Arial" w:eastAsia="Arial" w:hAnsi="Arial"/>
          <w:sz w:val="19"/>
          <w:szCs w:val="19"/>
          <w:b w:val="1"/>
          <w:bCs w:val="1"/>
          <w:color w:val="auto"/>
        </w:rPr>
        <w:t>Payment</w:t>
      </w:r>
      <w:r>
        <w:rPr>
          <w:rFonts w:ascii="Arial" w:cs="Arial" w:eastAsia="Arial" w:hAnsi="Arial"/>
          <w:sz w:val="19"/>
          <w:szCs w:val="19"/>
          <w:color w:val="auto"/>
        </w:rPr>
        <w:t>,” and collectively, the “</w:t>
      </w:r>
      <w:r>
        <w:rPr>
          <w:rFonts w:ascii="Arial" w:cs="Arial" w:eastAsia="Arial" w:hAnsi="Arial"/>
          <w:sz w:val="19"/>
          <w:szCs w:val="19"/>
          <w:b w:val="1"/>
          <w:bCs w:val="1"/>
          <w:color w:val="auto"/>
        </w:rPr>
        <w:t>Total Payments</w:t>
      </w:r>
      <w:r>
        <w:rPr>
          <w:rFonts w:ascii="Arial" w:cs="Arial" w:eastAsia="Arial" w:hAnsi="Arial"/>
          <w:sz w:val="19"/>
          <w:szCs w:val="19"/>
          <w:color w:val="auto"/>
        </w:rPr>
        <w:t>”), would subject Executive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Total Payments will be reduced to the minimum extent necessary to avoid the imposition of the Excise Tax, but only if</w:t>
      </w:r>
    </w:p>
    <w:p>
      <w:pPr>
        <w:jc w:val="both"/>
        <w:spacing w:after="0" w:line="272" w:lineRule="auto"/>
        <w:rPr>
          <w:rFonts w:ascii="Arial" w:cs="Arial" w:eastAsia="Arial" w:hAnsi="Arial"/>
          <w:sz w:val="19"/>
          <w:szCs w:val="19"/>
          <w:color w:val="auto"/>
        </w:rPr>
      </w:pPr>
      <w:r>
        <w:rPr>
          <w:rFonts w:ascii="Arial" w:cs="Arial" w:eastAsia="Arial" w:hAnsi="Arial"/>
          <w:sz w:val="19"/>
          <w:szCs w:val="19"/>
          <w:color w:val="auto"/>
        </w:rPr>
        <w:t>(i)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52" w:name="page53"/>
    <w:bookmarkEnd w:id="52"/>
    <w:p>
      <w:pPr>
        <w:ind w:left="652" w:hanging="652"/>
        <w:spacing w:after="0"/>
        <w:tabs>
          <w:tab w:leader="none" w:pos="652"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For purposes of this Agreement:</w:t>
      </w:r>
    </w:p>
    <w:p>
      <w:pPr>
        <w:spacing w:after="0" w:line="206" w:lineRule="exact"/>
        <w:rPr>
          <w:rFonts w:ascii="Arial" w:cs="Arial" w:eastAsia="Arial" w:hAnsi="Arial"/>
          <w:sz w:val="22"/>
          <w:szCs w:val="22"/>
          <w:color w:val="auto"/>
        </w:rPr>
      </w:pPr>
    </w:p>
    <w:p>
      <w:pPr>
        <w:jc w:val="both"/>
        <w:ind w:left="-8" w:firstLine="656"/>
        <w:spacing w:after="0" w:line="270" w:lineRule="auto"/>
        <w:tabs>
          <w:tab w:leader="none" w:pos="1288"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62" w:lineRule="exact"/>
        <w:rPr>
          <w:rFonts w:ascii="Arial" w:cs="Arial" w:eastAsia="Arial" w:hAnsi="Arial"/>
          <w:sz w:val="19"/>
          <w:szCs w:val="19"/>
          <w:color w:val="auto"/>
        </w:rPr>
      </w:pPr>
    </w:p>
    <w:p>
      <w:pPr>
        <w:ind w:left="-8" w:firstLine="656"/>
        <w:spacing w:after="0" w:line="256" w:lineRule="auto"/>
        <w:tabs>
          <w:tab w:leader="none" w:pos="1288"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shall mean the occurrence of a “change in control event” with respect to the Company, within the meaning of Treas. Reg. § 1.409A-3(i)(5)(i).</w:t>
      </w:r>
    </w:p>
    <w:p>
      <w:pPr>
        <w:spacing w:after="0" w:line="162" w:lineRule="exact"/>
        <w:rPr>
          <w:rFonts w:ascii="Arial" w:cs="Arial" w:eastAsia="Arial" w:hAnsi="Arial"/>
          <w:sz w:val="22"/>
          <w:szCs w:val="22"/>
          <w:color w:val="auto"/>
        </w:rPr>
      </w:pPr>
    </w:p>
    <w:p>
      <w:pPr>
        <w:ind w:left="1292" w:hanging="644"/>
        <w:spacing w:after="0"/>
        <w:tabs>
          <w:tab w:leader="none" w:pos="1292"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06" w:lineRule="exact"/>
        <w:rPr>
          <w:rFonts w:ascii="Arial" w:cs="Arial" w:eastAsia="Arial" w:hAnsi="Arial"/>
          <w:sz w:val="22"/>
          <w:szCs w:val="22"/>
          <w:color w:val="auto"/>
        </w:rPr>
      </w:pPr>
    </w:p>
    <w:p>
      <w:pPr>
        <w:jc w:val="both"/>
        <w:ind w:left="-8" w:firstLine="656"/>
        <w:spacing w:after="0" w:line="272" w:lineRule="auto"/>
        <w:tabs>
          <w:tab w:leader="none" w:pos="1288"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a condition entitling Executive to benefits under the Company’s long term disability plan, policy or arrangement; provided, however, that if no such plan, policy or arrangement is then maintained by the Company and applicable to Executive, “Disability” will mean Executive’s inability to perform his duties under this Agreement due to a mental or physical condition (other than alcohol or substance abuse) that can be expected to result in death or that can be expected to last (or has already lasted) for a continuous period of</w:t>
      </w:r>
    </w:p>
    <w:p>
      <w:pPr>
        <w:ind w:left="-8" w:firstLine="8"/>
        <w:spacing w:after="0" w:line="236" w:lineRule="auto"/>
        <w:tabs>
          <w:tab w:leader="none" w:pos="277" w:val="left"/>
        </w:tabs>
        <w:numPr>
          <w:ilvl w:val="0"/>
          <w:numId w:val="25"/>
        </w:numPr>
        <w:rPr>
          <w:rFonts w:ascii="Arial" w:cs="Arial" w:eastAsia="Arial" w:hAnsi="Arial"/>
          <w:sz w:val="22"/>
          <w:szCs w:val="22"/>
          <w:color w:val="auto"/>
        </w:rPr>
      </w:pPr>
      <w:r>
        <w:rPr>
          <w:rFonts w:ascii="Arial" w:cs="Arial" w:eastAsia="Arial" w:hAnsi="Arial"/>
          <w:sz w:val="22"/>
          <w:szCs w:val="22"/>
          <w:color w:val="auto"/>
        </w:rPr>
        <w:t>days or more, or for 120 days in any 180 consecutive-day period. Termination as a result of a Disability will not be construed as a termination by the Company “without Cause.”</w:t>
      </w:r>
    </w:p>
    <w:p>
      <w:pPr>
        <w:spacing w:after="0" w:line="180" w:lineRule="exact"/>
        <w:rPr>
          <w:rFonts w:ascii="Arial" w:cs="Arial" w:eastAsia="Arial" w:hAnsi="Arial"/>
          <w:sz w:val="22"/>
          <w:szCs w:val="22"/>
          <w:color w:val="auto"/>
        </w:rPr>
      </w:pPr>
    </w:p>
    <w:p>
      <w:pPr>
        <w:jc w:val="both"/>
        <w:ind w:left="-8" w:firstLine="656"/>
        <w:spacing w:after="0" w:line="278" w:lineRule="auto"/>
        <w:tabs>
          <w:tab w:leader="none" w:pos="128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 (y) such event is not reversed or corrected by the Company within 30 days of its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727075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084" w:right="999" w:bottom="1440" w:gutter="0" w:footer="0" w:header="0"/>
        </w:sectPr>
      </w:pPr>
    </w:p>
    <w:bookmarkStart w:id="53" w:name="page54"/>
    <w:bookmarkEnd w:id="53"/>
    <w:p>
      <w:pPr>
        <w:spacing w:after="0" w:line="250" w:lineRule="auto"/>
        <w:rPr>
          <w:sz w:val="20"/>
          <w:szCs w:val="20"/>
          <w:color w:val="auto"/>
        </w:rPr>
      </w:pPr>
      <w:r>
        <w:rPr>
          <w:rFonts w:ascii="Arial" w:cs="Arial" w:eastAsia="Arial" w:hAnsi="Arial"/>
          <w:sz w:val="22"/>
          <w:szCs w:val="22"/>
          <w:color w:val="auto"/>
        </w:rPr>
        <w:t>of such written objection, and (z) Executive separates from service within 60 days following the expiration of that cure period.</w:t>
      </w:r>
    </w:p>
    <w:p>
      <w:pPr>
        <w:spacing w:after="0" w:line="169" w:lineRule="exact"/>
        <w:rPr>
          <w:sz w:val="20"/>
          <w:szCs w:val="20"/>
          <w:color w:val="auto"/>
        </w:rPr>
      </w:pPr>
    </w:p>
    <w:p>
      <w:pPr>
        <w:jc w:val="both"/>
        <w:ind w:firstLine="656"/>
        <w:spacing w:after="0" w:line="289" w:lineRule="auto"/>
        <w:tabs>
          <w:tab w:leader="none" w:pos="1296"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Severance Period</w:t>
      </w:r>
      <w:r>
        <w:rPr>
          <w:rFonts w:ascii="Arial" w:cs="Arial" w:eastAsia="Arial" w:hAnsi="Arial"/>
          <w:sz w:val="19"/>
          <w:szCs w:val="19"/>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9"/>
          <w:szCs w:val="19"/>
          <w:color w:val="auto"/>
        </w:rPr>
      </w:pPr>
    </w:p>
    <w:p>
      <w:pPr>
        <w:jc w:val="both"/>
        <w:ind w:firstLine="8"/>
        <w:spacing w:after="0" w:line="243"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Policies</w:t>
      </w:r>
      <w:r>
        <w:rPr>
          <w:rFonts w:ascii="Arial" w:cs="Arial" w:eastAsia="Arial" w:hAnsi="Arial"/>
          <w:sz w:val="22"/>
          <w:szCs w:val="22"/>
          <w:color w:val="auto"/>
        </w:rPr>
        <w:t>. Executive will comply with all policies of the Company in effect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policies regarding ethics, personal conduct, stock ownership, securities trading, clawback and hedging and pledging of securities.</w:t>
      </w:r>
    </w:p>
    <w:p>
      <w:pPr>
        <w:spacing w:after="0" w:line="176" w:lineRule="exact"/>
        <w:rPr>
          <w:rFonts w:ascii="Arial" w:cs="Arial" w:eastAsia="Arial" w:hAnsi="Arial"/>
          <w:sz w:val="22"/>
          <w:szCs w:val="22"/>
          <w:color w:val="auto"/>
        </w:rPr>
      </w:pPr>
    </w:p>
    <w:p>
      <w:pPr>
        <w:jc w:val="both"/>
        <w:ind w:firstLine="8"/>
        <w:spacing w:after="0" w:line="239"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 In addition to any rights to indemnification to which Executive may be entitled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governing documents, the Company shall obtain and maintain an appropriate level of Directors and Officers Liability insurance coverage for Executive’s benefit on the same terms as applicable to other directors and C-level executives of the Company.</w:t>
      </w:r>
    </w:p>
    <w:p>
      <w:pPr>
        <w:spacing w:after="0" w:line="180" w:lineRule="exact"/>
        <w:rPr>
          <w:rFonts w:ascii="Arial" w:cs="Arial" w:eastAsia="Arial" w:hAnsi="Arial"/>
          <w:sz w:val="22"/>
          <w:szCs w:val="22"/>
          <w:color w:val="auto"/>
        </w:rPr>
      </w:pPr>
    </w:p>
    <w:p>
      <w:pPr>
        <w:jc w:val="both"/>
        <w:ind w:firstLine="8"/>
        <w:spacing w:after="0" w:line="243"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Proprietary Information and Assignment Agreement</w:t>
      </w:r>
      <w:r>
        <w:rPr>
          <w:rFonts w:ascii="Arial" w:cs="Arial" w:eastAsia="Arial" w:hAnsi="Arial"/>
          <w:sz w:val="22"/>
          <w:szCs w:val="22"/>
          <w:color w:val="auto"/>
        </w:rPr>
        <w:t>. On the same date this Agreement is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will execute the Proprietary Information and Assignment Agreement attached hereto as Exhibit A (the “</w:t>
      </w:r>
      <w:r>
        <w:rPr>
          <w:rFonts w:ascii="Arial" w:cs="Arial" w:eastAsia="Arial" w:hAnsi="Arial"/>
          <w:sz w:val="22"/>
          <w:szCs w:val="22"/>
          <w:b w:val="1"/>
          <w:bCs w:val="1"/>
          <w:color w:val="auto"/>
        </w:rPr>
        <w:t>Proprietary Information and Assignment Agreement</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8"/>
        <w:spacing w:after="0" w:line="289"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Conflicting Agreements</w:t>
      </w:r>
      <w:r>
        <w:rPr>
          <w:rFonts w:ascii="Arial" w:cs="Arial" w:eastAsia="Arial" w:hAnsi="Arial"/>
          <w:sz w:val="19"/>
          <w:szCs w:val="19"/>
          <w:color w:val="auto"/>
        </w:rPr>
        <w:t>. Executive represents and warrants that he is not a party to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bound by any agreement or restriction that could conflict with, or be violated by, the 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9"/>
          <w:szCs w:val="19"/>
          <w:color w:val="auto"/>
        </w:rPr>
      </w:pPr>
    </w:p>
    <w:p>
      <w:pPr>
        <w:jc w:val="both"/>
        <w:ind w:firstLine="8"/>
        <w:spacing w:after="0" w:line="237" w:lineRule="auto"/>
        <w:tabs>
          <w:tab w:leader="none" w:pos="648"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All compensation payable to Executive are subject to reduction to reflect applicable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and payroll taxes 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81" w:lineRule="exact"/>
        <w:rPr>
          <w:rFonts w:ascii="Arial" w:cs="Arial" w:eastAsia="Arial" w:hAnsi="Arial"/>
          <w:sz w:val="22"/>
          <w:szCs w:val="22"/>
          <w:color w:val="auto"/>
        </w:rPr>
      </w:pPr>
    </w:p>
    <w:p>
      <w:pPr>
        <w:ind w:left="660" w:hanging="652"/>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Assignment; Amendment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2" w:lineRule="exact"/>
        <w:rPr>
          <w:rFonts w:ascii="Arial" w:cs="Arial" w:eastAsia="Arial" w:hAnsi="Arial"/>
          <w:sz w:val="19"/>
          <w:szCs w:val="19"/>
          <w:color w:val="auto"/>
        </w:rPr>
      </w:pPr>
    </w:p>
    <w:p>
      <w:pPr>
        <w:jc w:val="both"/>
        <w:ind w:firstLine="656"/>
        <w:spacing w:after="0" w:line="282" w:lineRule="auto"/>
        <w:tabs>
          <w:tab w:leader="none" w:pos="1296"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Section 9(a) or otherwise, whether or not Executive accepts employment with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724535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54" w:name="page55"/>
    <w:bookmarkEnd w:id="54"/>
    <w:p>
      <w:pPr>
        <w:ind w:firstLine="656"/>
        <w:spacing w:after="0" w:line="250" w:lineRule="auto"/>
        <w:tabs>
          <w:tab w:leader="none" w:pos="1296"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This Agreement may be amended or modified only by a written instrument signed by a duly authorized officer of the Company and Executive.</w:t>
      </w:r>
    </w:p>
    <w:p>
      <w:pPr>
        <w:spacing w:after="0" w:line="168" w:lineRule="exact"/>
        <w:rPr>
          <w:rFonts w:ascii="Arial" w:cs="Arial" w:eastAsia="Arial" w:hAnsi="Arial"/>
          <w:sz w:val="22"/>
          <w:szCs w:val="22"/>
          <w:color w:val="auto"/>
        </w:rPr>
      </w:pPr>
    </w:p>
    <w:p>
      <w:pPr>
        <w:ind w:firstLine="8"/>
        <w:spacing w:after="0" w:line="256" w:lineRule="auto"/>
        <w:tabs>
          <w:tab w:leader="none" w:pos="648"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in accordance with the internal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Delaware, without regard to its choice of law provisions.</w:t>
      </w:r>
    </w:p>
    <w:p>
      <w:pPr>
        <w:spacing w:after="0" w:line="162" w:lineRule="exact"/>
        <w:rPr>
          <w:rFonts w:ascii="Arial" w:cs="Arial" w:eastAsia="Arial" w:hAnsi="Arial"/>
          <w:sz w:val="22"/>
          <w:szCs w:val="22"/>
          <w:color w:val="auto"/>
        </w:rPr>
      </w:pPr>
    </w:p>
    <w:p>
      <w:pPr>
        <w:jc w:val="both"/>
        <w:ind w:firstLine="8"/>
        <w:spacing w:after="0" w:line="272"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any dispute under the provisions of this Agreement or otherwise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or compensation (other than a dispute in which the primary 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51" w:lineRule="exact"/>
        <w:rPr>
          <w:rFonts w:ascii="Arial" w:cs="Arial" w:eastAsia="Arial" w:hAnsi="Arial"/>
          <w:sz w:val="19"/>
          <w:szCs w:val="19"/>
          <w:color w:val="auto"/>
        </w:rPr>
      </w:pPr>
    </w:p>
    <w:p>
      <w:pPr>
        <w:ind w:firstLine="8"/>
        <w:spacing w:after="0" w:line="256" w:lineRule="auto"/>
        <w:tabs>
          <w:tab w:leader="none" w:pos="648"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the sections of this Agreement are inserted for convenience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the meaning of this Agreement.</w:t>
      </w:r>
    </w:p>
    <w:p>
      <w:pPr>
        <w:spacing w:after="0" w:line="162" w:lineRule="exact"/>
        <w:rPr>
          <w:rFonts w:ascii="Arial" w:cs="Arial" w:eastAsia="Arial" w:hAnsi="Arial"/>
          <w:sz w:val="22"/>
          <w:szCs w:val="22"/>
          <w:color w:val="auto"/>
        </w:rPr>
      </w:pPr>
    </w:p>
    <w:p>
      <w:pPr>
        <w:jc w:val="both"/>
        <w:ind w:firstLine="8"/>
        <w:spacing w:after="0" w:line="275"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demands or other communications hereunder shall be in writing and shall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duly given if delivered in person, by e-mail or fax, by United States mail, certified or registered with return receipt requested, or by a nationally recognized overnight courier service, or otherwise actually delivered:</w:t>
      </w:r>
    </w:p>
    <w:p>
      <w:pPr>
        <w:spacing w:after="0" w:line="1"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7" w:lineRule="exact"/>
        <w:rPr>
          <w:rFonts w:ascii="Arial" w:cs="Arial" w:eastAsia="Arial" w:hAnsi="Arial"/>
          <w:sz w:val="19"/>
          <w:szCs w:val="19"/>
          <w:color w:val="auto"/>
        </w:rPr>
      </w:pPr>
    </w:p>
    <w:p>
      <w:pPr>
        <w:jc w:val="both"/>
        <w:ind w:firstLine="8"/>
        <w:spacing w:after="0" w:line="243" w:lineRule="auto"/>
        <w:tabs>
          <w:tab w:leader="none" w:pos="648"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separate counterparts, any one of which need not</w:t>
      </w:r>
      <w:r>
        <w:rPr>
          <w:rFonts w:ascii="Arial" w:cs="Arial" w:eastAsia="Arial" w:hAnsi="Arial"/>
          <w:sz w:val="22"/>
          <w:szCs w:val="22"/>
          <w:b w:val="1"/>
          <w:bCs w:val="1"/>
          <w:color w:val="auto"/>
        </w:rPr>
        <w:t xml:space="preserve"> </w:t>
      </w:r>
      <w:r>
        <w:rPr>
          <w:rFonts w:ascii="Arial" w:cs="Arial" w:eastAsia="Arial" w:hAnsi="Arial"/>
          <w:sz w:val="22"/>
          <w:szCs w:val="22"/>
          <w:color w:val="auto"/>
        </w:rPr>
        <w:t>contain signatures of more than one party, but all of which taken together will constitute one and the same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898525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0" w:right="999" w:bottom="1440" w:gutter="0" w:footer="0" w:header="0"/>
        </w:sectPr>
      </w:pPr>
    </w:p>
    <w:bookmarkStart w:id="55" w:name="page56"/>
    <w:bookmarkEnd w:id="55"/>
    <w:p>
      <w:pPr>
        <w:ind w:left="200"/>
        <w:spacing w:after="0"/>
        <w:rPr>
          <w:sz w:val="20"/>
          <w:szCs w:val="20"/>
          <w:color w:val="auto"/>
        </w:rPr>
      </w:pPr>
      <w:r>
        <w:rPr>
          <w:rFonts w:ascii="Arial" w:cs="Arial" w:eastAsia="Arial" w:hAnsi="Arial"/>
          <w:sz w:val="22"/>
          <w:szCs w:val="22"/>
          <w:color w:val="auto"/>
        </w:rPr>
        <w:t>This Agreement has been executed and delivered on the date first above written.</w:t>
      </w:r>
    </w:p>
    <w:p>
      <w:pPr>
        <w:spacing w:after="0" w:line="214" w:lineRule="exact"/>
        <w:rPr>
          <w:sz w:val="20"/>
          <w:szCs w:val="20"/>
          <w:color w:val="auto"/>
        </w:rPr>
      </w:pPr>
    </w:p>
    <w:p>
      <w:pPr>
        <w:jc w:val="right"/>
        <w:ind w:right="1020"/>
        <w:spacing w:after="0"/>
        <w:rPr>
          <w:sz w:val="20"/>
          <w:szCs w:val="20"/>
          <w:color w:val="auto"/>
        </w:rPr>
      </w:pPr>
      <w:r>
        <w:rPr>
          <w:rFonts w:ascii="Arial" w:cs="Arial" w:eastAsia="Arial" w:hAnsi="Arial"/>
          <w:sz w:val="22"/>
          <w:szCs w:val="22"/>
          <w:b w:val="1"/>
          <w:bCs w:val="1"/>
          <w:color w:val="auto"/>
        </w:rPr>
        <w:t>CENTURY THERAPEUTICS, INC.</w:t>
      </w:r>
    </w:p>
    <w:p>
      <w:pPr>
        <w:spacing w:after="0" w:line="200" w:lineRule="exact"/>
        <w:rPr>
          <w:sz w:val="20"/>
          <w:szCs w:val="20"/>
          <w:color w:val="auto"/>
        </w:rPr>
      </w:pPr>
    </w:p>
    <w:p>
      <w:pPr>
        <w:spacing w:after="0" w:line="282" w:lineRule="exact"/>
        <w:rPr>
          <w:sz w:val="20"/>
          <w:szCs w:val="20"/>
          <w:color w:val="auto"/>
        </w:rPr>
      </w:pPr>
    </w:p>
    <w:tbl>
      <w:tblPr>
        <w:tblLayout w:type="fixed"/>
        <w:tblInd w:w="5080" w:type="dxa"/>
        <w:tblCellMar>
          <w:top w:w="0" w:type="dxa"/>
          <w:left w:w="0" w:type="dxa"/>
          <w:bottom w:w="0" w:type="dxa"/>
          <w:right w:w="0" w:type="dxa"/>
        </w:tblCellMar>
      </w:tblPr>
      <w:tr>
        <w:trPr>
          <w:trHeight w:val="264"/>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Russotti, Ph.D.</w:t>
            </w:r>
          </w:p>
        </w:tc>
      </w:tr>
      <w:tr>
        <w:trPr>
          <w:trHeight w:val="237"/>
        </w:trPr>
        <w:tc>
          <w:tcPr>
            <w:tcW w:w="660" w:type="dxa"/>
            <w:vAlign w:val="bottom"/>
          </w:tcPr>
          <w:p>
            <w:pPr>
              <w:spacing w:after="0" w:line="237" w:lineRule="exact"/>
              <w:rPr>
                <w:sz w:val="20"/>
                <w:szCs w:val="20"/>
                <w:color w:val="auto"/>
              </w:rPr>
            </w:pPr>
            <w:r>
              <w:rPr>
                <w:rFonts w:ascii="Arial" w:cs="Arial" w:eastAsia="Arial" w:hAnsi="Arial"/>
                <w:sz w:val="22"/>
                <w:szCs w:val="22"/>
                <w:color w:val="auto"/>
                <w:w w:val="98"/>
              </w:rPr>
              <w:t>Name:</w:t>
            </w:r>
          </w:p>
        </w:tc>
        <w:tc>
          <w:tcPr>
            <w:tcW w:w="372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Gregory Russotti, Ph.D.</w:t>
            </w:r>
          </w:p>
        </w:tc>
      </w:tr>
      <w:tr>
        <w:trPr>
          <w:trHeight w:val="215"/>
        </w:trPr>
        <w:tc>
          <w:tcPr>
            <w:tcW w:w="660" w:type="dxa"/>
            <w:vAlign w:val="bottom"/>
          </w:tcPr>
          <w:p>
            <w:pPr>
              <w:spacing w:after="0" w:line="216" w:lineRule="exact"/>
              <w:rPr>
                <w:sz w:val="20"/>
                <w:szCs w:val="20"/>
                <w:color w:val="auto"/>
              </w:rPr>
            </w:pPr>
            <w:r>
              <w:rPr>
                <w:rFonts w:ascii="Arial" w:cs="Arial" w:eastAsia="Arial" w:hAnsi="Arial"/>
                <w:sz w:val="22"/>
                <w:szCs w:val="22"/>
                <w:color w:val="auto"/>
              </w:rPr>
              <w:t>Title:</w:t>
            </w:r>
          </w:p>
        </w:tc>
        <w:tc>
          <w:tcPr>
            <w:tcW w:w="3720" w:type="dxa"/>
            <w:vAlign w:val="bottom"/>
          </w:tcPr>
          <w:p>
            <w:pPr>
              <w:spacing w:after="0" w:line="216" w:lineRule="exact"/>
              <w:rPr>
                <w:sz w:val="20"/>
                <w:szCs w:val="20"/>
                <w:color w:val="auto"/>
              </w:rPr>
            </w:pPr>
            <w:r>
              <w:rPr>
                <w:rFonts w:ascii="Arial" w:cs="Arial" w:eastAsia="Arial" w:hAnsi="Arial"/>
                <w:sz w:val="22"/>
                <w:szCs w:val="22"/>
                <w:color w:val="auto"/>
              </w:rPr>
              <w:t>Interim President and Chief Executive</w:t>
            </w:r>
          </w:p>
        </w:tc>
      </w:tr>
      <w:tr>
        <w:trPr>
          <w:trHeight w:val="264"/>
        </w:trPr>
        <w:tc>
          <w:tcPr>
            <w:tcW w:w="660" w:type="dxa"/>
            <w:vAlign w:val="bottom"/>
          </w:tcPr>
          <w:p>
            <w:pPr>
              <w:spacing w:after="0"/>
              <w:rPr>
                <w:sz w:val="22"/>
                <w:szCs w:val="22"/>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5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7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Hyam Levitsky, M.D.</w:t>
      </w:r>
    </w:p>
    <w:p>
      <w:pPr>
        <w:spacing w:after="0" w:line="200" w:lineRule="exact"/>
        <w:rPr>
          <w:sz w:val="20"/>
          <w:szCs w:val="20"/>
          <w:color w:val="auto"/>
        </w:rPr>
      </w:pPr>
    </w:p>
    <w:p>
      <w:pPr>
        <w:spacing w:after="0" w:line="282"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Hyam Levitsky,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6985</wp:posOffset>
            </wp:positionV>
            <wp:extent cx="2357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Hyam Levitsky,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wp:posOffset>
            </wp:positionV>
            <wp:extent cx="235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Employment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090" w:right="999" w:bottom="1440" w:gutter="0" w:footer="0" w:header="0"/>
        </w:sectPr>
      </w:pPr>
    </w:p>
    <w:bookmarkStart w:id="56" w:name="page57"/>
    <w:bookmarkEnd w:id="56"/>
    <w:p>
      <w:pPr>
        <w:ind w:left="8800"/>
        <w:spacing w:after="0"/>
        <w:rPr>
          <w:sz w:val="20"/>
          <w:szCs w:val="20"/>
          <w:color w:val="auto"/>
        </w:rPr>
      </w:pPr>
      <w:r>
        <w:rPr>
          <w:rFonts w:ascii="Arial" w:cs="Arial" w:eastAsia="Arial" w:hAnsi="Arial"/>
          <w:sz w:val="19"/>
          <w:szCs w:val="19"/>
          <w:b w:val="1"/>
          <w:bCs w:val="1"/>
          <w:color w:val="auto"/>
        </w:rPr>
        <w:t>Exhibit 10.2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THIS SEPARATION AGREEMENT AND RELEASE is made by and between HYAM LEVITSKY, M.D. (“Employee”) and CENTURY THERAPEUTICS, INC. (the “Company”) as of the last date signed below.</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Employee is presently employed by the Company as its President of Research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Development;</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on May 26, 2021, Employee entered into an Employee Confidentiality, Restrictive Covenant and Assignment Agreement (the “Confidentiality Agreement”) and an Executive Employment Agreement with the Company (the “Employment Agreement”);</w:t>
      </w:r>
    </w:p>
    <w:p>
      <w:pPr>
        <w:spacing w:after="0" w:line="18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WHEREAS, on January 5, 2023, Employee provided the Company with written notice of his intention to resign from employment with “Good Reason” (as that term is used in the Employment Agreement);</w:t>
      </w:r>
    </w:p>
    <w:p>
      <w:pPr>
        <w:spacing w:after="0" w:line="10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the Company and Employee desire to enter into this Separation Agreement and Release to set forth the terms and conditions of Employee’s remaining period of employment and Employee’s entitlements in connection with the cessation of his employment; and</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NOW THEREFORE, in consideration of the mutual promises made herein, intending to be legally bound, the Company and Employee hereby agree as follows:</w:t>
      </w:r>
    </w:p>
    <w:p>
      <w:pPr>
        <w:spacing w:after="0" w:line="175" w:lineRule="exact"/>
        <w:rPr>
          <w:sz w:val="20"/>
          <w:szCs w:val="20"/>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Transition Period; Cessation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35" w:lineRule="auto"/>
        <w:tabs>
          <w:tab w:leader="none" w:pos="25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Company agrees to continue to employ Employee, and Employee agrees to remain in employment with the Company, until the earliest of (i) January 31, 2023 (the “Termination Date”), (ii) the date of Employee’s death or Disability, or (iii) the date Employee’s employment is terminated by the Company with Cause, at which time Employee’s employment by the Company will cease. For the purposes of this Separation Agreement and Release, “Cause” and “Disability” have the meaning set forth in the Employment Agreement.</w:t>
      </w:r>
    </w:p>
    <w:p>
      <w:pPr>
        <w:spacing w:after="0" w:line="187"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30"/>
        </w:numPr>
        <w:rPr>
          <w:rFonts w:ascii="Arial" w:cs="Arial" w:eastAsia="Arial" w:hAnsi="Arial"/>
          <w:sz w:val="19"/>
          <w:szCs w:val="19"/>
          <w:color w:val="auto"/>
        </w:rPr>
      </w:pPr>
      <w:r>
        <w:rPr>
          <w:rFonts w:ascii="Arial" w:cs="Arial" w:eastAsia="Arial" w:hAnsi="Arial"/>
          <w:sz w:val="19"/>
          <w:szCs w:val="19"/>
          <w:color w:val="auto"/>
        </w:rPr>
        <w:t>During the period between the date hereof and the date his employment ceases (the “Transition Period”), Employee agrees to devote his reasonable best efforts and full business time to the performance of his duties for the Company and its affiliates (collectively, the “Company Group”), including, but not limited to, conducting an orderly transition of his duties to other Company Group personnel.</w:t>
      </w:r>
    </w:p>
    <w:p>
      <w:pPr>
        <w:spacing w:after="0" w:line="142" w:lineRule="exact"/>
        <w:rPr>
          <w:rFonts w:ascii="Arial" w:cs="Arial" w:eastAsia="Arial" w:hAnsi="Arial"/>
          <w:sz w:val="19"/>
          <w:szCs w:val="19"/>
          <w:color w:val="auto"/>
        </w:rPr>
      </w:pPr>
    </w:p>
    <w:p>
      <w:pPr>
        <w:jc w:val="both"/>
        <w:ind w:firstLine="1952"/>
        <w:spacing w:after="0" w:line="238" w:lineRule="auto"/>
        <w:tabs>
          <w:tab w:leader="none" w:pos="2592" w:val="left"/>
        </w:tabs>
        <w:numPr>
          <w:ilvl w:val="1"/>
          <w:numId w:val="30"/>
        </w:numPr>
        <w:rPr>
          <w:rFonts w:ascii="Arial" w:cs="Arial" w:eastAsia="Arial" w:hAnsi="Arial"/>
          <w:sz w:val="22"/>
          <w:szCs w:val="22"/>
          <w:color w:val="auto"/>
        </w:rPr>
      </w:pPr>
      <w:r>
        <w:rPr>
          <w:rFonts w:ascii="Arial" w:cs="Arial" w:eastAsia="Arial" w:hAnsi="Arial"/>
          <w:sz w:val="22"/>
          <w:szCs w:val="22"/>
          <w:color w:val="auto"/>
        </w:rPr>
        <w:t>Employee hereby resigns all offices, titles and positions with the Company Group, effective as of the date his employment ceases, and agrees to execute such further documents as the Company Group may reasonably request to confirm such resignation. Employee further agrees that no compensation or other amounts are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auto"/>
        </w:rPr>
        <w:t>in connection with the cessation of his employment and service, except as expressly provided in this Separation Agreement and Release.</w:t>
      </w:r>
    </w:p>
    <w:p>
      <w:pPr>
        <w:spacing w:after="0" w:line="175" w:lineRule="exact"/>
        <w:rPr>
          <w:sz w:val="20"/>
          <w:szCs w:val="20"/>
          <w:color w:val="auto"/>
        </w:rPr>
      </w:pPr>
    </w:p>
    <w:p>
      <w:pPr>
        <w:jc w:val="both"/>
        <w:ind w:firstLine="1304"/>
        <w:spacing w:after="0"/>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Compensation During the Transition Period</w:t>
      </w:r>
      <w:r>
        <w:rPr>
          <w:rFonts w:ascii="Arial" w:cs="Arial" w:eastAsia="Arial" w:hAnsi="Arial"/>
          <w:sz w:val="22"/>
          <w:szCs w:val="22"/>
          <w:color w:val="auto"/>
        </w:rPr>
        <w:t>. During the Transition Period, Employee will continue to be paid his base salary at the current rate, but will not be eligible for a 2023 bonus or any additional equity incentive awards.</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Compensation Upon Cessation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35" w:lineRule="auto"/>
        <w:tabs>
          <w:tab w:leader="none" w:pos="2592" w:val="left"/>
        </w:tabs>
        <w:numPr>
          <w:ilvl w:val="1"/>
          <w:numId w:val="31"/>
        </w:numPr>
        <w:rPr>
          <w:rFonts w:ascii="Arial" w:cs="Arial" w:eastAsia="Arial" w:hAnsi="Arial"/>
          <w:sz w:val="22"/>
          <w:szCs w:val="22"/>
          <w:color w:val="auto"/>
        </w:rPr>
      </w:pPr>
      <w:r>
        <w:rPr>
          <w:rFonts w:ascii="Arial" w:cs="Arial" w:eastAsia="Arial" w:hAnsi="Arial"/>
          <w:sz w:val="22"/>
          <w:szCs w:val="22"/>
          <w:color w:val="auto"/>
        </w:rPr>
        <w:t>In the event of Employee’s cessation of employment prior to the Termination Date due to his death, Disability, or a termination by the Company for Cause, the consequences of such termination shall be as set forth in the Employment Agreement. If Employee resigns from employment with the Company prior to the Termination Date or otherwise fails to comply with paragraph 1 of this Separation Agreement and Release, the consequences of such termination shall be as described in the Employment Agreement with respect to a resignation with Good Reason.</w:t>
      </w:r>
    </w:p>
    <w:p>
      <w:pPr>
        <w:spacing w:after="0" w:line="187" w:lineRule="exact"/>
        <w:rPr>
          <w:rFonts w:ascii="Arial" w:cs="Arial" w:eastAsia="Arial" w:hAnsi="Arial"/>
          <w:sz w:val="22"/>
          <w:szCs w:val="22"/>
          <w:color w:val="auto"/>
        </w:rPr>
      </w:pPr>
    </w:p>
    <w:p>
      <w:pPr>
        <w:jc w:val="both"/>
        <w:ind w:firstLine="1952"/>
        <w:spacing w:after="0" w:line="248" w:lineRule="auto"/>
        <w:tabs>
          <w:tab w:leader="none" w:pos="2592" w:val="left"/>
        </w:tabs>
        <w:numPr>
          <w:ilvl w:val="1"/>
          <w:numId w:val="31"/>
        </w:numPr>
        <w:rPr>
          <w:rFonts w:ascii="Arial" w:cs="Arial" w:eastAsia="Arial" w:hAnsi="Arial"/>
          <w:sz w:val="21"/>
          <w:szCs w:val="21"/>
          <w:color w:val="auto"/>
        </w:rPr>
      </w:pPr>
      <w:r>
        <w:rPr>
          <w:rFonts w:ascii="Arial" w:cs="Arial" w:eastAsia="Arial" w:hAnsi="Arial"/>
          <w:sz w:val="21"/>
          <w:szCs w:val="21"/>
          <w:color w:val="auto"/>
        </w:rPr>
        <w:t xml:space="preserve">Provided that Employee remains employed with the Company until the Termination Date in accordance with this Separation Agreement and Release, executes this Separation Agreement and Release within 21 days of the date it was delivered to him and does not revoke this Separation Agreement and Release, executes the Subsequent Release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does not revoke such Subsequent Release such that it becomes irrevocable within 60 days following the Termination Date, and complies with the Confidentiality Agreement, the Company:</w:t>
      </w:r>
    </w:p>
    <w:p>
      <w:pPr>
        <w:spacing w:after="0" w:line="176" w:lineRule="exact"/>
        <w:rPr>
          <w:rFonts w:ascii="Arial" w:cs="Arial" w:eastAsia="Arial" w:hAnsi="Arial"/>
          <w:sz w:val="21"/>
          <w:szCs w:val="21"/>
          <w:color w:val="auto"/>
        </w:rPr>
      </w:pPr>
    </w:p>
    <w:p>
      <w:pPr>
        <w:ind w:left="660" w:firstLine="1940"/>
        <w:spacing w:after="0" w:line="328" w:lineRule="auto"/>
        <w:tabs>
          <w:tab w:leader="none" w:pos="3252" w:val="left"/>
        </w:tabs>
        <w:numPr>
          <w:ilvl w:val="2"/>
          <w:numId w:val="31"/>
        </w:numPr>
        <w:rPr>
          <w:rFonts w:ascii="Arial" w:cs="Arial" w:eastAsia="Arial" w:hAnsi="Arial"/>
          <w:sz w:val="19"/>
          <w:szCs w:val="19"/>
          <w:color w:val="auto"/>
        </w:rPr>
      </w:pPr>
      <w:r>
        <w:rPr>
          <w:rFonts w:ascii="Arial" w:cs="Arial" w:eastAsia="Arial" w:hAnsi="Arial"/>
          <w:sz w:val="19"/>
          <w:szCs w:val="19"/>
          <w:color w:val="auto"/>
        </w:rPr>
        <w:t>waives its right to “cure” such Good Reason basis and agrees that Employee’s cessation of employment on the Termination Date will be a resignation with Good Reason;</w:t>
      </w:r>
    </w:p>
    <w:p>
      <w:pPr>
        <w:spacing w:after="0" w:line="104" w:lineRule="exact"/>
        <w:rPr>
          <w:rFonts w:ascii="Arial" w:cs="Arial" w:eastAsia="Arial" w:hAnsi="Arial"/>
          <w:sz w:val="19"/>
          <w:szCs w:val="19"/>
          <w:color w:val="auto"/>
        </w:rPr>
      </w:pPr>
    </w:p>
    <w:p>
      <w:pPr>
        <w:jc w:val="both"/>
        <w:ind w:left="660" w:firstLine="1940"/>
        <w:spacing w:after="0"/>
        <w:tabs>
          <w:tab w:leader="none" w:pos="3252" w:val="left"/>
        </w:tabs>
        <w:numPr>
          <w:ilvl w:val="2"/>
          <w:numId w:val="31"/>
        </w:numPr>
        <w:rPr>
          <w:rFonts w:ascii="Arial" w:cs="Arial" w:eastAsia="Arial" w:hAnsi="Arial"/>
          <w:sz w:val="22"/>
          <w:szCs w:val="22"/>
          <w:color w:val="auto"/>
        </w:rPr>
      </w:pPr>
      <w:r>
        <w:rPr>
          <w:rFonts w:ascii="Arial" w:cs="Arial" w:eastAsia="Arial" w:hAnsi="Arial"/>
          <w:sz w:val="22"/>
          <w:szCs w:val="22"/>
          <w:color w:val="auto"/>
        </w:rPr>
        <w:t>will provide Employee with the severance payments, rights and benefits described in Section 9(a) of the Employment Agreement, at the time(s) and in the manner therein specified;</w:t>
      </w:r>
    </w:p>
    <w:p>
      <w:pPr>
        <w:spacing w:after="0" w:line="186" w:lineRule="exact"/>
        <w:rPr>
          <w:rFonts w:ascii="Arial" w:cs="Arial" w:eastAsia="Arial" w:hAnsi="Arial"/>
          <w:sz w:val="22"/>
          <w:szCs w:val="22"/>
          <w:color w:val="auto"/>
        </w:rPr>
      </w:pPr>
    </w:p>
    <w:p>
      <w:pPr>
        <w:ind w:left="660" w:firstLine="1940"/>
        <w:spacing w:after="0" w:line="250" w:lineRule="auto"/>
        <w:tabs>
          <w:tab w:leader="none" w:pos="3252" w:val="left"/>
        </w:tabs>
        <w:numPr>
          <w:ilvl w:val="2"/>
          <w:numId w:val="31"/>
        </w:numPr>
        <w:rPr>
          <w:rFonts w:ascii="Arial" w:cs="Arial" w:eastAsia="Arial" w:hAnsi="Arial"/>
          <w:sz w:val="22"/>
          <w:szCs w:val="22"/>
          <w:color w:val="auto"/>
        </w:rPr>
      </w:pPr>
      <w:r>
        <w:rPr>
          <w:rFonts w:ascii="Arial" w:cs="Arial" w:eastAsia="Arial" w:hAnsi="Arial"/>
          <w:sz w:val="22"/>
          <w:szCs w:val="22"/>
          <w:color w:val="auto"/>
        </w:rPr>
        <w:t>will cause the restricted stock award issued to Employee by the Company on September 18, 2019 to become fully vested as of the Termination Date; and</w:t>
      </w:r>
    </w:p>
    <w:p>
      <w:pPr>
        <w:spacing w:after="0" w:line="174" w:lineRule="exact"/>
        <w:rPr>
          <w:rFonts w:ascii="Arial" w:cs="Arial" w:eastAsia="Arial" w:hAnsi="Arial"/>
          <w:sz w:val="22"/>
          <w:szCs w:val="22"/>
          <w:color w:val="auto"/>
        </w:rPr>
      </w:pPr>
    </w:p>
    <w:p>
      <w:pPr>
        <w:jc w:val="both"/>
        <w:ind w:left="660" w:firstLine="1940"/>
        <w:spacing w:after="0" w:line="252" w:lineRule="auto"/>
        <w:tabs>
          <w:tab w:leader="none" w:pos="3252" w:val="left"/>
        </w:tabs>
        <w:numPr>
          <w:ilvl w:val="2"/>
          <w:numId w:val="31"/>
        </w:numPr>
        <w:rPr>
          <w:rFonts w:ascii="Arial" w:cs="Arial" w:eastAsia="Arial" w:hAnsi="Arial"/>
          <w:sz w:val="21"/>
          <w:szCs w:val="21"/>
          <w:color w:val="auto"/>
        </w:rPr>
      </w:pPr>
      <w:r>
        <w:rPr>
          <w:rFonts w:ascii="Arial" w:cs="Arial" w:eastAsia="Arial" w:hAnsi="Arial"/>
          <w:sz w:val="21"/>
          <w:szCs w:val="21"/>
          <w:color w:val="auto"/>
        </w:rPr>
        <w:t>will cause each vested Company stock option held by Employee on the Termination Date to remain exercisable until the date that is six months following the Termination Date (subject to earlier termination only if provided in the applicable equity plan or award agreement in connection with a change in control of the Company or similar event or transaction).</w:t>
      </w:r>
    </w:p>
    <w:p>
      <w:pPr>
        <w:spacing w:after="0" w:line="173" w:lineRule="exact"/>
        <w:rPr>
          <w:rFonts w:ascii="Arial" w:cs="Arial" w:eastAsia="Arial" w:hAnsi="Arial"/>
          <w:sz w:val="21"/>
          <w:szCs w:val="21"/>
          <w:color w:val="auto"/>
        </w:rPr>
      </w:pPr>
    </w:p>
    <w:p>
      <w:pPr>
        <w:jc w:val="both"/>
        <w:ind w:firstLine="1952"/>
        <w:spacing w:after="0" w:line="236" w:lineRule="auto"/>
        <w:tabs>
          <w:tab w:leader="none" w:pos="2592" w:val="left"/>
        </w:tabs>
        <w:numPr>
          <w:ilvl w:val="1"/>
          <w:numId w:val="31"/>
        </w:numPr>
        <w:rPr>
          <w:rFonts w:ascii="Arial" w:cs="Arial" w:eastAsia="Arial" w:hAnsi="Arial"/>
          <w:sz w:val="22"/>
          <w:szCs w:val="22"/>
          <w:color w:val="auto"/>
        </w:rPr>
      </w:pPr>
      <w:r>
        <w:rPr>
          <w:rFonts w:ascii="Arial" w:cs="Arial" w:eastAsia="Arial" w:hAnsi="Arial"/>
          <w:sz w:val="22"/>
          <w:szCs w:val="22"/>
          <w:color w:val="auto"/>
        </w:rPr>
        <w:t>Employee acknowledges and agrees that Employee will not be entitled to any severance benefits from the Company Group if he does not fulfill the conditions described above in paragraph 3(b) of this Separation Agreement and Release. Employee acknowledges that the severance payments, rights and benefits described above in paragraph 3(b) constitute consideration to which Employee would not be entitled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timely signing and not revoking this Separation Agreement and Release and the Subsequent Release.</w:t>
      </w:r>
    </w:p>
    <w:p>
      <w:pPr>
        <w:spacing w:after="0" w:line="218" w:lineRule="exact"/>
        <w:rPr>
          <w:sz w:val="20"/>
          <w:szCs w:val="20"/>
          <w:color w:val="auto"/>
        </w:rPr>
      </w:pPr>
    </w:p>
    <w:p>
      <w:pPr>
        <w:jc w:val="both"/>
        <w:ind w:firstLine="1304"/>
        <w:spacing w:after="0" w:line="275" w:lineRule="auto"/>
        <w:tabs>
          <w:tab w:leader="none" w:pos="194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Employee’s Release</w:t>
      </w:r>
      <w:r>
        <w:rPr>
          <w:rFonts w:ascii="Arial" w:cs="Arial" w:eastAsia="Arial" w:hAnsi="Arial"/>
          <w:sz w:val="19"/>
          <w:szCs w:val="19"/>
          <w:color w:val="auto"/>
        </w:rPr>
        <w:t>. Employee hereby generally releases and discharges the Company, together with each and every of its predecessors, successors (by merger or otherwise), parents, subsidiaries, affiliates, divisions, directors, officers, employees and agents, whether present or former (collectively the “Releasees”), from any and all suits, causes of action, complaints, obligations, demands, or claims of any kind, whether in law or in equity, direct or indirect, known or unknown, suspected or unsuspected (hereinafter “claims”), which Employee ever had or now has against the Releasees, or any one of them, arising out of or relating to any matter, thing or event occurring up to and including the date of this Separation Agreement and Release. Employee’s release specifically includes, but is not limited to:</w:t>
      </w:r>
    </w:p>
    <w:p>
      <w:pPr>
        <w:spacing w:after="0" w:line="157" w:lineRule="exact"/>
        <w:rPr>
          <w:rFonts w:ascii="Arial" w:cs="Arial" w:eastAsia="Arial" w:hAnsi="Arial"/>
          <w:sz w:val="19"/>
          <w:szCs w:val="19"/>
          <w:color w:val="auto"/>
        </w:rPr>
      </w:pPr>
    </w:p>
    <w:p>
      <w:pPr>
        <w:jc w:val="both"/>
        <w:ind w:firstLine="1952"/>
        <w:spacing w:after="0"/>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any and all claims for wages and benefits including, without limitation, salary, stock, options, commissions, royalties, license fees, health and welfare benefits, separation pay, vacation pay, and bonuses;</w:t>
      </w:r>
    </w:p>
    <w:p>
      <w:pPr>
        <w:spacing w:after="0" w:line="186" w:lineRule="exact"/>
        <w:rPr>
          <w:rFonts w:ascii="Arial" w:cs="Arial" w:eastAsia="Arial" w:hAnsi="Arial"/>
          <w:sz w:val="22"/>
          <w:szCs w:val="22"/>
          <w:color w:val="auto"/>
        </w:rPr>
      </w:pPr>
    </w:p>
    <w:p>
      <w:pPr>
        <w:ind w:firstLine="1952"/>
        <w:spacing w:after="0" w:line="250" w:lineRule="auto"/>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any and all claims for wrongful discharge, breach of contract (whether express or implied), or for breach of the implied covenant of good faith and fair dealing;</w:t>
      </w:r>
    </w:p>
    <w:p>
      <w:pPr>
        <w:spacing w:after="0" w:line="174" w:lineRule="exact"/>
        <w:rPr>
          <w:rFonts w:ascii="Arial" w:cs="Arial" w:eastAsia="Arial" w:hAnsi="Arial"/>
          <w:sz w:val="22"/>
          <w:szCs w:val="22"/>
          <w:color w:val="auto"/>
        </w:rPr>
      </w:pPr>
    </w:p>
    <w:p>
      <w:pPr>
        <w:jc w:val="both"/>
        <w:ind w:firstLine="1952"/>
        <w:spacing w:after="0" w:line="270" w:lineRule="auto"/>
        <w:tabs>
          <w:tab w:leader="none" w:pos="2592"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any and all claims for alleged employment discrimination, harassment or retaliation on the basis of race, color, religion, sex, sexual orientation, national origin, age, ancestry, veteran or military status, genetic information, disability and/or handicap, familial status, marital status, gender identity, and any and all other claims in violation of any federal, state or local statute, ordinance, judicial precedent or executive order, including but not limited to claims under the following statutes: Title VII of the Civil Rights Act of 1964, 42 U.S.C. §§ 2000e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Civil Rights Act of 1866, 42 U.S.C. § 1981, the Age Discrimination in Employment Act, 29 U.S.C. §§ 621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Older Workers Benefit Protection Act, 29 U.S.C. § 626(f), the Uniformed Services Employment and Reemployment Rights Act, 38 U.S.C. §§ 4301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42 U.S.C. §§ 12101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National Labor Relations Act, 29 U.S.C. §§ 151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Worker Adjustment and Retraining Notification Act, 29 U.S.C. §§ 2101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Genetic Information Nondiscrimination Act, 42 U.S.C. §§ 2000ff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Rehabilitation Act of 1973, 29 U.S.C. §§ 701 et seq., the Family and Medical Leave Act, 29 U.S.C. §§ 2601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Employee Retirement and Income Security Act of 1974, 29 U.S.C. §§ 1001 et </w:t>
      </w:r>
      <w:r>
        <w:rPr>
          <w:rFonts w:ascii="Arial" w:cs="Arial" w:eastAsia="Arial" w:hAnsi="Arial"/>
          <w:sz w:val="19"/>
          <w:szCs w:val="19"/>
          <w:u w:val="single" w:color="auto"/>
          <w:color w:val="auto"/>
        </w:rPr>
        <w:t>seq.</w:t>
      </w:r>
      <w:r>
        <w:rPr>
          <w:rFonts w:ascii="Arial" w:cs="Arial" w:eastAsia="Arial" w:hAnsi="Arial"/>
          <w:sz w:val="19"/>
          <w:szCs w:val="19"/>
          <w:color w:val="auto"/>
        </w:rPr>
        <w:t>, the Pennsylvania Human Relations Act, the Pennsylvania Whistleblower Law, the Philadelphia Fair Practices Ordinance, the Washington Industrial Welfare Act, the Washington Minimum Wage Act, the Washington Wage Payment Act and Wage Rebate Act, the Washington Law Against Discrimination, Washington leave laws (including the Paid Sick Leave Act, the Family Care Act, the Domestic Violence Leave Act, and the Military Family Leave Act), and any comparable statute of any other state, country or locality.</w:t>
      </w:r>
    </w:p>
    <w:p>
      <w:pPr>
        <w:spacing w:after="0" w:line="168" w:lineRule="exact"/>
        <w:rPr>
          <w:rFonts w:ascii="Arial" w:cs="Arial" w:eastAsia="Arial" w:hAnsi="Arial"/>
          <w:sz w:val="19"/>
          <w:szCs w:val="19"/>
          <w:color w:val="auto"/>
        </w:rPr>
      </w:pPr>
    </w:p>
    <w:p>
      <w:pPr>
        <w:ind w:firstLine="1952"/>
        <w:spacing w:after="0" w:line="250" w:lineRule="auto"/>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any and all claims in tort (including but not limited to any claims for wrongful termination, misrepresentation, defamation, interference with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9" w:name="page60"/>
    <w:bookmarkEnd w:id="59"/>
    <w:p>
      <w:pPr>
        <w:spacing w:after="0" w:line="250" w:lineRule="auto"/>
        <w:rPr>
          <w:sz w:val="20"/>
          <w:szCs w:val="20"/>
          <w:color w:val="auto"/>
        </w:rPr>
      </w:pPr>
      <w:r>
        <w:rPr>
          <w:rFonts w:ascii="Arial" w:cs="Arial" w:eastAsia="Arial" w:hAnsi="Arial"/>
          <w:sz w:val="22"/>
          <w:szCs w:val="22"/>
          <w:color w:val="auto"/>
        </w:rPr>
        <w:t xml:space="preserve">or prospective </w:t>
      </w:r>
      <w:r>
        <w:rPr>
          <w:rFonts w:ascii="Arial" w:cs="Arial" w:eastAsia="Arial" w:hAnsi="Arial"/>
          <w:sz w:val="22"/>
          <w:szCs w:val="22"/>
          <w:color w:val="120F1B"/>
        </w:rPr>
        <w:t>economic advantage, intentional or negligent infliction of emotional distress, duress, loss of</w:t>
      </w:r>
      <w:r>
        <w:rPr>
          <w:rFonts w:ascii="Arial" w:cs="Arial" w:eastAsia="Arial" w:hAnsi="Arial"/>
          <w:sz w:val="22"/>
          <w:szCs w:val="22"/>
          <w:color w:val="auto"/>
        </w:rPr>
        <w:t xml:space="preserve"> </w:t>
      </w:r>
      <w:r>
        <w:rPr>
          <w:rFonts w:ascii="Arial" w:cs="Arial" w:eastAsia="Arial" w:hAnsi="Arial"/>
          <w:sz w:val="22"/>
          <w:szCs w:val="22"/>
          <w:color w:val="120F1B"/>
        </w:rPr>
        <w:t>consortium, invasion of privacy and negligence);</w:t>
      </w:r>
    </w:p>
    <w:p>
      <w:pPr>
        <w:spacing w:after="0" w:line="175" w:lineRule="exact"/>
        <w:rPr>
          <w:sz w:val="20"/>
          <w:szCs w:val="20"/>
          <w:color w:val="auto"/>
        </w:rPr>
      </w:pPr>
    </w:p>
    <w:p>
      <w:pPr>
        <w:ind w:left="2600" w:hanging="648"/>
        <w:spacing w:after="0"/>
        <w:tabs>
          <w:tab w:leader="none" w:pos="26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and all claims under any federal, state or local statute or law;</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any and all claims for damages of any kind, including compensatory </w:t>
      </w:r>
      <w:r>
        <w:rPr>
          <w:rFonts w:ascii="Arial" w:cs="Arial" w:eastAsia="Arial" w:hAnsi="Arial"/>
          <w:sz w:val="19"/>
          <w:szCs w:val="19"/>
          <w:color w:val="120F1B"/>
        </w:rPr>
        <w:t>and punitive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120F1B"/>
        </w:rPr>
        <w:t>damages; and</w:t>
      </w:r>
    </w:p>
    <w:p>
      <w:pPr>
        <w:spacing w:after="0" w:line="188" w:lineRule="exact"/>
        <w:rPr>
          <w:sz w:val="20"/>
          <w:szCs w:val="20"/>
          <w:color w:val="auto"/>
        </w:rPr>
      </w:pPr>
    </w:p>
    <w:p>
      <w:pPr>
        <w:ind w:left="2600" w:hanging="648"/>
        <w:spacing w:after="0"/>
        <w:tabs>
          <w:tab w:leader="none" w:pos="2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foregoing notwithstanding, this paragraph 4 will not release Employee’s rights (i) under paragraph 3(b) of this Separation Agreement and Release, (ii) under the Company Group’s welfare benefit plans (other than severance benefit plans) and 401 (k) plan, subject to the terms and conditions of those plans, or (iii) to indemnification for his acts or omissions as an employee or officer of the Company or any of its affiliates, or for the benefit of any applicable D&amp;O insurance, to the extent contemplated by the Employment Agreement or the Company’s governing documents.</w:t>
      </w:r>
    </w:p>
    <w:p>
      <w:pPr>
        <w:spacing w:after="0" w:line="188" w:lineRule="exact"/>
        <w:rPr>
          <w:sz w:val="20"/>
          <w:szCs w:val="20"/>
          <w:color w:val="auto"/>
        </w:rPr>
      </w:pPr>
    </w:p>
    <w:p>
      <w:pPr>
        <w:jc w:val="both"/>
        <w:ind w:firstLine="1304"/>
        <w:spacing w:after="0" w:line="274" w:lineRule="auto"/>
        <w:tabs>
          <w:tab w:leader="none" w:pos="194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Acknowledgment</w:t>
      </w:r>
      <w:r>
        <w:rPr>
          <w:rFonts w:ascii="Arial" w:cs="Arial" w:eastAsia="Arial" w:hAnsi="Arial"/>
          <w:sz w:val="19"/>
          <w:szCs w:val="19"/>
          <w:color w:val="auto"/>
        </w:rPr>
        <w:t>. Employee understands that Employee’s release extends to all of the aforementioned claims and potential claims which arose on or before the date of this Separation Agreement and Release, whether now known or unknown, suspected or unsuspected, and that this constitutes an essential term of this Separation Agreement and Release. Employee further understands and acknowledges the significance and consequence of this Separation Agreement and Release and of each specific release and waiver, and expressly consents that this Separation Agreement and Release shall be given full force and effect according to each and all of its express terms and provisions, including those relating to unknown and unsuspected claims, demands, obligations, and causes of action, if any, as well as those relating to any other claims, demands, obligations or causes of action herein above-specified.</w:t>
      </w:r>
    </w:p>
    <w:p>
      <w:pPr>
        <w:spacing w:after="0" w:line="158" w:lineRule="exact"/>
        <w:rPr>
          <w:rFonts w:ascii="Arial" w:cs="Arial" w:eastAsia="Arial" w:hAnsi="Arial"/>
          <w:sz w:val="19"/>
          <w:szCs w:val="19"/>
          <w:color w:val="auto"/>
        </w:rPr>
      </w:pPr>
    </w:p>
    <w:p>
      <w:pPr>
        <w:ind w:left="1960" w:hanging="656"/>
        <w:spacing w:after="0"/>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44"/>
        <w:spacing w:after="0" w:line="273" w:lineRule="auto"/>
        <w:rPr>
          <w:rFonts w:ascii="Arial" w:cs="Arial" w:eastAsia="Arial" w:hAnsi="Arial"/>
          <w:sz w:val="22"/>
          <w:szCs w:val="22"/>
          <w:color w:val="auto"/>
        </w:rPr>
      </w:pPr>
      <w:r>
        <w:rPr>
          <w:rFonts w:ascii="Arial" w:cs="Arial" w:eastAsia="Arial" w:hAnsi="Arial"/>
          <w:sz w:val="19"/>
          <w:szCs w:val="19"/>
          <w:color w:val="auto"/>
        </w:rPr>
        <w:t>a. As used in this Separation Agreement and Release, the term “Company Property” includes, without limitation: (i) all materials (including all copies thereof) containing any Confidential Information (as defined in the Employee Confidentiality Agreement), including, without limitation, drawings, tapes, disks, codes, descriptions or other papers, documents or other materials; (ii) all computer hardware, computer software, cell phones, smart phones, business equipment, drawings, designs, specifications, tapes, drives, disks, codes, notes, files, documents, memoranda or data created by Employee, or made available or furnished to Employee by the Company or any affiliated company (including all copies thereof), whether or not they contain Confidential Information; (iii) all other materials containing any information pertaining to the business of the Company or any affiliated company, or any of their employees, consultants, or business associates, that were acquired by Employee in the course of employment with the Company; and (iv) any passwords to any electronically stored documents on Employee’s mobile phone or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0" w:name="page61"/>
    <w:bookmarkEnd w:id="60"/>
    <w:p>
      <w:pPr>
        <w:jc w:val="both"/>
        <w:ind w:firstLine="1952"/>
        <w:spacing w:after="0" w:line="282" w:lineRule="auto"/>
        <w:tabs>
          <w:tab w:leader="none" w:pos="2592"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represents that, not later than the Termination Date, Employee will return all Company Property to the Company, and delete all copies of any Company documents, emails, files, data, software, code, business processes and procedures, and/or any Confidential Information that Employee has stored on any personally owned computer, smartphone, network, or computer system. Employee agrees that the Company may demand proof of deletion and that Employee will provide such proof upon request.</w:t>
      </w:r>
    </w:p>
    <w:p>
      <w:pPr>
        <w:spacing w:after="0" w:line="147" w:lineRule="exact"/>
        <w:rPr>
          <w:rFonts w:ascii="Arial" w:cs="Arial" w:eastAsia="Arial" w:hAnsi="Arial"/>
          <w:sz w:val="19"/>
          <w:szCs w:val="19"/>
          <w:color w:val="auto"/>
        </w:rPr>
      </w:pPr>
    </w:p>
    <w:p>
      <w:pPr>
        <w:jc w:val="both"/>
        <w:ind w:firstLine="1304"/>
        <w:spacing w:after="0" w:line="273" w:lineRule="auto"/>
        <w:tabs>
          <w:tab w:leader="none" w:pos="194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Covenant Not to Sue.</w:t>
      </w:r>
      <w:r>
        <w:rPr>
          <w:rFonts w:ascii="Arial" w:cs="Arial" w:eastAsia="Arial" w:hAnsi="Arial"/>
          <w:sz w:val="19"/>
          <w:szCs w:val="19"/>
          <w:color w:val="auto"/>
        </w:rPr>
        <w:t xml:space="preserve"> Employee affirms that no charge, complaint or action exists in any forum brought by or on behalf of Employee against the Releasees, and that Employee has not assigned any existing or potential claim to any third party. Further, Employee (for Employee and for Employee’s family members, heirs, executors, administrators, successors, and assigns) covenants that Employee will not at any time hereafter commence, maintain, or in any way cause, or advise to be commenced or prosecuted, or permit to be filed by any other person on Employee’s behalf, any grievance, charge, action (including any class action), suit, or proceeding (judicial or administrative) against the Releasees, except as such waiver is specifically prohibited by law or as provided in paragraph 8 below. Although Employee is not waiving the right to file a charge with the Equal Employment Opportunity Commission or similar state agency, Employee waives any right to personal relief, including reinstatement and money damages.</w:t>
      </w:r>
    </w:p>
    <w:p>
      <w:pPr>
        <w:spacing w:after="0" w:line="160"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Permitted Conduct</w:t>
      </w:r>
      <w:r>
        <w:rPr>
          <w:rFonts w:ascii="Arial" w:cs="Arial" w:eastAsia="Arial" w:hAnsi="Arial"/>
          <w:sz w:val="21"/>
          <w:szCs w:val="21"/>
          <w:color w:val="auto"/>
        </w:rPr>
        <w:t>. Nothing in this Separation Agreement and Release restricts or prohibits Employee from initiating communications directly with, responding to any inquiries from, providing testimony before, providing Confidential Information to, reporting possible violations of law or regulation to, or assisting with an investigation directly with any governmental agency or entity or self-regulatory authority, including but not limited to the Equal Employment Opportunity Commission, the Department of Labor, the National Labor Relations Board, the Department of Justice, the Securities and Exchange Commission, the Congress, and any agency Inspector General (collectively, the “Regulators”), or from making other disclosures that are protected under the whistleblower provisions of state or federal law or regulation. Employee is not required to notify the Company that Employee has engaged in such communications, responded to such inquiries or made such reports or disclosures.</w:t>
      </w:r>
    </w:p>
    <w:p>
      <w:pPr>
        <w:spacing w:after="0" w:line="180" w:lineRule="exact"/>
        <w:rPr>
          <w:rFonts w:ascii="Arial" w:cs="Arial" w:eastAsia="Arial" w:hAnsi="Arial"/>
          <w:sz w:val="21"/>
          <w:szCs w:val="21"/>
          <w:color w:val="auto"/>
        </w:rPr>
      </w:pPr>
    </w:p>
    <w:p>
      <w:pPr>
        <w:jc w:val="both"/>
        <w:ind w:firstLine="1304"/>
        <w:spacing w:after="0" w:line="244" w:lineRule="auto"/>
        <w:tabs>
          <w:tab w:leader="none" w:pos="1944"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 Legal Violations</w:t>
      </w:r>
      <w:r>
        <w:rPr>
          <w:rFonts w:ascii="Arial" w:cs="Arial" w:eastAsia="Arial" w:hAnsi="Arial"/>
          <w:sz w:val="21"/>
          <w:szCs w:val="21"/>
          <w:color w:val="auto"/>
        </w:rPr>
        <w:t>. Employee agrees and covenants that during Employee’s employment with the Company, Employee did not violate any federal, state or local law, statute or regulation, or Company policy while acting within the scope of Employee’s employment with the Company. While the Company is not currently aware of any facts giving rise to a potential claim against Employee, Employee acknowledges and understands that if the Company should discover any such violation after execution of this Separation Agreement and Release, it will be considered a material breach of this Separation Agreement and Release, all of the Company’s obligations to Employee hereunder (including the obligation to provide the severance benefits described in Section 9(a) of the Employment Agreement) will become immediately null and void, and the Company will have the ability to pursue all claims to enforce its rights. Employee further agrees and covenants that during Employee’s employment with the Company, Employee did not witness and fail to report any violation of federal, state, or local law, statute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regulation, nor did Employee witness and fail to report any violation of any Company policy.</w:t>
      </w:r>
    </w:p>
    <w:p>
      <w:pPr>
        <w:spacing w:after="0" w:line="206" w:lineRule="exact"/>
        <w:rPr>
          <w:sz w:val="20"/>
          <w:szCs w:val="20"/>
          <w:color w:val="auto"/>
        </w:rPr>
      </w:pPr>
    </w:p>
    <w:p>
      <w:pPr>
        <w:jc w:val="both"/>
        <w:ind w:firstLine="1304"/>
        <w:spacing w:after="0"/>
        <w:tabs>
          <w:tab w:leader="none" w:pos="1944"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Duty of Cooperation</w:t>
      </w:r>
      <w:r>
        <w:rPr>
          <w:rFonts w:ascii="Arial" w:cs="Arial" w:eastAsia="Arial" w:hAnsi="Arial"/>
          <w:sz w:val="22"/>
          <w:szCs w:val="22"/>
          <w:color w:val="auto"/>
        </w:rPr>
        <w:t>. Employee acknowledges that his obligation under Section 8(d) of Employment Agreement to cooperate with the Company and its counsel will survive the cessation of his employment and he hereby reaffirms such obligation.</w:t>
      </w:r>
    </w:p>
    <w:p>
      <w:pPr>
        <w:spacing w:after="0" w:line="186"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Ail remedies at law or in equity shall be available to the Releasees for the enforcement of this Separation Agreement and Release. This Separation Agreement and Release may be pleaded as a full bar to the enforcement of any claim that Employee may assert against the Releasees.</w:t>
      </w:r>
    </w:p>
    <w:p>
      <w:pPr>
        <w:spacing w:after="0" w:line="169" w:lineRule="exact"/>
        <w:rPr>
          <w:rFonts w:ascii="Arial" w:cs="Arial" w:eastAsia="Arial" w:hAnsi="Arial"/>
          <w:sz w:val="21"/>
          <w:szCs w:val="21"/>
          <w:color w:val="auto"/>
        </w:rPr>
      </w:pPr>
    </w:p>
    <w:p>
      <w:pPr>
        <w:ind w:firstLine="1304"/>
        <w:spacing w:after="0" w:line="274" w:lineRule="auto"/>
        <w:tabs>
          <w:tab w:leader="none" w:pos="1944"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No Admissions</w:t>
      </w:r>
      <w:r>
        <w:rPr>
          <w:rFonts w:ascii="Arial" w:cs="Arial" w:eastAsia="Arial" w:hAnsi="Arial"/>
          <w:sz w:val="21"/>
          <w:szCs w:val="21"/>
          <w:color w:val="auto"/>
        </w:rPr>
        <w:t>. Neither the execution of this Separation Agreement and Release by the Company, nor the terms hereof, constitute an admission by the Company of liability to Employee.</w:t>
      </w:r>
    </w:p>
    <w:p>
      <w:pPr>
        <w:spacing w:after="0" w:line="150" w:lineRule="exact"/>
        <w:rPr>
          <w:rFonts w:ascii="Arial" w:cs="Arial" w:eastAsia="Arial" w:hAnsi="Arial"/>
          <w:sz w:val="21"/>
          <w:szCs w:val="21"/>
          <w:color w:val="auto"/>
        </w:rPr>
      </w:pPr>
    </w:p>
    <w:p>
      <w:pPr>
        <w:jc w:val="both"/>
        <w:ind w:firstLine="1304"/>
        <w:spacing w:after="0" w:line="277" w:lineRule="auto"/>
        <w:tabs>
          <w:tab w:leader="none" w:pos="194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Employee agrees to refrain from making disparaging comments about the Releasees, and from taking any action or making any statements that would harm the professional or business reputation of any of the Releasees, including on social media. Employee is permitted to discuss his employment history at the Company in general terms, provided that </w:t>
      </w:r>
      <w:r>
        <w:rPr>
          <w:rFonts w:ascii="Arial" w:cs="Arial" w:eastAsia="Arial" w:hAnsi="Arial"/>
          <w:sz w:val="19"/>
          <w:szCs w:val="19"/>
          <w:color w:val="26252C"/>
        </w:rPr>
        <w:t>in</w:t>
      </w:r>
      <w:r>
        <w:rPr>
          <w:rFonts w:ascii="Arial" w:cs="Arial" w:eastAsia="Arial" w:hAnsi="Arial"/>
          <w:sz w:val="19"/>
          <w:szCs w:val="19"/>
          <w:color w:val="auto"/>
        </w:rPr>
        <w:t xml:space="preserve"> doing so, he does not disparage the Company or make any statements that are misrepresentative or inaccurate, and does not reveal any of the Company’s confidential information. Employee will direct any requests for a reference to Shane Williams, Chief People Officer </w:t>
      </w:r>
      <w:r>
        <w:rPr>
          <w:rFonts w:ascii="Arial" w:cs="Arial" w:eastAsia="Arial" w:hAnsi="Arial"/>
          <w:sz w:val="19"/>
          <w:szCs w:val="19"/>
          <w:u w:val="single" w:color="auto"/>
          <w:color w:val="26252C"/>
        </w:rPr>
        <w:t>(shane@centurytx.com)</w:t>
      </w:r>
      <w:r>
        <w:rPr>
          <w:rFonts w:ascii="Arial" w:cs="Arial" w:eastAsia="Arial" w:hAnsi="Arial"/>
          <w:sz w:val="19"/>
          <w:szCs w:val="19"/>
          <w:color w:val="26252C"/>
        </w:rPr>
        <w:t xml:space="preserve">. </w:t>
      </w:r>
      <w:r>
        <w:rPr>
          <w:rFonts w:ascii="Arial" w:cs="Arial" w:eastAsia="Arial" w:hAnsi="Arial"/>
          <w:sz w:val="19"/>
          <w:szCs w:val="19"/>
          <w:color w:val="000000"/>
        </w:rPr>
        <w:t>Dr. Williams will only provide Employee’s title and dates of employment.</w:t>
      </w:r>
    </w:p>
    <w:p>
      <w:pPr>
        <w:spacing w:after="0" w:line="151" w:lineRule="exact"/>
        <w:rPr>
          <w:rFonts w:ascii="Arial" w:cs="Arial" w:eastAsia="Arial" w:hAnsi="Arial"/>
          <w:sz w:val="19"/>
          <w:szCs w:val="19"/>
          <w:color w:val="auto"/>
        </w:rPr>
      </w:pPr>
    </w:p>
    <w:p>
      <w:pPr>
        <w:jc w:val="both"/>
        <w:ind w:firstLine="1304"/>
        <w:spacing w:after="0" w:line="248" w:lineRule="auto"/>
        <w:tabs>
          <w:tab w:leader="none" w:pos="1944"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Employee shall not discuss, disclose or publicize the terms or fact of this Separation Agreement and Release, directly or indirectly, to any person or entity, except to Employee’s accountant, attorney, spouse, and to others as required by law. Employee further understands and agrees that such information may be disclosed to the aforementioned individuals only on the condition that such individuals in turn agree to keep such information completely confidential, and not to disclose it to others. A breach of this provision by any of these persons shall constitute a breach by Employee.</w:t>
      </w:r>
    </w:p>
    <w:p>
      <w:pPr>
        <w:spacing w:after="0" w:line="176" w:lineRule="exact"/>
        <w:rPr>
          <w:rFonts w:ascii="Arial" w:cs="Arial" w:eastAsia="Arial" w:hAnsi="Arial"/>
          <w:sz w:val="21"/>
          <w:szCs w:val="21"/>
          <w:color w:val="auto"/>
        </w:rPr>
      </w:pPr>
    </w:p>
    <w:p>
      <w:pPr>
        <w:jc w:val="both"/>
        <w:ind w:firstLine="1304"/>
        <w:spacing w:after="0" w:line="273" w:lineRule="auto"/>
        <w:tabs>
          <w:tab w:leader="none" w:pos="194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Assistance</w:t>
      </w:r>
      <w:r>
        <w:rPr>
          <w:rFonts w:ascii="Arial" w:cs="Arial" w:eastAsia="Arial" w:hAnsi="Arial"/>
          <w:sz w:val="19"/>
          <w:szCs w:val="19"/>
          <w:color w:val="auto"/>
        </w:rPr>
        <w:t>. Employee shall not solicit or assist current, future or former employees or temporary workers of the Company in preparing, commencing or prosecuting any action or proceeding against the Company, including but not limited to, any administrative agency claims, claims in arbitration, charges or complaints and/or lawsuits against the Company and will not participate voluntarily or cooperate in any such action or proceeding, except when such waiver is specifically prohibited by law, unless ordered by a Court of competent jurisdiction or as provided in paragraph 8. Nothing in this paragraph shall prevent Employee from testifying truthfully in response to a bona fide subpoena or Court Order. Employee agrees that if Employee receives a subpoena or Court Order requiring Employee to testify or participate in any action or proceeding against the Company, Employee will notify Osvaldo Flores, Chief Executive Officer (or his successor or designee), and will make no disclosure until the Company has had fifteen (15) days from receipt of notice to contest the right of the requesting person or entity to such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2" w:name="page63"/>
    <w:bookmarkEnd w:id="62"/>
    <w:p>
      <w:pPr>
        <w:jc w:val="both"/>
        <w:ind w:firstLine="1304"/>
        <w:spacing w:after="0" w:line="238"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Employee acknowledges and agrees that his obligations under the Confidentiality Agreement will survive his cessation of employment. Employee further acknowledges and agrees that he received adequate consideration for entering into the Confidentiality Agreement and hereby reaffirms his obligations thereunder.</w:t>
      </w:r>
    </w:p>
    <w:p>
      <w:pPr>
        <w:spacing w:after="0" w:line="184" w:lineRule="exact"/>
        <w:rPr>
          <w:rFonts w:ascii="Arial" w:cs="Arial" w:eastAsia="Arial" w:hAnsi="Arial"/>
          <w:sz w:val="22"/>
          <w:szCs w:val="22"/>
          <w:color w:val="auto"/>
        </w:rPr>
      </w:pPr>
    </w:p>
    <w:p>
      <w:pPr>
        <w:jc w:val="both"/>
        <w:ind w:firstLine="1304"/>
        <w:spacing w:after="0" w:line="275"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Essential Terms</w:t>
      </w:r>
      <w:r>
        <w:rPr>
          <w:rFonts w:ascii="Arial" w:cs="Arial" w:eastAsia="Arial" w:hAnsi="Arial"/>
          <w:sz w:val="19"/>
          <w:szCs w:val="19"/>
          <w:color w:val="auto"/>
        </w:rPr>
        <w:t>. Employee understands and acknowledges that Employee’s promises in paragraphs 6, 7, 10, 13, 14, 15 and 16 of this Separation Agreement and Release are a material inducement for the Company to enter into this Separation Agreement and Release and are of the essence of this Separation Agreement and Release. Employee therefore agrees that if a Court determines that Employee has breached any of the provisions of the aforementioned paragraphs, then in addition to any other equitable or legal remedies available to the Company, (a) Employee will be obligated to return to the Company the severance payments, rights and benefits described in paragraph 3(b) of this Separation Agreement and Release; and (b) the Company will be relieved from any obligation to provide any further severance benefits.</w:t>
      </w:r>
    </w:p>
    <w:p>
      <w:pPr>
        <w:spacing w:after="0" w:line="157" w:lineRule="exact"/>
        <w:rPr>
          <w:rFonts w:ascii="Arial" w:cs="Arial" w:eastAsia="Arial" w:hAnsi="Arial"/>
          <w:sz w:val="19"/>
          <w:szCs w:val="19"/>
          <w:color w:val="auto"/>
        </w:rPr>
      </w:pPr>
    </w:p>
    <w:p>
      <w:pPr>
        <w:ind w:left="1960" w:hanging="656"/>
        <w:spacing w:after="0"/>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Fees and Costs</w:t>
      </w:r>
      <w:r>
        <w:rPr>
          <w:rFonts w:ascii="Arial" w:cs="Arial" w:eastAsia="Arial" w:hAnsi="Arial"/>
          <w:sz w:val="22"/>
          <w:szCs w:val="22"/>
          <w:color w:val="auto"/>
        </w:rPr>
        <w:t>. The parties shall bear their own attorneys’ fees and costs.</w:t>
      </w:r>
    </w:p>
    <w:p>
      <w:pPr>
        <w:spacing w:after="0" w:line="206" w:lineRule="exact"/>
        <w:rPr>
          <w:rFonts w:ascii="Arial" w:cs="Arial" w:eastAsia="Arial" w:hAnsi="Arial"/>
          <w:sz w:val="22"/>
          <w:szCs w:val="22"/>
          <w:color w:val="auto"/>
        </w:rPr>
      </w:pPr>
    </w:p>
    <w:p>
      <w:pPr>
        <w:jc w:val="both"/>
        <w:ind w:firstLine="1304"/>
        <w:spacing w:after="0" w:line="287"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Separation Agreement and Release, together with the Confidentiality Agreement and Subsequent Release, contain the entire agreement of the parties with respect to the subject matter hereof, supersede any prior agreements or understandings with respect to the subject matter hereof, and shall be binding upon their respective heirs, executors, administrators, successors and assigns.</w:t>
      </w:r>
    </w:p>
    <w:p>
      <w:pPr>
        <w:spacing w:after="0" w:line="142"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this Separation Agreement and Release shall be held to be invalid or unenforceable for any reason, the validity or enforceability of the remaining terms or provisions shall not be affected, and such term or provision shall be deemed modified to the extent necessary to make it enforceable.</w:t>
      </w:r>
    </w:p>
    <w:p>
      <w:pPr>
        <w:spacing w:after="0" w:line="184" w:lineRule="exact"/>
        <w:rPr>
          <w:rFonts w:ascii="Arial" w:cs="Arial" w:eastAsia="Arial" w:hAnsi="Arial"/>
          <w:sz w:val="22"/>
          <w:szCs w:val="22"/>
          <w:color w:val="auto"/>
        </w:rPr>
      </w:pPr>
    </w:p>
    <w:p>
      <w:pPr>
        <w:ind w:left="1960" w:hanging="656"/>
        <w:spacing w:after="0"/>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Review of Agreement/Advice of Counsel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Employee is hereby advised to seek the advice of counsel.</w:t>
      </w:r>
    </w:p>
    <w:p>
      <w:pPr>
        <w:spacing w:after="0" w:line="206" w:lineRule="exact"/>
        <w:rPr>
          <w:rFonts w:ascii="Arial" w:cs="Arial" w:eastAsia="Arial" w:hAnsi="Arial"/>
          <w:sz w:val="22"/>
          <w:szCs w:val="22"/>
          <w:color w:val="auto"/>
        </w:rPr>
      </w:pPr>
    </w:p>
    <w:p>
      <w:pPr>
        <w:jc w:val="both"/>
        <w:ind w:firstLine="1952"/>
        <w:spacing w:after="0" w:line="236" w:lineRule="auto"/>
        <w:tabs>
          <w:tab w:leader="none" w:pos="25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Employee acknowledges that Employee is acting of Employee’s </w:t>
      </w:r>
      <w:r>
        <w:rPr>
          <w:rFonts w:ascii="Arial" w:cs="Arial" w:eastAsia="Arial" w:hAnsi="Arial"/>
          <w:sz w:val="22"/>
          <w:szCs w:val="22"/>
          <w:color w:val="120F1B"/>
        </w:rPr>
        <w:t>own free will, that</w:t>
      </w:r>
      <w:r>
        <w:rPr>
          <w:rFonts w:ascii="Arial" w:cs="Arial" w:eastAsia="Arial" w:hAnsi="Arial"/>
          <w:sz w:val="22"/>
          <w:szCs w:val="22"/>
          <w:color w:val="auto"/>
        </w:rPr>
        <w:t xml:space="preserve"> </w:t>
      </w:r>
      <w:r>
        <w:rPr>
          <w:rFonts w:ascii="Arial" w:cs="Arial" w:eastAsia="Arial" w:hAnsi="Arial"/>
          <w:sz w:val="22"/>
          <w:szCs w:val="22"/>
          <w:color w:val="120F1B"/>
        </w:rPr>
        <w:t>Employee has been afforded a reasonable time to read and review the terms of the Separation Agreement and Release, and that Employee is voluntarily entering into this Separation Agreement and Release with full knowledge of its provisions and effects. Employee intends that this Separation Agreement and Release shall not be subject to any claim for duress.</w:t>
      </w:r>
    </w:p>
    <w:p>
      <w:pPr>
        <w:spacing w:after="0" w:line="187" w:lineRule="exact"/>
        <w:rPr>
          <w:rFonts w:ascii="Arial" w:cs="Arial" w:eastAsia="Arial" w:hAnsi="Arial"/>
          <w:sz w:val="22"/>
          <w:szCs w:val="22"/>
          <w:color w:val="auto"/>
        </w:rPr>
      </w:pPr>
    </w:p>
    <w:p>
      <w:pPr>
        <w:jc w:val="both"/>
        <w:ind w:firstLine="1952"/>
        <w:spacing w:after="0" w:line="282" w:lineRule="auto"/>
        <w:tabs>
          <w:tab w:leader="none" w:pos="2592" w:val="left"/>
        </w:tabs>
        <w:numPr>
          <w:ilvl w:val="1"/>
          <w:numId w:val="39"/>
        </w:numPr>
        <w:rPr>
          <w:rFonts w:ascii="Arial" w:cs="Arial" w:eastAsia="Arial" w:hAnsi="Arial"/>
          <w:sz w:val="19"/>
          <w:szCs w:val="19"/>
          <w:color w:val="auto"/>
        </w:rPr>
      </w:pPr>
      <w:r>
        <w:rPr>
          <w:rFonts w:ascii="Arial" w:cs="Arial" w:eastAsia="Arial" w:hAnsi="Arial"/>
          <w:sz w:val="19"/>
          <w:szCs w:val="19"/>
          <w:color w:val="auto"/>
        </w:rPr>
        <w:t>Employee further acknowledges that Employee has been given at least 21 days within which to consider this Separation Agreement and Release and that if Employee decides to execute this Separation Agreement and Release before the 21 day period has expired, Employee does so voluntarily and waives the opportunity to use the full review period. Employee agrees that changes to this Separation Agreement and Release, whether or not material, will not restart the review period. If Employee chooses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3" w:name="page64"/>
    <w:bookmarkEnd w:id="63"/>
    <w:p>
      <w:pPr>
        <w:spacing w:after="0" w:line="250" w:lineRule="auto"/>
        <w:rPr>
          <w:sz w:val="20"/>
          <w:szCs w:val="20"/>
          <w:color w:val="auto"/>
        </w:rPr>
      </w:pPr>
      <w:r>
        <w:rPr>
          <w:rFonts w:ascii="Arial" w:cs="Arial" w:eastAsia="Arial" w:hAnsi="Arial"/>
          <w:sz w:val="22"/>
          <w:szCs w:val="22"/>
          <w:color w:val="auto"/>
        </w:rPr>
        <w:t xml:space="preserve">to accept this Separation Agreement and Release, Employee should send a signed copy to Shane Williams via email at </w:t>
      </w:r>
      <w:r>
        <w:rPr>
          <w:rFonts w:ascii="Arial" w:cs="Arial" w:eastAsia="Arial" w:hAnsi="Arial"/>
          <w:sz w:val="22"/>
          <w:szCs w:val="22"/>
          <w:u w:val="single" w:color="auto"/>
          <w:color w:val="auto"/>
        </w:rPr>
        <w:t>shane@centurytx.com</w:t>
      </w:r>
      <w:r>
        <w:rPr>
          <w:rFonts w:ascii="Arial" w:cs="Arial" w:eastAsia="Arial" w:hAnsi="Arial"/>
          <w:sz w:val="22"/>
          <w:szCs w:val="22"/>
          <w:color w:val="auto"/>
        </w:rPr>
        <w:t>.</w:t>
      </w:r>
    </w:p>
    <w:p>
      <w:pPr>
        <w:spacing w:after="0" w:line="175" w:lineRule="exact"/>
        <w:rPr>
          <w:sz w:val="20"/>
          <w:szCs w:val="20"/>
          <w:color w:val="auto"/>
        </w:rPr>
      </w:pPr>
    </w:p>
    <w:p>
      <w:pPr>
        <w:jc w:val="both"/>
        <w:ind w:firstLine="1952"/>
        <w:spacing w:after="0" w:line="236" w:lineRule="auto"/>
        <w:tabs>
          <w:tab w:leader="none" w:pos="2592"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Employee has seven (7) days after signing to revoke Employee’s acceptance of this Separation Agreement and Release, and this Separation Agreement and Release will not become effective or enforceable until the seven-day period has expired. If Employee chooses to revoke Employee’s acceptance of this Separation Agreement and Release, Employee should send written notice to Shane Williams via email at </w:t>
      </w:r>
      <w:r>
        <w:rPr>
          <w:rFonts w:ascii="Arial" w:cs="Arial" w:eastAsia="Arial" w:hAnsi="Arial"/>
          <w:sz w:val="22"/>
          <w:szCs w:val="22"/>
          <w:u w:val="single" w:color="auto"/>
          <w:color w:val="auto"/>
        </w:rPr>
        <w:t>shaiie@centurytx.com</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Neither this Separation Agreement and Release nor any term hereof may be orally changed, waived, discharged, or terminated, and may be amended only by a written agreement between the parties hereto.</w:t>
      </w:r>
    </w:p>
    <w:p>
      <w:pPr>
        <w:spacing w:after="0" w:line="186" w:lineRule="exact"/>
        <w:rPr>
          <w:rFonts w:ascii="Arial" w:cs="Arial" w:eastAsia="Arial" w:hAnsi="Arial"/>
          <w:sz w:val="22"/>
          <w:szCs w:val="22"/>
          <w:color w:val="auto"/>
        </w:rPr>
      </w:pPr>
    </w:p>
    <w:p>
      <w:pPr>
        <w:ind w:firstLine="1304"/>
        <w:spacing w:after="0" w:line="328"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Separation Agreement and Release shall be governed by the laws of the Commonwealth of Pennsylvania, without regard to the conflict of law principles of any jurisdiction.</w:t>
      </w:r>
    </w:p>
    <w:p>
      <w:pPr>
        <w:spacing w:after="0" w:line="104" w:lineRule="exact"/>
        <w:rPr>
          <w:rFonts w:ascii="Arial" w:cs="Arial" w:eastAsia="Arial" w:hAnsi="Arial"/>
          <w:sz w:val="19"/>
          <w:szCs w:val="19"/>
          <w:color w:val="auto"/>
        </w:rPr>
      </w:pPr>
    </w:p>
    <w:p>
      <w:pPr>
        <w:jc w:val="both"/>
        <w:ind w:firstLine="1304"/>
        <w:spacing w:after="0"/>
        <w:tabs>
          <w:tab w:leader="none" w:pos="19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Separation Agreement and Release may be executed in one or more counterparts, including by a scanned version of a manual signature, each of which shall be deemed an original, and all of which together shall be deemed to be one and the same instrument.</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Legally Binding</w:t>
      </w:r>
      <w:r>
        <w:rPr>
          <w:rFonts w:ascii="Arial" w:cs="Arial" w:eastAsia="Arial" w:hAnsi="Arial"/>
          <w:sz w:val="22"/>
          <w:szCs w:val="22"/>
          <w:color w:val="auto"/>
        </w:rPr>
        <w:t>. The terms of this Separation Agreement and Release contained herein are contractual, and not a mere recital.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4" w:name="page65"/>
    <w:bookmarkEnd w:id="64"/>
    <w:p>
      <w:pPr>
        <w:ind w:firstLine="648"/>
        <w:spacing w:after="0" w:line="328" w:lineRule="auto"/>
        <w:rPr>
          <w:sz w:val="20"/>
          <w:szCs w:val="20"/>
          <w:color w:val="auto"/>
        </w:rPr>
      </w:pPr>
      <w:r>
        <w:rPr>
          <w:rFonts w:ascii="Arial" w:cs="Arial" w:eastAsia="Arial" w:hAnsi="Arial"/>
          <w:sz w:val="19"/>
          <w:szCs w:val="19"/>
          <w:color w:val="auto"/>
        </w:rPr>
        <w:t>IN WITNESS WHEREOF, the parties, acknowledging that they are acting of their own free will, have caused the execution of this Separation Agreement and Release on the day and year written below,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HYAM LEVITSKY, M.D.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Hyam Levitsky,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23056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 1/22/2023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6985</wp:posOffset>
            </wp:positionV>
            <wp:extent cx="19373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CENTURY THERAPEUTICS,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Shane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23056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By: Shane Williams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Title: Chief People Officer</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wp:posOffset>
            </wp:positionV>
            <wp:extent cx="1885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5" w:name="page66"/>
    <w:bookmarkEnd w:id="65"/>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766" w:right="1440" w:bottom="1440" w:gutter="0" w:footer="0" w:header="0"/>
        </w:sectPr>
      </w:pPr>
    </w:p>
    <w:bookmarkStart w:id="66" w:name="page67"/>
    <w:bookmarkEnd w:id="66"/>
    <w:p>
      <w:pPr>
        <w:ind w:left="8980"/>
        <w:spacing w:after="0"/>
        <w:rPr>
          <w:sz w:val="20"/>
          <w:szCs w:val="20"/>
          <w:color w:val="auto"/>
        </w:rPr>
      </w:pPr>
      <w:r>
        <w:rPr>
          <w:rFonts w:ascii="Arial" w:cs="Arial" w:eastAsia="Arial" w:hAnsi="Arial"/>
          <w:sz w:val="16"/>
          <w:szCs w:val="16"/>
          <w:b w:val="1"/>
          <w:bCs w:val="1"/>
          <w:color w:val="auto"/>
        </w:rPr>
        <w:t>Exhibit 31.1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Gregory Russotti, certify that:</w:t>
      </w:r>
    </w:p>
    <w:p>
      <w:pPr>
        <w:spacing w:after="0" w:line="117" w:lineRule="exact"/>
        <w:rPr>
          <w:sz w:val="20"/>
          <w:szCs w:val="20"/>
          <w:color w:val="auto"/>
        </w:rPr>
      </w:pPr>
    </w:p>
    <w:p>
      <w:pPr>
        <w:ind w:left="900" w:hanging="451"/>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00" w:hanging="451"/>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ind w:left="8980"/>
        <w:spacing w:after="0"/>
        <w:rPr>
          <w:sz w:val="20"/>
          <w:szCs w:val="20"/>
          <w:color w:val="auto"/>
        </w:rPr>
      </w:pPr>
      <w:r>
        <w:rPr>
          <w:rFonts w:ascii="Arial" w:cs="Arial" w:eastAsia="Arial" w:hAnsi="Arial"/>
          <w:sz w:val="16"/>
          <w:szCs w:val="16"/>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7" w:lineRule="exact"/>
        <w:rPr>
          <w:sz w:val="20"/>
          <w:szCs w:val="20"/>
          <w:color w:val="auto"/>
        </w:rPr>
      </w:pPr>
    </w:p>
    <w:p>
      <w:pPr>
        <w:ind w:left="900" w:hanging="451"/>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80" w:hanging="432"/>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ind w:left="8980"/>
        <w:spacing w:after="0"/>
        <w:rPr>
          <w:sz w:val="20"/>
          <w:szCs w:val="20"/>
          <w:color w:val="auto"/>
        </w:rPr>
      </w:pPr>
      <w:r>
        <w:rPr>
          <w:rFonts w:ascii="Arial" w:cs="Arial" w:eastAsia="Arial" w:hAnsi="Arial"/>
          <w:sz w:val="16"/>
          <w:szCs w:val="16"/>
          <w:b w:val="1"/>
          <w:bCs w:val="1"/>
          <w:color w:val="auto"/>
        </w:rPr>
        <w:t>Exhibit 32.1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March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900" w:hanging="451"/>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hanging="451"/>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ind w:left="8980"/>
        <w:spacing w:after="0"/>
        <w:rPr>
          <w:sz w:val="20"/>
          <w:szCs w:val="20"/>
          <w:color w:val="auto"/>
        </w:rPr>
      </w:pPr>
      <w:r>
        <w:rPr>
          <w:rFonts w:ascii="Arial" w:cs="Arial" w:eastAsia="Arial" w:hAnsi="Arial"/>
          <w:sz w:val="16"/>
          <w:szCs w:val="16"/>
          <w:b w:val="1"/>
          <w:bCs w:val="1"/>
          <w:color w:val="auto"/>
        </w:rPr>
        <w:t>Exhibit 32.2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March 31,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900" w:hanging="451"/>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hanging="451"/>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04"/>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6"/>
    </w:lvl>
    <w:lvl w:ilvl="1">
      <w:lvlJc w:val="left"/>
      <w:lvlText w:val="(%2)"/>
      <w:numFmt w:val="low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737B8DD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
    <w:nsid w:val="6CEAF087"/>
    <w:multiLevelType w:val="hybridMultilevel"/>
    <w:lvl w:ilvl="0">
      <w:lvlJc w:val="left"/>
      <w:lvlText w:val="%1"/>
      <w:numFmt w:val="lowerLetter"/>
      <w:start w:val="1"/>
    </w:lvl>
    <w:lvl w:ilvl="1">
      <w:lvlJc w:val="left"/>
      <w:lvlText w:val="(%2)"/>
      <w:numFmt w:val="lowerLetter"/>
      <w:start w:val="2"/>
    </w:lvl>
  </w:abstractNum>
  <w:abstractNum w:abstractNumId="19">
    <w:nsid w:val="22221A70"/>
    <w:multiLevelType w:val="hybridMultilevel"/>
    <w:lvl w:ilvl="0">
      <w:lvlJc w:val="left"/>
      <w:lvlText w:val="(%1)"/>
      <w:numFmt w:val="lowerLetter"/>
      <w:start w:val="35"/>
    </w:lvl>
    <w:lvl w:ilvl="1">
      <w:lvlJc w:val="left"/>
      <w:lvlText w:val="%2"/>
      <w:numFmt w:val="lowerLetter"/>
      <w:start w:val="1"/>
    </w:lvl>
  </w:abstractNum>
  <w:abstractNum w:abstractNumId="20">
    <w:nsid w:val="4516DDE9"/>
    <w:multiLevelType w:val="hybridMultilevel"/>
    <w:lvl w:ilvl="0">
      <w:lvlJc w:val="left"/>
      <w:lvlText w:val="%1."/>
      <w:numFmt w:val="decimal"/>
      <w:start w:val="10"/>
    </w:lvl>
    <w:lvl w:ilvl="1">
      <w:lvlJc w:val="left"/>
      <w:lvlText w:val="(%2)"/>
      <w:numFmt w:val="lowerLetter"/>
      <w:start w:val="1"/>
    </w:lvl>
  </w:abstractNum>
  <w:abstractNum w:abstractNumId="21">
    <w:nsid w:val="3006C83E"/>
    <w:multiLevelType w:val="hybridMultilevel"/>
    <w:lvl w:ilvl="0">
      <w:lvlJc w:val="left"/>
      <w:lvlText w:val="%1"/>
      <w:numFmt w:val="decimal"/>
      <w:start w:val="1"/>
    </w:lvl>
    <w:lvl w:ilvl="1">
      <w:lvlJc w:val="left"/>
      <w:lvlText w:val="(%2)"/>
      <w:numFmt w:val="lowerLetter"/>
      <w:start w:val="2"/>
    </w:lvl>
  </w:abstractNum>
  <w:abstractNum w:abstractNumId="22">
    <w:nsid w:val="614FD4A1"/>
    <w:multiLevelType w:val="hybridMultilevel"/>
    <w:lvl w:ilvl="0">
      <w:lvlJc w:val="left"/>
      <w:lvlText w:val="%1."/>
      <w:numFmt w:val="decimal"/>
      <w:start w:val="11"/>
    </w:lvl>
    <w:lvl w:ilvl="1">
      <w:lvlJc w:val="left"/>
      <w:lvlText w:val="%2"/>
      <w:numFmt w:val="lowerLetter"/>
      <w:start w:val="1"/>
    </w:lvl>
  </w:abstractNum>
  <w:abstractNum w:abstractNumId="23">
    <w:nsid w:val="419AC241"/>
    <w:multiLevelType w:val="hybridMultilevel"/>
    <w:lvl w:ilvl="0">
      <w:lvlJc w:val="left"/>
      <w:lvlText w:val="%1."/>
      <w:numFmt w:val="decimal"/>
      <w:start w:val="12"/>
    </w:lvl>
    <w:lvl w:ilvl="1">
      <w:lvlJc w:val="left"/>
      <w:lvlText w:val="(%2)"/>
      <w:numFmt w:val="lowerLetter"/>
      <w:start w:val="1"/>
    </w:lvl>
  </w:abstractNum>
  <w:abstractNum w:abstractNumId="24">
    <w:nsid w:val="5577F8E1"/>
    <w:multiLevelType w:val="hybridMultilevel"/>
    <w:lvl w:ilvl="0">
      <w:lvlJc w:val="left"/>
      <w:lvlText w:val="%1"/>
      <w:numFmt w:val="decimal"/>
      <w:start w:val="90"/>
    </w:lvl>
    <w:lvl w:ilvl="1">
      <w:lvlJc w:val="left"/>
      <w:lvlText w:val="(%2)"/>
      <w:numFmt w:val="lowerLetter"/>
      <w:start w:val="5"/>
    </w:lvl>
  </w:abstractNum>
  <w:abstractNum w:abstractNumId="25">
    <w:nsid w:val="440BADFC"/>
    <w:multiLevelType w:val="hybridMultilevel"/>
    <w:lvl w:ilvl="0">
      <w:lvlJc w:val="left"/>
      <w:lvlText w:val="%1"/>
      <w:numFmt w:val="decimal"/>
      <w:start w:val="1"/>
    </w:lvl>
    <w:lvl w:ilvl="1">
      <w:lvlJc w:val="left"/>
      <w:lvlText w:val="(%2)"/>
      <w:numFmt w:val="lowerLetter"/>
      <w:start w:val="6"/>
    </w:lvl>
  </w:abstractNum>
  <w:abstractNum w:abstractNumId="26">
    <w:nsid w:val="5072367"/>
    <w:multiLevelType w:val="hybridMultilevel"/>
    <w:lvl w:ilvl="0">
      <w:lvlJc w:val="left"/>
      <w:lvlText w:val="%1."/>
      <w:numFmt w:val="decimal"/>
      <w:start w:val="13"/>
    </w:lvl>
    <w:lvl w:ilvl="1">
      <w:lvlJc w:val="left"/>
      <w:lvlText w:val="(%2)"/>
      <w:numFmt w:val="lowerLetter"/>
      <w:start w:val="1"/>
    </w:lvl>
  </w:abstractNum>
  <w:abstractNum w:abstractNumId="27">
    <w:nsid w:val="3804823E"/>
    <w:multiLevelType w:val="hybridMultilevel"/>
    <w:lvl w:ilvl="0">
      <w:lvlJc w:val="left"/>
      <w:lvlText w:val="%1"/>
      <w:numFmt w:val="decimal"/>
      <w:start w:val="1"/>
    </w:lvl>
    <w:lvl w:ilvl="1">
      <w:lvlJc w:val="left"/>
      <w:lvlText w:val="(%2)"/>
      <w:numFmt w:val="lowerLetter"/>
      <w:start w:val="3"/>
    </w:lvl>
  </w:abstractNum>
  <w:abstractNum w:abstractNumId="28">
    <w:nsid w:val="77465F01"/>
    <w:multiLevelType w:val="hybridMultilevel"/>
    <w:lvl w:ilvl="0">
      <w:lvlJc w:val="left"/>
      <w:lvlText w:val="%1."/>
      <w:numFmt w:val="decimal"/>
      <w:start w:val="19"/>
    </w:lvl>
    <w:lvl w:ilvl="1">
      <w:lvlJc w:val="left"/>
      <w:lvlText w:val="%2"/>
      <w:numFmt w:val="lowerLetter"/>
      <w:start w:val="1"/>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
    <w:nsid w:val="2463B9EA"/>
    <w:multiLevelType w:val="hybridMultilevel"/>
    <w:lvl w:ilvl="0">
      <w:lvlJc w:val="left"/>
      <w:lvlText w:val="%1."/>
      <w:numFmt w:val="decimal"/>
      <w:start w:val="4"/>
    </w:lvl>
    <w:lvl w:ilvl="1">
      <w:lvlJc w:val="left"/>
      <w:lvlText w:val="%2."/>
      <w:numFmt w:val="lowerLetter"/>
      <w:start w:val="1"/>
    </w:lvl>
  </w:abstractNum>
  <w:abstractNum w:abstractNumId="32">
    <w:nsid w:val="5E884ADC"/>
    <w:multiLevelType w:val="hybridMultilevel"/>
    <w:lvl w:ilvl="0">
      <w:lvlJc w:val="left"/>
      <w:lvlText w:val="%1."/>
      <w:numFmt w:val="lowerLetter"/>
      <w:start w:val="5"/>
    </w:lvl>
  </w:abstractNum>
  <w:abstractNum w:abstractNumId="33">
    <w:nsid w:val="51EAD36B"/>
    <w:multiLevelType w:val="hybridMultilevel"/>
    <w:lvl w:ilvl="0">
      <w:lvlJc w:val="left"/>
      <w:lvlText w:val="%1."/>
      <w:numFmt w:val="lowerLetter"/>
      <w:start w:val="7"/>
    </w:lvl>
  </w:abstractNum>
  <w:abstractNum w:abstractNumId="34">
    <w:nsid w:val="2D517796"/>
    <w:multiLevelType w:val="hybridMultilevel"/>
    <w:lvl w:ilvl="0">
      <w:lvlJc w:val="left"/>
      <w:lvlText w:val="%1."/>
      <w:numFmt w:val="decimal"/>
      <w:start w:val="5"/>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2"/>
    </w:lvl>
  </w:abstractNum>
  <w:abstractNum w:abstractNumId="36">
    <w:nsid w:val="153EA438"/>
    <w:multiLevelType w:val="hybridMultilevel"/>
    <w:lvl w:ilvl="0">
      <w:lvlJc w:val="left"/>
      <w:lvlText w:val="%1."/>
      <w:numFmt w:val="decimal"/>
      <w:start w:val="7"/>
    </w:lvl>
    <w:lvl w:ilvl="1">
      <w:lvlJc w:val="left"/>
      <w:lvlText w:val="%2"/>
      <w:numFmt w:val="lowerLetter"/>
      <w:start w:val="1"/>
    </w:lvl>
  </w:abstractNum>
  <w:abstractNum w:abstractNumId="37">
    <w:nsid w:val="3855585C"/>
    <w:multiLevelType w:val="hybridMultilevel"/>
    <w:lvl w:ilvl="0">
      <w:lvlJc w:val="left"/>
      <w:lvlText w:val="%1."/>
      <w:numFmt w:val="decimal"/>
      <w:start w:val="10"/>
    </w:lvl>
  </w:abstractNum>
  <w:abstractNum w:abstractNumId="38">
    <w:nsid w:val="70A64E2A"/>
    <w:multiLevelType w:val="hybridMultilevel"/>
    <w:lvl w:ilvl="0">
      <w:lvlJc w:val="left"/>
      <w:lvlText w:val="%1."/>
      <w:numFmt w:val="decimal"/>
      <w:start w:val="16"/>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4"/>
    </w:lvl>
  </w:abstractNum>
  <w:abstractNum w:abstractNumId="40">
    <w:nsid w:val="2A487CB0"/>
    <w:multiLevelType w:val="hybridMultilevel"/>
    <w:lvl w:ilvl="0">
      <w:lvlJc w:val="left"/>
      <w:lvlText w:val="%1."/>
      <w:numFmt w:val="decimal"/>
      <w:start w:val="22"/>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2023-05-11T06:50:46Z</dcterms:created>
  <dcterms:modified xsi:type="dcterms:W3CDTF">2023-05-11T06:50:46Z</dcterms:modified>
</cp:coreProperties>
</file>