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Century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15673T100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01/09/2026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13,043,478.00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13,043,478.00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13,043,478.00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1"/>
        <w:gridCol w:w="7914"/>
      </w:tblGrid>
      <w:tr>
        <w:trPr/>
        <w:tc>
          <w:tcPr>
            <w:tcW w:w="2291" w:type="dxa"/>
            <w:tcBorders/>
            <w:vAlign w:val="center"/>
          </w:tcPr>
          <w:p>
            <w:pPr>
              <w:pStyle w:val="TableContents"/>
              <w:bidi w:val="0"/>
              <w:spacing w:before="0" w:after="283"/>
              <w:jc w:val="left"/>
              <w:rPr/>
            </w:pPr>
            <w:r>
              <w:rPr/>
              <w:t>1</w:t>
            </w:r>
          </w:p>
        </w:tc>
        <w:tc>
          <w:tcPr>
            <w:tcW w:w="79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291" w:type="dxa"/>
            <w:tcBorders/>
            <w:vAlign w:val="center"/>
          </w:tcPr>
          <w:p>
            <w:pPr>
              <w:pStyle w:val="TableContents"/>
              <w:bidi w:val="0"/>
              <w:spacing w:before="0" w:after="283"/>
              <w:jc w:val="left"/>
              <w:rPr/>
            </w:pPr>
            <w:r>
              <w:rPr/>
              <w:t>2</w:t>
            </w:r>
          </w:p>
        </w:tc>
        <w:tc>
          <w:tcPr>
            <w:tcW w:w="79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1" w:type="dxa"/>
            <w:tcBorders/>
            <w:vAlign w:val="center"/>
          </w:tcPr>
          <w:p>
            <w:pPr>
              <w:pStyle w:val="TableContents"/>
              <w:bidi w:val="0"/>
              <w:spacing w:before="0" w:after="283"/>
              <w:jc w:val="left"/>
              <w:rPr/>
            </w:pPr>
            <w:r>
              <w:rPr/>
              <w:t>3</w:t>
            </w:r>
          </w:p>
        </w:tc>
        <w:tc>
          <w:tcPr>
            <w:tcW w:w="7914" w:type="dxa"/>
            <w:tcBorders/>
            <w:vAlign w:val="center"/>
          </w:tcPr>
          <w:p>
            <w:pPr>
              <w:pStyle w:val="TableContents"/>
              <w:bidi w:val="0"/>
              <w:spacing w:before="0" w:after="283"/>
              <w:jc w:val="left"/>
              <w:rPr/>
            </w:pPr>
            <w:r>
              <w:rPr/>
              <w:t>Sec Use Only</w:t>
            </w:r>
          </w:p>
        </w:tc>
      </w:tr>
      <w:tr>
        <w:trPr/>
        <w:tc>
          <w:tcPr>
            <w:tcW w:w="2291" w:type="dxa"/>
            <w:tcBorders/>
            <w:vAlign w:val="center"/>
          </w:tcPr>
          <w:p>
            <w:pPr>
              <w:pStyle w:val="TableContents"/>
              <w:bidi w:val="0"/>
              <w:spacing w:before="0" w:after="283"/>
              <w:jc w:val="left"/>
              <w:rPr/>
            </w:pPr>
            <w:r>
              <w:rPr/>
              <w:t>4</w:t>
            </w:r>
          </w:p>
        </w:tc>
        <w:tc>
          <w:tcPr>
            <w:tcW w:w="79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13,043,478.00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13,043,478.00</w:t>
                  </w:r>
                </w:p>
              </w:tc>
            </w:tr>
          </w:tbl>
          <w:p>
            <w:pPr>
              <w:pStyle w:val="TableContents"/>
              <w:bidi w:val="0"/>
              <w:spacing w:before="0" w:after="283"/>
              <w:jc w:val="left"/>
              <w:rPr/>
            </w:pPr>
            <w:r>
              <w:rPr/>
            </w:r>
          </w:p>
        </w:tc>
        <w:tc>
          <w:tcPr>
            <w:tcW w:w="7914" w:type="dxa"/>
            <w:tcBorders/>
            <w:vAlign w:val="center"/>
          </w:tcPr>
          <w:p>
            <w:pPr>
              <w:pStyle w:val="TableContents"/>
              <w:bidi w:val="0"/>
              <w:spacing w:before="0" w:after="283"/>
              <w:jc w:val="left"/>
              <w:rPr>
                <w:sz w:val="4"/>
                <w:szCs w:val="4"/>
              </w:rPr>
            </w:pPr>
            <w:r>
              <w:rPr>
                <w:sz w:val="4"/>
                <w:szCs w:val="4"/>
              </w:rPr>
            </w:r>
          </w:p>
        </w:tc>
      </w:tr>
      <w:tr>
        <w:trPr/>
        <w:tc>
          <w:tcPr>
            <w:tcW w:w="2291" w:type="dxa"/>
            <w:tcBorders/>
            <w:vAlign w:val="center"/>
          </w:tcPr>
          <w:p>
            <w:pPr>
              <w:pStyle w:val="TableContents"/>
              <w:bidi w:val="0"/>
              <w:spacing w:before="0" w:after="283"/>
              <w:jc w:val="left"/>
              <w:rPr/>
            </w:pPr>
            <w:r>
              <w:rPr/>
              <w:t>9</w:t>
            </w:r>
          </w:p>
        </w:tc>
        <w:tc>
          <w:tcPr>
            <w:tcW w:w="79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13,043,478.00</w:t>
            </w:r>
          </w:p>
        </w:tc>
      </w:tr>
      <w:tr>
        <w:trPr/>
        <w:tc>
          <w:tcPr>
            <w:tcW w:w="2291" w:type="dxa"/>
            <w:tcBorders/>
            <w:vAlign w:val="center"/>
          </w:tcPr>
          <w:p>
            <w:pPr>
              <w:pStyle w:val="TableContents"/>
              <w:bidi w:val="0"/>
              <w:spacing w:before="0" w:after="283"/>
              <w:jc w:val="left"/>
              <w:rPr/>
            </w:pPr>
            <w:r>
              <w:rPr/>
              <w:t>10</w:t>
            </w:r>
          </w:p>
        </w:tc>
        <w:tc>
          <w:tcPr>
            <w:tcW w:w="79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1" w:type="dxa"/>
            <w:tcBorders/>
            <w:vAlign w:val="center"/>
          </w:tcPr>
          <w:p>
            <w:pPr>
              <w:pStyle w:val="TableContents"/>
              <w:bidi w:val="0"/>
              <w:spacing w:before="0" w:after="283"/>
              <w:jc w:val="left"/>
              <w:rPr/>
            </w:pPr>
            <w:r>
              <w:rPr/>
              <w:t>11</w:t>
            </w:r>
          </w:p>
        </w:tc>
        <w:tc>
          <w:tcPr>
            <w:tcW w:w="79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1" w:type="dxa"/>
            <w:tcBorders/>
            <w:vAlign w:val="center"/>
          </w:tcPr>
          <w:p>
            <w:pPr>
              <w:pStyle w:val="TableContents"/>
              <w:bidi w:val="0"/>
              <w:spacing w:before="0" w:after="283"/>
              <w:jc w:val="left"/>
              <w:rPr/>
            </w:pPr>
            <w:r>
              <w:rPr/>
              <w:t>12</w:t>
            </w:r>
          </w:p>
        </w:tc>
        <w:tc>
          <w:tcPr>
            <w:tcW w:w="79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13,043,478.00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13,043,478.00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13,043,478.00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13,043,478.00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13,043,478.00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13,043,478.00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13,043,478.00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13,043,478.00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13,043,478.00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13,043,478.00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13,043,478.00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13,043,478.00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15673T100</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13,043,478.00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13,043,478.00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13,043,478.00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Century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North 38th Street, 11th Floor, Philadelphia, PA, 19104.</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jc w:val="left"/>
              <w:rPr/>
            </w:pPr>
            <w:r>
              <w:rPr/>
              <w:t xml:space="preserve">CUSIP No.: </w:t>
            </w:r>
          </w:p>
          <w:p>
            <w:pPr>
              <w:pStyle w:val="TableContents"/>
              <w:bidi w:val="0"/>
              <w:spacing w:before="0" w:after="0"/>
              <w:jc w:val="left"/>
              <w:rPr/>
            </w:pPr>
            <w:r>
              <w:rPr/>
              <w:t>15673T100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and is incorporated by reference. The Reporting Persons' ownership of the Issuer's securities consists of (i) 1,414,783 shares of common stock and common warrants (the "Warrants") immediately exercisable for up to 707,392 shares of common stock held by VHCP III, (ii) 141,739 shares of common stock and Warrants immediately exercisable for up to 70,869 shares of common stock held by VHCP Co-Investment III, and (iii) 7,139,130 shares of common stock and Warrants immediately exercisable for up to 3,569,565 shares of common stock held by held by VHCP EG. VHCP Management III is the general partner of VHCP III and the manager of VHCP Co-Investment III. VHCP Management EG is the general partner of VHCP EG. Messrs. Shah and Koh are the voting members of VHCP Management III and VHCP Management EG.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common stock of the Issuer beneficially owned by such Reporting Person and is incorporated by reference. The percentage set forth in each row 11 is based upon the sum of (i) 87,405,311 shares of common stock outstanding as of November 25, 2025, as reported in the Issuer's definitive proxy statement, filed with the Securities and Exchange Commission (the "SEC") on December 2, 2025; (ii) 92,030,595 shares of common stock issued in the private placement of equity securities by the Issuer that closed on January 9, 2026; and (iii) 4,347,826 shares of common stock issuable upon the exercise of the Warrants.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01/16/2026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24.1 Power of Attorney for Bong Koh Exhibit 24.2 Power of Attorney for Nimish Shah Exhibit 99.1 Joint Filing Agreement </w:t>
            </w:r>
          </w:p>
        </w:tc>
      </w:tr>
    </w:tbl>
    <w:p>
      <w:pPr>
        <w:pStyle w:val="TextBody"/>
        <w:bidi w:val="0"/>
        <w:spacing w:before="0" w:after="0"/>
        <w:ind w:left="0" w:right="0" w:hanging="0"/>
        <w:jc w:val="right"/>
        <w:rPr>
          <w:b/>
          <w:sz w:val="22"/>
        </w:rPr>
      </w:pPr>
      <w:bookmarkStart w:id="40" w:name="ex-24-01162026_090106.htm"/>
      <w:bookmarkStart w:id="41" w:name="ksex2401162026_090106"/>
      <w:bookmarkEnd w:id="40"/>
      <w:bookmarkEnd w:id="41"/>
      <w:r>
        <w:rPr>
          <w:b/>
          <w:sz w:val="22"/>
        </w:rPr>
        <w:t>EXHIBIT 24.1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914400" cy="160655"/>
                <wp:effectExtent l="0" t="0" r="0" b="0"/>
                <wp:wrapSquare wrapText="right"/>
                <wp:docPr id="36"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914400" cy="160655"/>
                <wp:effectExtent l="0" t="0" r="0" b="0"/>
                <wp:wrapSquare wrapText="right"/>
                <wp:docPr id="37"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16th day of January,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Bong Koh</w:t>
      </w:r>
    </w:p>
    <w:p>
      <w:pPr>
        <w:pStyle w:val="TextBody"/>
        <w:pBdr/>
        <w:bidi w:val="0"/>
        <w:spacing w:before="0" w:after="0"/>
        <w:ind w:left="0" w:right="0" w:hanging="0"/>
        <w:jc w:val="left"/>
        <w:rPr>
          <w:sz w:val="22"/>
        </w:rPr>
      </w:pPr>
      <w:r>
        <w:rPr>
          <w:sz w:val="22"/>
        </w:rPr>
        <w:t>Bong Koh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right"/>
        <w:rPr>
          <w:b/>
          <w:sz w:val="22"/>
        </w:rPr>
      </w:pPr>
      <w:bookmarkStart w:id="42" w:name="ex-24-01162026_090107.htm"/>
      <w:bookmarkStart w:id="43" w:name="ksex2401162026_090107"/>
      <w:bookmarkEnd w:id="42"/>
      <w:bookmarkEnd w:id="43"/>
      <w:r>
        <w:rPr>
          <w:b/>
          <w:sz w:val="22"/>
        </w:rPr>
        <w:t>EXHIBIT 24.2</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sz w:val="22"/>
        </w:rPr>
      </w:pPr>
      <w:r>
        <w:rPr>
          <w:b/>
          <w:sz w:val="22"/>
        </w:rPr>
        <w:t>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b/>
          <w:sz w:val="22"/>
        </w:rPr>
        <w:t>KNOW ALL BY THESE PRESENTS</w:t>
      </w:r>
      <w:r>
        <w:rPr>
          <w:sz w:val="22"/>
        </w:rPr>
        <w:t>, that the undersigned hereby constitutes and appoints each of Jessica Baron, Evan W. Neu and Sherman G. Souther, Jr., signing individually, the undersigned’s true and lawful attorney-in fact and agent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 (b) Forms 3, 4 and 5 and any amendments thereto in accordance with Section 16(a) of the Exchange Act and the rules thereunder; and</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914400" cy="160655"/>
                <wp:effectExtent l="0" t="0" r="0" b="0"/>
                <wp:wrapSquare wrapText="right"/>
                <wp:docPr id="38"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914400" cy="160655"/>
                <wp:effectExtent l="0" t="0" r="0" b="0"/>
                <wp:wrapSquare wrapText="right"/>
                <wp:docPr id="39" name="Frame4"/>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(ii)</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 this Power of Attorney to be executed as of this 16th day of January,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Nimish Shah</w:t>
      </w:r>
    </w:p>
    <w:p>
      <w:pPr>
        <w:pStyle w:val="TextBody"/>
        <w:pBdr/>
        <w:bidi w:val="0"/>
        <w:spacing w:before="0" w:after="0"/>
        <w:ind w:left="0" w:right="0" w:hanging="0"/>
        <w:jc w:val="left"/>
        <w:rPr>
          <w:sz w:val="22"/>
        </w:rPr>
      </w:pPr>
      <w:r>
        <w:rPr>
          <w:sz w:val="22"/>
        </w:rPr>
        <w:t>Nimish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240"/>
        <w:jc w:val="center"/>
        <w:rPr>
          <w:b/>
        </w:rPr>
      </w:pPr>
      <w:bookmarkStart w:id="44" w:name="ex-99-01162026_090108.htm"/>
      <w:bookmarkStart w:id="45" w:name="ksex9901162026_090108"/>
      <w:bookmarkEnd w:id="44"/>
      <w:bookmarkEnd w:id="45"/>
      <w:r>
        <w:rPr>
          <w:b/>
        </w:rPr>
        <w:t xml:space="preserve">EXHIBIT 99.1 </w:t>
      </w:r>
      <w:r>
        <w:br w:type="page"/>
      </w:r>
    </w:p>
    <w:p>
      <w:pPr>
        <w:pStyle w:val="TextBody"/>
        <w:bidi w:val="0"/>
        <w:spacing w:before="0" w:after="240"/>
        <w:jc w:val="center"/>
        <w:rPr/>
      </w:pPr>
      <w:r>
        <w:rPr/>
        <w:t>JOINT FILING AGREEMENT</w:t>
      </w:r>
    </w:p>
    <w:p>
      <w:pPr>
        <w:pStyle w:val="TextBody"/>
        <w:bidi w:val="0"/>
        <w:spacing w:before="0" w:after="240"/>
        <w:jc w:val="both"/>
        <w:rPr/>
      </w:pPr>
      <w:r>
        <w:rPr/>
        <w:t>In accordance with Rule 13d-1(k) under the Securities Exchange Act of 1934, as amended, the undersigned agree to the joint filing on behalf of each of them of a statement on Schedule 13G (including amendments thereto) with respect to the common stock of Century Therapeutics,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pStyle w:val="TextBody"/>
        <w:bidi w:val="0"/>
        <w:spacing w:before="0" w:after="240"/>
        <w:jc w:val="both"/>
        <w:rPr/>
      </w:pPr>
      <w:r>
        <w:rPr/>
        <w:t>In evidence whereof, the undersigned have caused this Agreement to be executed on their behalf this 16th day of January, 2026.</w:t>
      </w:r>
    </w:p>
    <w:tbl>
      <w:tblPr>
        <w:tblW w:w="9375" w:type="dxa"/>
        <w:jc w:val="center"/>
        <w:tblInd w:w="0" w:type="dxa"/>
        <w:tblLayout w:type="fixed"/>
        <w:tblCellMar>
          <w:top w:w="0" w:type="dxa"/>
          <w:left w:w="0" w:type="dxa"/>
          <w:bottom w:w="0" w:type="dxa"/>
          <w:right w:w="0" w:type="dxa"/>
        </w:tblCellMar>
      </w:tblPr>
      <w:tblGrid>
        <w:gridCol w:w="4725"/>
        <w:gridCol w:w="4650"/>
      </w:tblGrid>
      <w:tr>
        <w:trPr/>
        <w:tc>
          <w:tcPr>
            <w:tcW w:w="4725" w:type="dxa"/>
            <w:tcBorders/>
            <w:vAlign w:val="center"/>
          </w:tcPr>
          <w:p>
            <w:pPr>
              <w:pStyle w:val="TableContents"/>
              <w:bidi w:val="0"/>
              <w:spacing w:before="0" w:after="283"/>
              <w:jc w:val="left"/>
              <w:rPr>
                <w:sz w:val="4"/>
                <w:szCs w:val="4"/>
              </w:rPr>
            </w:pPr>
            <w:r>
              <w:rPr>
                <w:sz w:val="4"/>
                <w:szCs w:val="4"/>
              </w:rPr>
            </w:r>
          </w:p>
        </w:tc>
        <w:tc>
          <w:tcPr>
            <w:tcW w:w="4650" w:type="dxa"/>
            <w:tcBorders/>
            <w:vAlign w:val="center"/>
          </w:tcPr>
          <w:p>
            <w:pPr>
              <w:pStyle w:val="TableContents"/>
              <w:bidi w:val="0"/>
              <w:spacing w:before="0" w:after="283"/>
              <w:jc w:val="left"/>
              <w:rPr>
                <w:sz w:val="4"/>
                <w:szCs w:val="4"/>
              </w:rPr>
            </w:pPr>
            <w:r>
              <w:rPr>
                <w:sz w:val="4"/>
                <w:szCs w:val="4"/>
              </w:rPr>
            </w:r>
          </w:p>
        </w:tc>
      </w:tr>
      <w:tr>
        <w:trPr>
          <w:trHeight w:val="1845" w:hRule="atLeast"/>
        </w:trPr>
        <w:tc>
          <w:tcPr>
            <w:tcW w:w="4725" w:type="dxa"/>
            <w:tcBorders/>
          </w:tcPr>
          <w:p>
            <w:pPr>
              <w:pStyle w:val="TableContents"/>
              <w:bidi w:val="0"/>
              <w:spacing w:before="0" w:after="0"/>
              <w:ind w:left="0" w:right="0" w:hanging="0"/>
              <w:jc w:val="left"/>
              <w:rPr>
                <w:b/>
              </w:rPr>
            </w:pPr>
            <w:r>
              <w:rPr>
                <w:b/>
              </w:rPr>
              <w:t>Venrock Healthcare Capital Partners III,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42900" cy="175260"/>
                      <wp:effectExtent l="0" t="0" r="0" b="0"/>
                      <wp:wrapSquare wrapText="right"/>
                      <wp:docPr id="40" name="Frame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42900" cy="175260"/>
                      <wp:effectExtent l="0" t="0" r="0" b="0"/>
                      <wp:wrapSquare wrapText="right"/>
                      <wp:docPr id="41" name="Frame6"/>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42900" cy="175260"/>
                      <wp:effectExtent l="0" t="0" r="0" b="0"/>
                      <wp:wrapSquare wrapText="right"/>
                      <wp:docPr id="42" name="Frame7"/>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b/>
              </w:rPr>
            </w:pPr>
            <w:r>
              <w:rPr>
                <w:b/>
              </w:rPr>
              <w:t>Venrock Healthcare Capital Partners EG,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EG, LLC</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42900" cy="175260"/>
                      <wp:effectExtent l="0" t="0" r="0" b="0"/>
                      <wp:wrapSquare wrapText="right"/>
                      <wp:docPr id="43" name="Frame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342900" cy="175260"/>
                      <wp:effectExtent l="0" t="0" r="0" b="0"/>
                      <wp:wrapSquare wrapText="right"/>
                      <wp:docPr id="44" name="Frame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42900" cy="175260"/>
                      <wp:effectExtent l="0" t="0" r="0" b="0"/>
                      <wp:wrapSquare wrapText="right"/>
                      <wp:docPr id="45" name="Frame10"/>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VHCP Co-Investment Holdings III, LLC</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VHCP Management III, LLC</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42900" cy="175260"/>
                      <wp:effectExtent l="0" t="0" r="0" b="0"/>
                      <wp:wrapSquare wrapText="right"/>
                      <wp:docPr id="46" name="Frame1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hanging="30"/>
              <w:jc w:val="left"/>
              <w:rPr/>
            </w:pPr>
            <w:r>
              <w:rPr/>
              <w:t>Manager</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42900" cy="175260"/>
                      <wp:effectExtent l="0" t="0" r="0" b="0"/>
                      <wp:wrapSquare wrapText="right"/>
                      <wp:docPr id="47" name="Frame1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Its:</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342900" cy="175260"/>
                      <wp:effectExtent l="0" t="0" r="0" b="0"/>
                      <wp:wrapSquare wrapText="right"/>
                      <wp:docPr id="48" name="Frame1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VHCP Management III,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42900" cy="175260"/>
                      <wp:effectExtent l="0" t="0" r="0" b="0"/>
                      <wp:wrapSquare wrapText="right"/>
                      <wp:docPr id="49" name="Frame1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b/>
              </w:rPr>
            </w:pPr>
            <w:r>
              <w:rPr>
                <w:b/>
              </w:rPr>
              <w:t>VHCP Management EG,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Sherman G. Souther</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342900" cy="175260"/>
                      <wp:effectExtent l="0" t="0" r="0" b="0"/>
                      <wp:wrapSquare wrapText="right"/>
                      <wp:docPr id="50" name="Frame1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firstLine="540"/>
              <w:jc w:val="left"/>
              <w:rPr/>
            </w:pPr>
            <w:r>
              <w:rPr/>
              <w:t>Name: Sherman G. Souther</w:t>
            </w:r>
          </w:p>
          <w:p>
            <w:pPr>
              <w:pStyle w:val="TableContents"/>
              <w:bidi w:val="0"/>
              <w:spacing w:before="0" w:after="0"/>
              <w:ind w:left="0" w:right="0" w:firstLine="540"/>
              <w:jc w:val="left"/>
              <w:rPr/>
            </w:pPr>
            <w:r>
              <w:rPr/>
              <w:t>Its: Authorized Signatory</w:t>
            </w:r>
          </w:p>
          <w:p>
            <w:pPr>
              <w:pStyle w:val="TableContents"/>
              <w:bidi w:val="0"/>
              <w:spacing w:before="0" w:after="0"/>
              <w:ind w:left="0" w:right="0" w:hanging="0"/>
              <w:jc w:val="left"/>
              <w:rPr/>
            </w:pPr>
            <w:r>
              <w:rPr/>
            </w:r>
          </w:p>
        </w:tc>
      </w:tr>
      <w:tr>
        <w:trPr/>
        <w:tc>
          <w:tcPr>
            <w:tcW w:w="4725" w:type="dxa"/>
            <w:tcBorders/>
          </w:tcPr>
          <w:p>
            <w:pPr>
              <w:pStyle w:val="TableContents"/>
              <w:bidi w:val="0"/>
              <w:spacing w:before="0" w:after="0"/>
              <w:ind w:left="0" w:right="0" w:hanging="0"/>
              <w:jc w:val="left"/>
              <w:rPr>
                <w:b/>
              </w:rPr>
            </w:pPr>
            <w:r>
              <w:rPr>
                <w:b/>
              </w:rPr>
              <w:t>Nimish Shah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Bong Koh</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Sherman G. Souther</w:t>
            </w:r>
          </w:p>
          <w:p>
            <w:pPr>
              <w:pStyle w:val="TableContents"/>
              <w:bidi w:val="0"/>
              <w:spacing w:before="0" w:after="0"/>
              <w:ind w:left="0" w:right="0" w:hanging="0"/>
              <w:jc w:val="left"/>
              <w:rPr/>
            </w:pPr>
            <w:r>
              <w:rPr/>
              <w:t>Sherman G. Souther, Attorney-in-fact</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tc>
        <w:tc>
          <w:tcPr>
            <w:tcW w:w="4650" w:type="dxa"/>
            <w:tcBorders/>
          </w:tcPr>
          <w:p>
            <w:pPr>
              <w:pStyle w:val="TableContents"/>
              <w:bidi w:val="0"/>
              <w:spacing w:before="0" w:after="0"/>
              <w:ind w:left="0" w:right="0" w:hanging="0"/>
              <w:jc w:val="left"/>
              <w:rPr/>
            </w:pPr>
            <w:r>
              <w:rPr/>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3361</Words>
  <Characters>17553</Characters>
  <CharactersWithSpaces>20714</CharactersWithSpaces>
  <Paragraphs>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