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5"/>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63" w:lineRule="exact"/>
        <w:rPr>
          <w:sz w:val="24"/>
          <w:szCs w:val="24"/>
          <w:color w:val="auto"/>
        </w:rPr>
      </w:pPr>
    </w:p>
    <w:p>
      <w:pPr>
        <w:jc w:val="center"/>
        <w:ind w:right="15"/>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102235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0"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7"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Date of Report (Date of earliest event reported): November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103505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7" w:lineRule="exact"/>
        <w:rPr>
          <w:sz w:val="24"/>
          <w:szCs w:val="24"/>
          <w:color w:val="auto"/>
        </w:rPr>
      </w:pPr>
    </w:p>
    <w:p>
      <w:pPr>
        <w:jc w:val="center"/>
        <w:ind w:right="15"/>
        <w:spacing w:after="0"/>
        <w:rPr>
          <w:sz w:val="20"/>
          <w:szCs w:val="20"/>
          <w:color w:val="auto"/>
        </w:rPr>
      </w:pPr>
      <w:r>
        <w:rPr>
          <w:rFonts w:ascii="Arial" w:cs="Arial" w:eastAsia="Arial" w:hAnsi="Arial"/>
          <w:sz w:val="22"/>
          <w:szCs w:val="22"/>
          <w:b w:val="1"/>
          <w:bCs w:val="1"/>
          <w:color w:val="auto"/>
        </w:rPr>
        <w:t>Century Therapeutics, Inc.</w:t>
      </w:r>
    </w:p>
    <w:p>
      <w:pPr>
        <w:spacing w:after="0" w:line="19" w:lineRule="exact"/>
        <w:rPr>
          <w:sz w:val="24"/>
          <w:szCs w:val="24"/>
          <w:color w:val="auto"/>
        </w:rPr>
      </w:pPr>
    </w:p>
    <w:p>
      <w:pPr>
        <w:jc w:val="center"/>
        <w:ind w:right="15"/>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7" w:right="299" w:bottom="1440" w:gutter="0" w:footer="0" w:header="0"/>
        </w:sectPr>
      </w:pPr>
    </w:p>
    <w:p>
      <w:pPr>
        <w:spacing w:after="0" w:line="298" w:lineRule="exact"/>
        <w:rPr>
          <w:sz w:val="24"/>
          <w:szCs w:val="24"/>
          <w:color w:val="auto"/>
        </w:rPr>
      </w:pPr>
    </w:p>
    <w:p>
      <w:pPr>
        <w:ind w:left="1565"/>
        <w:spacing w:after="0"/>
        <w:rPr>
          <w:sz w:val="20"/>
          <w:szCs w:val="20"/>
          <w:color w:val="auto"/>
        </w:rPr>
      </w:pPr>
      <w:r>
        <w:rPr>
          <w:rFonts w:ascii="Arial" w:cs="Arial" w:eastAsia="Arial" w:hAnsi="Arial"/>
          <w:sz w:val="12"/>
          <w:szCs w:val="12"/>
          <w:b w:val="1"/>
          <w:bCs w:val="1"/>
          <w:color w:val="auto"/>
        </w:rPr>
        <w:t>Delaware</w:t>
      </w:r>
    </w:p>
    <w:p>
      <w:pPr>
        <w:spacing w:after="0" w:line="19" w:lineRule="exact"/>
        <w:rPr>
          <w:sz w:val="24"/>
          <w:szCs w:val="24"/>
          <w:color w:val="auto"/>
        </w:rPr>
      </w:pPr>
    </w:p>
    <w:p>
      <w:pPr>
        <w:ind w:left="1105"/>
        <w:spacing w:after="0"/>
        <w:rPr>
          <w:sz w:val="20"/>
          <w:szCs w:val="20"/>
          <w:color w:val="auto"/>
        </w:rPr>
      </w:pPr>
      <w:r>
        <w:rPr>
          <w:rFonts w:ascii="Arial" w:cs="Arial" w:eastAsia="Arial" w:hAnsi="Arial"/>
          <w:sz w:val="11"/>
          <w:szCs w:val="11"/>
          <w:color w:val="auto"/>
        </w:rPr>
        <w:t>(State or other jurisdiction of</w:t>
      </w:r>
    </w:p>
    <w:p>
      <w:pPr>
        <w:spacing w:after="0" w:line="18" w:lineRule="exact"/>
        <w:rPr>
          <w:sz w:val="24"/>
          <w:szCs w:val="24"/>
          <w:color w:val="auto"/>
        </w:rPr>
      </w:pPr>
    </w:p>
    <w:p>
      <w:pPr>
        <w:ind w:left="1085"/>
        <w:spacing w:after="0"/>
        <w:rPr>
          <w:sz w:val="20"/>
          <w:szCs w:val="20"/>
          <w:color w:val="auto"/>
        </w:rPr>
      </w:pPr>
      <w:r>
        <w:rPr>
          <w:rFonts w:ascii="Arial" w:cs="Arial" w:eastAsia="Arial" w:hAnsi="Arial"/>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2000"/>
        <w:spacing w:after="0"/>
        <w:rPr>
          <w:sz w:val="20"/>
          <w:szCs w:val="20"/>
          <w:color w:val="auto"/>
        </w:rPr>
      </w:pPr>
      <w:r>
        <w:rPr>
          <w:rFonts w:ascii="Arial" w:cs="Arial" w:eastAsia="Arial" w:hAnsi="Arial"/>
          <w:sz w:val="12"/>
          <w:szCs w:val="12"/>
          <w:b w:val="1"/>
          <w:bCs w:val="1"/>
          <w:color w:val="auto"/>
        </w:rPr>
        <w:t>001-40498</w:t>
      </w:r>
    </w:p>
    <w:p>
      <w:pPr>
        <w:spacing w:after="0" w:line="19" w:lineRule="exact"/>
        <w:rPr>
          <w:sz w:val="24"/>
          <w:szCs w:val="24"/>
          <w:color w:val="auto"/>
        </w:rPr>
      </w:pPr>
    </w:p>
    <w:p>
      <w:pPr>
        <w:jc w:val="center"/>
        <w:ind w:right="200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360"/>
        <w:spacing w:after="0"/>
        <w:rPr>
          <w:sz w:val="20"/>
          <w:szCs w:val="20"/>
          <w:color w:val="auto"/>
        </w:rPr>
      </w:pPr>
      <w:r>
        <w:rPr>
          <w:rFonts w:ascii="Arial" w:cs="Arial" w:eastAsia="Arial" w:hAnsi="Arial"/>
          <w:sz w:val="12"/>
          <w:szCs w:val="12"/>
          <w:b w:val="1"/>
          <w:bCs w:val="1"/>
          <w:color w:val="auto"/>
        </w:rPr>
        <w:t>84-2040295</w:t>
      </w:r>
    </w:p>
    <w:p>
      <w:pPr>
        <w:spacing w:after="0" w:line="19" w:lineRule="exact"/>
        <w:rPr>
          <w:sz w:val="24"/>
          <w:szCs w:val="24"/>
          <w:color w:val="auto"/>
        </w:rPr>
      </w:pPr>
    </w:p>
    <w:p>
      <w:pPr>
        <w:jc w:val="center"/>
        <w:ind w:right="1360"/>
        <w:spacing w:after="0"/>
        <w:rPr>
          <w:sz w:val="20"/>
          <w:szCs w:val="20"/>
          <w:color w:val="auto"/>
        </w:rPr>
      </w:pPr>
      <w:r>
        <w:rPr>
          <w:rFonts w:ascii="Arial" w:cs="Arial" w:eastAsia="Arial" w:hAnsi="Arial"/>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Arial" w:cs="Arial" w:eastAsia="Arial" w:hAnsi="Arial"/>
          <w:sz w:val="11"/>
          <w:szCs w:val="11"/>
          <w:color w:val="auto"/>
        </w:rPr>
        <w:t>Identification No.)</w:t>
      </w:r>
    </w:p>
    <w:p>
      <w:pPr>
        <w:spacing w:after="0" w:line="149" w:lineRule="exact"/>
        <w:rPr>
          <w:sz w:val="24"/>
          <w:szCs w:val="24"/>
          <w:color w:val="auto"/>
        </w:rPr>
      </w:pPr>
    </w:p>
    <w:p>
      <w:pPr>
        <w:sectPr>
          <w:pgSz w:w="11900" w:h="16838" w:orient="portrait"/>
          <w:cols w:equalWidth="0" w:num="3">
            <w:col w:w="4285" w:space="720"/>
            <w:col w:w="3320" w:space="720"/>
            <w:col w:w="2260"/>
          </w:cols>
          <w:pgMar w:left="295" w:top="517" w:right="299" w:bottom="1440" w:gutter="0" w:footer="0" w:header="0"/>
          <w:type w:val="continuous"/>
        </w:sectPr>
      </w:pPr>
    </w:p>
    <w:p>
      <w:pPr>
        <w:jc w:val="center"/>
        <w:ind w:right="1995"/>
        <w:spacing w:after="0"/>
        <w:rPr>
          <w:sz w:val="20"/>
          <w:szCs w:val="20"/>
          <w:color w:val="auto"/>
        </w:rPr>
      </w:pPr>
      <w:r>
        <w:rPr>
          <w:rFonts w:ascii="Arial" w:cs="Arial" w:eastAsia="Arial" w:hAnsi="Arial"/>
          <w:sz w:val="12"/>
          <w:szCs w:val="12"/>
          <w:b w:val="1"/>
          <w:bCs w:val="1"/>
          <w:color w:val="auto"/>
        </w:rPr>
        <w:t>25 North 38th Street, 11th Floor</w:t>
      </w:r>
    </w:p>
    <w:p>
      <w:pPr>
        <w:spacing w:after="0" w:line="19" w:lineRule="exact"/>
        <w:rPr>
          <w:sz w:val="24"/>
          <w:szCs w:val="24"/>
          <w:color w:val="auto"/>
        </w:rPr>
      </w:pPr>
    </w:p>
    <w:p>
      <w:pPr>
        <w:jc w:val="center"/>
        <w:ind w:right="1995"/>
        <w:spacing w:after="0"/>
        <w:rPr>
          <w:sz w:val="20"/>
          <w:szCs w:val="20"/>
          <w:color w:val="auto"/>
        </w:rPr>
      </w:pPr>
      <w:r>
        <w:rPr>
          <w:rFonts w:ascii="Arial" w:cs="Arial" w:eastAsia="Arial" w:hAnsi="Arial"/>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Arial" w:cs="Arial" w:eastAsia="Arial" w:hAnsi="Arial"/>
          <w:sz w:val="12"/>
          <w:szCs w:val="12"/>
          <w:b w:val="1"/>
          <w:bCs w:val="1"/>
          <w:color w:val="auto"/>
        </w:rPr>
        <w:t>19104</w:t>
      </w:r>
    </w:p>
    <w:p>
      <w:pPr>
        <w:spacing w:after="0" w:line="19" w:lineRule="exact"/>
        <w:rPr>
          <w:sz w:val="24"/>
          <w:szCs w:val="24"/>
          <w:color w:val="auto"/>
        </w:rPr>
      </w:pPr>
    </w:p>
    <w:p>
      <w:pPr>
        <w:jc w:val="center"/>
        <w:ind w:right="2500"/>
        <w:spacing w:after="0"/>
        <w:rPr>
          <w:sz w:val="20"/>
          <w:szCs w:val="20"/>
          <w:color w:val="auto"/>
        </w:rPr>
      </w:pPr>
      <w:r>
        <w:rPr>
          <w:rFonts w:ascii="Arial" w:cs="Arial" w:eastAsia="Arial" w:hAnsi="Arial"/>
          <w:sz w:val="11"/>
          <w:szCs w:val="11"/>
          <w:color w:val="auto"/>
        </w:rPr>
        <w:t>(Zip Code)</w:t>
      </w:r>
    </w:p>
    <w:p>
      <w:pPr>
        <w:spacing w:after="0" w:line="149" w:lineRule="exact"/>
        <w:rPr>
          <w:sz w:val="24"/>
          <w:szCs w:val="24"/>
          <w:color w:val="auto"/>
        </w:rPr>
      </w:pPr>
    </w:p>
    <w:p>
      <w:pPr>
        <w:sectPr>
          <w:pgSz w:w="11900" w:h="16838" w:orient="portrait"/>
          <w:cols w:equalWidth="0" w:num="2">
            <w:col w:w="7545" w:space="720"/>
            <w:col w:w="3040"/>
          </w:cols>
          <w:pgMar w:left="295" w:top="517" w:right="299" w:bottom="1440" w:gutter="0" w:footer="0" w:header="0"/>
          <w:type w:val="continuous"/>
        </w:sectPr>
      </w:pPr>
    </w:p>
    <w:p>
      <w:pPr>
        <w:jc w:val="center"/>
        <w:ind w:right="15"/>
        <w:spacing w:after="0"/>
        <w:rPr>
          <w:sz w:val="20"/>
          <w:szCs w:val="20"/>
          <w:color w:val="auto"/>
        </w:rPr>
      </w:pPr>
      <w:r>
        <w:rPr>
          <w:rFonts w:ascii="Arial" w:cs="Arial" w:eastAsia="Arial" w:hAnsi="Arial"/>
          <w:sz w:val="10"/>
          <w:szCs w:val="10"/>
          <w:color w:val="auto"/>
        </w:rPr>
        <w:t xml:space="preserve">Registrant’s telephone number, including area code: </w:t>
      </w:r>
      <w:r>
        <w:rPr>
          <w:rFonts w:ascii="Arial" w:cs="Arial" w:eastAsia="Arial" w:hAnsi="Arial"/>
          <w:sz w:val="10"/>
          <w:szCs w:val="10"/>
          <w:b w:val="1"/>
          <w:bCs w:val="1"/>
          <w:color w:val="auto"/>
        </w:rPr>
        <w:t>(267) 817-5790</w:t>
      </w:r>
    </w:p>
    <w:p>
      <w:pPr>
        <w:spacing w:after="0" w:line="173" w:lineRule="exact"/>
        <w:rPr>
          <w:sz w:val="24"/>
          <w:szCs w:val="24"/>
          <w:color w:val="auto"/>
        </w:rPr>
      </w:pPr>
    </w:p>
    <w:p>
      <w:pPr>
        <w:jc w:val="center"/>
        <w:ind w:right="15"/>
        <w:spacing w:after="0"/>
        <w:rPr>
          <w:sz w:val="20"/>
          <w:szCs w:val="20"/>
          <w:color w:val="auto"/>
        </w:rPr>
      </w:pPr>
      <w:r>
        <w:rPr>
          <w:rFonts w:ascii="Arial" w:cs="Arial" w:eastAsia="Arial" w:hAnsi="Arial"/>
          <w:sz w:val="12"/>
          <w:szCs w:val="12"/>
          <w:b w:val="1"/>
          <w:bCs w:val="1"/>
          <w:color w:val="auto"/>
        </w:rPr>
        <w:t>Not Applicable</w:t>
      </w:r>
    </w:p>
    <w:p>
      <w:pPr>
        <w:spacing w:after="0" w:line="19" w:lineRule="exact"/>
        <w:rPr>
          <w:sz w:val="24"/>
          <w:szCs w:val="24"/>
          <w:color w:val="auto"/>
        </w:rPr>
      </w:pPr>
    </w:p>
    <w:p>
      <w:pPr>
        <w:jc w:val="center"/>
        <w:ind w:right="15"/>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102870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7" w:right="299" w:bottom="1440" w:gutter="0" w:footer="0" w:header="0"/>
          <w:type w:val="continuous"/>
        </w:sectPr>
      </w:pPr>
    </w:p>
    <w:p>
      <w:pPr>
        <w:spacing w:after="0" w:line="324" w:lineRule="exact"/>
        <w:rPr>
          <w:sz w:val="24"/>
          <w:szCs w:val="24"/>
          <w:color w:val="auto"/>
        </w:rPr>
      </w:pPr>
    </w:p>
    <w:p>
      <w:pPr>
        <w:ind w:left="5"/>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0" w:lineRule="exact"/>
        <w:rPr>
          <w:sz w:val="24"/>
          <w:szCs w:val="24"/>
          <w:color w:val="auto"/>
        </w:rPr>
      </w:pPr>
    </w:p>
    <w:tbl>
      <w:tblPr>
        <w:tblLayout w:type="fixed"/>
        <w:tblInd w:w="5" w:type="dxa"/>
        <w:tblCellMar>
          <w:top w:w="0" w:type="dxa"/>
          <w:left w:w="0" w:type="dxa"/>
          <w:bottom w:w="0" w:type="dxa"/>
          <w:right w:w="0" w:type="dxa"/>
        </w:tblCellMar>
      </w:tblPr>
      <w:tr>
        <w:trPr>
          <w:trHeight w:val="153"/>
        </w:trPr>
        <w:tc>
          <w:tcPr>
            <w:tcW w:w="384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Title of Each Class</w:t>
            </w:r>
          </w:p>
        </w:tc>
        <w:tc>
          <w:tcPr>
            <w:tcW w:w="3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Trading Symbol</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89"/>
              </w:rPr>
              <w:t>Name of Exchange on Which Registered</w:t>
            </w:r>
          </w:p>
        </w:tc>
      </w:tr>
      <w:tr>
        <w:trPr>
          <w:trHeight w:val="146"/>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Nasdaq Global Select Market</w:t>
            </w:r>
          </w:p>
        </w:tc>
      </w:tr>
    </w:tbl>
    <w:p>
      <w:pPr>
        <w:spacing w:after="0" w:line="122" w:lineRule="exact"/>
        <w:rPr>
          <w:sz w:val="24"/>
          <w:szCs w:val="24"/>
          <w:color w:val="auto"/>
        </w:rPr>
      </w:pPr>
    </w:p>
    <w:p>
      <w:pPr>
        <w:ind w:left="5"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9845"/>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92" w:lineRule="exact"/>
        <w:rPr>
          <w:sz w:val="24"/>
          <w:szCs w:val="24"/>
          <w:color w:val="auto"/>
        </w:rPr>
      </w:pPr>
    </w:p>
    <w:p>
      <w:pPr>
        <w:ind w:left="5" w:right="100"/>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7" w:right="299" w:bottom="1440" w:gutter="0" w:footer="0" w:header="0"/>
          <w:type w:val="continuous"/>
        </w:sectPr>
      </w:pPr>
    </w:p>
    <w:bookmarkStart w:id="1" w:name="page2"/>
    <w:bookmarkEnd w:id="1"/>
    <w:p>
      <w:pPr>
        <w:ind w:left="20"/>
        <w:spacing w:after="0"/>
        <w:tabs>
          <w:tab w:leader="none" w:pos="114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u w:val="single" w:color="auto"/>
          <w:color w:val="auto"/>
        </w:rPr>
        <w:t>Results of Operations and Financial Condition</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November 9, 2023, Century Therapeutics, Inc. (the “</w:t>
      </w:r>
      <w:r>
        <w:rPr>
          <w:rFonts w:ascii="Arial" w:cs="Arial" w:eastAsia="Arial" w:hAnsi="Arial"/>
          <w:sz w:val="12"/>
          <w:szCs w:val="12"/>
          <w:u w:val="single" w:color="auto"/>
          <w:color w:val="auto"/>
        </w:rPr>
        <w:t>Company</w:t>
      </w:r>
      <w:r>
        <w:rPr>
          <w:rFonts w:ascii="Arial" w:cs="Arial" w:eastAsia="Arial" w:hAnsi="Arial"/>
          <w:sz w:val="12"/>
          <w:szCs w:val="12"/>
          <w:color w:val="auto"/>
        </w:rPr>
        <w:t>”) issued a press release announcing its financial results for the quarter ended September 30, 2023. A copy of the press release is furnished as Exhibit 99.1 to this Current Report on Form 8-K and is incorporated herein by reference.</w:t>
      </w:r>
    </w:p>
    <w:p>
      <w:pPr>
        <w:spacing w:after="0" w:line="11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information contained in this Item 2.02 (including Exhibit 99.1) is being furnished and shall not be deemed “filed” for purposes of Section 18 of the Securities Exchange Act of 1934, as amended (the “</w:t>
      </w:r>
      <w:r>
        <w:rPr>
          <w:rFonts w:ascii="Arial" w:cs="Arial" w:eastAsia="Arial" w:hAnsi="Arial"/>
          <w:sz w:val="12"/>
          <w:szCs w:val="12"/>
          <w:u w:val="single" w:color="auto"/>
          <w:color w:val="auto"/>
        </w:rPr>
        <w:t>Exchange Act</w:t>
      </w:r>
      <w:r>
        <w:rPr>
          <w:rFonts w:ascii="Arial" w:cs="Arial" w:eastAsia="Arial" w:hAnsi="Arial"/>
          <w:sz w:val="12"/>
          <w:szCs w:val="12"/>
          <w:color w:val="auto"/>
        </w:rPr>
        <w:t>”), or otherwise subject to the liabilities of that section and shall not be deemed to be incorporated by reference in any filing under the Securities Act of 1933, as amended (the “</w:t>
      </w:r>
      <w:r>
        <w:rPr>
          <w:rFonts w:ascii="Arial" w:cs="Arial" w:eastAsia="Arial" w:hAnsi="Arial"/>
          <w:sz w:val="12"/>
          <w:szCs w:val="12"/>
          <w:u w:val="single" w:color="auto"/>
          <w:color w:val="auto"/>
        </w:rPr>
        <w:t>Securities Act</w:t>
      </w:r>
      <w:r>
        <w:rPr>
          <w:rFonts w:ascii="Arial" w:cs="Arial" w:eastAsia="Arial" w:hAnsi="Arial"/>
          <w:sz w:val="12"/>
          <w:szCs w:val="12"/>
          <w:color w:val="auto"/>
        </w:rPr>
        <w:t>”), or the Exchange Act, except as shall be expressly set forth by specific reference in such filing.</w:t>
      </w:r>
    </w:p>
    <w:p>
      <w:pPr>
        <w:spacing w:after="0" w:line="118"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u w:val="single" w:color="auto"/>
          <w:color w:val="auto"/>
        </w:rPr>
        <w:t>Regulation FD Disclosure</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On November 9, 2023, the Company updated information reflected in a slide presentation, which is attached as Exhibit 99.2 to this Current Report on Form 8-K and is incorporated herein by reference. Representatives of the Company will use the updated presentation in various meetings with investors from time to time.</w:t>
      </w:r>
    </w:p>
    <w:p>
      <w:pPr>
        <w:spacing w:after="0" w:line="11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The information contained in this Item 7.01 (including Exhibit 99.2) is being furnished and shall not be deemed “filed” for purposes of Section 18 of the Exchange Act, or otherwise subject to the liabilities of that section and shall not be deemed incorporated by reference in any filing under the Securities Act or the Exchange Act, except as shall be expressly set forth by specific reference in such filing.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Item 9.01</w:t>
            </w:r>
          </w:p>
        </w:tc>
        <w:tc>
          <w:tcPr>
            <w:tcW w:w="40" w:type="dxa"/>
            <w:vAlign w:val="bottom"/>
          </w:tcPr>
          <w:p>
            <w:pPr>
              <w:spacing w:after="0"/>
              <w:rPr>
                <w:sz w:val="12"/>
                <w:szCs w:val="12"/>
                <w:color w:val="auto"/>
              </w:rPr>
            </w:pPr>
          </w:p>
        </w:tc>
        <w:tc>
          <w:tcPr>
            <w:tcW w:w="10140" w:type="dxa"/>
            <w:vAlign w:val="bottom"/>
            <w:gridSpan w:val="5"/>
          </w:tcPr>
          <w:p>
            <w:pPr>
              <w:spacing w:after="0"/>
              <w:rPr>
                <w:sz w:val="20"/>
                <w:szCs w:val="20"/>
                <w:color w:val="auto"/>
              </w:rPr>
            </w:pPr>
            <w:r>
              <w:rPr>
                <w:rFonts w:ascii="Arial" w:cs="Arial" w:eastAsia="Arial" w:hAnsi="Arial"/>
                <w:sz w:val="12"/>
                <w:szCs w:val="12"/>
                <w:b w:val="1"/>
                <w:bCs w:val="1"/>
                <w:color w:val="auto"/>
              </w:rPr>
              <w:t>Financial Statements and Exhibits</w:t>
            </w:r>
          </w:p>
        </w:tc>
      </w:tr>
      <w:tr>
        <w:trPr>
          <w:trHeight w:val="295"/>
        </w:trPr>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(d) Exhibits</w:t>
            </w: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tcPr>
          <w:p>
            <w:pPr>
              <w:spacing w:after="0"/>
              <w:rPr>
                <w:sz w:val="24"/>
                <w:szCs w:val="24"/>
                <w:color w:val="auto"/>
              </w:rPr>
            </w:pPr>
          </w:p>
        </w:tc>
      </w:tr>
      <w:tr>
        <w:trPr>
          <w:trHeight w:val="275"/>
        </w:trPr>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157"/>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No.</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4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Document</w:t>
            </w:r>
          </w:p>
        </w:tc>
      </w:tr>
      <w:tr>
        <w:trPr>
          <w:trHeight w:val="250"/>
        </w:trPr>
        <w:tc>
          <w:tcPr>
            <w:tcW w:w="20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76"/>
              </w:rPr>
              <w:t>99.</w:t>
            </w:r>
            <w:r>
              <w:rPr>
                <w:rFonts w:ascii="Arial" w:cs="Arial" w:eastAsia="Arial" w:hAnsi="Arial"/>
                <w:sz w:val="12"/>
                <w:szCs w:val="12"/>
                <w:u w:val="single" w:color="auto"/>
                <w:color w:val="0000EE"/>
                <w:w w:val="76"/>
              </w:rPr>
              <w:t>1</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4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88"/>
              </w:rPr>
              <w:t>Press Release of Century Therapeutics, Inc., dated November 9, 2023</w:t>
            </w:r>
          </w:p>
        </w:tc>
        <w:tc>
          <w:tcPr>
            <w:tcW w:w="6600" w:type="dxa"/>
            <w:vAlign w:val="bottom"/>
            <w:gridSpan w:val="2"/>
          </w:tcPr>
          <w:p>
            <w:pPr>
              <w:spacing w:after="0"/>
              <w:rPr>
                <w:sz w:val="21"/>
                <w:szCs w:val="21"/>
                <w:color w:val="auto"/>
              </w:rPr>
            </w:pPr>
          </w:p>
        </w:tc>
      </w:tr>
      <w:tr>
        <w:trPr>
          <w:trHeight w:val="268"/>
        </w:trPr>
        <w:tc>
          <w:tcPr>
            <w:tcW w:w="20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76"/>
              </w:rPr>
              <w:t>99.</w:t>
            </w:r>
            <w:r>
              <w:rPr>
                <w:rFonts w:ascii="Arial" w:cs="Arial" w:eastAsia="Arial" w:hAnsi="Arial"/>
                <w:sz w:val="12"/>
                <w:szCs w:val="12"/>
                <w:u w:val="single" w:color="auto"/>
                <w:color w:val="0000EE"/>
                <w:w w:val="76"/>
              </w:rPr>
              <w:t>2</w:t>
            </w: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700" w:type="dxa"/>
            <w:vAlign w:val="bottom"/>
            <w:tcBorders>
              <w:bottom w:val="single" w:sz="8" w:color="0000EE"/>
            </w:tcBorders>
            <w:gridSpan w:val="3"/>
          </w:tcPr>
          <w:p>
            <w:pPr>
              <w:spacing w:after="0"/>
              <w:rPr>
                <w:sz w:val="20"/>
                <w:szCs w:val="20"/>
                <w:color w:val="auto"/>
              </w:rPr>
            </w:pPr>
            <w:r>
              <w:rPr>
                <w:rFonts w:ascii="Arial" w:cs="Arial" w:eastAsia="Arial" w:hAnsi="Arial"/>
                <w:sz w:val="12"/>
                <w:szCs w:val="12"/>
                <w:color w:val="0000EE"/>
                <w:w w:val="89"/>
              </w:rPr>
              <w:t>Investor Presentation of Century Therapeutics, Inc., dated November 9, 2023</w:t>
            </w:r>
          </w:p>
        </w:tc>
        <w:tc>
          <w:tcPr>
            <w:tcW w:w="6240" w:type="dxa"/>
            <w:vAlign w:val="bottom"/>
          </w:tcPr>
          <w:p>
            <w:pPr>
              <w:spacing w:after="0"/>
              <w:rPr>
                <w:sz w:val="23"/>
                <w:szCs w:val="23"/>
                <w:color w:val="auto"/>
              </w:rPr>
            </w:pPr>
          </w:p>
        </w:tc>
      </w:tr>
      <w:tr>
        <w:trPr>
          <w:trHeight w:val="295"/>
        </w:trPr>
        <w:tc>
          <w:tcPr>
            <w:tcW w:w="200" w:type="dxa"/>
            <w:vAlign w:val="bottom"/>
          </w:tcPr>
          <w:p>
            <w:pPr>
              <w:spacing w:after="0"/>
              <w:rPr>
                <w:sz w:val="20"/>
                <w:szCs w:val="20"/>
                <w:color w:val="auto"/>
              </w:rPr>
            </w:pPr>
            <w:r>
              <w:rPr>
                <w:rFonts w:ascii="Arial" w:cs="Arial" w:eastAsia="Arial" w:hAnsi="Arial"/>
                <w:sz w:val="12"/>
                <w:szCs w:val="12"/>
                <w:color w:val="auto"/>
                <w:w w:val="89"/>
              </w:rPr>
              <w:t>104</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7"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Gregory Russotti, Ph.D.</w:t>
            </w:r>
          </w:p>
        </w:tc>
      </w:tr>
      <w:tr>
        <w:trPr>
          <w:trHeight w:val="124"/>
        </w:trPr>
        <w:tc>
          <w:tcPr>
            <w:tcW w:w="5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5080" w:type="dxa"/>
            <w:vAlign w:val="bottom"/>
          </w:tcPr>
          <w:p>
            <w:pPr>
              <w:spacing w:after="0" w:line="124" w:lineRule="exact"/>
              <w:rPr>
                <w:sz w:val="20"/>
                <w:szCs w:val="20"/>
                <w:color w:val="auto"/>
              </w:rPr>
            </w:pPr>
            <w:r>
              <w:rPr>
                <w:rFonts w:ascii="Arial" w:cs="Arial" w:eastAsia="Arial" w:hAnsi="Arial"/>
                <w:sz w:val="12"/>
                <w:szCs w:val="12"/>
                <w:color w:val="auto"/>
              </w:rPr>
              <w:t>Gregory Russotti, Ph.D.</w:t>
            </w:r>
          </w:p>
        </w:tc>
      </w:t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Title:</w:t>
            </w:r>
          </w:p>
        </w:tc>
        <w:tc>
          <w:tcPr>
            <w:tcW w:w="5080" w:type="dxa"/>
            <w:vAlign w:val="bottom"/>
          </w:tcPr>
          <w:p>
            <w:pPr>
              <w:spacing w:after="0"/>
              <w:rPr>
                <w:sz w:val="20"/>
                <w:szCs w:val="20"/>
                <w:color w:val="auto"/>
              </w:rPr>
            </w:pPr>
            <w:r>
              <w:rPr>
                <w:rFonts w:ascii="Arial" w:cs="Arial" w:eastAsia="Arial" w:hAnsi="Arial"/>
                <w:sz w:val="12"/>
                <w:szCs w:val="12"/>
                <w:color w:val="auto"/>
              </w:rPr>
              <w:t>Interim President and Chief Executive Officer</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Date: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3" w:name="page4"/>
    <w:bookmarkEnd w:id="3"/>
    <w:p>
      <w:pPr>
        <w:ind w:left="10520"/>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1474470" cy="434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Century Therapeutics Reports Third Quarter 2023 Financial Results and Provides Business Updates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Brent Pfeiffenberger, Pharm.D., MBA, appointed Chief Executive Officer of Century Therapeutics -</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 Initial data from the ongoing Phase 1 ELiPSE-1 trial evaluating CNTY-101 in relapsed or refractory CD19 positive B-cell lymphomas to be presented at the American Society of Hematology (ASH) Annual Meeting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Announced expanded license agreements with FUJIFILM Cellular Dynamics (FCDI) for the development and commercialization of iPSC-derived cell therapies in autoimmune and inflammatory diseases -</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Ended third quarter 2023 with cash, cash equivalents, and investments of $284.3 million; Cash runway into 2026 -</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PHILADELPHIA, November 9, 2023 -- </w:t>
      </w:r>
      <w:r>
        <w:rPr>
          <w:rFonts w:ascii="Arial" w:cs="Arial" w:eastAsia="Arial" w:hAnsi="Arial"/>
          <w:sz w:val="12"/>
          <w:szCs w:val="12"/>
          <w:u w:val="single" w:color="auto"/>
          <w:color w:val="auto"/>
        </w:rPr>
        <w:t>Century Therapeutics, Inc.</w:t>
      </w:r>
      <w:r>
        <w:rPr>
          <w:rFonts w:ascii="Arial" w:cs="Arial" w:eastAsia="Arial" w:hAnsi="Arial"/>
          <w:sz w:val="12"/>
          <w:szCs w:val="12"/>
          <w:color w:val="auto"/>
        </w:rPr>
        <w:t xml:space="preserve"> (NASDAQ: IPSC), an innovative biotechnology company developing induced pluripotent stem cell (iPSC)-derived cell therapies in immuno-oncology, today reported financial results and business highlights for the third quarter ended September 30, 2023.</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last several months have been marked by immense progress for Century, and we are thrilled to welcome Brent to the team as our new leader at this exciting period in the Company’s history,” said Joe Jimenez, Chairman of the Board of Directors of Century. Greg Russotti, Interim Chief Executive Officer, Century Therapeutics added, “We continued to advance our Phase 1 ELiPSE-1 trial evaluating CNTY-101 in relapsed or refractory CD19 positive B-cell lymphomas. Building on the exciting case study featured in our ASH abstract earlier this month, we look forward to sharing additional data in December which we believe continue to support the potential for a multi-dosing strategy for CAR iNK enabled by Allo-Evasion™.”</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Dr. Russotti added, “Furthermore, we were extremely excited to announce this morning that we have expanded our license agreements with our partners at FCDI. These expanded agreements provide us new and continued access to technology that we believe will aid in our mission to bring curative cell therapy products to patients in need, including patients with autoimmune and inflammatory diseases.”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Highlights and Upcoming Milestones</w:t>
      </w:r>
    </w:p>
    <w:p>
      <w:pPr>
        <w:spacing w:after="0" w:line="154" w:lineRule="exact"/>
        <w:rPr>
          <w:sz w:val="20"/>
          <w:szCs w:val="20"/>
          <w:color w:val="auto"/>
        </w:rPr>
      </w:pPr>
    </w:p>
    <w:p>
      <w:pPr>
        <w:jc w:val="both"/>
        <w:ind w:left="420" w:right="20" w:hanging="212"/>
        <w:spacing w:after="0" w:line="298" w:lineRule="auto"/>
        <w:tabs>
          <w:tab w:leader="none" w:pos="42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morning, Century announced the appointment of Brent Pfeiffenberger, Pharm.D., MBA, as Chief Executive Officer and member of the Board of Directors, effective December 4, 2023. He brings to Century over 20 years of broad-ranging global leadership experience across the healthcare industry, most recently serving as Chief Operating Officer at Neogene Therapeutics. Also effective December 4, 2023, Greg Russotti, Ph.D., who has served as Century’s Interim Chief Executive Officer since April 2023, will assume the role of Chief Technology and Manufacturing Officer, an expanded role from his previous position as 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4" w:name="page5"/>
    <w:bookmarkEnd w:id="4"/>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74470" cy="434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34340"/>
                    </a:xfrm>
                    <a:prstGeom prst="rect">
                      <a:avLst/>
                    </a:prstGeom>
                    <a:noFill/>
                  </pic:spPr>
                </pic:pic>
              </a:graphicData>
            </a:graphic>
          </wp:anchor>
        </w:drawing>
      </w:r>
    </w:p>
    <w:p>
      <w:pPr>
        <w:jc w:val="both"/>
        <w:ind w:left="420" w:hanging="212"/>
        <w:spacing w:after="0" w:line="25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During a poster session at the upcoming ASH Annual Meeting being held December 9-12 in San Diego, the Company will present initial data from the ongoing first-in-human Phase 1 ELiPSE-1 trial of CNTY-101 in relapsed/refractory CD19 positive B-cell lymphomas. As </w:t>
      </w:r>
      <w:r>
        <w:rPr>
          <w:rFonts w:ascii="Arial" w:cs="Arial" w:eastAsia="Arial" w:hAnsi="Arial"/>
          <w:sz w:val="12"/>
          <w:szCs w:val="12"/>
          <w:u w:val="single" w:color="auto"/>
          <w:color w:val="auto"/>
        </w:rPr>
        <w:t>previously announced</w:t>
      </w:r>
      <w:r>
        <w:rPr>
          <w:rFonts w:ascii="Arial" w:cs="Arial" w:eastAsia="Arial" w:hAnsi="Arial"/>
          <w:sz w:val="12"/>
          <w:szCs w:val="12"/>
          <w:color w:val="auto"/>
        </w:rPr>
        <w:t>, preliminary clinical data from a case study featured in the recently published ASH abstract shows a complete response maintained in a Dose Cohort 1 (100 million cell dose level) patient with high risk relapsed/refractory follicular lymphoma following completion of four 28-day cycles of CNTY-101, the two most recent of which did not include lymphodepletion. Updated data to be announced in December will include additional results from patients treated in Dose Cohort 1 as of a more recent cutoff date, as well as preliminary data from patients in Dose Cohort 2 (300 million cell dose level).</w:t>
      </w:r>
    </w:p>
    <w:p>
      <w:pPr>
        <w:spacing w:after="0" w:line="128" w:lineRule="exact"/>
        <w:rPr>
          <w:rFonts w:ascii="Arial" w:cs="Arial" w:eastAsia="Arial" w:hAnsi="Arial"/>
          <w:sz w:val="12"/>
          <w:szCs w:val="12"/>
          <w:color w:val="auto"/>
        </w:rPr>
      </w:pPr>
    </w:p>
    <w:p>
      <w:pPr>
        <w:jc w:val="both"/>
        <w:ind w:left="420" w:hanging="212"/>
        <w:spacing w:after="0" w:line="298" w:lineRule="auto"/>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morning, Century and FUJI Cellular Dynamics (FCDI) announced that they have entered into a worldwide license agreement whereby FCDI will grant the Company non-exclusive licenses for certain patent rights and know-how related to cell differentiation and reprogramming for the development and commercialization of iPSC-derived therapies for the treatment of autoimmune and inflammatory diseases. The Company also shared that it expanded its existing 2018 license agreement with FCDI related to the development and commercialization of iPSC-derived cancer immunotherapeutics to also include inflammatory and autoimmune diseases.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Third Quarter 2023 Financial Results</w:t>
      </w:r>
    </w:p>
    <w:p>
      <w:pPr>
        <w:spacing w:after="0" w:line="150" w:lineRule="exact"/>
        <w:rPr>
          <w:sz w:val="20"/>
          <w:szCs w:val="20"/>
          <w:color w:val="auto"/>
        </w:rPr>
      </w:pPr>
    </w:p>
    <w:p>
      <w:pPr>
        <w:jc w:val="both"/>
        <w:ind w:left="420" w:hanging="212"/>
        <w:spacing w:after="0" w:line="266"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Cash Position: </w:t>
      </w:r>
      <w:r>
        <w:rPr>
          <w:rFonts w:ascii="Arial" w:cs="Arial" w:eastAsia="Arial" w:hAnsi="Arial"/>
          <w:sz w:val="12"/>
          <w:szCs w:val="12"/>
          <w:color w:val="auto"/>
        </w:rPr>
        <w:t>Cash, cash equivalents, and investments were $284.3 million as of September 30, 2023, as compared to $367.4 million as of December 31, 2022. Net cash used in operations was $61.8 million for the nine</w:t>
      </w:r>
      <w:r>
        <w:rPr>
          <w:rFonts w:ascii="Arial" w:cs="Arial" w:eastAsia="Arial" w:hAnsi="Arial"/>
          <w:sz w:val="12"/>
          <w:szCs w:val="12"/>
          <w:b w:val="1"/>
          <w:bCs w:val="1"/>
          <w:color w:val="auto"/>
        </w:rPr>
        <w:t xml:space="preserve"> </w:t>
      </w:r>
      <w:r>
        <w:rPr>
          <w:rFonts w:ascii="Arial" w:cs="Arial" w:eastAsia="Arial" w:hAnsi="Arial"/>
          <w:sz w:val="12"/>
          <w:szCs w:val="12"/>
          <w:color w:val="auto"/>
        </w:rPr>
        <w:t>months ended September 30, 2022 compared to net cash provided by operations of $37.0 million for the nine months ended September 30, 2022 (which includes deferred revenue from the Bristol Myers Squibb (BMS) collaboration of $118.5 million).</w:t>
      </w:r>
    </w:p>
    <w:p>
      <w:pPr>
        <w:spacing w:after="0" w:line="117" w:lineRule="exact"/>
        <w:rPr>
          <w:rFonts w:ascii="Arial" w:cs="Arial" w:eastAsia="Arial" w:hAnsi="Arial"/>
          <w:sz w:val="12"/>
          <w:szCs w:val="12"/>
          <w:color w:val="auto"/>
        </w:rPr>
      </w:pPr>
    </w:p>
    <w:p>
      <w:pPr>
        <w:ind w:left="420" w:hanging="212"/>
        <w:spacing w:after="0" w:line="283"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Collaboration Revenue: </w:t>
      </w:r>
      <w:r>
        <w:rPr>
          <w:rFonts w:ascii="Arial" w:cs="Arial" w:eastAsia="Arial" w:hAnsi="Arial"/>
          <w:sz w:val="12"/>
          <w:szCs w:val="12"/>
          <w:color w:val="auto"/>
        </w:rPr>
        <w:t>Collaboration revenue generated through the Company’s collaboration, option, and license agreement with BMS was $0.1 million for the three months ended September 30, 2023 compared to $2.2</w:t>
      </w:r>
      <w:r>
        <w:rPr>
          <w:rFonts w:ascii="Arial" w:cs="Arial" w:eastAsia="Arial" w:hAnsi="Arial"/>
          <w:sz w:val="12"/>
          <w:szCs w:val="12"/>
          <w:b w:val="1"/>
          <w:bCs w:val="1"/>
          <w:color w:val="auto"/>
        </w:rPr>
        <w:t xml:space="preserve"> </w:t>
      </w:r>
      <w:r>
        <w:rPr>
          <w:rFonts w:ascii="Arial" w:cs="Arial" w:eastAsia="Arial" w:hAnsi="Arial"/>
          <w:sz w:val="12"/>
          <w:szCs w:val="12"/>
          <w:color w:val="auto"/>
        </w:rPr>
        <w:t>million for the same period in 2022. Revenue recognized under the collaboration agreement fluctuates based on the amount and timing of expenses incurred under the agreement.</w:t>
      </w:r>
    </w:p>
    <w:p>
      <w:pPr>
        <w:spacing w:after="0" w:line="124" w:lineRule="exact"/>
        <w:rPr>
          <w:rFonts w:ascii="Arial" w:cs="Arial" w:eastAsia="Arial" w:hAnsi="Arial"/>
          <w:sz w:val="12"/>
          <w:szCs w:val="12"/>
          <w:color w:val="auto"/>
        </w:rPr>
      </w:pPr>
    </w:p>
    <w:p>
      <w:pPr>
        <w:ind w:left="420" w:hanging="212"/>
        <w:spacing w:after="0" w:line="283"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Research and Development (R&amp;D) expenses</w:t>
      </w:r>
      <w:r>
        <w:rPr>
          <w:rFonts w:ascii="Arial" w:cs="Arial" w:eastAsia="Arial" w:hAnsi="Arial"/>
          <w:sz w:val="12"/>
          <w:szCs w:val="12"/>
          <w:color w:val="auto"/>
        </w:rPr>
        <w:t>: R&amp;D expenses were $22.8 million for the three months ended September 30, 2023 compared to $25.9 million for the same period in 2022. The decrease in R&amp;D expenses was</w:t>
      </w:r>
      <w:r>
        <w:rPr>
          <w:rFonts w:ascii="Arial" w:cs="Arial" w:eastAsia="Arial" w:hAnsi="Arial"/>
          <w:sz w:val="12"/>
          <w:szCs w:val="12"/>
          <w:b w:val="1"/>
          <w:bCs w:val="1"/>
          <w:color w:val="auto"/>
        </w:rPr>
        <w:t xml:space="preserve"> </w:t>
      </w:r>
      <w:r>
        <w:rPr>
          <w:rFonts w:ascii="Arial" w:cs="Arial" w:eastAsia="Arial" w:hAnsi="Arial"/>
          <w:sz w:val="12"/>
          <w:szCs w:val="12"/>
          <w:color w:val="auto"/>
        </w:rPr>
        <w:t>primarily due to the Company’s 2023 reorganization and reprioritization of early-stage programs and discovery platforms as well as a decline in sponsored research activities.</w:t>
      </w:r>
    </w:p>
    <w:p>
      <w:pPr>
        <w:spacing w:after="0" w:line="106" w:lineRule="exact"/>
        <w:rPr>
          <w:rFonts w:ascii="Arial" w:cs="Arial" w:eastAsia="Arial" w:hAnsi="Arial"/>
          <w:sz w:val="12"/>
          <w:szCs w:val="12"/>
          <w:color w:val="auto"/>
        </w:rPr>
      </w:pPr>
    </w:p>
    <w:p>
      <w:pPr>
        <w:ind w:left="420" w:right="20" w:hanging="212"/>
        <w:spacing w:after="0" w:line="283"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General and Administrative (G&amp;A) expenses</w:t>
      </w:r>
      <w:r>
        <w:rPr>
          <w:rFonts w:ascii="Arial" w:cs="Arial" w:eastAsia="Arial" w:hAnsi="Arial"/>
          <w:sz w:val="12"/>
          <w:szCs w:val="12"/>
          <w:color w:val="auto"/>
        </w:rPr>
        <w:t>: G&amp;A expenses were $9.0 million for the three months ended September 30, 2023, compared to $8.1 million for the same period in 2022. The increase was primarily due</w:t>
      </w:r>
      <w:r>
        <w:rPr>
          <w:rFonts w:ascii="Arial" w:cs="Arial" w:eastAsia="Arial" w:hAnsi="Arial"/>
          <w:sz w:val="12"/>
          <w:szCs w:val="12"/>
          <w:b w:val="1"/>
          <w:bCs w:val="1"/>
          <w:color w:val="auto"/>
        </w:rPr>
        <w:t xml:space="preserve"> </w:t>
      </w:r>
      <w:r>
        <w:rPr>
          <w:rFonts w:ascii="Arial" w:cs="Arial" w:eastAsia="Arial" w:hAnsi="Arial"/>
          <w:sz w:val="12"/>
          <w:szCs w:val="12"/>
          <w:color w:val="auto"/>
        </w:rPr>
        <w:t>increases in stock-based compensation and recruiting fees.</w:t>
      </w:r>
    </w:p>
    <w:p>
      <w:pPr>
        <w:spacing w:after="0" w:line="10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Net loss</w:t>
      </w:r>
      <w:r>
        <w:rPr>
          <w:rFonts w:ascii="Arial" w:cs="Arial" w:eastAsia="Arial" w:hAnsi="Arial"/>
          <w:sz w:val="12"/>
          <w:szCs w:val="12"/>
          <w:color w:val="auto"/>
        </w:rPr>
        <w:t>: Net loss was $32.7 million for the three months ended September 30, 2023, compared to $30.7 million for the same period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5" w:name="page6"/>
    <w:bookmarkEnd w:id="5"/>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74470" cy="434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3434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Financial Guidance</w:t>
      </w:r>
    </w:p>
    <w:p>
      <w:pPr>
        <w:spacing w:after="0" w:line="154"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 expects full year GAAP Operating Expenses to be between $135 million and $145 million including non-cash stock-based compensation expense of $12 million to $17 million.</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 expects its cash, cash equivalents, and investments will support operations into 2026.</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Century Therapeutics</w:t>
      </w:r>
    </w:p>
    <w:p>
      <w:pPr>
        <w:spacing w:after="0" w:line="15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 xml:space="preserve">Century Therapeutics (NASDAQ: IPSC) is harnessing the power of adult stem cells to develop curative cell therapy products for cancer and autoimmune and inflammatory diseases that we believe will allow us to overcome the limitations of first-generation cell therapies. Our genetically engineered, iPSC-derived iNK and iT cell product candidates are designed to specifically target hematologic and solid tumor cancers with a broadening application to inflammatory and autoimmune diseases.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care for cancer and autoimmune and inflammatory diseases. For more information on Century Therapeutics please visit </w:t>
      </w:r>
      <w:r>
        <w:rPr>
          <w:rFonts w:ascii="Arial" w:cs="Arial" w:eastAsia="Arial" w:hAnsi="Arial"/>
          <w:sz w:val="11"/>
          <w:szCs w:val="11"/>
          <w:u w:val="single" w:color="auto"/>
          <w:color w:val="auto"/>
        </w:rPr>
        <w:t>www.centurytx.com</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6" w:name="page7"/>
    <w:bookmarkEnd w:id="6"/>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74470" cy="434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3434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Century Therapeutics Forward-Looking Statement</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dependence on the success of our lead product candidate, CNTY-101, our ability to obtain FDA acceptance for our future IND submissions and commence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the effects of the COVID-19 pandemic, geopolitical issues,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Investors and Media: Melissa Forst/Maghan Meyers – </w:t>
      </w:r>
      <w:r>
        <w:rPr>
          <w:rFonts w:ascii="Arial" w:cs="Arial" w:eastAsia="Arial" w:hAnsi="Arial"/>
          <w:sz w:val="12"/>
          <w:szCs w:val="12"/>
          <w:u w:val="single" w:color="auto"/>
          <w:color w:val="auto"/>
        </w:rPr>
        <w:t>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192405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7" w:name="page8"/>
    <w:bookmarkEnd w:id="7"/>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74470" cy="434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3434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2"/>
          <w:szCs w:val="12"/>
          <w:b w:val="1"/>
          <w:bCs w:val="1"/>
          <w:color w:val="auto"/>
        </w:rPr>
        <w:t>Century Therapeutics, Inc</w:t>
      </w:r>
    </w:p>
    <w:p>
      <w:pPr>
        <w:spacing w:after="0" w:line="19" w:lineRule="exact"/>
        <w:rPr>
          <w:sz w:val="20"/>
          <w:szCs w:val="20"/>
          <w:color w:val="auto"/>
        </w:rPr>
      </w:pPr>
    </w:p>
    <w:p>
      <w:pPr>
        <w:ind w:left="4960"/>
        <w:spacing w:after="0"/>
        <w:rPr>
          <w:sz w:val="20"/>
          <w:szCs w:val="20"/>
          <w:color w:val="auto"/>
        </w:rPr>
      </w:pPr>
      <w:r>
        <w:rPr>
          <w:rFonts w:ascii="Arial" w:cs="Arial" w:eastAsia="Arial" w:hAnsi="Arial"/>
          <w:sz w:val="12"/>
          <w:szCs w:val="12"/>
          <w:b w:val="1"/>
          <w:bCs w:val="1"/>
          <w:color w:val="auto"/>
        </w:rPr>
        <w:t>Condensed Balance Sheets</w:t>
      </w:r>
    </w:p>
    <w:p>
      <w:pPr>
        <w:spacing w:after="0" w:line="6" w:lineRule="exact"/>
        <w:rPr>
          <w:sz w:val="20"/>
          <w:szCs w:val="20"/>
          <w:color w:val="auto"/>
        </w:rPr>
      </w:pPr>
    </w:p>
    <w:p>
      <w:pPr>
        <w:ind w:left="4980"/>
        <w:spacing w:after="0"/>
        <w:rPr>
          <w:sz w:val="20"/>
          <w:szCs w:val="20"/>
          <w:color w:val="auto"/>
        </w:rPr>
      </w:pPr>
      <w:r>
        <w:rPr>
          <w:rFonts w:ascii="Arial" w:cs="Arial" w:eastAsia="Arial" w:hAnsi="Arial"/>
          <w:sz w:val="12"/>
          <w:szCs w:val="12"/>
          <w:b w:val="1"/>
          <w:bCs w:val="1"/>
          <w:color w:val="auto"/>
        </w:rPr>
        <w:t>(unaudited,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w w:val="99"/>
              </w:rPr>
              <w:t>September 30,</w:t>
            </w:r>
          </w:p>
        </w:tc>
        <w:tc>
          <w:tcPr>
            <w:tcW w:w="16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99"/>
              </w:rPr>
              <w:t>December 31,</w:t>
            </w:r>
          </w:p>
        </w:tc>
        <w:tc>
          <w:tcPr>
            <w:tcW w:w="0" w:type="dxa"/>
            <w:vAlign w:val="bottom"/>
          </w:tcPr>
          <w:p>
            <w:pPr>
              <w:spacing w:after="0"/>
              <w:rPr>
                <w:sz w:val="1"/>
                <w:szCs w:val="1"/>
                <w:color w:val="auto"/>
              </w:rPr>
            </w:pPr>
          </w:p>
        </w:tc>
      </w:tr>
      <w:tr>
        <w:trPr>
          <w:trHeight w:val="157"/>
        </w:trPr>
        <w:tc>
          <w:tcPr>
            <w:tcW w:w="84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2023</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Assets</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480" w:type="dxa"/>
            <w:vAlign w:val="bottom"/>
          </w:tcPr>
          <w:p>
            <w:pPr>
              <w:spacing w:after="0"/>
              <w:rPr>
                <w:sz w:val="20"/>
                <w:szCs w:val="20"/>
                <w:color w:val="auto"/>
              </w:rPr>
            </w:pPr>
            <w:r>
              <w:rPr>
                <w:rFonts w:ascii="Arial" w:cs="Arial" w:eastAsia="Arial" w:hAnsi="Arial"/>
                <w:sz w:val="12"/>
                <w:szCs w:val="12"/>
                <w:color w:val="auto"/>
              </w:rPr>
              <w:t>Current Assets: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and cash equivalents</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55,307</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84,265</w:t>
            </w:r>
          </w:p>
        </w:tc>
        <w:tc>
          <w:tcPr>
            <w:tcW w:w="0" w:type="dxa"/>
            <w:vAlign w:val="bottom"/>
          </w:tcPr>
          <w:p>
            <w:pPr>
              <w:spacing w:after="0"/>
              <w:rPr>
                <w:sz w:val="1"/>
                <w:szCs w:val="1"/>
                <w:color w:val="auto"/>
              </w:rPr>
            </w:pP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Short-term investments</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114,198</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231,233</w:t>
            </w:r>
          </w:p>
        </w:tc>
        <w:tc>
          <w:tcPr>
            <w:tcW w:w="0" w:type="dxa"/>
            <w:vAlign w:val="bottom"/>
          </w:tcPr>
          <w:p>
            <w:pPr>
              <w:spacing w:after="0"/>
              <w:rPr>
                <w:sz w:val="1"/>
                <w:szCs w:val="1"/>
                <w:color w:val="auto"/>
              </w:rPr>
            </w:pPr>
          </w:p>
        </w:tc>
      </w:tr>
      <w:tr>
        <w:trPr>
          <w:trHeight w:val="153"/>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Prepaid expenses and other current assets</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4,198</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4,223</w:t>
            </w:r>
          </w:p>
        </w:tc>
        <w:tc>
          <w:tcPr>
            <w:tcW w:w="0" w:type="dxa"/>
            <w:vAlign w:val="bottom"/>
          </w:tcPr>
          <w:p>
            <w:pPr>
              <w:spacing w:after="0"/>
              <w:rPr>
                <w:sz w:val="1"/>
                <w:szCs w:val="1"/>
                <w:color w:val="auto"/>
              </w:rPr>
            </w:pPr>
          </w:p>
        </w:tc>
      </w:tr>
      <w:tr>
        <w:trPr>
          <w:trHeight w:val="133"/>
        </w:trPr>
        <w:tc>
          <w:tcPr>
            <w:tcW w:w="8480" w:type="dxa"/>
            <w:vAlign w:val="bottom"/>
          </w:tcPr>
          <w:p>
            <w:pPr>
              <w:spacing w:after="0" w:line="133" w:lineRule="exact"/>
              <w:rPr>
                <w:sz w:val="20"/>
                <w:szCs w:val="20"/>
                <w:color w:val="auto"/>
              </w:rPr>
            </w:pPr>
            <w:r>
              <w:rPr>
                <w:rFonts w:ascii="Arial" w:cs="Arial" w:eastAsia="Arial" w:hAnsi="Arial"/>
                <w:sz w:val="12"/>
                <w:szCs w:val="12"/>
                <w:color w:val="auto"/>
              </w:rPr>
              <w:t>Total current assets</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173,703</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319,721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81,993</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82,785</w:t>
            </w:r>
          </w:p>
        </w:tc>
        <w:tc>
          <w:tcPr>
            <w:tcW w:w="0" w:type="dxa"/>
            <w:vAlign w:val="bottom"/>
          </w:tcPr>
          <w:p>
            <w:pPr>
              <w:spacing w:after="0"/>
              <w:rPr>
                <w:sz w:val="1"/>
                <w:szCs w:val="1"/>
                <w:color w:val="auto"/>
              </w:rPr>
            </w:pPr>
          </w:p>
        </w:tc>
      </w:tr>
      <w:tr>
        <w:trPr>
          <w:trHeight w:val="144"/>
        </w:trPr>
        <w:tc>
          <w:tcPr>
            <w:tcW w:w="8480" w:type="dxa"/>
            <w:vAlign w:val="bottom"/>
          </w:tcPr>
          <w:p>
            <w:pPr>
              <w:spacing w:after="0"/>
              <w:rPr>
                <w:sz w:val="20"/>
                <w:szCs w:val="20"/>
                <w:color w:val="auto"/>
              </w:rPr>
            </w:pPr>
            <w:r>
              <w:rPr>
                <w:rFonts w:ascii="Arial" w:cs="Arial" w:eastAsia="Arial" w:hAnsi="Arial"/>
                <w:sz w:val="12"/>
                <w:szCs w:val="12"/>
                <w:color w:val="auto"/>
              </w:rPr>
              <w:t>Operating lease right-of-use assets, net</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24,551</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28,945</w:t>
            </w:r>
          </w:p>
        </w:tc>
        <w:tc>
          <w:tcPr>
            <w:tcW w:w="0" w:type="dxa"/>
            <w:vAlign w:val="bottom"/>
          </w:tcPr>
          <w:p>
            <w:pPr>
              <w:spacing w:after="0"/>
              <w:rPr>
                <w:sz w:val="1"/>
                <w:szCs w:val="1"/>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Long-term investments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114,762</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51,854</w:t>
            </w:r>
          </w:p>
        </w:tc>
        <w:tc>
          <w:tcPr>
            <w:tcW w:w="0" w:type="dxa"/>
            <w:vAlign w:val="bottom"/>
          </w:tcPr>
          <w:p>
            <w:pPr>
              <w:spacing w:after="0"/>
              <w:rPr>
                <w:sz w:val="1"/>
                <w:szCs w:val="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color w:val="auto"/>
              </w:rPr>
              <w:t>Other long-term assets</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2,542</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3,239</w:t>
            </w:r>
          </w:p>
        </w:tc>
        <w:tc>
          <w:tcPr>
            <w:tcW w:w="0" w:type="dxa"/>
            <w:vAlign w:val="bottom"/>
          </w:tcPr>
          <w:p>
            <w:pPr>
              <w:spacing w:after="0"/>
              <w:rPr>
                <w:sz w:val="1"/>
                <w:szCs w:val="1"/>
                <w:color w:val="auto"/>
              </w:rPr>
            </w:pPr>
          </w:p>
        </w:tc>
      </w:tr>
      <w:tr>
        <w:trPr>
          <w:trHeight w:val="20"/>
        </w:trPr>
        <w:tc>
          <w:tcPr>
            <w:tcW w:w="848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397,551</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486,544</w:t>
            </w:r>
          </w:p>
        </w:tc>
        <w:tc>
          <w:tcPr>
            <w:tcW w:w="0" w:type="dxa"/>
            <w:vAlign w:val="bottom"/>
          </w:tcPr>
          <w:p>
            <w:pPr>
              <w:spacing w:after="0"/>
              <w:rPr>
                <w:sz w:val="1"/>
                <w:szCs w:val="1"/>
                <w:color w:val="auto"/>
              </w:rPr>
            </w:pPr>
          </w:p>
        </w:tc>
      </w:tr>
      <w:tr>
        <w:trPr>
          <w:trHeight w:val="144"/>
        </w:trPr>
        <w:tc>
          <w:tcPr>
            <w:tcW w:w="84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convertible preferred stock, and stockholders' equity</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80" w:type="dxa"/>
            <w:vAlign w:val="bottom"/>
          </w:tcPr>
          <w:p>
            <w:pPr>
              <w:spacing w:after="0"/>
              <w:rPr>
                <w:sz w:val="20"/>
                <w:szCs w:val="20"/>
                <w:color w:val="auto"/>
              </w:rPr>
            </w:pPr>
            <w:r>
              <w:rPr>
                <w:rFonts w:ascii="Arial" w:cs="Arial" w:eastAsia="Arial" w:hAnsi="Arial"/>
                <w:sz w:val="12"/>
                <w:szCs w:val="12"/>
                <w:color w:val="auto"/>
              </w:rPr>
              <w:t>Current liabilities: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payable</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5,927</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5,454</w:t>
            </w:r>
          </w:p>
        </w:tc>
        <w:tc>
          <w:tcPr>
            <w:tcW w:w="0" w:type="dxa"/>
            <w:vAlign w:val="bottom"/>
          </w:tcPr>
          <w:p>
            <w:pPr>
              <w:spacing w:after="0"/>
              <w:rPr>
                <w:sz w:val="1"/>
                <w:szCs w:val="1"/>
                <w:color w:val="auto"/>
              </w:rPr>
            </w:pPr>
          </w:p>
        </w:tc>
      </w:tr>
      <w:tr>
        <w:trPr>
          <w:trHeight w:val="144"/>
        </w:trPr>
        <w:tc>
          <w:tcPr>
            <w:tcW w:w="8480" w:type="dxa"/>
            <w:vAlign w:val="bottom"/>
          </w:tcPr>
          <w:p>
            <w:pPr>
              <w:ind w:left="100"/>
              <w:spacing w:after="0"/>
              <w:rPr>
                <w:sz w:val="20"/>
                <w:szCs w:val="20"/>
                <w:color w:val="auto"/>
              </w:rPr>
            </w:pPr>
            <w:r>
              <w:rPr>
                <w:rFonts w:ascii="Arial" w:cs="Arial" w:eastAsia="Arial" w:hAnsi="Arial"/>
                <w:sz w:val="12"/>
                <w:szCs w:val="12"/>
                <w:color w:val="auto"/>
              </w:rPr>
              <w:t>Accrued expenses and other liabilities</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10,637</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10,707</w:t>
            </w:r>
          </w:p>
        </w:tc>
        <w:tc>
          <w:tcPr>
            <w:tcW w:w="0" w:type="dxa"/>
            <w:vAlign w:val="bottom"/>
          </w:tcPr>
          <w:p>
            <w:pPr>
              <w:spacing w:after="0"/>
              <w:rPr>
                <w:sz w:val="1"/>
                <w:szCs w:val="1"/>
                <w:color w:val="auto"/>
              </w:rPr>
            </w:pPr>
          </w:p>
        </w:tc>
      </w:tr>
      <w:tr>
        <w:trPr>
          <w:trHeight w:val="144"/>
        </w:trPr>
        <w:tc>
          <w:tcPr>
            <w:tcW w:w="8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Long-term debt, current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6,502</w:t>
            </w:r>
          </w:p>
        </w:tc>
        <w:tc>
          <w:tcPr>
            <w:tcW w:w="0" w:type="dxa"/>
            <w:vAlign w:val="bottom"/>
          </w:tcPr>
          <w:p>
            <w:pPr>
              <w:spacing w:after="0"/>
              <w:rPr>
                <w:sz w:val="1"/>
                <w:szCs w:val="1"/>
                <w:color w:val="auto"/>
              </w:rPr>
            </w:pPr>
          </w:p>
        </w:tc>
      </w:tr>
      <w:tr>
        <w:trPr>
          <w:trHeight w:val="153"/>
        </w:trPr>
        <w:tc>
          <w:tcPr>
            <w:tcW w:w="8480" w:type="dxa"/>
            <w:vAlign w:val="bottom"/>
          </w:tcPr>
          <w:p>
            <w:pPr>
              <w:ind w:left="100"/>
              <w:spacing w:after="0"/>
              <w:rPr>
                <w:sz w:val="20"/>
                <w:szCs w:val="20"/>
                <w:color w:val="auto"/>
              </w:rPr>
            </w:pPr>
            <w:r>
              <w:rPr>
                <w:rFonts w:ascii="Arial" w:cs="Arial" w:eastAsia="Arial" w:hAnsi="Arial"/>
                <w:sz w:val="12"/>
                <w:szCs w:val="12"/>
                <w:color w:val="auto"/>
              </w:rPr>
              <w:t>Deferred revenue, current</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3,871</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7,154</w:t>
            </w:r>
          </w:p>
        </w:tc>
        <w:tc>
          <w:tcPr>
            <w:tcW w:w="0" w:type="dxa"/>
            <w:vAlign w:val="bottom"/>
          </w:tcPr>
          <w:p>
            <w:pPr>
              <w:spacing w:after="0"/>
              <w:rPr>
                <w:sz w:val="1"/>
                <w:szCs w:val="1"/>
                <w:color w:val="auto"/>
              </w:rPr>
            </w:pPr>
          </w:p>
        </w:tc>
      </w:tr>
      <w:tr>
        <w:trPr>
          <w:trHeight w:val="133"/>
        </w:trPr>
        <w:tc>
          <w:tcPr>
            <w:tcW w:w="84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current liabilities</w:t>
            </w: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20,435</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29,817</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480" w:type="dxa"/>
            <w:vAlign w:val="bottom"/>
          </w:tcPr>
          <w:p>
            <w:pPr>
              <w:spacing w:after="0"/>
              <w:rPr>
                <w:sz w:val="20"/>
                <w:szCs w:val="20"/>
                <w:color w:val="auto"/>
              </w:rPr>
            </w:pPr>
            <w:r>
              <w:rPr>
                <w:rFonts w:ascii="Arial" w:cs="Arial" w:eastAsia="Arial" w:hAnsi="Arial"/>
                <w:sz w:val="12"/>
                <w:szCs w:val="12"/>
                <w:color w:val="auto"/>
              </w:rPr>
              <w:t>Operating lease liability, noncurrent</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45,535</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38,698</w:t>
            </w:r>
          </w:p>
        </w:tc>
        <w:tc>
          <w:tcPr>
            <w:tcW w:w="0" w:type="dxa"/>
            <w:vAlign w:val="bottom"/>
          </w:tcPr>
          <w:p>
            <w:pPr>
              <w:spacing w:after="0"/>
              <w:rPr>
                <w:sz w:val="1"/>
                <w:szCs w:val="1"/>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Long-term debt, net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3,739</w:t>
            </w:r>
          </w:p>
        </w:tc>
        <w:tc>
          <w:tcPr>
            <w:tcW w:w="0" w:type="dxa"/>
            <w:vAlign w:val="bottom"/>
          </w:tcPr>
          <w:p>
            <w:pPr>
              <w:spacing w:after="0"/>
              <w:rPr>
                <w:sz w:val="1"/>
                <w:szCs w:val="1"/>
                <w:color w:val="auto"/>
              </w:rPr>
            </w:pPr>
          </w:p>
        </w:tc>
      </w:tr>
      <w:tr>
        <w:trPr>
          <w:trHeight w:val="144"/>
        </w:trPr>
        <w:tc>
          <w:tcPr>
            <w:tcW w:w="8480" w:type="dxa"/>
            <w:vAlign w:val="bottom"/>
          </w:tcPr>
          <w:p>
            <w:pPr>
              <w:spacing w:after="0"/>
              <w:rPr>
                <w:sz w:val="20"/>
                <w:szCs w:val="20"/>
                <w:color w:val="auto"/>
              </w:rPr>
            </w:pPr>
            <w:r>
              <w:rPr>
                <w:rFonts w:ascii="Arial" w:cs="Arial" w:eastAsia="Arial" w:hAnsi="Arial"/>
                <w:sz w:val="12"/>
                <w:szCs w:val="12"/>
                <w:color w:val="auto"/>
              </w:rPr>
              <w:t>Other long-term liabilities</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201</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718</w:t>
            </w:r>
          </w:p>
        </w:tc>
        <w:tc>
          <w:tcPr>
            <w:tcW w:w="0" w:type="dxa"/>
            <w:vAlign w:val="bottom"/>
          </w:tcPr>
          <w:p>
            <w:pPr>
              <w:spacing w:after="0"/>
              <w:rPr>
                <w:sz w:val="1"/>
                <w:szCs w:val="1"/>
                <w:color w:val="auto"/>
              </w:rPr>
            </w:pPr>
          </w:p>
        </w:tc>
      </w:tr>
      <w:tr>
        <w:trPr>
          <w:trHeight w:val="153"/>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Deferred revenue</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112,150</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110,834</w:t>
            </w:r>
          </w:p>
        </w:tc>
        <w:tc>
          <w:tcPr>
            <w:tcW w:w="0" w:type="dxa"/>
            <w:vAlign w:val="bottom"/>
          </w:tcPr>
          <w:p>
            <w:pPr>
              <w:spacing w:after="0"/>
              <w:rPr>
                <w:sz w:val="1"/>
                <w:szCs w:val="1"/>
                <w:color w:val="auto"/>
              </w:rPr>
            </w:pPr>
          </w:p>
        </w:tc>
      </w:tr>
      <w:tr>
        <w:trPr>
          <w:trHeight w:val="133"/>
        </w:trPr>
        <w:tc>
          <w:tcPr>
            <w:tcW w:w="848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Total liabilities</w:t>
            </w: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178,321</w:t>
            </w: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183,806</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Stockholders' equity</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480" w:type="dxa"/>
            <w:vAlign w:val="bottom"/>
          </w:tcPr>
          <w:p>
            <w:pPr>
              <w:spacing w:after="0"/>
              <w:rPr>
                <w:sz w:val="20"/>
                <w:szCs w:val="20"/>
                <w:color w:val="auto"/>
              </w:rPr>
            </w:pPr>
            <w:r>
              <w:rPr>
                <w:rFonts w:ascii="Arial" w:cs="Arial" w:eastAsia="Arial" w:hAnsi="Arial"/>
                <w:sz w:val="12"/>
                <w:szCs w:val="12"/>
                <w:color w:val="auto"/>
              </w:rPr>
              <w:t>Common stock</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6</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836,901</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824,292</w:t>
            </w:r>
          </w:p>
        </w:tc>
        <w:tc>
          <w:tcPr>
            <w:tcW w:w="0" w:type="dxa"/>
            <w:vAlign w:val="bottom"/>
          </w:tcPr>
          <w:p>
            <w:pPr>
              <w:spacing w:after="0"/>
              <w:rPr>
                <w:sz w:val="1"/>
                <w:szCs w:val="1"/>
                <w:color w:val="auto"/>
              </w:rPr>
            </w:pPr>
          </w:p>
        </w:tc>
      </w:tr>
      <w:tr>
        <w:trPr>
          <w:trHeight w:val="144"/>
        </w:trPr>
        <w:tc>
          <w:tcPr>
            <w:tcW w:w="8480" w:type="dxa"/>
            <w:vAlign w:val="bottom"/>
          </w:tcPr>
          <w:p>
            <w:pPr>
              <w:spacing w:after="0"/>
              <w:rPr>
                <w:sz w:val="20"/>
                <w:szCs w:val="20"/>
                <w:color w:val="auto"/>
              </w:rPr>
            </w:pPr>
            <w:r>
              <w:rPr>
                <w:rFonts w:ascii="Arial" w:cs="Arial" w:eastAsia="Arial" w:hAnsi="Arial"/>
                <w:sz w:val="12"/>
                <w:szCs w:val="12"/>
                <w:color w:val="auto"/>
              </w:rPr>
              <w:t>Accumulated deficit</w:t>
            </w:r>
          </w:p>
        </w:tc>
        <w:tc>
          <w:tcPr>
            <w:tcW w:w="16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2"/>
                <w:szCs w:val="12"/>
                <w:color w:val="auto"/>
              </w:rPr>
              <w:t>(616,373)</w:t>
            </w:r>
          </w:p>
        </w:tc>
        <w:tc>
          <w:tcPr>
            <w:tcW w:w="1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(519,098)</w:t>
            </w:r>
          </w:p>
        </w:tc>
        <w:tc>
          <w:tcPr>
            <w:tcW w:w="0" w:type="dxa"/>
            <w:vAlign w:val="bottom"/>
          </w:tcPr>
          <w:p>
            <w:pPr>
              <w:spacing w:after="0"/>
              <w:rPr>
                <w:sz w:val="1"/>
                <w:szCs w:val="1"/>
                <w:color w:val="auto"/>
              </w:rPr>
            </w:pPr>
          </w:p>
        </w:tc>
      </w:tr>
      <w:tr>
        <w:trPr>
          <w:trHeight w:val="153"/>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Accumulated other comprehensive loss</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(1,304)</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(2,462)</w:t>
            </w:r>
          </w:p>
        </w:tc>
        <w:tc>
          <w:tcPr>
            <w:tcW w:w="0" w:type="dxa"/>
            <w:vAlign w:val="bottom"/>
          </w:tcPr>
          <w:p>
            <w:pPr>
              <w:spacing w:after="0"/>
              <w:rPr>
                <w:sz w:val="1"/>
                <w:szCs w:val="1"/>
                <w:color w:val="auto"/>
              </w:rPr>
            </w:pPr>
          </w:p>
        </w:tc>
      </w:tr>
      <w:tr>
        <w:trPr>
          <w:trHeight w:val="133"/>
        </w:trPr>
        <w:tc>
          <w:tcPr>
            <w:tcW w:w="848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Total stockholders' equity</w:t>
            </w: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219,230</w:t>
            </w: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302,738</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8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Total liabilities and stockholders' equity</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397,551</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486,544</w:t>
            </w:r>
          </w:p>
        </w:tc>
        <w:tc>
          <w:tcPr>
            <w:tcW w:w="0" w:type="dxa"/>
            <w:vAlign w:val="bottom"/>
          </w:tcPr>
          <w:p>
            <w:pPr>
              <w:spacing w:after="0"/>
              <w:rPr>
                <w:sz w:val="1"/>
                <w:szCs w:val="1"/>
                <w:color w:val="auto"/>
              </w:rPr>
            </w:pPr>
          </w:p>
        </w:tc>
      </w:tr>
      <w:tr>
        <w:trPr>
          <w:trHeight w:val="288"/>
        </w:trPr>
        <w:tc>
          <w:tcPr>
            <w:tcW w:w="84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440" w:right="299" w:bottom="1440" w:gutter="0" w:footer="0" w:header="0"/>
        </w:sectPr>
      </w:pPr>
    </w:p>
    <w:bookmarkStart w:id="8" w:name="page9"/>
    <w:bookmarkEnd w:id="8"/>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74470" cy="434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3434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2"/>
          <w:szCs w:val="12"/>
          <w:b w:val="1"/>
          <w:bCs w:val="1"/>
          <w:color w:val="auto"/>
        </w:rPr>
        <w:t>Century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in thousands, except share and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gridSpan w:val="5"/>
          </w:tcPr>
          <w:p>
            <w:pPr>
              <w:jc w:val="right"/>
              <w:ind w:right="1018"/>
              <w:spacing w:after="0"/>
              <w:rPr>
                <w:sz w:val="20"/>
                <w:szCs w:val="20"/>
                <w:color w:val="auto"/>
              </w:rPr>
            </w:pPr>
            <w:r>
              <w:rPr>
                <w:rFonts w:ascii="Arial" w:cs="Arial" w:eastAsia="Arial" w:hAnsi="Arial"/>
                <w:sz w:val="12"/>
                <w:szCs w:val="12"/>
                <w:b w:val="1"/>
                <w:bCs w:val="1"/>
                <w:color w:val="auto"/>
              </w:rPr>
              <w:t>Three months Ended</w:t>
            </w:r>
          </w:p>
        </w:tc>
        <w:tc>
          <w:tcPr>
            <w:tcW w:w="160" w:type="dxa"/>
            <w:vAlign w:val="bottom"/>
          </w:tcPr>
          <w:p>
            <w:pPr>
              <w:spacing w:after="0"/>
              <w:rPr>
                <w:sz w:val="13"/>
                <w:szCs w:val="13"/>
                <w:color w:val="auto"/>
              </w:rPr>
            </w:pPr>
          </w:p>
        </w:tc>
        <w:tc>
          <w:tcPr>
            <w:tcW w:w="2640" w:type="dxa"/>
            <w:vAlign w:val="bottom"/>
            <w:gridSpan w:val="5"/>
          </w:tcPr>
          <w:p>
            <w:pPr>
              <w:jc w:val="right"/>
              <w:ind w:right="898"/>
              <w:spacing w:after="0"/>
              <w:rPr>
                <w:sz w:val="20"/>
                <w:szCs w:val="20"/>
                <w:color w:val="auto"/>
              </w:rPr>
            </w:pPr>
            <w:r>
              <w:rPr>
                <w:rFonts w:ascii="Arial" w:cs="Arial" w:eastAsia="Arial" w:hAnsi="Arial"/>
                <w:sz w:val="12"/>
                <w:szCs w:val="12"/>
                <w:b w:val="1"/>
                <w:bCs w:val="1"/>
                <w:color w:val="auto"/>
              </w:rPr>
              <w:t>Nine months Ended</w:t>
            </w:r>
          </w:p>
        </w:tc>
      </w:tr>
      <w:tr>
        <w:trPr>
          <w:trHeight w:val="129"/>
        </w:trPr>
        <w:tc>
          <w:tcPr>
            <w:tcW w:w="55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right"/>
              <w:ind w:right="458"/>
              <w:spacing w:after="0" w:line="129" w:lineRule="exact"/>
              <w:rPr>
                <w:sz w:val="20"/>
                <w:szCs w:val="20"/>
                <w:color w:val="auto"/>
              </w:rPr>
            </w:pPr>
            <w:r>
              <w:rPr>
                <w:rFonts w:ascii="Arial" w:cs="Arial" w:eastAsia="Arial" w:hAnsi="Arial"/>
                <w:sz w:val="12"/>
                <w:szCs w:val="12"/>
                <w:b w:val="1"/>
                <w:bCs w:val="1"/>
                <w:color w:val="auto"/>
                <w:w w:val="97"/>
              </w:rPr>
              <w:t>September 30,</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00"/>
              <w:spacing w:after="0" w:line="129" w:lineRule="exact"/>
              <w:rPr>
                <w:sz w:val="20"/>
                <w:szCs w:val="20"/>
                <w:color w:val="auto"/>
              </w:rPr>
            </w:pPr>
            <w:r>
              <w:rPr>
                <w:rFonts w:ascii="Arial" w:cs="Arial" w:eastAsia="Arial" w:hAnsi="Arial"/>
                <w:sz w:val="12"/>
                <w:szCs w:val="12"/>
                <w:b w:val="1"/>
                <w:bCs w:val="1"/>
                <w:color w:val="auto"/>
                <w:w w:val="99"/>
              </w:rPr>
              <w:t>September 30,</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438"/>
              <w:spacing w:after="0" w:line="129" w:lineRule="exact"/>
              <w:rPr>
                <w:sz w:val="20"/>
                <w:szCs w:val="20"/>
                <w:color w:val="auto"/>
              </w:rPr>
            </w:pPr>
            <w:r>
              <w:rPr>
                <w:rFonts w:ascii="Arial" w:cs="Arial" w:eastAsia="Arial" w:hAnsi="Arial"/>
                <w:sz w:val="12"/>
                <w:szCs w:val="12"/>
                <w:b w:val="1"/>
                <w:bCs w:val="1"/>
                <w:color w:val="auto"/>
                <w:w w:val="97"/>
              </w:rPr>
              <w:t>September 30,</w:t>
            </w: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180"/>
              <w:spacing w:after="0" w:line="129" w:lineRule="exact"/>
              <w:rPr>
                <w:sz w:val="20"/>
                <w:szCs w:val="20"/>
                <w:color w:val="auto"/>
              </w:rPr>
            </w:pPr>
            <w:r>
              <w:rPr>
                <w:rFonts w:ascii="Arial" w:cs="Arial" w:eastAsia="Arial" w:hAnsi="Arial"/>
                <w:sz w:val="12"/>
                <w:szCs w:val="12"/>
                <w:b w:val="1"/>
                <w:bCs w:val="1"/>
                <w:color w:val="auto"/>
                <w:w w:val="97"/>
              </w:rPr>
              <w:t>September 30,</w:t>
            </w:r>
          </w:p>
        </w:tc>
        <w:tc>
          <w:tcPr>
            <w:tcW w:w="120" w:type="dxa"/>
            <w:vAlign w:val="bottom"/>
          </w:tcPr>
          <w:p>
            <w:pPr>
              <w:spacing w:after="0"/>
              <w:rPr>
                <w:sz w:val="11"/>
                <w:szCs w:val="11"/>
                <w:color w:val="auto"/>
              </w:rPr>
            </w:pPr>
          </w:p>
        </w:tc>
      </w:tr>
      <w:tr>
        <w:trPr>
          <w:trHeight w:val="157"/>
        </w:trPr>
        <w:tc>
          <w:tcPr>
            <w:tcW w:w="55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2023</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2022</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2023</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13"/>
                <w:szCs w:val="13"/>
                <w:color w:val="auto"/>
              </w:rPr>
            </w:pPr>
          </w:p>
        </w:tc>
      </w:tr>
      <w:tr>
        <w:trPr>
          <w:trHeight w:val="133"/>
        </w:trPr>
        <w:tc>
          <w:tcPr>
            <w:tcW w:w="55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Collaboration Revenue</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148</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2,224</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1,967</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4,678</w:t>
            </w:r>
          </w:p>
        </w:tc>
        <w:tc>
          <w:tcPr>
            <w:tcW w:w="120" w:type="dxa"/>
            <w:vAlign w:val="bottom"/>
            <w:shd w:val="clear" w:color="auto" w:fill="CCEEFF"/>
          </w:tcPr>
          <w:p>
            <w:pPr>
              <w:spacing w:after="0"/>
              <w:rPr>
                <w:sz w:val="11"/>
                <w:szCs w:val="11"/>
                <w:color w:val="auto"/>
              </w:rPr>
            </w:pPr>
          </w:p>
        </w:tc>
      </w:tr>
      <w:tr>
        <w:trPr>
          <w:trHeight w:val="144"/>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Expenses</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540" w:type="dxa"/>
            <w:vAlign w:val="bottom"/>
          </w:tcPr>
          <w:p>
            <w:pPr>
              <w:ind w:left="80"/>
              <w:spacing w:after="0"/>
              <w:rPr>
                <w:sz w:val="20"/>
                <w:szCs w:val="20"/>
                <w:color w:val="auto"/>
              </w:rPr>
            </w:pPr>
            <w:r>
              <w:rPr>
                <w:rFonts w:ascii="Arial" w:cs="Arial" w:eastAsia="Arial" w:hAnsi="Arial"/>
                <w:sz w:val="12"/>
                <w:szCs w:val="12"/>
                <w:color w:val="auto"/>
              </w:rPr>
              <w:t>Research and development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98"/>
              <w:spacing w:after="0"/>
              <w:rPr>
                <w:sz w:val="20"/>
                <w:szCs w:val="20"/>
                <w:color w:val="auto"/>
              </w:rPr>
            </w:pPr>
            <w:r>
              <w:rPr>
                <w:rFonts w:ascii="Arial" w:cs="Arial" w:eastAsia="Arial" w:hAnsi="Arial"/>
                <w:sz w:val="12"/>
                <w:szCs w:val="12"/>
                <w:color w:val="auto"/>
              </w:rPr>
              <w:t>22,788</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78"/>
              <w:spacing w:after="0"/>
              <w:rPr>
                <w:sz w:val="20"/>
                <w:szCs w:val="20"/>
                <w:color w:val="auto"/>
              </w:rPr>
            </w:pPr>
            <w:r>
              <w:rPr>
                <w:rFonts w:ascii="Arial" w:cs="Arial" w:eastAsia="Arial" w:hAnsi="Arial"/>
                <w:sz w:val="12"/>
                <w:szCs w:val="12"/>
                <w:color w:val="auto"/>
              </w:rPr>
              <w:t>25,898</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78"/>
              <w:spacing w:after="0"/>
              <w:rPr>
                <w:sz w:val="20"/>
                <w:szCs w:val="20"/>
                <w:color w:val="auto"/>
              </w:rPr>
            </w:pPr>
            <w:r>
              <w:rPr>
                <w:rFonts w:ascii="Arial" w:cs="Arial" w:eastAsia="Arial" w:hAnsi="Arial"/>
                <w:sz w:val="12"/>
                <w:szCs w:val="12"/>
                <w:color w:val="auto"/>
              </w:rPr>
              <w:t>70,414</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78"/>
              <w:spacing w:after="0"/>
              <w:rPr>
                <w:sz w:val="20"/>
                <w:szCs w:val="20"/>
                <w:color w:val="auto"/>
              </w:rPr>
            </w:pPr>
            <w:r>
              <w:rPr>
                <w:rFonts w:ascii="Arial" w:cs="Arial" w:eastAsia="Arial" w:hAnsi="Arial"/>
                <w:sz w:val="12"/>
                <w:szCs w:val="12"/>
                <w:color w:val="auto"/>
              </w:rPr>
              <w:t>71,588</w:t>
            </w:r>
          </w:p>
        </w:tc>
      </w:tr>
      <w:tr>
        <w:trPr>
          <w:trHeight w:val="144"/>
        </w:trPr>
        <w:tc>
          <w:tcPr>
            <w:tcW w:w="5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General and administrative</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98"/>
              <w:spacing w:after="0"/>
              <w:rPr>
                <w:sz w:val="20"/>
                <w:szCs w:val="20"/>
                <w:color w:val="auto"/>
              </w:rPr>
            </w:pPr>
            <w:r>
              <w:rPr>
                <w:rFonts w:ascii="Arial" w:cs="Arial" w:eastAsia="Arial" w:hAnsi="Arial"/>
                <w:sz w:val="12"/>
                <w:szCs w:val="12"/>
                <w:color w:val="auto"/>
              </w:rPr>
              <w:t>8,986</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8,064</w:t>
            </w:r>
          </w:p>
        </w:tc>
        <w:tc>
          <w:tcPr>
            <w:tcW w:w="1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26,117</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23,615</w:t>
            </w:r>
          </w:p>
        </w:tc>
      </w:tr>
      <w:tr>
        <w:trPr>
          <w:trHeight w:val="144"/>
        </w:trPr>
        <w:tc>
          <w:tcPr>
            <w:tcW w:w="5540" w:type="dxa"/>
            <w:vAlign w:val="bottom"/>
          </w:tcPr>
          <w:p>
            <w:pPr>
              <w:ind w:left="80"/>
              <w:spacing w:after="0"/>
              <w:rPr>
                <w:sz w:val="20"/>
                <w:szCs w:val="20"/>
                <w:color w:val="auto"/>
              </w:rPr>
            </w:pPr>
            <w:r>
              <w:rPr>
                <w:rFonts w:ascii="Arial" w:cs="Arial" w:eastAsia="Arial" w:hAnsi="Arial"/>
                <w:sz w:val="12"/>
                <w:szCs w:val="12"/>
                <w:color w:val="auto"/>
              </w:rPr>
              <w:t>In-process research and development</w:t>
            </w:r>
          </w:p>
        </w:tc>
        <w:tc>
          <w:tcPr>
            <w:tcW w:w="160" w:type="dxa"/>
            <w:vAlign w:val="bottom"/>
          </w:tcPr>
          <w:p>
            <w:pPr>
              <w:spacing w:after="0"/>
              <w:rPr>
                <w:sz w:val="12"/>
                <w:szCs w:val="12"/>
                <w:color w:val="auto"/>
              </w:rPr>
            </w:pPr>
          </w:p>
        </w:tc>
        <w:tc>
          <w:tcPr>
            <w:tcW w:w="1320" w:type="dxa"/>
            <w:vAlign w:val="bottom"/>
            <w:gridSpan w:val="2"/>
          </w:tcPr>
          <w:p>
            <w:pPr>
              <w:jc w:val="right"/>
              <w:ind w:right="198"/>
              <w:spacing w:after="0"/>
              <w:rPr>
                <w:sz w:val="20"/>
                <w:szCs w:val="20"/>
                <w:color w:val="auto"/>
              </w:rPr>
            </w:pPr>
            <w:r>
              <w:rPr>
                <w:rFonts w:ascii="Arial" w:cs="Arial" w:eastAsia="Arial" w:hAnsi="Arial"/>
                <w:sz w:val="12"/>
                <w:szCs w:val="12"/>
                <w:color w:val="auto"/>
              </w:rPr>
              <w:t>4,000</w:t>
            </w:r>
          </w:p>
        </w:tc>
        <w:tc>
          <w:tcPr>
            <w:tcW w:w="160" w:type="dxa"/>
            <w:vAlign w:val="bottom"/>
          </w:tcPr>
          <w:p>
            <w:pPr>
              <w:spacing w:after="0"/>
              <w:rPr>
                <w:sz w:val="12"/>
                <w:szCs w:val="12"/>
                <w:color w:val="auto"/>
              </w:rPr>
            </w:pPr>
          </w:p>
        </w:tc>
        <w:tc>
          <w:tcPr>
            <w:tcW w:w="1320" w:type="dxa"/>
            <w:vAlign w:val="bottom"/>
            <w:gridSpan w:val="2"/>
          </w:tcPr>
          <w:p>
            <w:pPr>
              <w:jc w:val="right"/>
              <w:ind w:right="178"/>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300" w:type="dxa"/>
            <w:vAlign w:val="bottom"/>
            <w:gridSpan w:val="2"/>
          </w:tcPr>
          <w:p>
            <w:pPr>
              <w:jc w:val="right"/>
              <w:ind w:right="178"/>
              <w:spacing w:after="0"/>
              <w:rPr>
                <w:sz w:val="20"/>
                <w:szCs w:val="20"/>
                <w:color w:val="auto"/>
              </w:rPr>
            </w:pPr>
            <w:r>
              <w:rPr>
                <w:rFonts w:ascii="Arial" w:cs="Arial" w:eastAsia="Arial" w:hAnsi="Arial"/>
                <w:sz w:val="12"/>
                <w:szCs w:val="12"/>
                <w:color w:val="auto"/>
              </w:rPr>
              <w:t>4,000</w:t>
            </w:r>
          </w:p>
        </w:tc>
        <w:tc>
          <w:tcPr>
            <w:tcW w:w="160" w:type="dxa"/>
            <w:vAlign w:val="bottom"/>
          </w:tcPr>
          <w:p>
            <w:pPr>
              <w:spacing w:after="0"/>
              <w:rPr>
                <w:sz w:val="12"/>
                <w:szCs w:val="12"/>
                <w:color w:val="auto"/>
              </w:rPr>
            </w:pPr>
          </w:p>
        </w:tc>
        <w:tc>
          <w:tcPr>
            <w:tcW w:w="1180" w:type="dxa"/>
            <w:vAlign w:val="bottom"/>
            <w:gridSpan w:val="2"/>
          </w:tcPr>
          <w:p>
            <w:pPr>
              <w:jc w:val="right"/>
              <w:ind w:right="78"/>
              <w:spacing w:after="0"/>
              <w:rPr>
                <w:sz w:val="20"/>
                <w:szCs w:val="20"/>
                <w:color w:val="auto"/>
              </w:rPr>
            </w:pPr>
            <w:r>
              <w:rPr>
                <w:rFonts w:ascii="Arial" w:cs="Arial" w:eastAsia="Arial" w:hAnsi="Arial"/>
                <w:sz w:val="12"/>
                <w:szCs w:val="12"/>
                <w:color w:val="auto"/>
              </w:rPr>
              <w:t>10,000</w:t>
            </w:r>
          </w:p>
        </w:tc>
      </w:tr>
      <w:tr>
        <w:trPr>
          <w:trHeight w:val="153"/>
        </w:trPr>
        <w:tc>
          <w:tcPr>
            <w:tcW w:w="5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Impairment on long-lived assets</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98"/>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4,220</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w:t>
            </w:r>
          </w:p>
        </w:tc>
      </w:tr>
      <w:tr>
        <w:trPr>
          <w:trHeight w:val="133"/>
        </w:trPr>
        <w:tc>
          <w:tcPr>
            <w:tcW w:w="5540" w:type="dxa"/>
            <w:vAlign w:val="bottom"/>
            <w:tcBorders>
              <w:bottom w:val="single" w:sz="8" w:color="CCEEFF"/>
            </w:tcBorders>
          </w:tcPr>
          <w:p>
            <w:pPr>
              <w:ind w:left="240"/>
              <w:spacing w:after="0" w:line="133" w:lineRule="exact"/>
              <w:rPr>
                <w:sz w:val="20"/>
                <w:szCs w:val="20"/>
                <w:color w:val="auto"/>
              </w:rPr>
            </w:pPr>
            <w:r>
              <w:rPr>
                <w:rFonts w:ascii="Arial" w:cs="Arial" w:eastAsia="Arial" w:hAnsi="Arial"/>
                <w:sz w:val="12"/>
                <w:szCs w:val="12"/>
                <w:b w:val="1"/>
                <w:bCs w:val="1"/>
                <w:color w:val="auto"/>
              </w:rPr>
              <w:t>Total operating expenses</w:t>
            </w: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35,774</w:t>
            </w: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33,962</w:t>
            </w:r>
          </w:p>
        </w:tc>
        <w:tc>
          <w:tcPr>
            <w:tcW w:w="2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104,751</w:t>
            </w:r>
          </w:p>
        </w:tc>
        <w:tc>
          <w:tcPr>
            <w:tcW w:w="2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105,203</w:t>
            </w:r>
          </w:p>
        </w:tc>
        <w:tc>
          <w:tcPr>
            <w:tcW w:w="120" w:type="dxa"/>
            <w:vAlign w:val="bottom"/>
            <w:tcBorders>
              <w:bottom w:val="single" w:sz="8" w:color="CCEEFF"/>
            </w:tcBorders>
          </w:tcPr>
          <w:p>
            <w:pPr>
              <w:spacing w:after="0"/>
              <w:rPr>
                <w:sz w:val="11"/>
                <w:szCs w:val="11"/>
                <w:color w:val="auto"/>
              </w:rPr>
            </w:pPr>
          </w:p>
        </w:tc>
      </w:tr>
      <w:tr>
        <w:trPr>
          <w:trHeight w:val="133"/>
        </w:trPr>
        <w:tc>
          <w:tcPr>
            <w:tcW w:w="5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5540" w:type="dxa"/>
            <w:vAlign w:val="bottom"/>
          </w:tcPr>
          <w:p>
            <w:pPr>
              <w:spacing w:after="0"/>
              <w:rPr>
                <w:sz w:val="20"/>
                <w:szCs w:val="20"/>
                <w:color w:val="auto"/>
              </w:rPr>
            </w:pPr>
            <w:r>
              <w:rPr>
                <w:rFonts w:ascii="Arial" w:cs="Arial" w:eastAsia="Arial" w:hAnsi="Arial"/>
                <w:sz w:val="12"/>
                <w:szCs w:val="12"/>
                <w:b w:val="1"/>
                <w:bCs w:val="1"/>
                <w:color w:val="auto"/>
              </w:rPr>
              <w:t>Loss from operations</w:t>
            </w:r>
          </w:p>
        </w:tc>
        <w:tc>
          <w:tcPr>
            <w:tcW w:w="160" w:type="dxa"/>
            <w:vAlign w:val="bottom"/>
          </w:tcPr>
          <w:p>
            <w:pPr>
              <w:spacing w:after="0"/>
              <w:rPr>
                <w:sz w:val="12"/>
                <w:szCs w:val="12"/>
                <w:color w:val="auto"/>
              </w:rPr>
            </w:pPr>
          </w:p>
        </w:tc>
        <w:tc>
          <w:tcPr>
            <w:tcW w:w="1320" w:type="dxa"/>
            <w:vAlign w:val="bottom"/>
            <w:gridSpan w:val="2"/>
          </w:tcPr>
          <w:p>
            <w:pPr>
              <w:jc w:val="right"/>
              <w:ind w:right="158"/>
              <w:spacing w:after="0"/>
              <w:rPr>
                <w:sz w:val="20"/>
                <w:szCs w:val="20"/>
                <w:color w:val="auto"/>
              </w:rPr>
            </w:pPr>
            <w:r>
              <w:rPr>
                <w:rFonts w:ascii="Arial" w:cs="Arial" w:eastAsia="Arial" w:hAnsi="Arial"/>
                <w:sz w:val="12"/>
                <w:szCs w:val="12"/>
                <w:color w:val="auto"/>
              </w:rPr>
              <w:t>(35,626)</w:t>
            </w:r>
          </w:p>
        </w:tc>
        <w:tc>
          <w:tcPr>
            <w:tcW w:w="160" w:type="dxa"/>
            <w:vAlign w:val="bottom"/>
          </w:tcPr>
          <w:p>
            <w:pPr>
              <w:spacing w:after="0"/>
              <w:rPr>
                <w:sz w:val="12"/>
                <w:szCs w:val="12"/>
                <w:color w:val="auto"/>
              </w:rPr>
            </w:pPr>
          </w:p>
        </w:tc>
        <w:tc>
          <w:tcPr>
            <w:tcW w:w="1320" w:type="dxa"/>
            <w:vAlign w:val="bottom"/>
            <w:gridSpan w:val="2"/>
          </w:tcPr>
          <w:p>
            <w:pPr>
              <w:jc w:val="right"/>
              <w:ind w:right="138"/>
              <w:spacing w:after="0"/>
              <w:rPr>
                <w:sz w:val="20"/>
                <w:szCs w:val="20"/>
                <w:color w:val="auto"/>
              </w:rPr>
            </w:pPr>
            <w:r>
              <w:rPr>
                <w:rFonts w:ascii="Arial" w:cs="Arial" w:eastAsia="Arial" w:hAnsi="Arial"/>
                <w:sz w:val="12"/>
                <w:szCs w:val="12"/>
                <w:color w:val="auto"/>
              </w:rPr>
              <w:t>(31,738)</w:t>
            </w:r>
          </w:p>
        </w:tc>
        <w:tc>
          <w:tcPr>
            <w:tcW w:w="160" w:type="dxa"/>
            <w:vAlign w:val="bottom"/>
          </w:tcPr>
          <w:p>
            <w:pPr>
              <w:spacing w:after="0"/>
              <w:rPr>
                <w:sz w:val="12"/>
                <w:szCs w:val="12"/>
                <w:color w:val="auto"/>
              </w:rPr>
            </w:pPr>
          </w:p>
        </w:tc>
        <w:tc>
          <w:tcPr>
            <w:tcW w:w="1300" w:type="dxa"/>
            <w:vAlign w:val="bottom"/>
            <w:gridSpan w:val="2"/>
          </w:tcPr>
          <w:p>
            <w:pPr>
              <w:jc w:val="right"/>
              <w:ind w:right="138"/>
              <w:spacing w:after="0"/>
              <w:rPr>
                <w:sz w:val="20"/>
                <w:szCs w:val="20"/>
                <w:color w:val="auto"/>
              </w:rPr>
            </w:pPr>
            <w:r>
              <w:rPr>
                <w:rFonts w:ascii="Arial" w:cs="Arial" w:eastAsia="Arial" w:hAnsi="Arial"/>
                <w:sz w:val="12"/>
                <w:szCs w:val="12"/>
                <w:color w:val="auto"/>
              </w:rPr>
              <w:t>(102,784)</w:t>
            </w:r>
          </w:p>
        </w:tc>
        <w:tc>
          <w:tcPr>
            <w:tcW w:w="160" w:type="dxa"/>
            <w:vAlign w:val="bottom"/>
          </w:tcPr>
          <w:p>
            <w:pPr>
              <w:spacing w:after="0"/>
              <w:rPr>
                <w:sz w:val="12"/>
                <w:szCs w:val="12"/>
                <w:color w:val="auto"/>
              </w:rPr>
            </w:pPr>
          </w:p>
        </w:tc>
        <w:tc>
          <w:tcPr>
            <w:tcW w:w="1180" w:type="dxa"/>
            <w:vAlign w:val="bottom"/>
            <w:gridSpan w:val="2"/>
          </w:tcPr>
          <w:p>
            <w:pPr>
              <w:jc w:val="right"/>
              <w:ind w:right="38"/>
              <w:spacing w:after="0"/>
              <w:rPr>
                <w:sz w:val="20"/>
                <w:szCs w:val="20"/>
                <w:color w:val="auto"/>
              </w:rPr>
            </w:pPr>
            <w:r>
              <w:rPr>
                <w:rFonts w:ascii="Arial" w:cs="Arial" w:eastAsia="Arial" w:hAnsi="Arial"/>
                <w:sz w:val="12"/>
                <w:szCs w:val="12"/>
                <w:color w:val="auto"/>
              </w:rPr>
              <w:t>(100,525)</w:t>
            </w:r>
          </w:p>
        </w:tc>
      </w:tr>
      <w:tr>
        <w:trPr>
          <w:trHeight w:val="144"/>
        </w:trPr>
        <w:tc>
          <w:tcPr>
            <w:tcW w:w="5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540" w:type="dxa"/>
            <w:vAlign w:val="bottom"/>
          </w:tcPr>
          <w:p>
            <w:pPr>
              <w:spacing w:after="0"/>
              <w:rPr>
                <w:sz w:val="20"/>
                <w:szCs w:val="20"/>
                <w:color w:val="auto"/>
              </w:rPr>
            </w:pPr>
            <w:r>
              <w:rPr>
                <w:rFonts w:ascii="Arial" w:cs="Arial" w:eastAsia="Arial" w:hAnsi="Arial"/>
                <w:sz w:val="12"/>
                <w:szCs w:val="12"/>
                <w:color w:val="auto"/>
              </w:rPr>
              <w:t>Interest expense</w:t>
            </w:r>
          </w:p>
        </w:tc>
        <w:tc>
          <w:tcPr>
            <w:tcW w:w="160" w:type="dxa"/>
            <w:vAlign w:val="bottom"/>
          </w:tcPr>
          <w:p>
            <w:pPr>
              <w:spacing w:after="0"/>
              <w:rPr>
                <w:sz w:val="12"/>
                <w:szCs w:val="12"/>
                <w:color w:val="auto"/>
              </w:rPr>
            </w:pPr>
          </w:p>
        </w:tc>
        <w:tc>
          <w:tcPr>
            <w:tcW w:w="1320" w:type="dxa"/>
            <w:vAlign w:val="bottom"/>
            <w:gridSpan w:val="2"/>
          </w:tcPr>
          <w:p>
            <w:pPr>
              <w:jc w:val="right"/>
              <w:ind w:right="198"/>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320" w:type="dxa"/>
            <w:vAlign w:val="bottom"/>
            <w:gridSpan w:val="2"/>
          </w:tcPr>
          <w:p>
            <w:pPr>
              <w:jc w:val="right"/>
              <w:ind w:right="138"/>
              <w:spacing w:after="0"/>
              <w:rPr>
                <w:sz w:val="20"/>
                <w:szCs w:val="20"/>
                <w:color w:val="auto"/>
              </w:rPr>
            </w:pPr>
            <w:r>
              <w:rPr>
                <w:rFonts w:ascii="Arial" w:cs="Arial" w:eastAsia="Arial" w:hAnsi="Arial"/>
                <w:sz w:val="12"/>
                <w:szCs w:val="12"/>
                <w:color w:val="auto"/>
              </w:rPr>
              <w:t>(373)</w:t>
            </w:r>
          </w:p>
        </w:tc>
        <w:tc>
          <w:tcPr>
            <w:tcW w:w="160" w:type="dxa"/>
            <w:vAlign w:val="bottom"/>
          </w:tcPr>
          <w:p>
            <w:pPr>
              <w:spacing w:after="0"/>
              <w:rPr>
                <w:sz w:val="12"/>
                <w:szCs w:val="12"/>
                <w:color w:val="auto"/>
              </w:rPr>
            </w:pPr>
          </w:p>
        </w:tc>
        <w:tc>
          <w:tcPr>
            <w:tcW w:w="1300" w:type="dxa"/>
            <w:vAlign w:val="bottom"/>
            <w:gridSpan w:val="2"/>
          </w:tcPr>
          <w:p>
            <w:pPr>
              <w:jc w:val="right"/>
              <w:ind w:right="138"/>
              <w:spacing w:after="0"/>
              <w:rPr>
                <w:sz w:val="20"/>
                <w:szCs w:val="20"/>
                <w:color w:val="auto"/>
              </w:rPr>
            </w:pPr>
            <w:r>
              <w:rPr>
                <w:rFonts w:ascii="Arial" w:cs="Arial" w:eastAsia="Arial" w:hAnsi="Arial"/>
                <w:sz w:val="12"/>
                <w:szCs w:val="12"/>
                <w:color w:val="auto"/>
              </w:rPr>
              <w:t>(540)</w:t>
            </w:r>
          </w:p>
        </w:tc>
        <w:tc>
          <w:tcPr>
            <w:tcW w:w="160" w:type="dxa"/>
            <w:vAlign w:val="bottom"/>
          </w:tcPr>
          <w:p>
            <w:pPr>
              <w:spacing w:after="0"/>
              <w:rPr>
                <w:sz w:val="12"/>
                <w:szCs w:val="12"/>
                <w:color w:val="auto"/>
              </w:rPr>
            </w:pPr>
          </w:p>
        </w:tc>
        <w:tc>
          <w:tcPr>
            <w:tcW w:w="1180" w:type="dxa"/>
            <w:vAlign w:val="bottom"/>
            <w:gridSpan w:val="2"/>
          </w:tcPr>
          <w:p>
            <w:pPr>
              <w:jc w:val="right"/>
              <w:ind w:right="38"/>
              <w:spacing w:after="0"/>
              <w:rPr>
                <w:sz w:val="20"/>
                <w:szCs w:val="20"/>
                <w:color w:val="auto"/>
              </w:rPr>
            </w:pPr>
            <w:r>
              <w:rPr>
                <w:rFonts w:ascii="Arial" w:cs="Arial" w:eastAsia="Arial" w:hAnsi="Arial"/>
                <w:sz w:val="12"/>
                <w:szCs w:val="12"/>
                <w:color w:val="auto"/>
              </w:rPr>
              <w:t>(1,017)</w:t>
            </w:r>
          </w:p>
        </w:tc>
      </w:tr>
      <w:tr>
        <w:trPr>
          <w:trHeight w:val="144"/>
        </w:trPr>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98"/>
              <w:spacing w:after="0"/>
              <w:rPr>
                <w:sz w:val="20"/>
                <w:szCs w:val="20"/>
                <w:color w:val="auto"/>
              </w:rPr>
            </w:pPr>
            <w:r>
              <w:rPr>
                <w:rFonts w:ascii="Arial" w:cs="Arial" w:eastAsia="Arial" w:hAnsi="Arial"/>
                <w:sz w:val="12"/>
                <w:szCs w:val="12"/>
                <w:color w:val="auto"/>
              </w:rPr>
              <w:t>3,486</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1,411</w:t>
            </w:r>
          </w:p>
        </w:tc>
        <w:tc>
          <w:tcPr>
            <w:tcW w:w="1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9,167</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2,370</w:t>
            </w:r>
          </w:p>
        </w:tc>
      </w:tr>
      <w:tr>
        <w:trPr>
          <w:trHeight w:val="153"/>
        </w:trPr>
        <w:tc>
          <w:tcPr>
            <w:tcW w:w="5540" w:type="dxa"/>
            <w:vAlign w:val="bottom"/>
          </w:tcPr>
          <w:p>
            <w:pPr>
              <w:spacing w:after="0"/>
              <w:rPr>
                <w:sz w:val="20"/>
                <w:szCs w:val="20"/>
                <w:color w:val="auto"/>
              </w:rPr>
            </w:pPr>
            <w:r>
              <w:rPr>
                <w:rFonts w:ascii="Arial" w:cs="Arial" w:eastAsia="Arial" w:hAnsi="Arial"/>
                <w:sz w:val="12"/>
                <w:szCs w:val="12"/>
                <w:color w:val="auto"/>
              </w:rPr>
              <w:t>Other income, net</w:t>
            </w:r>
          </w:p>
        </w:tc>
        <w:tc>
          <w:tcPr>
            <w:tcW w:w="160" w:type="dxa"/>
            <w:vAlign w:val="bottom"/>
          </w:tcPr>
          <w:p>
            <w:pPr>
              <w:spacing w:after="0"/>
              <w:rPr>
                <w:sz w:val="13"/>
                <w:szCs w:val="13"/>
                <w:color w:val="auto"/>
              </w:rPr>
            </w:pPr>
          </w:p>
        </w:tc>
        <w:tc>
          <w:tcPr>
            <w:tcW w:w="1320" w:type="dxa"/>
            <w:vAlign w:val="bottom"/>
            <w:gridSpan w:val="2"/>
          </w:tcPr>
          <w:p>
            <w:pPr>
              <w:jc w:val="right"/>
              <w:ind w:right="198"/>
              <w:spacing w:after="0"/>
              <w:rPr>
                <w:sz w:val="20"/>
                <w:szCs w:val="20"/>
                <w:color w:val="auto"/>
              </w:rPr>
            </w:pPr>
            <w:r>
              <w:rPr>
                <w:rFonts w:ascii="Arial" w:cs="Arial" w:eastAsia="Arial" w:hAnsi="Arial"/>
                <w:sz w:val="12"/>
                <w:szCs w:val="12"/>
                <w:color w:val="auto"/>
              </w:rPr>
              <w:t>12</w:t>
            </w:r>
          </w:p>
        </w:tc>
        <w:tc>
          <w:tcPr>
            <w:tcW w:w="160" w:type="dxa"/>
            <w:vAlign w:val="bottom"/>
          </w:tcPr>
          <w:p>
            <w:pPr>
              <w:spacing w:after="0"/>
              <w:rPr>
                <w:sz w:val="13"/>
                <w:szCs w:val="13"/>
                <w:color w:val="auto"/>
              </w:rPr>
            </w:pPr>
          </w:p>
        </w:tc>
        <w:tc>
          <w:tcPr>
            <w:tcW w:w="1320" w:type="dxa"/>
            <w:vAlign w:val="bottom"/>
            <w:gridSpan w:val="2"/>
          </w:tcPr>
          <w:p>
            <w:pPr>
              <w:jc w:val="right"/>
              <w:ind w:right="138"/>
              <w:spacing w:after="0"/>
              <w:rPr>
                <w:sz w:val="20"/>
                <w:szCs w:val="20"/>
                <w:color w:val="auto"/>
              </w:rPr>
            </w:pPr>
            <w:r>
              <w:rPr>
                <w:rFonts w:ascii="Arial" w:cs="Arial" w:eastAsia="Arial" w:hAnsi="Arial"/>
                <w:sz w:val="12"/>
                <w:szCs w:val="12"/>
                <w:color w:val="auto"/>
              </w:rPr>
              <w:t>(24)</w:t>
            </w:r>
          </w:p>
        </w:tc>
        <w:tc>
          <w:tcPr>
            <w:tcW w:w="160" w:type="dxa"/>
            <w:vAlign w:val="bottom"/>
          </w:tcPr>
          <w:p>
            <w:pPr>
              <w:spacing w:after="0"/>
              <w:rPr>
                <w:sz w:val="13"/>
                <w:szCs w:val="13"/>
                <w:color w:val="auto"/>
              </w:rPr>
            </w:pPr>
          </w:p>
        </w:tc>
        <w:tc>
          <w:tcPr>
            <w:tcW w:w="1300" w:type="dxa"/>
            <w:vAlign w:val="bottom"/>
            <w:gridSpan w:val="2"/>
          </w:tcPr>
          <w:p>
            <w:pPr>
              <w:jc w:val="right"/>
              <w:ind w:right="138"/>
              <w:spacing w:after="0"/>
              <w:rPr>
                <w:sz w:val="20"/>
                <w:szCs w:val="20"/>
                <w:color w:val="auto"/>
              </w:rPr>
            </w:pPr>
            <w:r>
              <w:rPr>
                <w:rFonts w:ascii="Arial" w:cs="Arial" w:eastAsia="Arial" w:hAnsi="Arial"/>
                <w:sz w:val="12"/>
                <w:szCs w:val="12"/>
                <w:color w:val="auto"/>
              </w:rPr>
              <w:t>(368)</w:t>
            </w:r>
          </w:p>
        </w:tc>
        <w:tc>
          <w:tcPr>
            <w:tcW w:w="160" w:type="dxa"/>
            <w:vAlign w:val="bottom"/>
          </w:tcPr>
          <w:p>
            <w:pPr>
              <w:spacing w:after="0"/>
              <w:rPr>
                <w:sz w:val="13"/>
                <w:szCs w:val="13"/>
                <w:color w:val="auto"/>
              </w:rPr>
            </w:pPr>
          </w:p>
        </w:tc>
        <w:tc>
          <w:tcPr>
            <w:tcW w:w="1180" w:type="dxa"/>
            <w:vAlign w:val="bottom"/>
            <w:gridSpan w:val="2"/>
          </w:tcPr>
          <w:p>
            <w:pPr>
              <w:jc w:val="right"/>
              <w:ind w:right="38"/>
              <w:spacing w:after="0"/>
              <w:rPr>
                <w:sz w:val="20"/>
                <w:szCs w:val="20"/>
                <w:color w:val="auto"/>
              </w:rPr>
            </w:pPr>
            <w:r>
              <w:rPr>
                <w:rFonts w:ascii="Arial" w:cs="Arial" w:eastAsia="Arial" w:hAnsi="Arial"/>
                <w:sz w:val="12"/>
                <w:szCs w:val="12"/>
                <w:color w:val="auto"/>
              </w:rPr>
              <w:t>(19)</w:t>
            </w:r>
          </w:p>
        </w:tc>
      </w:tr>
      <w:tr>
        <w:trPr>
          <w:trHeight w:val="133"/>
        </w:trPr>
        <w:tc>
          <w:tcPr>
            <w:tcW w:w="55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Loss before provision for income taxes</w:t>
            </w: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(32,128)</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(30,724)</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(94,525)</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(99,191)</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5540" w:type="dxa"/>
            <w:vAlign w:val="bottom"/>
          </w:tcPr>
          <w:p>
            <w:pPr>
              <w:ind w:left="80"/>
              <w:spacing w:after="0"/>
              <w:rPr>
                <w:sz w:val="20"/>
                <w:szCs w:val="20"/>
                <w:color w:val="auto"/>
              </w:rPr>
            </w:pPr>
            <w:r>
              <w:rPr>
                <w:rFonts w:ascii="Arial" w:cs="Arial" w:eastAsia="Arial" w:hAnsi="Arial"/>
                <w:sz w:val="12"/>
                <w:szCs w:val="12"/>
                <w:color w:val="auto"/>
              </w:rPr>
              <w:t>Provision for income taxes</w:t>
            </w:r>
          </w:p>
        </w:tc>
        <w:tc>
          <w:tcPr>
            <w:tcW w:w="160" w:type="dxa"/>
            <w:vAlign w:val="bottom"/>
          </w:tcPr>
          <w:p>
            <w:pPr>
              <w:spacing w:after="0"/>
              <w:rPr>
                <w:sz w:val="13"/>
                <w:szCs w:val="13"/>
                <w:color w:val="auto"/>
              </w:rPr>
            </w:pPr>
          </w:p>
        </w:tc>
        <w:tc>
          <w:tcPr>
            <w:tcW w:w="1320" w:type="dxa"/>
            <w:vAlign w:val="bottom"/>
            <w:gridSpan w:val="2"/>
          </w:tcPr>
          <w:p>
            <w:pPr>
              <w:jc w:val="right"/>
              <w:ind w:right="158"/>
              <w:spacing w:after="0"/>
              <w:rPr>
                <w:sz w:val="20"/>
                <w:szCs w:val="20"/>
                <w:color w:val="auto"/>
              </w:rPr>
            </w:pPr>
            <w:r>
              <w:rPr>
                <w:rFonts w:ascii="Arial" w:cs="Arial" w:eastAsia="Arial" w:hAnsi="Arial"/>
                <w:sz w:val="12"/>
                <w:szCs w:val="12"/>
                <w:color w:val="auto"/>
              </w:rPr>
              <w:t>(592)</w:t>
            </w:r>
          </w:p>
        </w:tc>
        <w:tc>
          <w:tcPr>
            <w:tcW w:w="160" w:type="dxa"/>
            <w:vAlign w:val="bottom"/>
          </w:tcPr>
          <w:p>
            <w:pPr>
              <w:spacing w:after="0"/>
              <w:rPr>
                <w:sz w:val="13"/>
                <w:szCs w:val="13"/>
                <w:color w:val="auto"/>
              </w:rPr>
            </w:pPr>
          </w:p>
        </w:tc>
        <w:tc>
          <w:tcPr>
            <w:tcW w:w="1320" w:type="dxa"/>
            <w:vAlign w:val="bottom"/>
            <w:gridSpan w:val="2"/>
          </w:tcPr>
          <w:p>
            <w:pPr>
              <w:jc w:val="right"/>
              <w:ind w:right="138"/>
              <w:spacing w:after="0"/>
              <w:rPr>
                <w:sz w:val="20"/>
                <w:szCs w:val="20"/>
                <w:color w:val="auto"/>
              </w:rPr>
            </w:pPr>
            <w:r>
              <w:rPr>
                <w:rFonts w:ascii="Arial" w:cs="Arial" w:eastAsia="Arial" w:hAnsi="Arial"/>
                <w:sz w:val="12"/>
                <w:szCs w:val="12"/>
                <w:color w:val="auto"/>
              </w:rPr>
              <w:t>(25)</w:t>
            </w:r>
          </w:p>
        </w:tc>
        <w:tc>
          <w:tcPr>
            <w:tcW w:w="160" w:type="dxa"/>
            <w:vAlign w:val="bottom"/>
          </w:tcPr>
          <w:p>
            <w:pPr>
              <w:spacing w:after="0"/>
              <w:rPr>
                <w:sz w:val="13"/>
                <w:szCs w:val="13"/>
                <w:color w:val="auto"/>
              </w:rPr>
            </w:pPr>
          </w:p>
        </w:tc>
        <w:tc>
          <w:tcPr>
            <w:tcW w:w="1300" w:type="dxa"/>
            <w:vAlign w:val="bottom"/>
            <w:gridSpan w:val="2"/>
          </w:tcPr>
          <w:p>
            <w:pPr>
              <w:jc w:val="right"/>
              <w:ind w:right="138"/>
              <w:spacing w:after="0"/>
              <w:rPr>
                <w:sz w:val="20"/>
                <w:szCs w:val="20"/>
                <w:color w:val="auto"/>
              </w:rPr>
            </w:pPr>
            <w:r>
              <w:rPr>
                <w:rFonts w:ascii="Arial" w:cs="Arial" w:eastAsia="Arial" w:hAnsi="Arial"/>
                <w:sz w:val="12"/>
                <w:szCs w:val="12"/>
                <w:color w:val="auto"/>
              </w:rPr>
              <w:t>(2,750)</w:t>
            </w:r>
          </w:p>
        </w:tc>
        <w:tc>
          <w:tcPr>
            <w:tcW w:w="160" w:type="dxa"/>
            <w:vAlign w:val="bottom"/>
          </w:tcPr>
          <w:p>
            <w:pPr>
              <w:spacing w:after="0"/>
              <w:rPr>
                <w:sz w:val="13"/>
                <w:szCs w:val="13"/>
                <w:color w:val="auto"/>
              </w:rPr>
            </w:pPr>
          </w:p>
        </w:tc>
        <w:tc>
          <w:tcPr>
            <w:tcW w:w="1180" w:type="dxa"/>
            <w:vAlign w:val="bottom"/>
            <w:gridSpan w:val="2"/>
          </w:tcPr>
          <w:p>
            <w:pPr>
              <w:jc w:val="right"/>
              <w:ind w:right="38"/>
              <w:spacing w:after="0"/>
              <w:rPr>
                <w:sz w:val="20"/>
                <w:szCs w:val="20"/>
                <w:color w:val="auto"/>
              </w:rPr>
            </w:pPr>
            <w:r>
              <w:rPr>
                <w:rFonts w:ascii="Arial" w:cs="Arial" w:eastAsia="Arial" w:hAnsi="Arial"/>
                <w:sz w:val="12"/>
                <w:szCs w:val="12"/>
                <w:color w:val="auto"/>
              </w:rPr>
              <w:t>(59)</w:t>
            </w:r>
          </w:p>
        </w:tc>
      </w:tr>
      <w:tr>
        <w:trPr>
          <w:trHeight w:val="149"/>
        </w:trPr>
        <w:tc>
          <w:tcPr>
            <w:tcW w:w="554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Net Loss</w:t>
            </w: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(32,720</w:t>
            </w:r>
          </w:p>
        </w:tc>
        <w:tc>
          <w:tcPr>
            <w:tcW w:w="240" w:type="dxa"/>
            <w:vAlign w:val="bottom"/>
            <w:tcBorders>
              <w:top w:val="single" w:sz="8" w:color="CCEEFF"/>
              <w:bottom w:val="single" w:sz="8" w:color="CCEEFF"/>
            </w:tcBorders>
            <w:shd w:val="clear" w:color="auto" w:fill="CCEEFF"/>
          </w:tcPr>
          <w:p>
            <w:pPr>
              <w:jc w:val="right"/>
              <w:ind w:right="15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(30,749</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(97,275</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(99,250</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r>
      <w:tr>
        <w:trPr>
          <w:trHeight w:val="144"/>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Unrealized loss on investments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(95)</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(165)</w:t>
            </w:r>
          </w:p>
        </w:tc>
        <w:tc>
          <w:tcPr>
            <w:tcW w:w="1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1,157</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(2,931)</w:t>
            </w:r>
          </w:p>
        </w:tc>
      </w:tr>
      <w:tr>
        <w:trPr>
          <w:trHeight w:val="153"/>
        </w:trPr>
        <w:tc>
          <w:tcPr>
            <w:tcW w:w="5540" w:type="dxa"/>
            <w:vAlign w:val="bottom"/>
          </w:tcPr>
          <w:p>
            <w:pPr>
              <w:ind w:left="80"/>
              <w:spacing w:after="0"/>
              <w:rPr>
                <w:sz w:val="20"/>
                <w:szCs w:val="20"/>
                <w:color w:val="auto"/>
              </w:rPr>
            </w:pPr>
            <w:r>
              <w:rPr>
                <w:rFonts w:ascii="Arial" w:cs="Arial" w:eastAsia="Arial" w:hAnsi="Arial"/>
                <w:sz w:val="12"/>
                <w:szCs w:val="12"/>
                <w:color w:val="auto"/>
              </w:rPr>
              <w:t>Foreign currency translation adjustment</w:t>
            </w:r>
          </w:p>
        </w:tc>
        <w:tc>
          <w:tcPr>
            <w:tcW w:w="160" w:type="dxa"/>
            <w:vAlign w:val="bottom"/>
          </w:tcPr>
          <w:p>
            <w:pPr>
              <w:spacing w:after="0"/>
              <w:rPr>
                <w:sz w:val="13"/>
                <w:szCs w:val="13"/>
                <w:color w:val="auto"/>
              </w:rPr>
            </w:pPr>
          </w:p>
        </w:tc>
        <w:tc>
          <w:tcPr>
            <w:tcW w:w="1320" w:type="dxa"/>
            <w:vAlign w:val="bottom"/>
            <w:gridSpan w:val="2"/>
          </w:tcPr>
          <w:p>
            <w:pPr>
              <w:jc w:val="right"/>
              <w:ind w:right="158"/>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3"/>
                <w:szCs w:val="13"/>
                <w:color w:val="auto"/>
              </w:rPr>
            </w:pPr>
          </w:p>
        </w:tc>
        <w:tc>
          <w:tcPr>
            <w:tcW w:w="1320" w:type="dxa"/>
            <w:vAlign w:val="bottom"/>
            <w:gridSpan w:val="2"/>
          </w:tcPr>
          <w:p>
            <w:pPr>
              <w:jc w:val="right"/>
              <w:ind w:right="138"/>
              <w:spacing w:after="0"/>
              <w:rPr>
                <w:sz w:val="20"/>
                <w:szCs w:val="20"/>
                <w:color w:val="auto"/>
              </w:rPr>
            </w:pPr>
            <w:r>
              <w:rPr>
                <w:rFonts w:ascii="Arial" w:cs="Arial" w:eastAsia="Arial" w:hAnsi="Arial"/>
                <w:sz w:val="12"/>
                <w:szCs w:val="12"/>
                <w:color w:val="auto"/>
              </w:rPr>
              <w:t>(5)</w:t>
            </w:r>
          </w:p>
        </w:tc>
        <w:tc>
          <w:tcPr>
            <w:tcW w:w="160" w:type="dxa"/>
            <w:vAlign w:val="bottom"/>
          </w:tcPr>
          <w:p>
            <w:pPr>
              <w:spacing w:after="0"/>
              <w:rPr>
                <w:sz w:val="13"/>
                <w:szCs w:val="13"/>
                <w:color w:val="auto"/>
              </w:rPr>
            </w:pPr>
          </w:p>
        </w:tc>
        <w:tc>
          <w:tcPr>
            <w:tcW w:w="1300" w:type="dxa"/>
            <w:vAlign w:val="bottom"/>
            <w:gridSpan w:val="2"/>
          </w:tcPr>
          <w:p>
            <w:pPr>
              <w:jc w:val="right"/>
              <w:ind w:right="138"/>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3"/>
                <w:szCs w:val="13"/>
                <w:color w:val="auto"/>
              </w:rPr>
            </w:pPr>
          </w:p>
        </w:tc>
        <w:tc>
          <w:tcPr>
            <w:tcW w:w="1180" w:type="dxa"/>
            <w:vAlign w:val="bottom"/>
            <w:gridSpan w:val="2"/>
          </w:tcPr>
          <w:p>
            <w:pPr>
              <w:jc w:val="right"/>
              <w:ind w:right="38"/>
              <w:spacing w:after="0"/>
              <w:rPr>
                <w:sz w:val="20"/>
                <w:szCs w:val="20"/>
                <w:color w:val="auto"/>
              </w:rPr>
            </w:pPr>
            <w:r>
              <w:rPr>
                <w:rFonts w:ascii="Arial" w:cs="Arial" w:eastAsia="Arial" w:hAnsi="Arial"/>
                <w:sz w:val="12"/>
                <w:szCs w:val="12"/>
                <w:color w:val="auto"/>
              </w:rPr>
              <w:t>(23)</w:t>
            </w:r>
          </w:p>
        </w:tc>
      </w:tr>
      <w:tr>
        <w:trPr>
          <w:trHeight w:val="149"/>
        </w:trPr>
        <w:tc>
          <w:tcPr>
            <w:tcW w:w="55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Comprehensive loss</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(32,817</w:t>
            </w:r>
          </w:p>
        </w:tc>
        <w:tc>
          <w:tcPr>
            <w:tcW w:w="240" w:type="dxa"/>
            <w:vAlign w:val="bottom"/>
            <w:tcBorders>
              <w:top w:val="single" w:sz="8" w:color="CCEEFF"/>
              <w:bottom w:val="single" w:sz="8" w:color="CCEEFF"/>
            </w:tcBorders>
            <w:shd w:val="clear" w:color="auto" w:fill="CCEEFF"/>
          </w:tcPr>
          <w:p>
            <w:pPr>
              <w:jc w:val="right"/>
              <w:ind w:right="15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(30,919</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(96,119</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(102,204</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r>
      <w:tr>
        <w:trPr>
          <w:trHeight w:val="144"/>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9"/>
        </w:trPr>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Net loss per common share - Basic and Diluted</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(0.55)</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(0.53)</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(1.65)</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(1.72)</w:t>
            </w:r>
          </w:p>
        </w:tc>
      </w:tr>
      <w:tr>
        <w:trPr>
          <w:trHeight w:val="144"/>
        </w:trPr>
        <w:tc>
          <w:tcPr>
            <w:tcW w:w="55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9"/>
        </w:trPr>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common shares outstanding</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98"/>
              <w:spacing w:after="0"/>
              <w:rPr>
                <w:sz w:val="20"/>
                <w:szCs w:val="20"/>
                <w:color w:val="auto"/>
              </w:rPr>
            </w:pPr>
            <w:r>
              <w:rPr>
                <w:rFonts w:ascii="Arial" w:cs="Arial" w:eastAsia="Arial" w:hAnsi="Arial"/>
                <w:sz w:val="12"/>
                <w:szCs w:val="12"/>
                <w:color w:val="auto"/>
              </w:rPr>
              <w:t>59,448,229</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57,973,541</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59,087,374</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57,573,406</w:t>
            </w:r>
          </w:p>
        </w:tc>
      </w:tr>
      <w:tr>
        <w:trPr>
          <w:trHeight w:val="288"/>
        </w:trPr>
        <w:tc>
          <w:tcPr>
            <w:tcW w:w="55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300"/>
          </w:cols>
          <w:pgMar w:left="300" w:top="1440" w:right="299" w:bottom="1440" w:gutter="0" w:footer="0" w:header="0"/>
        </w:sectPr>
      </w:pPr>
    </w:p>
    <w:bookmarkStart w:id="9" w:name="page10"/>
    <w:bookmarkEnd w:id="9"/>
    <w:p>
      <w:pPr>
        <w:ind w:left="9420"/>
        <w:spacing w:after="0"/>
        <w:rPr>
          <w:sz w:val="20"/>
          <w:szCs w:val="20"/>
          <w:color w:val="auto"/>
        </w:rPr>
      </w:pPr>
      <w:r>
        <w:rPr>
          <w:rFonts w:ascii="Arial" w:cs="Arial" w:eastAsia="Arial" w:hAnsi="Arial"/>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122555</wp:posOffset>
            </wp:positionV>
            <wp:extent cx="7218680" cy="4383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0" w:num="1">
            <w:col w:w="10160"/>
          </w:cols>
          <w:pgMar w:left="1440" w:top="283"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9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8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4706620</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2023-11-09T07:00:14Z</dcterms:created>
  <dcterms:modified xsi:type="dcterms:W3CDTF">2023-11-09T07:00:14Z</dcterms:modified>
</cp:coreProperties>
</file>