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27940</wp:posOffset>
            </wp:positionV>
            <wp:extent cx="5709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709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709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709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520" w:hanging="8"/>
        <w:spacing w:after="0" w:line="226" w:lineRule="exact"/>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757555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2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300" w:type="dxa"/>
            <w:vAlign w:val="bottom"/>
          </w:tcPr>
          <w:p>
            <w:pPr>
              <w:ind w:left="8380"/>
              <w:spacing w:after="0"/>
              <w:rPr>
                <w:sz w:val="20"/>
                <w:szCs w:val="20"/>
                <w:color w:val="auto"/>
              </w:rPr>
            </w:pPr>
            <w:r>
              <w:rPr>
                <w:rFonts w:ascii="Times New Roman" w:cs="Times New Roman" w:eastAsia="Times New Roman" w:hAnsi="Times New Roman"/>
                <w:sz w:val="18"/>
                <w:szCs w:val="18"/>
                <w:b w:val="1"/>
                <w:bCs w:val="1"/>
                <w:color w:val="auto"/>
                <w:w w:val="95"/>
              </w:rPr>
              <w:t>Page 2 of 14</w:t>
            </w:r>
          </w:p>
        </w:tc>
        <w:tc>
          <w:tcPr>
            <w:tcW w:w="0" w:type="dxa"/>
            <w:vAlign w:val="bottom"/>
          </w:tcPr>
          <w:p>
            <w:pPr>
              <w:spacing w:after="0"/>
              <w:rPr>
                <w:sz w:val="1"/>
                <w:szCs w:val="1"/>
                <w:color w:val="auto"/>
              </w:rPr>
            </w:pPr>
          </w:p>
        </w:tc>
      </w:tr>
      <w:tr>
        <w:trPr>
          <w:trHeight w:val="216"/>
        </w:trPr>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7.</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right w:val="single" w:sz="8" w:color="auto"/>
            </w:tcBorders>
            <w:vMerge w:val="continue"/>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9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8.</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5,389,259 (2)</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 (3)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hanging="398"/>
        <w:spacing w:after="0" w:line="282" w:lineRule="auto"/>
        <w:tabs>
          <w:tab w:leader="none" w:pos="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460" w:right="20" w:hanging="398"/>
        <w:spacing w:after="0" w:line="282" w:lineRule="auto"/>
        <w:tabs>
          <w:tab w:leader="none" w:pos="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1,177,550 shares held by Venrock Healthcare Capital Partners III, L.P.; (ii) 117,809 shares held by VHCP Co-Investment Holdings III, LLC; and (iii) 4,093,900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84,715,961 shares of Common Stock outstanding as of August 1, 2024, as reported in the Issuer’s Quarterly Report on Form 10-Q filed with the Securities and Exchange Commission (the “SEC”) on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300" w:type="dxa"/>
            <w:vAlign w:val="bottom"/>
          </w:tcPr>
          <w:p>
            <w:pPr>
              <w:ind w:left="8380"/>
              <w:spacing w:after="0"/>
              <w:rPr>
                <w:sz w:val="20"/>
                <w:szCs w:val="20"/>
                <w:color w:val="auto"/>
              </w:rPr>
            </w:pPr>
            <w:r>
              <w:rPr>
                <w:rFonts w:ascii="Times New Roman" w:cs="Times New Roman" w:eastAsia="Times New Roman" w:hAnsi="Times New Roman"/>
                <w:sz w:val="18"/>
                <w:szCs w:val="18"/>
                <w:b w:val="1"/>
                <w:bCs w:val="1"/>
                <w:color w:val="auto"/>
                <w:w w:val="95"/>
              </w:rPr>
              <w:t>Page 3 of 14</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7.</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right w:val="single" w:sz="8" w:color="auto"/>
            </w:tcBorders>
            <w:vMerge w:val="continue"/>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9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8.</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5,389,259 (2)</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 (3)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hanging="398"/>
        <w:spacing w:after="0" w:line="282" w:lineRule="auto"/>
        <w:tabs>
          <w:tab w:leader="none" w:pos="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460" w:right="20" w:hanging="398"/>
        <w:spacing w:after="0" w:line="282" w:lineRule="auto"/>
        <w:tabs>
          <w:tab w:leader="none" w:pos="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1,177,550 shares held by Venrock Healthcare Capital Partners III, L.P.; (ii) 117,809 shares held by VHCP Co-Investment Holdings III, LLC; and (iii) 4,093,900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84,715,961 shares of Common Stock outstanding as of August 1, 2024, as reported in the Issuer’s Quarterly Report on Form 10-Q filed with the SEC on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300" w:type="dxa"/>
            <w:vAlign w:val="bottom"/>
          </w:tcPr>
          <w:p>
            <w:pPr>
              <w:ind w:left="8380"/>
              <w:spacing w:after="0"/>
              <w:rPr>
                <w:sz w:val="20"/>
                <w:szCs w:val="20"/>
                <w:color w:val="auto"/>
              </w:rPr>
            </w:pPr>
            <w:r>
              <w:rPr>
                <w:rFonts w:ascii="Times New Roman" w:cs="Times New Roman" w:eastAsia="Times New Roman" w:hAnsi="Times New Roman"/>
                <w:sz w:val="18"/>
                <w:szCs w:val="18"/>
                <w:b w:val="1"/>
                <w:bCs w:val="1"/>
                <w:color w:val="auto"/>
                <w:w w:val="95"/>
              </w:rPr>
              <w:t>Page 4 of 14</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7.</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right w:val="single" w:sz="8" w:color="auto"/>
            </w:tcBorders>
            <w:vMerge w:val="continue"/>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9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8.</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5,389,259 (2)</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 (3)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hanging="398"/>
        <w:spacing w:after="0" w:line="282" w:lineRule="auto"/>
        <w:tabs>
          <w:tab w:leader="none" w:pos="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460" w:right="20" w:hanging="398"/>
        <w:spacing w:after="0" w:line="282" w:lineRule="auto"/>
        <w:tabs>
          <w:tab w:leader="none" w:pos="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1,177,550 shares held by Venrock Healthcare Capital Partners III, L.P.; (ii) 117,809 shares held by VHCP Co-Investment Holdings III, LLC; and (iii) 4,093,900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84,715,961 shares of Common Stock outstanding as of August 1, 2024, as reported in the Issuer’s Quarterly Report on Form 10-Q filed with the SEC on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300" w:type="dxa"/>
            <w:vAlign w:val="bottom"/>
          </w:tcPr>
          <w:p>
            <w:pPr>
              <w:ind w:left="8380"/>
              <w:spacing w:after="0"/>
              <w:rPr>
                <w:sz w:val="20"/>
                <w:szCs w:val="20"/>
                <w:color w:val="auto"/>
              </w:rPr>
            </w:pPr>
            <w:r>
              <w:rPr>
                <w:rFonts w:ascii="Times New Roman" w:cs="Times New Roman" w:eastAsia="Times New Roman" w:hAnsi="Times New Roman"/>
                <w:sz w:val="18"/>
                <w:szCs w:val="18"/>
                <w:b w:val="1"/>
                <w:bCs w:val="1"/>
                <w:color w:val="auto"/>
                <w:w w:val="95"/>
              </w:rPr>
              <w:t>Page 5 of 14</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VHCP Management III, LLC</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7.</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right w:val="single" w:sz="8" w:color="auto"/>
            </w:tcBorders>
            <w:vMerge w:val="continue"/>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9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8.</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5,389,259 (2)</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 (3)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hanging="398"/>
        <w:spacing w:after="0" w:line="282" w:lineRule="auto"/>
        <w:tabs>
          <w:tab w:leader="none" w:pos="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460" w:right="20" w:hanging="398"/>
        <w:spacing w:after="0" w:line="282" w:lineRule="auto"/>
        <w:tabs>
          <w:tab w:leader="none" w:pos="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1,177,550 shares held by Venrock Healthcare Capital Partners III, L.P.; (ii) 117,809 shares held by VHCP Co-Investment Holdings III, LLC; and (iii) 4,093,900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84,715,961 shares of Common Stock outstanding as of August 1, 2024, as reported in the Issuer’s Quarterly Report on Form 10-Q filed with the SEC on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8"/>
        </w:trPr>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300" w:type="dxa"/>
            <w:vAlign w:val="bottom"/>
          </w:tcPr>
          <w:p>
            <w:pPr>
              <w:ind w:left="8380"/>
              <w:spacing w:after="0"/>
              <w:rPr>
                <w:sz w:val="20"/>
                <w:szCs w:val="20"/>
                <w:color w:val="auto"/>
              </w:rPr>
            </w:pPr>
            <w:r>
              <w:rPr>
                <w:rFonts w:ascii="Times New Roman" w:cs="Times New Roman" w:eastAsia="Times New Roman" w:hAnsi="Times New Roman"/>
                <w:sz w:val="18"/>
                <w:szCs w:val="18"/>
                <w:b w:val="1"/>
                <w:bCs w:val="1"/>
                <w:color w:val="auto"/>
                <w:w w:val="95"/>
              </w:rPr>
              <w:t>Page 6 of 14</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VHCP Management EG, LLC</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7.</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right w:val="single" w:sz="8" w:color="auto"/>
            </w:tcBorders>
            <w:vMerge w:val="continue"/>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9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8.</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5,389,259 (2)</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 (3)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60" w:hanging="398"/>
        <w:spacing w:after="0" w:line="282"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460" w:right="20" w:hanging="398"/>
        <w:spacing w:after="0" w:line="282"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1,177,550 shares held by Venrock Healthcare Capital Partners III, L.P.; (ii) 117,809 shares held by VHCP Co-Investment Holdings III, LLC; and (iii) 4,093,900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84,715,961 shares of Common Stock outstanding as of August 1, 2024, as reported in the Issuer’s Quarterly Report on Form 10-Q filed with the SEC on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8"/>
        </w:trPr>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300" w:type="dxa"/>
            <w:vAlign w:val="bottom"/>
          </w:tcPr>
          <w:p>
            <w:pPr>
              <w:ind w:left="8380"/>
              <w:spacing w:after="0"/>
              <w:rPr>
                <w:sz w:val="20"/>
                <w:szCs w:val="20"/>
                <w:color w:val="auto"/>
              </w:rPr>
            </w:pPr>
            <w:r>
              <w:rPr>
                <w:rFonts w:ascii="Times New Roman" w:cs="Times New Roman" w:eastAsia="Times New Roman" w:hAnsi="Times New Roman"/>
                <w:sz w:val="18"/>
                <w:szCs w:val="18"/>
                <w:b w:val="1"/>
                <w:bCs w:val="1"/>
                <w:color w:val="auto"/>
                <w:w w:val="95"/>
              </w:rPr>
              <w:t>Page 7 of 14</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Shah, Nimish</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7.</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right w:val="single" w:sz="8" w:color="auto"/>
            </w:tcBorders>
            <w:vMerge w:val="continue"/>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9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8.</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5,389,259 (2)</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 (3)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hanging="412"/>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88"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1,177,550 shares held by Venrock Healthcare Capital Partners III, L.P.; (ii) 117,809 shares held by VHCP Co-Investment Holdings III, LLC; and (iii) 4,093,900 shares held by Venrock Healthcare Capital Partners EG, L.P.</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84,715,961 shares of Common Stock outstanding as of August 1, 2024, as reported in the Issuer’s Quarterly Report on Form 10-Q filed with the SEC on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8"/>
        </w:trPr>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9300" w:type="dxa"/>
            <w:vAlign w:val="bottom"/>
          </w:tcPr>
          <w:p>
            <w:pPr>
              <w:ind w:left="8380"/>
              <w:spacing w:after="0"/>
              <w:rPr>
                <w:sz w:val="20"/>
                <w:szCs w:val="20"/>
                <w:color w:val="auto"/>
              </w:rPr>
            </w:pPr>
            <w:r>
              <w:rPr>
                <w:rFonts w:ascii="Times New Roman" w:cs="Times New Roman" w:eastAsia="Times New Roman" w:hAnsi="Times New Roman"/>
                <w:sz w:val="18"/>
                <w:szCs w:val="18"/>
                <w:b w:val="1"/>
                <w:bCs w:val="1"/>
                <w:color w:val="auto"/>
                <w:w w:val="95"/>
              </w:rPr>
              <w:t>Page 8 of 14</w:t>
            </w:r>
          </w:p>
        </w:tc>
        <w:tc>
          <w:tcPr>
            <w:tcW w:w="0" w:type="dxa"/>
            <w:vAlign w:val="bottom"/>
          </w:tcPr>
          <w:p>
            <w:pPr>
              <w:spacing w:after="0"/>
              <w:rPr>
                <w:sz w:val="1"/>
                <w:szCs w:val="1"/>
                <w:color w:val="auto"/>
              </w:rPr>
            </w:pPr>
          </w:p>
        </w:tc>
      </w:tr>
      <w:tr>
        <w:trPr>
          <w:trHeight w:val="243"/>
        </w:trPr>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9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Koh, Bong</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9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 w:type="dxa"/>
            <w:vAlign w:val="bottom"/>
            <w:tcBorders>
              <w:left w:val="single" w:sz="8" w:color="auto"/>
            </w:tcBorders>
            <w:gridSpan w:val="2"/>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7.</w:t>
            </w: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6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right w:val="single" w:sz="8" w:color="auto"/>
            </w:tcBorders>
            <w:vMerge w:val="continue"/>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tcBorders>
            <w:gridSpan w:val="2"/>
            <w:vMerge w:val="continue"/>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9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3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8.</w:t>
            </w: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5,389,259 (2)</w:t>
            </w: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5,389,259 (2)</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105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58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 (3)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5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5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260" w:type="dxa"/>
            <w:vAlign w:val="bottom"/>
          </w:tcPr>
          <w:p>
            <w:pPr>
              <w:spacing w:after="0"/>
              <w:rPr>
                <w:sz w:val="24"/>
                <w:szCs w:val="24"/>
                <w:color w:val="auto"/>
              </w:rPr>
            </w:pPr>
          </w:p>
        </w:tc>
        <w:tc>
          <w:tcPr>
            <w:tcW w:w="9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88"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1,177,550 shares held by Venrock Healthcare Capital Partners III, L.P.; (ii) 117,809 shares held by VHCP Co-Investment Holdings III, LLC; and (iii) 4,093,900 shares held by Venrock Healthcare Capital Partners EG, L.P.</w:t>
      </w:r>
    </w:p>
    <w:p>
      <w:pPr>
        <w:spacing w:after="0" w:line="188"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84,715,961 shares of Common Stock outstanding as of August 1, 2024, as reported in the Issuer’s Quarterly Report on Form 10-Q filed with the SEC on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CUSIP No. 15673T100</w:t>
      </w:r>
      <w:r>
        <w:rPr>
          <w:sz w:val="20"/>
          <w:szCs w:val="20"/>
          <w:color w:val="auto"/>
        </w:rPr>
        <w:tab/>
      </w:r>
      <w:r>
        <w:rPr>
          <w:rFonts w:ascii="Times New Roman" w:cs="Times New Roman" w:eastAsia="Times New Roman" w:hAnsi="Times New Roman"/>
          <w:sz w:val="17"/>
          <w:szCs w:val="17"/>
          <w:b w:val="1"/>
          <w:bCs w:val="1"/>
          <w:color w:val="auto"/>
        </w:rPr>
        <w:t>Page 9 of 14</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Introductory Note: </w:t>
      </w:r>
      <w:r>
        <w:rPr>
          <w:rFonts w:ascii="Times New Roman" w:cs="Times New Roman" w:eastAsia="Times New Roman" w:hAnsi="Times New Roman"/>
          <w:sz w:val="18"/>
          <w:szCs w:val="18"/>
          <w:color w:val="auto"/>
        </w:rPr>
        <w:t>This Schedule 13G/A is filed on behalf of Venrock Healthcare Capital Partners III, L.P., a limited partnership organized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Delaware (“</w:t>
      </w:r>
      <w:r>
        <w:rPr>
          <w:rFonts w:ascii="Times New Roman" w:cs="Times New Roman" w:eastAsia="Times New Roman" w:hAnsi="Times New Roman"/>
          <w:sz w:val="18"/>
          <w:szCs w:val="18"/>
          <w:b w:val="1"/>
          <w:bCs w:val="1"/>
          <w:i w:val="1"/>
          <w:iCs w:val="1"/>
          <w:color w:val="auto"/>
        </w:rPr>
        <w:t>VHCP III LP</w:t>
      </w:r>
      <w:r>
        <w:rPr>
          <w:rFonts w:ascii="Times New Roman" w:cs="Times New Roman" w:eastAsia="Times New Roman" w:hAnsi="Times New Roman"/>
          <w:sz w:val="18"/>
          <w:szCs w:val="18"/>
          <w:color w:val="auto"/>
        </w:rPr>
        <w:t>”), VHCP Co-Investment Holdings III, LLC, a limited liability company organized under the laws of the State of Delaware (“</w:t>
      </w:r>
      <w:r>
        <w:rPr>
          <w:rFonts w:ascii="Times New Roman" w:cs="Times New Roman" w:eastAsia="Times New Roman" w:hAnsi="Times New Roman"/>
          <w:sz w:val="18"/>
          <w:szCs w:val="18"/>
          <w:b w:val="1"/>
          <w:bCs w:val="1"/>
          <w:i w:val="1"/>
          <w:iCs w:val="1"/>
          <w:color w:val="auto"/>
        </w:rPr>
        <w:t>VHCP Co-Investment III</w:t>
      </w:r>
      <w:r>
        <w:rPr>
          <w:rFonts w:ascii="Times New Roman" w:cs="Times New Roman" w:eastAsia="Times New Roman" w:hAnsi="Times New Roman"/>
          <w:sz w:val="18"/>
          <w:szCs w:val="18"/>
          <w:color w:val="auto"/>
        </w:rPr>
        <w:t>”), Venrock Healthcare Capital Partners EG, L.P., a limited partnership organized under the laws of the State of Delaware (“</w:t>
      </w:r>
      <w:r>
        <w:rPr>
          <w:rFonts w:ascii="Times New Roman" w:cs="Times New Roman" w:eastAsia="Times New Roman" w:hAnsi="Times New Roman"/>
          <w:sz w:val="18"/>
          <w:szCs w:val="18"/>
          <w:b w:val="1"/>
          <w:bCs w:val="1"/>
          <w:i w:val="1"/>
          <w:iCs w:val="1"/>
          <w:color w:val="auto"/>
        </w:rPr>
        <w:t>VHCP EG</w:t>
      </w:r>
      <w:r>
        <w:rPr>
          <w:rFonts w:ascii="Times New Roman" w:cs="Times New Roman" w:eastAsia="Times New Roman" w:hAnsi="Times New Roman"/>
          <w:sz w:val="18"/>
          <w:szCs w:val="18"/>
          <w:color w:val="auto"/>
        </w:rPr>
        <w:t>”), VHCP Management III, LLC, a limited liability company organized under the laws of the State of Delaware (“</w:t>
      </w:r>
      <w:r>
        <w:rPr>
          <w:rFonts w:ascii="Times New Roman" w:cs="Times New Roman" w:eastAsia="Times New Roman" w:hAnsi="Times New Roman"/>
          <w:sz w:val="18"/>
          <w:szCs w:val="18"/>
          <w:b w:val="1"/>
          <w:bCs w:val="1"/>
          <w:i w:val="1"/>
          <w:iCs w:val="1"/>
          <w:color w:val="auto"/>
        </w:rPr>
        <w:t>VHCP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Management III</w:t>
      </w:r>
      <w:r>
        <w:rPr>
          <w:rFonts w:ascii="Times New Roman" w:cs="Times New Roman" w:eastAsia="Times New Roman" w:hAnsi="Times New Roman"/>
          <w:sz w:val="18"/>
          <w:szCs w:val="18"/>
          <w:color w:val="auto"/>
        </w:rPr>
        <w:t>”), VHCP Management EG, LLC, a limited liability company organized under the laws of the State of Delaware (“</w:t>
      </w:r>
      <w:r>
        <w:rPr>
          <w:rFonts w:ascii="Times New Roman" w:cs="Times New Roman" w:eastAsia="Times New Roman" w:hAnsi="Times New Roman"/>
          <w:sz w:val="18"/>
          <w:szCs w:val="18"/>
          <w:b w:val="1"/>
          <w:bCs w:val="1"/>
          <w:i w:val="1"/>
          <w:iCs w:val="1"/>
          <w:color w:val="auto"/>
        </w:rPr>
        <w:t>VHCP Management EG</w:t>
      </w:r>
      <w:r>
        <w:rPr>
          <w:rFonts w:ascii="Times New Roman" w:cs="Times New Roman" w:eastAsia="Times New Roman" w:hAnsi="Times New Roman"/>
          <w:sz w:val="18"/>
          <w:szCs w:val="18"/>
          <w:color w:val="auto"/>
        </w:rPr>
        <w:t>” and collectively with VHCP III LP, VHCP Co-Investment III, VHCP EG and VHCP Management III, the “</w:t>
      </w:r>
      <w:r>
        <w:rPr>
          <w:rFonts w:ascii="Times New Roman" w:cs="Times New Roman" w:eastAsia="Times New Roman" w:hAnsi="Times New Roman"/>
          <w:sz w:val="18"/>
          <w:szCs w:val="18"/>
          <w:b w:val="1"/>
          <w:bCs w:val="1"/>
          <w:i w:val="1"/>
          <w:iCs w:val="1"/>
          <w:color w:val="auto"/>
        </w:rPr>
        <w:t>Venrock Entities</w:t>
      </w:r>
      <w:r>
        <w:rPr>
          <w:rFonts w:ascii="Times New Roman" w:cs="Times New Roman" w:eastAsia="Times New Roman" w:hAnsi="Times New Roman"/>
          <w:sz w:val="18"/>
          <w:szCs w:val="18"/>
          <w:color w:val="auto"/>
        </w:rPr>
        <w:t>”), Nimish Shah (“</w:t>
      </w:r>
      <w:r>
        <w:rPr>
          <w:rFonts w:ascii="Times New Roman" w:cs="Times New Roman" w:eastAsia="Times New Roman" w:hAnsi="Times New Roman"/>
          <w:sz w:val="18"/>
          <w:szCs w:val="18"/>
          <w:b w:val="1"/>
          <w:bCs w:val="1"/>
          <w:i w:val="1"/>
          <w:iCs w:val="1"/>
          <w:color w:val="auto"/>
        </w:rPr>
        <w:t>Shah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Bong Koh (“</w:t>
      </w:r>
      <w:r>
        <w:rPr>
          <w:rFonts w:ascii="Times New Roman" w:cs="Times New Roman" w:eastAsia="Times New Roman" w:hAnsi="Times New Roman"/>
          <w:sz w:val="18"/>
          <w:szCs w:val="18"/>
          <w:b w:val="1"/>
          <w:bCs w:val="1"/>
          <w:i w:val="1"/>
          <w:iCs w:val="1"/>
          <w:color w:val="auto"/>
        </w:rPr>
        <w:t>Koh</w:t>
      </w:r>
      <w:r>
        <w:rPr>
          <w:rFonts w:ascii="Times New Roman" w:cs="Times New Roman" w:eastAsia="Times New Roman" w:hAnsi="Times New Roman"/>
          <w:sz w:val="18"/>
          <w:szCs w:val="18"/>
          <w:color w:val="auto"/>
        </w:rPr>
        <w:t>”) in respect of the Common Stock of Century Therapeutics,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31" w:lineRule="exact"/>
        <w:rPr>
          <w:sz w:val="20"/>
          <w:szCs w:val="20"/>
          <w:color w:val="auto"/>
        </w:rPr>
      </w:pPr>
    </w:p>
    <w:p>
      <w:pPr>
        <w:ind w:left="1480" w:hanging="460"/>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06"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Century Therapeutics, Inc.</w:t>
      </w:r>
    </w:p>
    <w:p>
      <w:pPr>
        <w:spacing w:after="0" w:line="225"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1480" w:right="77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25 N 38th Street, 11th Floor Philadelphia, PA 19104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ind w:left="1480" w:hanging="460"/>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6" w:lineRule="exact"/>
        <w:rPr>
          <w:rFonts w:ascii="Times New Roman" w:cs="Times New Roman" w:eastAsia="Times New Roman" w:hAnsi="Times New Roman"/>
          <w:sz w:val="18"/>
          <w:szCs w:val="18"/>
          <w:color w:val="auto"/>
        </w:rPr>
      </w:pPr>
    </w:p>
    <w:p>
      <w:pPr>
        <w:ind w:left="1480" w:right="64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w:t>
      </w:r>
    </w:p>
    <w:p>
      <w:pPr>
        <w:spacing w:after="0" w:line="2" w:lineRule="exact"/>
        <w:rPr>
          <w:rFonts w:ascii="Times New Roman" w:cs="Times New Roman" w:eastAsia="Times New Roman" w:hAnsi="Times New Roman"/>
          <w:sz w:val="18"/>
          <w:szCs w:val="18"/>
          <w:color w:val="auto"/>
        </w:rPr>
      </w:pPr>
    </w:p>
    <w:p>
      <w:pPr>
        <w:ind w:left="1480" w:right="75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Management EG, LLC Nimish Shah</w:t>
      </w: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Bong Koh</w:t>
      </w:r>
    </w:p>
    <w:p>
      <w:pPr>
        <w:spacing w:after="0" w:line="206"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New York Office: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Office:</w:t>
      </w:r>
    </w:p>
    <w:p>
      <w:pPr>
        <w:spacing w:after="0" w:line="200" w:lineRule="exact"/>
        <w:rPr>
          <w:sz w:val="20"/>
          <w:szCs w:val="20"/>
          <w:color w:val="auto"/>
        </w:rPr>
      </w:pPr>
    </w:p>
    <w:p>
      <w:pPr>
        <w:sectPr>
          <w:pgSz w:w="11900" w:h="16838" w:orient="portrait"/>
          <w:cols w:equalWidth="0" w:num="2">
            <w:col w:w="3000" w:space="720"/>
            <w:col w:w="7520"/>
          </w:cols>
          <w:pgMar w:left="320" w:top="900" w:right="339" w:bottom="1440" w:gutter="0" w:footer="0" w:header="0"/>
          <w:type w:val="continuous"/>
        </w:sectPr>
      </w:pP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7 Bryant Park</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23rd Floor</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New York, NY 10018</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3340 Hillview Avenue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404" w:lineRule="exact"/>
        <w:rPr>
          <w:sz w:val="20"/>
          <w:szCs w:val="20"/>
          <w:color w:val="auto"/>
        </w:rPr>
      </w:pPr>
    </w:p>
    <w:p>
      <w:pPr>
        <w:sectPr>
          <w:pgSz w:w="11900" w:h="16838" w:orient="portrait"/>
          <w:cols w:equalWidth="0" w:num="2">
            <w:col w:w="3060" w:space="660"/>
            <w:col w:w="7520"/>
          </w:cols>
          <w:pgMar w:left="320" w:top="900" w:right="339" w:bottom="1440" w:gutter="0" w:footer="0" w:header="0"/>
          <w:type w:val="continuous"/>
        </w:sectPr>
      </w:pPr>
    </w:p>
    <w:p>
      <w:pPr>
        <w:spacing w:after="0" w:line="18" w:lineRule="exact"/>
        <w:rPr>
          <w:sz w:val="20"/>
          <w:szCs w:val="20"/>
          <w:color w:val="auto"/>
        </w:rPr>
      </w:pPr>
    </w:p>
    <w:p>
      <w:pPr>
        <w:ind w:left="1480" w:hanging="460"/>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All of the Venrock Entities were organized in Delaware. The individuals are both United States citizens.</w:t>
      </w:r>
    </w:p>
    <w:p>
      <w:pPr>
        <w:spacing w:after="0" w:line="236" w:lineRule="exact"/>
        <w:rPr>
          <w:rFonts w:ascii="Times New Roman" w:cs="Times New Roman" w:eastAsia="Times New Roman" w:hAnsi="Times New Roman"/>
          <w:sz w:val="18"/>
          <w:szCs w:val="18"/>
          <w:color w:val="auto"/>
        </w:rPr>
      </w:pPr>
    </w:p>
    <w:p>
      <w:pPr>
        <w:ind w:left="1480" w:right="7260" w:hanging="460"/>
        <w:spacing w:after="0" w:line="530" w:lineRule="auto"/>
        <w:tabs>
          <w:tab w:leader="none" w:pos="1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Common Stock, $0.0001 par value</w:t>
      </w:r>
    </w:p>
    <w:p>
      <w:pPr>
        <w:ind w:left="1480" w:right="8620" w:hanging="460"/>
        <w:spacing w:after="0" w:line="578" w:lineRule="auto"/>
        <w:tabs>
          <w:tab w:leader="none" w:pos="1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15673T100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Page 10 of 14</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tc>
        <w:tc>
          <w:tcPr>
            <w:tcW w:w="138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9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applicable</w:t>
            </w:r>
          </w:p>
        </w:tc>
        <w:tc>
          <w:tcPr>
            <w:tcW w:w="138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38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9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Amount beneficially owned as of September 30, 2024:</w:t>
            </w:r>
          </w:p>
        </w:tc>
        <w:tc>
          <w:tcPr>
            <w:tcW w:w="1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154305</wp:posOffset>
            </wp:positionV>
            <wp:extent cx="720090" cy="960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 cy="96012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Management III, LLC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VHCP Management EG, LLC</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Nimish Shah</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Bong Koh</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459"/>
        </w:trPr>
        <w:tc>
          <w:tcPr>
            <w:tcW w:w="79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   Percent of class as of September 30, 2024:</w:t>
            </w:r>
          </w:p>
        </w:tc>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Management III, LLC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VHCP Management EG, LLC</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Nimish Shah</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Bong Koh</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tcPr>
          <w:p>
            <w:pPr>
              <w:spacing w:after="0"/>
              <w:rPr>
                <w:sz w:val="18"/>
                <w:szCs w:val="18"/>
                <w:color w:val="auto"/>
              </w:rPr>
            </w:pPr>
          </w:p>
        </w:tc>
      </w:tr>
      <w:tr>
        <w:trPr>
          <w:trHeight w:val="459"/>
        </w:trPr>
        <w:tc>
          <w:tcPr>
            <w:tcW w:w="79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   Number of shares as to which the person has, as of September 30, 2024:</w:t>
            </w:r>
          </w:p>
        </w:tc>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VHCP Management III, LLC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VHCP Management EG, LLC</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Nimish Shah</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Bong Koh</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702"/>
        </w:trPr>
        <w:tc>
          <w:tcPr>
            <w:tcW w:w="114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-3110865</wp:posOffset>
            </wp:positionV>
            <wp:extent cx="720090" cy="960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 cy="9601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-1414145</wp:posOffset>
            </wp:positionV>
            <wp:extent cx="745490" cy="960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5490" cy="96012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260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Page 11 of 14</w:t>
            </w:r>
          </w:p>
        </w:tc>
      </w:tr>
      <w:tr>
        <w:trPr>
          <w:trHeight w:val="459"/>
        </w:trPr>
        <w:tc>
          <w:tcPr>
            <w:tcW w:w="1140" w:type="dxa"/>
            <w:vAlign w:val="bottom"/>
          </w:tcPr>
          <w:p>
            <w:pPr>
              <w:spacing w:after="0"/>
              <w:rPr>
                <w:sz w:val="24"/>
                <w:szCs w:val="24"/>
                <w:color w:val="auto"/>
              </w:rPr>
            </w:pPr>
          </w:p>
        </w:tc>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Management III, LLC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VHCP Management EG, LLC</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Nimish Shah</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Bong Koh</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459"/>
        </w:trPr>
        <w:tc>
          <w:tcPr>
            <w:tcW w:w="1140" w:type="dxa"/>
            <w:vAlign w:val="bottom"/>
          </w:tcPr>
          <w:p>
            <w:pPr>
              <w:spacing w:after="0"/>
              <w:rPr>
                <w:sz w:val="24"/>
                <w:szCs w:val="24"/>
                <w:color w:val="auto"/>
              </w:rPr>
            </w:pPr>
          </w:p>
        </w:tc>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VHCP Management III, LLC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VHCP Management EG, LLC</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Nimish Shah</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Bong Koh</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r>
      <w:tr>
        <w:trPr>
          <w:trHeight w:val="459"/>
        </w:trPr>
        <w:tc>
          <w:tcPr>
            <w:tcW w:w="1140" w:type="dxa"/>
            <w:vAlign w:val="bottom"/>
          </w:tcPr>
          <w:p>
            <w:pPr>
              <w:spacing w:after="0"/>
              <w:rPr>
                <w:sz w:val="24"/>
                <w:szCs w:val="24"/>
                <w:color w:val="auto"/>
              </w:rPr>
            </w:pPr>
          </w:p>
        </w:tc>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VHCP Management III, LLC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VHCP Management EG, LLC</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Nimish Shah</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Bong Koh</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5,389,259(1)</w:t>
            </w: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-3771265</wp:posOffset>
            </wp:positionV>
            <wp:extent cx="720090" cy="960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9601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-2365375</wp:posOffset>
            </wp:positionV>
            <wp:extent cx="745490" cy="960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5490" cy="9601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-959485</wp:posOffset>
            </wp:positionV>
            <wp:extent cx="720090" cy="960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960120"/>
                    </a:xfrm>
                    <a:prstGeom prst="rect">
                      <a:avLst/>
                    </a:prstGeom>
                    <a:noFill/>
                  </pic:spPr>
                </pic:pic>
              </a:graphicData>
            </a:graphic>
          </wp:anchor>
        </w:drawing>
      </w:r>
    </w:p>
    <w:p>
      <w:pPr>
        <w:spacing w:after="0" w:line="205" w:lineRule="exact"/>
        <w:rPr>
          <w:sz w:val="20"/>
          <w:szCs w:val="20"/>
          <w:color w:val="auto"/>
        </w:rPr>
      </w:pPr>
    </w:p>
    <w:p>
      <w:pPr>
        <w:ind w:left="1480" w:right="780" w:hanging="460"/>
        <w:spacing w:after="0" w:line="28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1,177,550 shares held by Venrock Healthcare Capital Partners III, L.P.; (ii) 117,809 shares held by VHCP Co-Investment Holdings III, LLC; and (iii) 4,093,900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148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III, LLC and VHCP Management EG, LLC.</w:t>
      </w:r>
    </w:p>
    <w:p>
      <w:pPr>
        <w:spacing w:after="0" w:line="175" w:lineRule="exact"/>
        <w:rPr>
          <w:rFonts w:ascii="Times New Roman" w:cs="Times New Roman" w:eastAsia="Times New Roman" w:hAnsi="Times New Roman"/>
          <w:sz w:val="18"/>
          <w:szCs w:val="18"/>
          <w:color w:val="auto"/>
        </w:rPr>
      </w:pPr>
    </w:p>
    <w:p>
      <w:pPr>
        <w:ind w:left="1480" w:right="360" w:hanging="460"/>
        <w:spacing w:after="0" w:line="28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84,715,961 shares of Common Stock outstanding as of August 1, 2024, as reported in the Issuer’s Quarterly Report on Form 10-Q filed with the SEC on August 8, 2024.</w:t>
      </w:r>
    </w:p>
    <w:p>
      <w:pPr>
        <w:spacing w:after="0" w:line="1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020" w:right="2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15673T100</w:t>
            </w:r>
          </w:p>
        </w:tc>
        <w:tc>
          <w:tcPr>
            <w:tcW w:w="26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w w:val="98"/>
              </w:rPr>
              <w:t>Page 12 of 14</w:t>
            </w:r>
          </w:p>
        </w:tc>
      </w:tr>
      <w:tr>
        <w:trPr>
          <w:trHeight w:val="459"/>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260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c>
          <w:tcPr>
            <w:tcW w:w="2600" w:type="dxa"/>
            <w:vAlign w:val="bottom"/>
          </w:tcPr>
          <w:p>
            <w:pPr>
              <w:spacing w:after="0"/>
              <w:rPr>
                <w:sz w:val="24"/>
                <w:szCs w:val="24"/>
                <w:color w:val="auto"/>
              </w:rPr>
            </w:pPr>
          </w:p>
        </w:tc>
      </w:tr>
      <w:tr>
        <w:trPr>
          <w:trHeight w:val="410"/>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tc>
      </w:tr>
      <w:tr>
        <w:trPr>
          <w:trHeight w:val="238"/>
        </w:trPr>
        <w:tc>
          <w:tcPr>
            <w:tcW w:w="820" w:type="dxa"/>
            <w:vAlign w:val="bottom"/>
          </w:tcPr>
          <w:p>
            <w:pPr>
              <w:spacing w:after="0"/>
              <w:rPr>
                <w:sz w:val="20"/>
                <w:szCs w:val="20"/>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or Control Person</w:t>
            </w:r>
          </w:p>
        </w:tc>
        <w:tc>
          <w:tcPr>
            <w:tcW w:w="260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c>
          <w:tcPr>
            <w:tcW w:w="26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260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c>
          <w:tcPr>
            <w:tcW w:w="26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c>
          <w:tcPr>
            <w:tcW w:w="260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c>
          <w:tcPr>
            <w:tcW w:w="26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260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10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w:t>
            </w:r>
          </w:p>
        </w:tc>
      </w:tr>
      <w:tr>
        <w:trPr>
          <w:trHeight w:val="216"/>
        </w:trPr>
        <w:tc>
          <w:tcPr>
            <w:tcW w:w="820" w:type="dxa"/>
            <w:vAlign w:val="bottom"/>
          </w:tcPr>
          <w:p>
            <w:pPr>
              <w:spacing w:after="0"/>
              <w:rPr>
                <w:sz w:val="18"/>
                <w:szCs w:val="18"/>
                <w:color w:val="auto"/>
              </w:rPr>
            </w:pPr>
          </w:p>
        </w:tc>
        <w:tc>
          <w:tcPr>
            <w:tcW w:w="10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the purpose of or with the effect of changing or influencing the control of the issuer of the securities and were not acquired and are not held in</w:t>
            </w:r>
          </w:p>
        </w:tc>
      </w:tr>
      <w:tr>
        <w:trPr>
          <w:trHeight w:val="234"/>
        </w:trPr>
        <w:tc>
          <w:tcPr>
            <w:tcW w:w="820" w:type="dxa"/>
            <w:vAlign w:val="bottom"/>
          </w:tcPr>
          <w:p>
            <w:pPr>
              <w:spacing w:after="0"/>
              <w:rPr>
                <w:sz w:val="20"/>
                <w:szCs w:val="20"/>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connection with or as a participant in any transaction having such purpose or effect.</w:t>
            </w:r>
          </w:p>
        </w:tc>
        <w:tc>
          <w:tcPr>
            <w:tcW w:w="2600" w:type="dxa"/>
            <w:vAlign w:val="bottom"/>
          </w:tcPr>
          <w:p>
            <w:pPr>
              <w:spacing w:after="0"/>
              <w:rPr>
                <w:sz w:val="20"/>
                <w:szCs w:val="20"/>
                <w:color w:val="auto"/>
              </w:rPr>
            </w:pPr>
          </w:p>
        </w:tc>
      </w:tr>
      <w:tr>
        <w:trPr>
          <w:trHeight w:val="702"/>
        </w:trPr>
        <w:tc>
          <w:tcPr>
            <w:tcW w:w="8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2" w:name="page13"/>
    <w:bookmarkEnd w:id="12"/>
    <w:p>
      <w:pPr>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CUSIP No. 15673T100</w:t>
      </w:r>
      <w:r>
        <w:rPr>
          <w:sz w:val="20"/>
          <w:szCs w:val="20"/>
          <w:color w:val="auto"/>
        </w:rPr>
        <w:tab/>
      </w:r>
      <w:r>
        <w:rPr>
          <w:rFonts w:ascii="Times New Roman" w:cs="Times New Roman" w:eastAsia="Times New Roman" w:hAnsi="Times New Roman"/>
          <w:sz w:val="18"/>
          <w:szCs w:val="18"/>
          <w:b w:val="1"/>
          <w:bCs w:val="1"/>
          <w:color w:val="auto"/>
        </w:rPr>
        <w:t>Page 13 of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1240"/>
          </w:cols>
          <w:pgMar w:left="320" w:top="92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III, 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VHCP Management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VHCP Management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4201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EG, 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VHCP Management EG,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1823085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020" w:space="720"/>
            <w:col w:w="5500"/>
          </w:cols>
          <w:pgMar w:left="320" w:top="927" w:right="339" w:bottom="1440" w:gutter="0" w:footer="0" w:header="0"/>
          <w:type w:val="continuous"/>
        </w:sectPr>
      </w:pPr>
    </w:p>
    <w:bookmarkStart w:id="13" w:name="page14"/>
    <w:bookmarkEnd w:id="13"/>
    <w:p>
      <w:pPr>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CUSIP No. 15673T100</w:t>
      </w:r>
      <w:r>
        <w:rPr>
          <w:sz w:val="20"/>
          <w:szCs w:val="20"/>
          <w:color w:val="auto"/>
        </w:rPr>
        <w:tab/>
      </w:r>
      <w:r>
        <w:rPr>
          <w:rFonts w:ascii="Times New Roman" w:cs="Times New Roman" w:eastAsia="Times New Roman" w:hAnsi="Times New Roman"/>
          <w:sz w:val="18"/>
          <w:szCs w:val="18"/>
          <w:b w:val="1"/>
          <w:bCs w:val="1"/>
          <w:color w:val="auto"/>
        </w:rPr>
        <w:t>Page 14 of 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Joint Filing Agreement (incorporated by reference to Exhibit A to Schedule 13G filed on March 4, 2024)</w:t>
        </w:r>
      </w:hyperlink>
    </w:p>
    <w:p>
      <w:pPr>
        <w:spacing w:after="0" w:line="225" w:lineRule="exact"/>
        <w:rPr>
          <w:rFonts w:ascii="Times New Roman" w:cs="Times New Roman" w:eastAsia="Times New Roman" w:hAnsi="Times New Roman"/>
          <w:sz w:val="18"/>
          <w:szCs w:val="18"/>
          <w:u w:val="single" w:color="auto"/>
          <w:color w:val="0000EE"/>
        </w:rPr>
      </w:pPr>
    </w:p>
    <w:p>
      <w:pPr>
        <w:ind w:left="660" w:hanging="652"/>
        <w:spacing w:after="0"/>
        <w:tabs>
          <w:tab w:leader="none" w:pos="660" w:val="left"/>
        </w:tabs>
        <w:numPr>
          <w:ilvl w:val="0"/>
          <w:numId w:val="18"/>
        </w:numPr>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Power of Attorney for Nimish Shah (incorporated by reference to Exhibit B to Schedule 13G filed March 4, 2024)</w:t>
        </w:r>
      </w:hyperlink>
    </w:p>
    <w:p>
      <w:pPr>
        <w:spacing w:after="0" w:line="225" w:lineRule="exact"/>
        <w:rPr>
          <w:rFonts w:ascii="Times New Roman" w:cs="Times New Roman" w:eastAsia="Times New Roman" w:hAnsi="Times New Roman"/>
          <w:sz w:val="18"/>
          <w:szCs w:val="18"/>
          <w:u w:val="single" w:color="auto"/>
          <w:color w:val="0000EE"/>
        </w:rPr>
      </w:pPr>
    </w:p>
    <w:p>
      <w:pPr>
        <w:ind w:left="660" w:hanging="652"/>
        <w:spacing w:after="0"/>
        <w:tabs>
          <w:tab w:leader="none" w:pos="660" w:val="left"/>
        </w:tabs>
        <w:numPr>
          <w:ilvl w:val="0"/>
          <w:numId w:val="18"/>
        </w:numPr>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Power of Attorney for Bong Koh (incorporated by reference to Exhibit C to Schedule 13G filed on March 4, 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decimal"/>
      <w:start w:val="1"/>
    </w:lvl>
  </w:abstractNum>
  <w:abstractNum w:abstractNumId="2">
    <w:nsid w:val="216231B"/>
    <w:multiLevelType w:val="hybridMultilevel"/>
    <w:lvl w:ilvl="0">
      <w:lvlJc w:val="left"/>
      <w:lvlText w:val="(%1)"/>
      <w:numFmt w:val="decimal"/>
      <w:start w:val="3"/>
    </w:lvl>
    <w:lvl w:ilvl="1">
      <w:lvlJc w:val="left"/>
      <w:lvlText w:val="%2"/>
      <w:numFmt w:val="decimal"/>
      <w:start w:val="1"/>
    </w:lvl>
  </w:abstractNum>
  <w:abstractNum w:abstractNumId="3">
    <w:nsid w:val="1F16E9E8"/>
    <w:multiLevelType w:val="hybridMultilevel"/>
    <w:lvl w:ilvl="0">
      <w:lvlJc w:val="left"/>
      <w:lvlText w:val="%1"/>
      <w:numFmt w:val="decimal"/>
      <w:start w:val="1"/>
    </w:lvl>
    <w:lvl w:ilvl="1">
      <w:lvlJc w:val="left"/>
      <w:lvlText w:val="(%2)"/>
      <w:numFmt w:val="decimal"/>
      <w:start w:val="1"/>
    </w:lvl>
  </w:abstractNum>
  <w:abstractNum w:abstractNumId="4">
    <w:nsid w:val="1190CDE7"/>
    <w:multiLevelType w:val="hybridMultilevel"/>
    <w:lvl w:ilvl="0">
      <w:lvlJc w:val="left"/>
      <w:lvlText w:val="(%1)"/>
      <w:numFmt w:val="decimal"/>
      <w:start w:val="3"/>
    </w:lvl>
    <w:lvl w:ilvl="1">
      <w:lvlJc w:val="left"/>
      <w:lvlText w:val="%2"/>
      <w:numFmt w:val="decimal"/>
      <w:start w:val="1"/>
    </w:lvl>
  </w:abstractNum>
  <w:abstractNum w:abstractNumId="5">
    <w:nsid w:val="66EF438D"/>
    <w:multiLevelType w:val="hybridMultilevel"/>
    <w:lvl w:ilvl="0">
      <w:lvlJc w:val="left"/>
      <w:lvlText w:val="%1"/>
      <w:numFmt w:val="decimal"/>
      <w:start w:val="1"/>
    </w:lvl>
    <w:lvl w:ilvl="1">
      <w:lvlJc w:val="left"/>
      <w:lvlText w:val="(%2)"/>
      <w:numFmt w:val="decimal"/>
      <w:start w:val="1"/>
    </w:lvl>
  </w:abstractNum>
  <w:abstractNum w:abstractNumId="6">
    <w:nsid w:val="140E0F76"/>
    <w:multiLevelType w:val="hybridMultilevel"/>
    <w:lvl w:ilvl="0">
      <w:lvlJc w:val="left"/>
      <w:lvlText w:val="(%1)"/>
      <w:numFmt w:val="decimal"/>
      <w:start w:val="3"/>
    </w:lvl>
    <w:lvl w:ilvl="1">
      <w:lvlJc w:val="left"/>
      <w:lvlText w:val="%2"/>
      <w:numFmt w:val="decimal"/>
      <w:start w:val="1"/>
    </w:lvl>
  </w:abstractNum>
  <w:abstractNum w:abstractNumId="7">
    <w:nsid w:val="3352255A"/>
    <w:multiLevelType w:val="hybridMultilevel"/>
    <w:lvl w:ilvl="0">
      <w:lvlJc w:val="left"/>
      <w:lvlText w:val="%1"/>
      <w:numFmt w:val="decimal"/>
      <w:start w:val="1"/>
    </w:lvl>
    <w:lvl w:ilvl="1">
      <w:lvlJc w:val="left"/>
      <w:lvlText w:val="(%2)"/>
      <w:numFmt w:val="decimal"/>
      <w:start w:val="1"/>
    </w:lvl>
  </w:abstractNum>
  <w:abstractNum w:abstractNumId="8">
    <w:nsid w:val="109CF92E"/>
    <w:multiLevelType w:val="hybridMultilevel"/>
    <w:lvl w:ilvl="0">
      <w:lvlJc w:val="left"/>
      <w:lvlText w:val="(%1)"/>
      <w:numFmt w:val="decimal"/>
      <w:start w:val="3"/>
    </w:lvl>
    <w:lvl w:ilvl="1">
      <w:lvlJc w:val="left"/>
      <w:lvlText w:val="%2"/>
      <w:numFmt w:val="decimal"/>
      <w:start w:val="1"/>
    </w:lvl>
  </w:abstractNum>
  <w:abstractNum w:abstractNumId="9">
    <w:nsid w:val="DED7263"/>
    <w:multiLevelType w:val="hybridMultilevel"/>
    <w:lvl w:ilvl="0">
      <w:lvlJc w:val="left"/>
      <w:lvlText w:val="%1"/>
      <w:numFmt w:val="decimal"/>
      <w:start w:val="1"/>
    </w:lvl>
    <w:lvl w:ilvl="1">
      <w:lvlJc w:val="left"/>
      <w:lvlText w:val="(%2)"/>
      <w:numFmt w:val="decimal"/>
      <w:start w:val="1"/>
    </w:lvl>
  </w:abstractNum>
  <w:abstractNum w:abstractNumId="10">
    <w:nsid w:val="7FDCC233"/>
    <w:multiLevelType w:val="hybridMultilevel"/>
    <w:lvl w:ilvl="0">
      <w:lvlJc w:val="left"/>
      <w:lvlText w:val="(%1)"/>
      <w:numFmt w:val="decimal"/>
      <w:start w:val="3"/>
    </w:lvl>
    <w:lvl w:ilvl="1">
      <w:lvlJc w:val="left"/>
      <w:lvlText w:val="%2"/>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3" Type="http://schemas.openxmlformats.org/officeDocument/2006/relationships/image" Target="media/image33.png"/><Relationship Id="rId40" Type="http://schemas.openxmlformats.org/officeDocument/2006/relationships/hyperlink" Target="https://www.sec.gov/Archives/edgar/data/1738048/000110465924030502/tm247756d1_sc13.htm#a_001" TargetMode="External"/><Relationship Id="rId41" Type="http://schemas.openxmlformats.org/officeDocument/2006/relationships/hyperlink" Target="https://www.sec.gov/Archives/edgar/data/1738048/000110465924030502/tm247756d1_sc13.htm#a_002" TargetMode="External"/><Relationship Id="rId42" Type="http://schemas.openxmlformats.org/officeDocument/2006/relationships/hyperlink" Target="https://www.sec.gov/Archives/edgar/data/1738048/000110465924030502/tm247756d1_sc13.htm#a_0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2024-11-14T16:51:38Z</dcterms:created>
  <dcterms:modified xsi:type="dcterms:W3CDTF">2024-11-14T16:51:38Z</dcterms:modified>
</cp:coreProperties>
</file>