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61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Riva Alessandro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Century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IPSC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19,872</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19,872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19,872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9, 2023, or (b) the next annual meeting of stockholders, in each case subject to the Reporting Person's continued service through the applicable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Michael Diem, Attorney-in-  </w:t>
      </w:r>
      <w:r>
        <w:rPr>
          <w:rFonts w:ascii="Times New Roman" w:cs="Times New Roman" w:eastAsia="Times New Roman" w:hAnsi="Times New Roman"/>
          <w:sz w:val="33"/>
          <w:szCs w:val="33"/>
          <w:color w:val="0000FF"/>
          <w:vertAlign w:val="subscript"/>
        </w:rPr>
        <w:t>06/10/2022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7172"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2022-06-10T15:29:13Z</dcterms:created>
  <dcterms:modified xsi:type="dcterms:W3CDTF">2022-06-10T15:29:13Z</dcterms:modified>
</cp:coreProperties>
</file>