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226060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248920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8"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6"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94615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50"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110490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93"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21"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Pursuant to Section 13 or 15(d)</w:t>
      </w:r>
    </w:p>
    <w:p>
      <w:pPr>
        <w:spacing w:after="0" w:line="6"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of the Securities Exchange Act of 1934</w:t>
      </w:r>
    </w:p>
    <w:p>
      <w:pPr>
        <w:spacing w:after="0" w:line="135"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Date of Report (Date of earliest event reported): November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104775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66"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22"/>
          <w:szCs w:val="22"/>
          <w:b w:val="1"/>
          <w:bCs w:val="1"/>
          <w:color w:val="auto"/>
        </w:rPr>
        <w:t>Century Therapeutics, Inc.</w:t>
      </w:r>
    </w:p>
    <w:p>
      <w:pPr>
        <w:spacing w:after="0" w:line="23"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94615</wp:posOffset>
            </wp:positionV>
            <wp:extent cx="717804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5"/>
          </w:cols>
          <w:pgMar w:left="295" w:top="513" w:right="299" w:bottom="1440" w:gutter="0" w:footer="0" w:header="0"/>
        </w:sectPr>
      </w:pPr>
    </w:p>
    <w:p>
      <w:pPr>
        <w:spacing w:after="0" w:line="287" w:lineRule="exact"/>
        <w:rPr>
          <w:sz w:val="24"/>
          <w:szCs w:val="24"/>
          <w:color w:val="auto"/>
        </w:rPr>
      </w:pPr>
    </w:p>
    <w:p>
      <w:pPr>
        <w:ind w:left="1565"/>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1" w:lineRule="exact"/>
        <w:rPr>
          <w:sz w:val="24"/>
          <w:szCs w:val="24"/>
          <w:color w:val="auto"/>
        </w:rPr>
      </w:pPr>
    </w:p>
    <w:p>
      <w:pPr>
        <w:ind w:left="1105"/>
        <w:spacing w:after="0"/>
        <w:rPr>
          <w:sz w:val="20"/>
          <w:szCs w:val="20"/>
          <w:color w:val="auto"/>
        </w:rPr>
      </w:pPr>
      <w:r>
        <w:rPr>
          <w:rFonts w:ascii="Times New Roman" w:cs="Times New Roman" w:eastAsia="Times New Roman" w:hAnsi="Times New Roman"/>
          <w:sz w:val="12"/>
          <w:szCs w:val="12"/>
          <w:color w:val="auto"/>
        </w:rPr>
        <w:t>(State or other jurisdiction of</w:t>
      </w:r>
    </w:p>
    <w:p>
      <w:pPr>
        <w:spacing w:after="0" w:line="6" w:lineRule="exact"/>
        <w:rPr>
          <w:sz w:val="24"/>
          <w:szCs w:val="24"/>
          <w:color w:val="auto"/>
        </w:rPr>
      </w:pPr>
    </w:p>
    <w:p>
      <w:pPr>
        <w:ind w:left="1085"/>
        <w:spacing w:after="0"/>
        <w:rPr>
          <w:sz w:val="20"/>
          <w:szCs w:val="20"/>
          <w:color w:val="auto"/>
        </w:rPr>
      </w:pPr>
      <w:r>
        <w:rPr>
          <w:rFonts w:ascii="Times New Roman" w:cs="Times New Roman" w:eastAsia="Times New Roman" w:hAnsi="Times New Roman"/>
          <w:sz w:val="11"/>
          <w:szCs w:val="11"/>
          <w:color w:val="auto"/>
        </w:rPr>
        <w:t>incorporation or organization)</w:t>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2"/>
          <w:szCs w:val="12"/>
          <w:b w:val="1"/>
          <w:bCs w:val="1"/>
          <w:color w:val="auto"/>
        </w:rPr>
        <w:t>001-40498</w:t>
      </w:r>
    </w:p>
    <w:p>
      <w:pPr>
        <w:spacing w:after="0" w:line="21"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1"/>
          <w:szCs w:val="11"/>
          <w:color w:val="auto"/>
        </w:rPr>
        <w:t>(Commission File Number)</w:t>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b w:val="1"/>
          <w:bCs w:val="1"/>
          <w:color w:val="auto"/>
        </w:rPr>
        <w:t>84-2040295</w:t>
      </w:r>
    </w:p>
    <w:p>
      <w:pPr>
        <w:spacing w:after="0" w:line="21"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color w:val="auto"/>
        </w:rPr>
        <w:t>(I.R.S. Employer</w:t>
      </w:r>
    </w:p>
    <w:p>
      <w:pPr>
        <w:spacing w:after="0" w:line="6" w:lineRule="exact"/>
        <w:rPr>
          <w:sz w:val="24"/>
          <w:szCs w:val="24"/>
          <w:color w:val="auto"/>
        </w:rPr>
      </w:pPr>
    </w:p>
    <w:p>
      <w:pPr>
        <w:jc w:val="center"/>
        <w:ind w:right="1360"/>
        <w:spacing w:after="0"/>
        <w:rPr>
          <w:sz w:val="20"/>
          <w:szCs w:val="20"/>
          <w:color w:val="auto"/>
        </w:rPr>
      </w:pPr>
      <w:r>
        <w:rPr>
          <w:rFonts w:ascii="Times New Roman" w:cs="Times New Roman" w:eastAsia="Times New Roman" w:hAnsi="Times New Roman"/>
          <w:sz w:val="12"/>
          <w:szCs w:val="12"/>
          <w:color w:val="auto"/>
        </w:rPr>
        <w:t>Identification No.)</w:t>
      </w:r>
    </w:p>
    <w:p>
      <w:pPr>
        <w:spacing w:after="0" w:line="135" w:lineRule="exact"/>
        <w:rPr>
          <w:sz w:val="24"/>
          <w:szCs w:val="24"/>
          <w:color w:val="auto"/>
        </w:rPr>
      </w:pPr>
    </w:p>
    <w:p>
      <w:pPr>
        <w:sectPr>
          <w:pgSz w:w="11900" w:h="16838" w:orient="portrait"/>
          <w:cols w:equalWidth="0" w:num="3">
            <w:col w:w="4285" w:space="720"/>
            <w:col w:w="3320" w:space="720"/>
            <w:col w:w="2260"/>
          </w:cols>
          <w:pgMar w:left="295" w:top="513" w:right="299" w:bottom="1440" w:gutter="0" w:footer="0" w:header="0"/>
          <w:type w:val="continuous"/>
        </w:sectPr>
      </w:pPr>
    </w:p>
    <w:p>
      <w:pPr>
        <w:jc w:val="center"/>
        <w:ind w:right="1995"/>
        <w:spacing w:after="0"/>
        <w:rPr>
          <w:sz w:val="20"/>
          <w:szCs w:val="20"/>
          <w:color w:val="auto"/>
        </w:rPr>
      </w:pPr>
      <w:r>
        <w:rPr>
          <w:rFonts w:ascii="Times New Roman" w:cs="Times New Roman" w:eastAsia="Times New Roman" w:hAnsi="Times New Roman"/>
          <w:sz w:val="12"/>
          <w:szCs w:val="12"/>
          <w:b w:val="1"/>
          <w:bCs w:val="1"/>
          <w:color w:val="auto"/>
        </w:rPr>
        <w:t>3675 Market Street</w:t>
      </w:r>
    </w:p>
    <w:p>
      <w:pPr>
        <w:spacing w:after="0" w:line="21" w:lineRule="exact"/>
        <w:rPr>
          <w:sz w:val="24"/>
          <w:szCs w:val="24"/>
          <w:color w:val="auto"/>
        </w:rPr>
      </w:pPr>
    </w:p>
    <w:p>
      <w:pPr>
        <w:jc w:val="center"/>
        <w:ind w:right="1995"/>
        <w:spacing w:after="0"/>
        <w:rPr>
          <w:sz w:val="20"/>
          <w:szCs w:val="20"/>
          <w:color w:val="auto"/>
        </w:rPr>
      </w:pPr>
      <w:r>
        <w:rPr>
          <w:rFonts w:ascii="Times New Roman" w:cs="Times New Roman" w:eastAsia="Times New Roman" w:hAnsi="Times New Roman"/>
          <w:sz w:val="12"/>
          <w:szCs w:val="12"/>
          <w:b w:val="1"/>
          <w:bCs w:val="1"/>
          <w:color w:val="auto"/>
        </w:rPr>
        <w:t>Philadelphia, Pennsylvania</w:t>
      </w:r>
    </w:p>
    <w:p>
      <w:pPr>
        <w:spacing w:after="0" w:line="6" w:lineRule="exact"/>
        <w:rPr>
          <w:sz w:val="24"/>
          <w:szCs w:val="24"/>
          <w:color w:val="auto"/>
        </w:rPr>
      </w:pPr>
    </w:p>
    <w:p>
      <w:pPr>
        <w:jc w:val="center"/>
        <w:ind w:right="1995"/>
        <w:spacing w:after="0"/>
        <w:rPr>
          <w:sz w:val="20"/>
          <w:szCs w:val="20"/>
          <w:color w:val="auto"/>
        </w:rPr>
      </w:pPr>
      <w:r>
        <w:rPr>
          <w:rFonts w:ascii="Times New Roman" w:cs="Times New Roman" w:eastAsia="Times New Roman" w:hAnsi="Times New Roman"/>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jc w:val="center"/>
        <w:ind w:right="2500"/>
        <w:spacing w:after="0"/>
        <w:rPr>
          <w:sz w:val="20"/>
          <w:szCs w:val="20"/>
          <w:color w:val="auto"/>
        </w:rPr>
      </w:pPr>
      <w:r>
        <w:rPr>
          <w:rFonts w:ascii="Times New Roman" w:cs="Times New Roman" w:eastAsia="Times New Roman" w:hAnsi="Times New Roman"/>
          <w:sz w:val="12"/>
          <w:szCs w:val="12"/>
          <w:b w:val="1"/>
          <w:bCs w:val="1"/>
          <w:color w:val="auto"/>
        </w:rPr>
        <w:t>19104</w:t>
      </w:r>
    </w:p>
    <w:p>
      <w:pPr>
        <w:spacing w:after="0" w:line="21" w:lineRule="exact"/>
        <w:rPr>
          <w:sz w:val="24"/>
          <w:szCs w:val="24"/>
          <w:color w:val="auto"/>
        </w:rPr>
      </w:pPr>
    </w:p>
    <w:p>
      <w:pPr>
        <w:jc w:val="center"/>
        <w:ind w:right="2500"/>
        <w:spacing w:after="0"/>
        <w:rPr>
          <w:sz w:val="20"/>
          <w:szCs w:val="20"/>
          <w:color w:val="auto"/>
        </w:rPr>
      </w:pPr>
      <w:r>
        <w:rPr>
          <w:rFonts w:ascii="Times New Roman" w:cs="Times New Roman" w:eastAsia="Times New Roman" w:hAnsi="Times New Roman"/>
          <w:sz w:val="12"/>
          <w:szCs w:val="12"/>
          <w:color w:val="auto"/>
        </w:rPr>
        <w:t>(Zip Code)</w:t>
      </w:r>
    </w:p>
    <w:p>
      <w:pPr>
        <w:spacing w:after="0" w:line="135" w:lineRule="exact"/>
        <w:rPr>
          <w:sz w:val="24"/>
          <w:szCs w:val="24"/>
          <w:color w:val="auto"/>
        </w:rPr>
      </w:pPr>
    </w:p>
    <w:p>
      <w:pPr>
        <w:sectPr>
          <w:pgSz w:w="11900" w:h="16838" w:orient="portrait"/>
          <w:cols w:equalWidth="0" w:num="2">
            <w:col w:w="7545" w:space="720"/>
            <w:col w:w="3040"/>
          </w:cols>
          <w:pgMar w:left="295" w:top="513" w:right="299" w:bottom="1440" w:gutter="0" w:footer="0" w:header="0"/>
          <w:type w:val="continuous"/>
        </w:sectPr>
      </w:pPr>
    </w:p>
    <w:p>
      <w:pPr>
        <w:jc w:val="center"/>
        <w:ind w:right="15"/>
        <w:spacing w:after="0"/>
        <w:rPr>
          <w:sz w:val="20"/>
          <w:szCs w:val="20"/>
          <w:color w:val="auto"/>
        </w:rPr>
      </w:pPr>
      <w:r>
        <w:rPr>
          <w:rFonts w:ascii="Times New Roman" w:cs="Times New Roman" w:eastAsia="Times New Roman" w:hAnsi="Times New Roman"/>
          <w:sz w:val="11"/>
          <w:szCs w:val="11"/>
          <w:color w:val="auto"/>
        </w:rPr>
        <w:t xml:space="preserve">Registrant’s telephone number, including area code: </w:t>
      </w:r>
      <w:r>
        <w:rPr>
          <w:rFonts w:ascii="Times New Roman" w:cs="Times New Roman" w:eastAsia="Times New Roman" w:hAnsi="Times New Roman"/>
          <w:sz w:val="11"/>
          <w:szCs w:val="11"/>
          <w:b w:val="1"/>
          <w:bCs w:val="1"/>
          <w:color w:val="auto"/>
        </w:rPr>
        <w:t>(267) 817-5790</w:t>
      </w:r>
    </w:p>
    <w:p>
      <w:pPr>
        <w:spacing w:after="0" w:line="162"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21" w:lineRule="exact"/>
        <w:rPr>
          <w:sz w:val="24"/>
          <w:szCs w:val="24"/>
          <w:color w:val="auto"/>
        </w:rPr>
      </w:pPr>
    </w:p>
    <w:p>
      <w:pPr>
        <w:jc w:val="center"/>
        <w:ind w:right="15"/>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100965</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5"/>
          </w:cols>
          <w:pgMar w:left="295" w:top="513" w:right="299" w:bottom="1440" w:gutter="0" w:footer="0" w:header="0"/>
          <w:type w:val="continuous"/>
        </w:sectPr>
      </w:pPr>
    </w:p>
    <w:p>
      <w:pPr>
        <w:spacing w:after="0" w:line="301" w:lineRule="exact"/>
        <w:rPr>
          <w:sz w:val="24"/>
          <w:szCs w:val="24"/>
          <w:color w:val="auto"/>
        </w:rPr>
      </w:pPr>
    </w:p>
    <w:p>
      <w:pPr>
        <w:ind w:left="5"/>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50" w:lineRule="exact"/>
        <w:rPr>
          <w:sz w:val="24"/>
          <w:szCs w:val="24"/>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8"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6" w:lineRule="exact"/>
        <w:rPr>
          <w:rFonts w:ascii="MS PGothic" w:cs="MS PGothic" w:eastAsia="MS PGothic" w:hAnsi="MS PGothic"/>
          <w:sz w:val="12"/>
          <w:szCs w:val="12"/>
          <w:color w:val="auto"/>
        </w:rPr>
      </w:pPr>
    </w:p>
    <w:p>
      <w:pPr>
        <w:ind w:left="445" w:hanging="445"/>
        <w:spacing w:after="0"/>
        <w:tabs>
          <w:tab w:leader="none" w:pos="445"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38" w:lineRule="exact"/>
        <w:rPr>
          <w:sz w:val="24"/>
          <w:szCs w:val="24"/>
          <w:color w:val="auto"/>
        </w:rPr>
      </w:pPr>
    </w:p>
    <w:tbl>
      <w:tblPr>
        <w:tblLayout w:type="fixed"/>
        <w:tblInd w:w="5" w:type="dxa"/>
        <w:tblCellMar>
          <w:top w:w="0" w:type="dxa"/>
          <w:left w:w="0" w:type="dxa"/>
          <w:bottom w:w="0" w:type="dxa"/>
          <w:right w:w="0" w:type="dxa"/>
        </w:tblCellMar>
      </w:tblPr>
      <w:tr>
        <w:trPr>
          <w:trHeight w:val="155"/>
        </w:trPr>
        <w:tc>
          <w:tcPr>
            <w:tcW w:w="38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3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20" w:type="dxa"/>
            <w:vAlign w:val="bottom"/>
          </w:tcPr>
          <w:p>
            <w:pPr>
              <w:spacing w:after="0"/>
              <w:rPr>
                <w:sz w:val="13"/>
                <w:szCs w:val="13"/>
                <w:color w:val="auto"/>
              </w:rPr>
            </w:pPr>
          </w:p>
        </w:tc>
      </w:tr>
      <w:tr>
        <w:trPr>
          <w:trHeight w:val="273"/>
        </w:trPr>
        <w:tc>
          <w:tcPr>
            <w:tcW w:w="3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Name of Exchange on Which</w:t>
            </w:r>
          </w:p>
        </w:tc>
      </w:tr>
      <w:tr>
        <w:trPr>
          <w:trHeight w:val="159"/>
        </w:trPr>
        <w:tc>
          <w:tcPr>
            <w:tcW w:w="38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Title of Each Class</w:t>
            </w:r>
          </w:p>
        </w:tc>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7"/>
              </w:rPr>
              <w:t>Trading Symbol</w:t>
            </w:r>
          </w:p>
        </w:tc>
        <w:tc>
          <w:tcPr>
            <w:tcW w:w="36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Registered</w:t>
            </w:r>
          </w:p>
        </w:tc>
      </w:tr>
      <w:tr>
        <w:trPr>
          <w:trHeight w:val="148"/>
        </w:trPr>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Common Stock, par value $0.0001 per share</w:t>
            </w:r>
          </w:p>
        </w:tc>
        <w:tc>
          <w:tcPr>
            <w:tcW w:w="240" w:type="dxa"/>
            <w:vAlign w:val="bottom"/>
          </w:tcPr>
          <w:p>
            <w:pPr>
              <w:spacing w:after="0"/>
              <w:rPr>
                <w:sz w:val="12"/>
                <w:szCs w:val="12"/>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IPSC</w:t>
            </w:r>
          </w:p>
        </w:tc>
        <w:tc>
          <w:tcPr>
            <w:tcW w:w="220" w:type="dxa"/>
            <w:vAlign w:val="bottom"/>
          </w:tcPr>
          <w:p>
            <w:pPr>
              <w:spacing w:after="0"/>
              <w:rPr>
                <w:sz w:val="12"/>
                <w:szCs w:val="12"/>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Nasdaq Global Select Market</w:t>
            </w:r>
          </w:p>
        </w:tc>
      </w:tr>
    </w:tbl>
    <w:p>
      <w:pPr>
        <w:spacing w:after="0" w:line="118" w:lineRule="exact"/>
        <w:rPr>
          <w:sz w:val="24"/>
          <w:szCs w:val="24"/>
          <w:color w:val="auto"/>
        </w:rPr>
      </w:pPr>
    </w:p>
    <w:p>
      <w:pPr>
        <w:ind w:left="5" w:right="1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1" w:lineRule="exact"/>
        <w:rPr>
          <w:sz w:val="24"/>
          <w:szCs w:val="24"/>
          <w:color w:val="auto"/>
        </w:rPr>
      </w:pPr>
    </w:p>
    <w:p>
      <w:pPr>
        <w:ind w:left="9845"/>
        <w:spacing w:after="0" w:line="127"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11"/>
          <w:szCs w:val="11"/>
          <w:color w:val="auto"/>
        </w:rPr>
        <w:t>☒</w:t>
      </w:r>
    </w:p>
    <w:p>
      <w:pPr>
        <w:spacing w:after="0" w:line="182" w:lineRule="exact"/>
        <w:rPr>
          <w:sz w:val="24"/>
          <w:szCs w:val="24"/>
          <w:color w:val="auto"/>
        </w:rPr>
      </w:pPr>
    </w:p>
    <w:p>
      <w:pPr>
        <w:ind w:left="5" w:right="100"/>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83820</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100965</wp:posOffset>
            </wp:positionV>
            <wp:extent cx="7178040" cy="114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306705</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5"/>
          </w:cols>
          <w:pgMar w:left="295" w:top="513" w:right="299" w:bottom="1440" w:gutter="0" w:footer="0" w:header="0"/>
          <w:type w:val="continuous"/>
        </w:sectPr>
      </w:pPr>
    </w:p>
    <w:bookmarkStart w:id="1" w:name="page2"/>
    <w:bookmarkEnd w:id="1"/>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2"/>
          <w:szCs w:val="12"/>
          <w:b w:val="1"/>
          <w:bCs w:val="1"/>
          <w:u w:val="single" w:color="auto"/>
          <w:color w:val="auto"/>
        </w:rPr>
        <w:t>Regulation FD Disclosure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November 30, 2022, Century Therapeutics, Inc.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updated information reflected in a slide presentation, which is attached as Exhibit 99.1 to this Current Report on Form 8-K and is incorporated herein by reference.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Representatives of the Company will use the updated presentation in various meetings with investors from time to time.</w:t>
      </w:r>
    </w:p>
    <w:p>
      <w:pPr>
        <w:spacing w:after="0" w:line="139" w:lineRule="exact"/>
        <w:rPr>
          <w:sz w:val="20"/>
          <w:szCs w:val="20"/>
          <w:color w:val="auto"/>
        </w:rPr>
      </w:pPr>
    </w:p>
    <w:p>
      <w:pPr>
        <w:ind w:right="40"/>
        <w:spacing w:after="0" w:line="327" w:lineRule="auto"/>
        <w:rPr>
          <w:sz w:val="20"/>
          <w:szCs w:val="20"/>
          <w:color w:val="auto"/>
        </w:rPr>
      </w:pPr>
      <w:r>
        <w:rPr>
          <w:rFonts w:ascii="Times New Roman" w:cs="Times New Roman" w:eastAsia="Times New Roman" w:hAnsi="Times New Roman"/>
          <w:sz w:val="11"/>
          <w:szCs w:val="11"/>
          <w:color w:val="auto"/>
        </w:rPr>
        <w:t>The information contained in this Item 7.01 (including Exhibit 99.1) is being furnished and shall not be deemed “filed” for purposes of Section 18 of the Exchange Act, as amended (the “</w:t>
      </w:r>
      <w:r>
        <w:rPr>
          <w:rFonts w:ascii="Times New Roman" w:cs="Times New Roman" w:eastAsia="Times New Roman" w:hAnsi="Times New Roman"/>
          <w:sz w:val="11"/>
          <w:szCs w:val="11"/>
          <w:u w:val="single" w:color="auto"/>
          <w:color w:val="auto"/>
        </w:rPr>
        <w:t>Exchange Act</w:t>
      </w:r>
      <w:r>
        <w:rPr>
          <w:rFonts w:ascii="Times New Roman" w:cs="Times New Roman" w:eastAsia="Times New Roman" w:hAnsi="Times New Roman"/>
          <w:sz w:val="11"/>
          <w:szCs w:val="11"/>
          <w:color w:val="auto"/>
        </w:rPr>
        <w:t>”), or otherwise subject to the liabilities of that section and shall not be deemed to be incorporated by reference in any filing under the Securities Act of 1933, as amended, or the Exchange Act, except as shall be expressly set forth by specific reference in such filing.</w:t>
      </w:r>
    </w:p>
    <w:p>
      <w:pPr>
        <w:spacing w:after="0" w:line="8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2"/>
          <w:szCs w:val="12"/>
          <w:b w:val="1"/>
          <w:bCs w:val="1"/>
          <w:u w:val="single" w:color="auto"/>
          <w:color w:val="auto"/>
        </w:rPr>
        <w:t>Financial Statements and Exhibits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 Exhibits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exhibit is being furnished herewith:</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9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Exhibit</w:t>
            </w:r>
          </w:p>
        </w:tc>
        <w:tc>
          <w:tcPr>
            <w:tcW w:w="2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6420" w:type="dxa"/>
            <w:vAlign w:val="bottom"/>
          </w:tcPr>
          <w:p>
            <w:pPr>
              <w:spacing w:after="0"/>
              <w:rPr>
                <w:sz w:val="12"/>
                <w:szCs w:val="12"/>
                <w:color w:val="auto"/>
              </w:rPr>
            </w:pPr>
          </w:p>
        </w:tc>
      </w:tr>
      <w:tr>
        <w:trPr>
          <w:trHeight w:val="159"/>
        </w:trPr>
        <w:tc>
          <w:tcPr>
            <w:tcW w:w="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No.</w:t>
            </w:r>
          </w:p>
        </w:tc>
        <w:tc>
          <w:tcPr>
            <w:tcW w:w="220" w:type="dxa"/>
            <w:vAlign w:val="bottom"/>
          </w:tcPr>
          <w:p>
            <w:pPr>
              <w:spacing w:after="0"/>
              <w:rPr>
                <w:sz w:val="13"/>
                <w:szCs w:val="13"/>
                <w:color w:val="auto"/>
              </w:rPr>
            </w:pPr>
          </w:p>
        </w:tc>
        <w:tc>
          <w:tcPr>
            <w:tcW w:w="3760" w:type="dxa"/>
            <w:vAlign w:val="bottom"/>
            <w:tcBorders>
              <w:bottom w:val="single" w:sz="8" w:color="auto"/>
            </w:tcBorders>
          </w:tcPr>
          <w:p>
            <w:pPr>
              <w:spacing w:after="0"/>
              <w:rPr>
                <w:sz w:val="13"/>
                <w:szCs w:val="13"/>
                <w:color w:val="auto"/>
              </w:rPr>
            </w:pPr>
          </w:p>
        </w:tc>
        <w:tc>
          <w:tcPr>
            <w:tcW w:w="642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2"/>
                <w:szCs w:val="12"/>
                <w:b w:val="1"/>
                <w:bCs w:val="1"/>
                <w:color w:val="auto"/>
              </w:rPr>
              <w:t>Document</w:t>
            </w:r>
          </w:p>
        </w:tc>
      </w:tr>
      <w:tr>
        <w:trPr>
          <w:trHeight w:val="250"/>
        </w:trPr>
        <w:tc>
          <w:tcPr>
            <w:tcW w:w="900" w:type="dxa"/>
            <w:vAlign w:val="bottom"/>
            <w:gridSpan w:val="2"/>
          </w:tcPr>
          <w:p>
            <w:pPr>
              <w:spacing w:after="0"/>
              <w:rPr>
                <w:sz w:val="20"/>
                <w:szCs w:val="20"/>
                <w:color w:val="auto"/>
              </w:rPr>
            </w:pPr>
            <w:r>
              <w:rPr>
                <w:rFonts w:ascii="Times New Roman" w:cs="Times New Roman" w:eastAsia="Times New Roman" w:hAnsi="Times New Roman"/>
                <w:sz w:val="12"/>
                <w:szCs w:val="12"/>
                <w:color w:val="0000EE"/>
              </w:rPr>
              <w:t>99.</w:t>
            </w:r>
            <w:r>
              <w:rPr>
                <w:rFonts w:ascii="Times New Roman" w:cs="Times New Roman" w:eastAsia="Times New Roman" w:hAnsi="Times New Roman"/>
                <w:sz w:val="12"/>
                <w:szCs w:val="12"/>
                <w:u w:val="single" w:color="auto"/>
                <w:color w:val="0000EE"/>
              </w:rPr>
              <w:t>1</w:t>
            </w:r>
          </w:p>
        </w:tc>
        <w:tc>
          <w:tcPr>
            <w:tcW w:w="220" w:type="dxa"/>
            <w:vAlign w:val="bottom"/>
          </w:tcPr>
          <w:p>
            <w:pPr>
              <w:spacing w:after="0"/>
              <w:rPr>
                <w:sz w:val="21"/>
                <w:szCs w:val="21"/>
                <w:color w:val="auto"/>
              </w:rPr>
            </w:pPr>
          </w:p>
        </w:tc>
        <w:tc>
          <w:tcPr>
            <w:tcW w:w="10180" w:type="dxa"/>
            <w:vAlign w:val="bottom"/>
            <w:gridSpan w:val="2"/>
          </w:tcPr>
          <w:p>
            <w:pPr>
              <w:spacing w:after="0"/>
              <w:rPr>
                <w:sz w:val="20"/>
                <w:szCs w:val="20"/>
                <w:color w:val="auto"/>
              </w:rPr>
            </w:pPr>
            <w:r>
              <w:rPr>
                <w:rFonts w:ascii="Times New Roman" w:cs="Times New Roman" w:eastAsia="Times New Roman" w:hAnsi="Times New Roman"/>
                <w:sz w:val="12"/>
                <w:szCs w:val="12"/>
                <w:color w:val="0000EE"/>
              </w:rPr>
              <w:t>Investor Presentation of Century Therapeutics, Inc., dated November 30, 2022</w:t>
            </w:r>
          </w:p>
        </w:tc>
      </w:tr>
      <w:tr>
        <w:trPr>
          <w:trHeight w:val="20"/>
        </w:trPr>
        <w:tc>
          <w:tcPr>
            <w:tcW w:w="2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60" w:type="dxa"/>
            <w:vAlign w:val="bottom"/>
            <w:shd w:val="clear" w:color="auto" w:fill="0000EE"/>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r>
      <w:tr>
        <w:trPr>
          <w:trHeight w:val="295"/>
        </w:trPr>
        <w:tc>
          <w:tcPr>
            <w:tcW w:w="200" w:type="dxa"/>
            <w:vAlign w:val="bottom"/>
          </w:tcPr>
          <w:p>
            <w:pPr>
              <w:spacing w:after="0"/>
              <w:rPr>
                <w:sz w:val="20"/>
                <w:szCs w:val="20"/>
                <w:color w:val="auto"/>
              </w:rPr>
            </w:pPr>
            <w:r>
              <w:rPr>
                <w:rFonts w:ascii="Times New Roman" w:cs="Times New Roman" w:eastAsia="Times New Roman" w:hAnsi="Times New Roman"/>
                <w:sz w:val="12"/>
                <w:szCs w:val="12"/>
                <w:color w:val="auto"/>
                <w:w w:val="99"/>
              </w:rPr>
              <w:t>104</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450"/>
        </w:trPr>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64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2"/>
          <w:szCs w:val="12"/>
          <w:b w:val="1"/>
          <w:bCs w:val="1"/>
          <w:color w:val="auto"/>
        </w:rPr>
        <w:t>CENTURY THERAPEUTICS, INC.</w:t>
      </w:r>
    </w:p>
    <w:p>
      <w:pPr>
        <w:spacing w:after="0" w:line="154" w:lineRule="exact"/>
        <w:rPr>
          <w:sz w:val="20"/>
          <w:szCs w:val="20"/>
          <w:color w:val="auto"/>
        </w:rPr>
      </w:pPr>
    </w:p>
    <w:tbl>
      <w:tblPr>
        <w:tblLayout w:type="fixed"/>
        <w:tblInd w:w="5660" w:type="dxa"/>
        <w:tblCellMar>
          <w:top w:w="0" w:type="dxa"/>
          <w:left w:w="0" w:type="dxa"/>
          <w:bottom w:w="0" w:type="dxa"/>
          <w:right w:w="0" w:type="dxa"/>
        </w:tblCellMar>
      </w:tblP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5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Osvaldo Flores, Ph.D.</w:t>
            </w:r>
          </w:p>
        </w:tc>
      </w:tr>
      <w:tr>
        <w:trPr>
          <w:trHeight w:val="131"/>
        </w:trPr>
        <w:tc>
          <w:tcPr>
            <w:tcW w:w="56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Name:</w:t>
            </w:r>
          </w:p>
        </w:tc>
        <w:tc>
          <w:tcPr>
            <w:tcW w:w="5080" w:type="dxa"/>
            <w:vAlign w:val="bottom"/>
          </w:tcPr>
          <w:p>
            <w:pPr>
              <w:spacing w:after="0" w:line="132" w:lineRule="exact"/>
              <w:rPr>
                <w:sz w:val="20"/>
                <w:szCs w:val="20"/>
                <w:color w:val="auto"/>
              </w:rPr>
            </w:pPr>
            <w:r>
              <w:rPr>
                <w:rFonts w:ascii="Times New Roman" w:cs="Times New Roman" w:eastAsia="Times New Roman" w:hAnsi="Times New Roman"/>
                <w:sz w:val="12"/>
                <w:szCs w:val="12"/>
                <w:color w:val="auto"/>
              </w:rPr>
              <w:t>Osvaldo Flores, Ph.D.</w:t>
            </w:r>
          </w:p>
        </w:tc>
      </w:tr>
      <w:tr>
        <w:trPr>
          <w:trHeight w:val="155"/>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5080" w:type="dxa"/>
            <w:vAlign w:val="bottom"/>
          </w:tcPr>
          <w:p>
            <w:pPr>
              <w:spacing w:after="0"/>
              <w:rPr>
                <w:sz w:val="20"/>
                <w:szCs w:val="20"/>
                <w:color w:val="auto"/>
              </w:rPr>
            </w:pPr>
            <w:r>
              <w:rPr>
                <w:rFonts w:ascii="Times New Roman" w:cs="Times New Roman" w:eastAsia="Times New Roman" w:hAnsi="Times New Roman"/>
                <w:sz w:val="12"/>
                <w:szCs w:val="12"/>
                <w:color w:val="auto"/>
              </w:rPr>
              <w:t>President and Chief Executive Officer</w:t>
            </w: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November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296545</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3" w:name="page4"/>
    <w:bookmarkEnd w:id="3"/>
    <w:p>
      <w:pPr>
        <w:ind w:left="9420"/>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116205</wp:posOffset>
            </wp:positionV>
            <wp:extent cx="7172960" cy="45262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0" w:num="1">
            <w:col w:w="10160"/>
          </w:cols>
          <w:pgMar w:left="1440" w:top="120" w:right="29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4598035</wp:posOffset>
            </wp:positionV>
            <wp:extent cx="6800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0085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2022-11-30T06:33:12Z</dcterms:created>
  <dcterms:modified xsi:type="dcterms:W3CDTF">2022-11-30T06:33:12Z</dcterms:modified>
</cp:coreProperties>
</file>