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326390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114300</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185420</wp:posOffset>
            </wp:positionV>
            <wp:extent cx="177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Century Therapeutics,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96520</wp:posOffset>
            </wp:positionV>
            <wp:extent cx="177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ectPr>
          <w:pgSz w:w="11900" w:h="16838" w:orient="portrait"/>
          <w:cols w:equalWidth="0" w:num="1">
            <w:col w:w="11240"/>
          </w:cols>
          <w:pgMar w:left="320" w:top="699" w:right="339" w:bottom="1440" w:gutter="0" w:footer="0" w:header="0"/>
        </w:sectPr>
      </w:pPr>
    </w:p>
    <w:p>
      <w:pPr>
        <w:spacing w:after="0" w:line="200" w:lineRule="exact"/>
        <w:rPr>
          <w:sz w:val="24"/>
          <w:szCs w:val="24"/>
          <w:color w:val="auto"/>
        </w:rPr>
      </w:pPr>
    </w:p>
    <w:p>
      <w:pPr>
        <w:spacing w:after="0" w:line="227"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29" w:lineRule="exact"/>
        <w:rPr>
          <w:sz w:val="24"/>
          <w:szCs w:val="24"/>
          <w:color w:val="auto"/>
        </w:rPr>
      </w:pPr>
    </w:p>
    <w:p>
      <w:pPr>
        <w:ind w:left="8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001-40498</w:t>
      </w:r>
    </w:p>
    <w:p>
      <w:pPr>
        <w:spacing w:after="0" w:line="23"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(Primary Standard Industrial</w:t>
      </w:r>
    </w:p>
    <w:p>
      <w:pPr>
        <w:spacing w:after="0" w:line="29"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84-2040295</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w:t>
      </w:r>
    </w:p>
    <w:p>
      <w:pPr>
        <w:spacing w:after="0" w:line="18" w:lineRule="exact"/>
        <w:rPr>
          <w:sz w:val="24"/>
          <w:szCs w:val="24"/>
          <w:color w:val="auto"/>
        </w:rPr>
      </w:pPr>
    </w:p>
    <w:p>
      <w:pPr>
        <w:jc w:val="center"/>
        <w:ind w:right="114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3980" w:space="720"/>
            <w:col w:w="3360" w:space="720"/>
            <w:col w:w="2460"/>
          </w:cols>
          <w:pgMar w:left="320" w:top="699" w:right="339" w:bottom="1440" w:gutter="0" w:footer="0" w:header="0"/>
          <w:type w:val="continuous"/>
        </w:sectPr>
      </w:pPr>
    </w:p>
    <w:p>
      <w:pPr>
        <w:spacing w:after="0" w:line="26"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3675 Market Street</w:t>
      </w:r>
    </w:p>
    <w:p>
      <w:pPr>
        <w:spacing w:after="0" w:line="23"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Philadelphia, Pennsylvania</w:t>
      </w:r>
    </w:p>
    <w:p>
      <w:pPr>
        <w:spacing w:after="0" w:line="6"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19104</w:t>
      </w:r>
    </w:p>
    <w:p>
      <w:pPr>
        <w:spacing w:after="0" w:line="23"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99" w:right="339" w:bottom="1440" w:gutter="0" w:footer="0" w:header="0"/>
          <w:type w:val="continuous"/>
        </w:sectPr>
      </w:pP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174625</wp:posOffset>
            </wp:positionV>
            <wp:extent cx="177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460" w:hanging="4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 w:lineRule="exact"/>
        <w:rPr>
          <w:rFonts w:ascii="MS PGothic" w:cs="MS PGothic" w:eastAsia="MS PGothic" w:hAnsi="MS PGothic"/>
          <w:sz w:val="18"/>
          <w:szCs w:val="18"/>
          <w:color w:val="auto"/>
        </w:rPr>
      </w:pPr>
    </w:p>
    <w:p>
      <w:pPr>
        <w:ind w:left="460" w:hanging="4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460" w:hanging="4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460" w:hanging="4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6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27"/>
        </w:trPr>
        <w:tc>
          <w:tcPr>
            <w:tcW w:w="462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9"/>
              </w:rPr>
              <w:t>Title of Each Class</w:t>
            </w:r>
          </w:p>
        </w:tc>
        <w:tc>
          <w:tcPr>
            <w:tcW w:w="30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9"/>
              </w:rPr>
              <w:t>Trading Symbol</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Exchange on Which Registered</w:t>
            </w:r>
          </w:p>
        </w:tc>
      </w:tr>
      <w:tr>
        <w:trPr>
          <w:trHeight w:val="225"/>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jc w:val="center"/>
              <w:ind w:right="571"/>
              <w:spacing w:after="0"/>
              <w:rPr>
                <w:sz w:val="20"/>
                <w:szCs w:val="20"/>
                <w:color w:val="auto"/>
              </w:rPr>
            </w:pPr>
            <w:r>
              <w:rPr>
                <w:rFonts w:ascii="Arial" w:cs="Arial" w:eastAsia="Arial" w:hAnsi="Arial"/>
                <w:sz w:val="18"/>
                <w:szCs w:val="18"/>
                <w:b w:val="1"/>
                <w:bCs w:val="1"/>
                <w:color w:val="auto"/>
                <w:w w:val="99"/>
              </w:rPr>
              <w:t>IPSC</w:t>
            </w:r>
          </w:p>
        </w:tc>
        <w:tc>
          <w:tcPr>
            <w:tcW w:w="1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Nasdaq Global Select Market</w:t>
            </w:r>
          </w:p>
        </w:tc>
      </w:tr>
    </w:tbl>
    <w:p>
      <w:pPr>
        <w:spacing w:after="0" w:line="182" w:lineRule="exact"/>
        <w:rPr>
          <w:sz w:val="24"/>
          <w:szCs w:val="24"/>
          <w:color w:val="auto"/>
        </w:rPr>
      </w:pPr>
    </w:p>
    <w:p>
      <w:pPr>
        <w:jc w:val="both"/>
        <w:ind w:right="20"/>
        <w:spacing w:after="0" w:line="25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1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454660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9" w:right="3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4"/>
          <w:szCs w:val="14"/>
          <w:b w:val="1"/>
          <w:bCs w:val="1"/>
          <w:u w:val="single" w:color="auto"/>
          <w:color w:val="auto"/>
        </w:rPr>
        <w:t>Results of Operations and Financial Condition</w:t>
      </w:r>
    </w:p>
    <w:p>
      <w:pPr>
        <w:spacing w:after="0" w:line="224" w:lineRule="exact"/>
        <w:rPr>
          <w:sz w:val="20"/>
          <w:szCs w:val="20"/>
          <w:color w:val="auto"/>
        </w:rPr>
      </w:pPr>
    </w:p>
    <w:p>
      <w:pPr>
        <w:ind w:right="160" w:firstLine="640"/>
        <w:spacing w:after="0" w:line="333" w:lineRule="auto"/>
        <w:rPr>
          <w:sz w:val="20"/>
          <w:szCs w:val="20"/>
          <w:color w:val="auto"/>
        </w:rPr>
      </w:pPr>
      <w:r>
        <w:rPr>
          <w:rFonts w:ascii="Arial" w:cs="Arial" w:eastAsia="Arial" w:hAnsi="Arial"/>
          <w:sz w:val="16"/>
          <w:szCs w:val="16"/>
          <w:color w:val="auto"/>
        </w:rPr>
        <w:t>On August 12, 2021, Century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issued a press release announcing its financial results for the quarter ended June 30, 2021. A copy of the press release is furnished as Exhibit 99.1 to this Current Report on Form 8-K and is incorporated herein by reference.</w:t>
      </w:r>
    </w:p>
    <w:p>
      <w:pPr>
        <w:spacing w:after="0" w:line="130" w:lineRule="exact"/>
        <w:rPr>
          <w:sz w:val="20"/>
          <w:szCs w:val="20"/>
          <w:color w:val="auto"/>
        </w:rPr>
      </w:pPr>
    </w:p>
    <w:p>
      <w:pPr>
        <w:ind w:firstLine="640"/>
        <w:spacing w:after="0" w:line="255" w:lineRule="auto"/>
        <w:rPr>
          <w:sz w:val="20"/>
          <w:szCs w:val="20"/>
          <w:color w:val="auto"/>
        </w:rPr>
      </w:pPr>
      <w:r>
        <w:rPr>
          <w:rFonts w:ascii="Arial" w:cs="Arial" w:eastAsia="Arial" w:hAnsi="Arial"/>
          <w:sz w:val="18"/>
          <w:szCs w:val="18"/>
          <w:color w:val="auto"/>
        </w:rPr>
        <w:t>The information contained in this Item 2.02 (including Exhibit 99.1) is being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4"/>
          <w:szCs w:val="14"/>
          <w:b w:val="1"/>
          <w:bCs w:val="1"/>
          <w:u w:val="single" w:color="auto"/>
          <w:color w:val="auto"/>
        </w:rPr>
        <w:t>Regulation FD Disclosure</w:t>
      </w:r>
    </w:p>
    <w:p>
      <w:pPr>
        <w:spacing w:after="0" w:line="224" w:lineRule="exact"/>
        <w:rPr>
          <w:sz w:val="20"/>
          <w:szCs w:val="20"/>
          <w:color w:val="auto"/>
        </w:rPr>
      </w:pPr>
    </w:p>
    <w:p>
      <w:pPr>
        <w:jc w:val="both"/>
        <w:ind w:right="40" w:firstLine="640"/>
        <w:spacing w:after="0" w:line="258" w:lineRule="auto"/>
        <w:rPr>
          <w:sz w:val="20"/>
          <w:szCs w:val="20"/>
          <w:color w:val="auto"/>
        </w:rPr>
      </w:pPr>
      <w:r>
        <w:rPr>
          <w:rFonts w:ascii="Arial" w:cs="Arial" w:eastAsia="Arial" w:hAnsi="Arial"/>
          <w:sz w:val="18"/>
          <w:szCs w:val="18"/>
          <w:color w:val="auto"/>
        </w:rPr>
        <w:t>On August 12, 2021,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86" w:lineRule="exact"/>
        <w:rPr>
          <w:sz w:val="20"/>
          <w:szCs w:val="20"/>
          <w:color w:val="auto"/>
        </w:rPr>
      </w:pPr>
    </w:p>
    <w:p>
      <w:pPr>
        <w:ind w:firstLine="640"/>
        <w:spacing w:after="0" w:line="281" w:lineRule="auto"/>
        <w:rPr>
          <w:sz w:val="20"/>
          <w:szCs w:val="20"/>
          <w:color w:val="auto"/>
        </w:rPr>
      </w:pPr>
      <w:r>
        <w:rPr>
          <w:rFonts w:ascii="Arial" w:cs="Arial" w:eastAsia="Arial" w:hAnsi="Arial"/>
          <w:sz w:val="17"/>
          <w:szCs w:val="17"/>
          <w:color w:val="auto"/>
        </w:rPr>
        <w:t>The information contained in this Item 7.01 (including Exhibit 99.2) is being furnished and shall not be deemed “filed” for purposes of Section 18 of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6"/>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1"/>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gridSpan w:val="3"/>
          </w:tcPr>
          <w:p>
            <w:pPr>
              <w:ind w:left="2060"/>
              <w:spacing w:after="0"/>
              <w:rPr>
                <w:sz w:val="20"/>
                <w:szCs w:val="20"/>
                <w:color w:val="auto"/>
              </w:rPr>
            </w:pPr>
            <w:r>
              <w:rPr>
                <w:rFonts w:ascii="Arial" w:cs="Arial" w:eastAsia="Arial" w:hAnsi="Arial"/>
                <w:sz w:val="18"/>
                <w:szCs w:val="18"/>
                <w:b w:val="1"/>
                <w:bCs w:val="1"/>
                <w:color w:val="auto"/>
              </w:rPr>
              <w:t>Document</w:t>
            </w:r>
          </w:p>
        </w:tc>
      </w:tr>
      <w:tr>
        <w:trPr>
          <w:trHeight w:val="381"/>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of Century Therapeutics, Inc., dated August 12, 2021</w:t>
              </w:r>
            </w:hyperlink>
          </w:p>
        </w:tc>
        <w:tc>
          <w:tcPr>
            <w:tcW w:w="5180" w:type="dxa"/>
            <w:vAlign w:val="bottom"/>
            <w:gridSpan w:val="2"/>
          </w:tcPr>
          <w:p>
            <w:pPr>
              <w:spacing w:after="0"/>
              <w:rPr>
                <w:sz w:val="24"/>
                <w:szCs w:val="24"/>
                <w:color w:val="auto"/>
              </w:rPr>
            </w:pPr>
          </w:p>
        </w:tc>
      </w:tr>
      <w:tr>
        <w:trPr>
          <w:trHeight w:val="380"/>
        </w:trPr>
        <w:tc>
          <w:tcPr>
            <w:tcW w:w="320" w:type="dxa"/>
            <w:vAlign w:val="bottom"/>
          </w:tcPr>
          <w:p>
            <w:pPr>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Investor Presentation of Century Therapeutics, Inc., dated August 12,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40" w:type="dxa"/>
            <w:vAlign w:val="bottom"/>
            <w:gridSpan w:val="3"/>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19"/>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5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440"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4" w:lineRule="exact"/>
        <w:rPr>
          <w:sz w:val="20"/>
          <w:szCs w:val="20"/>
          <w:color w:val="auto"/>
        </w:rPr>
      </w:pPr>
    </w:p>
    <w:tbl>
      <w:tblPr>
        <w:tblLayout w:type="fixed"/>
        <w:tblInd w:w="5640" w:type="dxa"/>
        <w:tblCellMar>
          <w:top w:w="0" w:type="dxa"/>
          <w:left w:w="0" w:type="dxa"/>
          <w:bottom w:w="0" w:type="dxa"/>
          <w:right w:w="0" w:type="dxa"/>
        </w:tblCellMar>
      </w:tblPr>
      <w:tr>
        <w:trPr>
          <w:trHeight w:val="22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Osvaldo Flores, Ph.D.</w:t>
            </w:r>
          </w:p>
        </w:tc>
      </w:tr>
      <w:tr>
        <w:trPr>
          <w:trHeight w:val="194"/>
        </w:trPr>
        <w:tc>
          <w:tcPr>
            <w:tcW w:w="56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4" w:lineRule="exact"/>
              <w:rPr>
                <w:sz w:val="20"/>
                <w:szCs w:val="20"/>
                <w:color w:val="auto"/>
              </w:rPr>
            </w:pPr>
            <w:r>
              <w:rPr>
                <w:rFonts w:ascii="Arial" w:cs="Arial" w:eastAsia="Arial" w:hAnsi="Arial"/>
                <w:sz w:val="18"/>
                <w:szCs w:val="18"/>
                <w:color w:val="auto"/>
              </w:rPr>
              <w:t>Osvaldo Flores, Ph.D.</w:t>
            </w:r>
          </w:p>
        </w:tc>
      </w:tr>
      <w:tr>
        <w:trPr>
          <w:trHeight w:val="22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0" w:lineRule="exact"/>
        <w:rPr>
          <w:sz w:val="20"/>
          <w:szCs w:val="20"/>
          <w:color w:val="auto"/>
        </w:rPr>
      </w:pPr>
    </w:p>
    <w:p>
      <w:pPr>
        <w:jc w:val="center"/>
        <w:ind w:right="20"/>
        <w:spacing w:after="0" w:line="254" w:lineRule="auto"/>
        <w:rPr>
          <w:sz w:val="20"/>
          <w:szCs w:val="20"/>
          <w:color w:val="auto"/>
        </w:rPr>
      </w:pPr>
      <w:r>
        <w:rPr>
          <w:rFonts w:ascii="Arial" w:cs="Arial" w:eastAsia="Arial" w:hAnsi="Arial"/>
          <w:sz w:val="18"/>
          <w:szCs w:val="18"/>
          <w:b w:val="1"/>
          <w:bCs w:val="1"/>
          <w:color w:val="auto"/>
        </w:rPr>
        <w:t xml:space="preserve">Century Therapeutics Reports Second Quarter 2021 Financial Results and Business Updates </w:t>
      </w:r>
      <w:r>
        <w:rPr>
          <w:rFonts w:ascii="Arial" w:cs="Arial" w:eastAsia="Arial" w:hAnsi="Arial"/>
          <w:sz w:val="18"/>
          <w:szCs w:val="18"/>
          <w:i w:val="1"/>
          <w:iCs w:val="1"/>
          <w:color w:val="auto"/>
        </w:rPr>
        <w:t>Continued Company investment across our iPSC platforms, programs and manufacturing Lead program, CNTY-101, remains on track for IND filing in mid-2022 Recent IPO with net proceeds of approximately $221M June 30, 2021 cash, cash equivalents, and marketable securities of $440M</w:t>
      </w:r>
    </w:p>
    <w:p>
      <w:pPr>
        <w:spacing w:after="0" w:line="186"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PHILADELPHIA, August 12, 2021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Century Therapeutics</w:t>
      </w:r>
      <w:r>
        <w:rPr>
          <w:rFonts w:ascii="Arial" w:cs="Arial" w:eastAsia="Arial" w:hAnsi="Arial"/>
          <w:sz w:val="16"/>
          <w:szCs w:val="16"/>
          <w:color w:val="auto"/>
        </w:rPr>
        <w:t>, (NASDAQ: IPSC), an innovative biotechnology company developing induced pluripotent stem</w:t>
      </w:r>
      <w:r>
        <w:rPr>
          <w:rFonts w:ascii="Arial" w:cs="Arial" w:eastAsia="Arial" w:hAnsi="Arial"/>
          <w:sz w:val="16"/>
          <w:szCs w:val="16"/>
          <w:b w:val="1"/>
          <w:bCs w:val="1"/>
          <w:color w:val="auto"/>
        </w:rPr>
        <w:t xml:space="preserve"> </w:t>
      </w:r>
      <w:r>
        <w:rPr>
          <w:rFonts w:ascii="Arial" w:cs="Arial" w:eastAsia="Arial" w:hAnsi="Arial"/>
          <w:sz w:val="16"/>
          <w:szCs w:val="16"/>
          <w:color w:val="auto"/>
        </w:rPr>
        <w:t>cell (iPSC)-derived cell therapies in immuno-oncology, today reported financial results and business highlights for the second quarter ended June 30, 2021.</w:t>
      </w:r>
    </w:p>
    <w:p>
      <w:pPr>
        <w:spacing w:after="0" w:line="12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“With the proceeds raised from our IPO in June, we are well positioned to advance our lead candidate CNTY-101 toward clinical development, targeting IND filing in mid-2022,” said Lalo Flores, Chief Executive Officer, Century Therapeutics. “We continue our investment in our iPSC platforms and are pleased with the progress achieved in developing iPSC-derived cell product candidates for the treatment of cancers with high unmet clinical need. We look forward to providing scientific updates on our programs and platform in the second half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24" w:lineRule="exact"/>
        <w:rPr>
          <w:sz w:val="20"/>
          <w:szCs w:val="20"/>
          <w:color w:val="auto"/>
        </w:rPr>
      </w:pPr>
    </w:p>
    <w:p>
      <w:pPr>
        <w:ind w:left="640" w:right="80" w:hanging="313"/>
        <w:spacing w:after="0" w:line="258"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Raised $221 million in public offering of common stock: In June 2021, the company announced a public offering of 10,550,000 shares of its common stock at a price of $20 per share. The underwriters also exercised their option to purchase an additional 1,582,500 shares of common stock for total offering net proceeds of $221 million.</w:t>
      </w:r>
    </w:p>
    <w:p>
      <w:pPr>
        <w:spacing w:after="0" w:line="186" w:lineRule="exact"/>
        <w:rPr>
          <w:rFonts w:ascii="Arial" w:cs="Arial" w:eastAsia="Arial" w:hAnsi="Arial"/>
          <w:sz w:val="18"/>
          <w:szCs w:val="18"/>
          <w:color w:val="auto"/>
        </w:rPr>
      </w:pPr>
    </w:p>
    <w:p>
      <w:pPr>
        <w:ind w:left="640" w:right="440" w:hanging="313"/>
        <w:spacing w:after="0" w:line="27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our Board of Directors: The Company appointed pharmaceutical industry veterans Alessandro Riva, M.D. and Kimberly Blackwell, M.D., as new Independent Directors.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Continued manufacturing and technical operations investment: Our US manufacturing facility is expected to be operational by end of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220" w:lineRule="exact"/>
        <w:rPr>
          <w:sz w:val="20"/>
          <w:szCs w:val="20"/>
          <w:color w:val="auto"/>
        </w:rPr>
      </w:pPr>
    </w:p>
    <w:p>
      <w:pPr>
        <w:ind w:left="640" w:right="440" w:hanging="313"/>
        <w:spacing w:after="0" w:line="305"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Cash, cash equivalents and marketable securities were $440.0 million as of June 30, 2021, as compared to $246.1 million as of</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2021. This includes $221.2 million in net proceeds from the company’s public offering in June 2021.</w:t>
      </w:r>
    </w:p>
    <w:p>
      <w:pPr>
        <w:spacing w:after="0" w:line="143" w:lineRule="exact"/>
        <w:rPr>
          <w:rFonts w:ascii="Arial" w:cs="Arial" w:eastAsia="Arial" w:hAnsi="Arial"/>
          <w:sz w:val="17"/>
          <w:szCs w:val="17"/>
          <w:color w:val="auto"/>
        </w:rPr>
      </w:pPr>
    </w:p>
    <w:p>
      <w:pPr>
        <w:ind w:left="640" w:right="380" w:hanging="313"/>
        <w:spacing w:after="0" w:line="27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Research and Development (R&amp;D) expenses</w:t>
      </w:r>
      <w:r>
        <w:rPr>
          <w:rFonts w:ascii="Arial" w:cs="Arial" w:eastAsia="Arial" w:hAnsi="Arial"/>
          <w:sz w:val="18"/>
          <w:szCs w:val="18"/>
          <w:color w:val="auto"/>
        </w:rPr>
        <w:t>: R&amp;D expenses were $18.9 million for the three months ended June 30, 2021, compared to $8.5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in 2020.</w:t>
      </w:r>
    </w:p>
    <w:p>
      <w:pPr>
        <w:spacing w:after="0" w:line="167" w:lineRule="exact"/>
        <w:rPr>
          <w:rFonts w:ascii="Arial" w:cs="Arial" w:eastAsia="Arial" w:hAnsi="Arial"/>
          <w:sz w:val="18"/>
          <w:szCs w:val="18"/>
          <w:color w:val="auto"/>
        </w:rPr>
      </w:pPr>
    </w:p>
    <w:p>
      <w:pPr>
        <w:ind w:left="640" w:right="380" w:hanging="313"/>
        <w:spacing w:after="0" w:line="274" w:lineRule="auto"/>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(G&amp;A) expenses</w:t>
      </w:r>
      <w:r>
        <w:rPr>
          <w:rFonts w:ascii="Arial" w:cs="Arial" w:eastAsia="Arial" w:hAnsi="Arial"/>
          <w:sz w:val="18"/>
          <w:szCs w:val="18"/>
          <w:color w:val="auto"/>
        </w:rPr>
        <w:t>: G&amp;A expenses were $4.1 million for the three months ended June 30, 2021, compared to $2.3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640" w:hanging="313"/>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Net loss</w:t>
      </w:r>
      <w:r>
        <w:rPr>
          <w:rFonts w:ascii="Arial" w:cs="Arial" w:eastAsia="Arial" w:hAnsi="Arial"/>
          <w:sz w:val="17"/>
          <w:szCs w:val="17"/>
          <w:color w:val="auto"/>
        </w:rPr>
        <w:t>: Net loss was $23.3 million for the three months ended June 30, 2021, compared to $15.3 million for the same period in 2020.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Century Therapeutics</w:t>
      </w:r>
    </w:p>
    <w:p>
      <w:pPr>
        <w:spacing w:after="0" w:line="22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Century Therapeutics (NASDAQ: IPSC) is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t>
      </w:r>
      <w:r>
        <w:rPr>
          <w:rFonts w:ascii="Arial" w:cs="Arial" w:eastAsia="Arial" w:hAnsi="Arial"/>
          <w:sz w:val="16"/>
          <w:szCs w:val="16"/>
          <w:u w:val="single" w:color="auto"/>
          <w:color w:val="auto"/>
        </w:rPr>
        <w:t>https://www.centurytx.com/</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cash and financial resources, our clinical development plans, and the development of our U.S. manufacturing facility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presentation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on our business and operations; the performance of third parties in connection with the development of our product candidates, including third parties conducting our future clinical trials as well as third-party suppliers and manufacturers; our ability to successfully commercialize our product candidates and develop sales and marketing capabilities, if our product candidates are approved;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Investor.relations@centurytx.com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267.857.1080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media@centurytx.com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investments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Escrow deposits, current</w:t>
      </w:r>
    </w:p>
    <w:p>
      <w:pPr>
        <w:spacing w:after="0" w:line="6" w:lineRule="exact"/>
        <w:rPr>
          <w:sz w:val="20"/>
          <w:szCs w:val="20"/>
          <w:color w:val="auto"/>
        </w:rPr>
      </w:pPr>
    </w:p>
    <w:p>
      <w:pPr>
        <w:ind w:firstLine="107"/>
        <w:spacing w:after="0" w:line="286" w:lineRule="auto"/>
        <w:rPr>
          <w:sz w:val="20"/>
          <w:szCs w:val="20"/>
          <w:color w:val="auto"/>
        </w:rPr>
      </w:pPr>
      <w:r>
        <w:rPr>
          <w:rFonts w:ascii="Arial" w:cs="Arial" w:eastAsia="Arial" w:hAnsi="Arial"/>
          <w:sz w:val="18"/>
          <w:szCs w:val="18"/>
          <w:color w:val="auto"/>
        </w:rPr>
        <w:t>Prepaid expenses and other current assets Total current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Escrow deposits, non-current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7"/>
          <w:szCs w:val="17"/>
          <w:b w:val="1"/>
          <w:bCs w:val="1"/>
          <w:color w:val="auto"/>
        </w:rPr>
        <w:t>CENTURY THERAPEUTICS, INC. AND SUBSIDIARY</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tbl>
      <w:tblPr>
        <w:tblLayout w:type="fixed"/>
        <w:tblInd w:w="50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June 30, 2021</w:t>
            </w:r>
          </w:p>
        </w:tc>
        <w:tc>
          <w:tcPr>
            <w:tcW w:w="1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w w:val="88"/>
              </w:rPr>
              <w:t>December 31,</w:t>
            </w:r>
          </w:p>
        </w:tc>
      </w:tr>
      <w:tr>
        <w:trPr>
          <w:trHeight w:val="228"/>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8"/>
              </w:rPr>
              <w:t>(unaudited)</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2020</w:t>
            </w:r>
          </w:p>
        </w:tc>
      </w:tr>
      <w:tr>
        <w:trPr>
          <w:trHeight w:val="834"/>
        </w:trPr>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272,277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27,211</w:t>
            </w: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125,290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48,542</w:t>
            </w: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2,261</w:t>
            </w:r>
          </w:p>
        </w:tc>
      </w:tr>
      <w:tr>
        <w:trPr>
          <w:trHeight w:val="221"/>
        </w:trPr>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402,611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78,797</w:t>
            </w:r>
          </w:p>
        </w:tc>
      </w:tr>
      <w:tr>
        <w:trPr>
          <w:trHeight w:val="4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34,462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15,385</w:t>
            </w: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12,251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9,392</w:t>
            </w: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42,474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21"/>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495,630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106,776</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-2244725</wp:posOffset>
            </wp:positionV>
            <wp:extent cx="7134225" cy="144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-1964690</wp:posOffset>
            </wp:positionV>
            <wp:extent cx="7134225" cy="135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-1694180</wp:posOffset>
            </wp:positionV>
            <wp:extent cx="7134225" cy="13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-1423035</wp:posOffset>
            </wp:positionV>
            <wp:extent cx="7134225"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-1134745</wp:posOffset>
            </wp:positionV>
            <wp:extent cx="7134225" cy="135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-863600</wp:posOffset>
            </wp:positionV>
            <wp:extent cx="7134225" cy="135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-592455</wp:posOffset>
            </wp:positionV>
            <wp:extent cx="7134225" cy="135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-321310</wp:posOffset>
            </wp:positionV>
            <wp:extent cx="7134225" cy="144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60" w:space="380"/>
            <w:col w:w="7800"/>
          </w:cols>
          <w:pgMar w:left="320" w:top="895" w:right="339" w:bottom="1440" w:gutter="0" w:footer="0" w:header="0"/>
        </w:sectPr>
      </w:pPr>
    </w:p>
    <w:tbl>
      <w:tblPr>
        <w:tblLayout w:type="fixed"/>
        <w:tblInd w:w="0" w:type="dxa"/>
        <w:tblCellMar>
          <w:top w:w="0" w:type="dxa"/>
          <w:left w:w="0" w:type="dxa"/>
          <w:bottom w:w="0" w:type="dxa"/>
          <w:right w:w="0" w:type="dxa"/>
        </w:tblCellMar>
      </w:tblPr>
      <w:tr>
        <w:trPr>
          <w:trHeight w:val="193"/>
        </w:trPr>
        <w:tc>
          <w:tcPr>
            <w:tcW w:w="8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8280" w:type="dxa"/>
            <w:vAlign w:val="bottom"/>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8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82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13,427</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80" w:type="dxa"/>
            <w:vAlign w:val="bottom"/>
            <w:shd w:val="clear" w:color="auto" w:fill="CCEEFF"/>
          </w:tcPr>
          <w:p>
            <w:pPr>
              <w:spacing w:after="0"/>
              <w:rPr>
                <w:sz w:val="18"/>
                <w:szCs w:val="18"/>
                <w:color w:val="auto"/>
              </w:rPr>
            </w:pPr>
          </w:p>
        </w:tc>
      </w:tr>
      <w:tr>
        <w:trPr>
          <w:trHeight w:val="213"/>
        </w:trPr>
        <w:tc>
          <w:tcPr>
            <w:tcW w:w="828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6,832</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4,030</w:t>
            </w:r>
          </w:p>
        </w:tc>
        <w:tc>
          <w:tcPr>
            <w:tcW w:w="80" w:type="dxa"/>
            <w:vAlign w:val="bottom"/>
          </w:tcPr>
          <w:p>
            <w:pPr>
              <w:spacing w:after="0"/>
              <w:rPr>
                <w:sz w:val="18"/>
                <w:szCs w:val="18"/>
                <w:color w:val="auto"/>
              </w:rPr>
            </w:pPr>
          </w:p>
        </w:tc>
      </w:tr>
      <w:tr>
        <w:trPr>
          <w:trHeight w:val="227"/>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Deposit liability</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w:t>
            </w: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82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21,225</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8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8280" w:type="dxa"/>
            <w:vAlign w:val="bottom"/>
          </w:tcPr>
          <w:p>
            <w:pPr>
              <w:spacing w:after="0"/>
              <w:rPr>
                <w:sz w:val="20"/>
                <w:szCs w:val="20"/>
                <w:color w:val="auto"/>
              </w:rPr>
            </w:pPr>
            <w:r>
              <w:rPr>
                <w:rFonts w:ascii="Arial" w:cs="Arial" w:eastAsia="Arial" w:hAnsi="Arial"/>
                <w:sz w:val="18"/>
                <w:szCs w:val="18"/>
                <w:color w:val="auto"/>
              </w:rPr>
              <w:t>Operating lease liability, long term</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14,752</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11,679</w:t>
            </w:r>
          </w:p>
        </w:tc>
        <w:tc>
          <w:tcPr>
            <w:tcW w:w="80" w:type="dxa"/>
            <w:vAlign w:val="bottom"/>
          </w:tcPr>
          <w:p>
            <w:pPr>
              <w:spacing w:after="0"/>
              <w:rPr>
                <w:sz w:val="18"/>
                <w:szCs w:val="18"/>
                <w:color w:val="auto"/>
              </w:rPr>
            </w:pPr>
          </w:p>
        </w:tc>
      </w:tr>
      <w:tr>
        <w:trPr>
          <w:trHeight w:val="213"/>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Deposit liability, non-current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2,268</w:t>
            </w: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8280" w:type="dxa"/>
            <w:vAlign w:val="bottom"/>
          </w:tcPr>
          <w:p>
            <w:pPr>
              <w:spacing w:after="0"/>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9,788</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9,636</w:t>
            </w:r>
          </w:p>
        </w:tc>
        <w:tc>
          <w:tcPr>
            <w:tcW w:w="80" w:type="dxa"/>
            <w:vAlign w:val="bottom"/>
          </w:tcPr>
          <w:p>
            <w:pPr>
              <w:spacing w:after="0"/>
              <w:rPr>
                <w:sz w:val="19"/>
                <w:szCs w:val="19"/>
                <w:color w:val="auto"/>
              </w:rPr>
            </w:pPr>
          </w:p>
        </w:tc>
      </w:tr>
      <w:tr>
        <w:trPr>
          <w:trHeight w:val="220"/>
        </w:trPr>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33,427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9"/>
        </w:trPr>
        <w:tc>
          <w:tcPr>
            <w:tcW w:w="8280" w:type="dxa"/>
            <w:vAlign w:val="bottom"/>
          </w:tcPr>
          <w:p>
            <w:pPr>
              <w:spacing w:after="0" w:line="199" w:lineRule="exact"/>
              <w:rPr>
                <w:sz w:val="20"/>
                <w:szCs w:val="20"/>
                <w:color w:val="auto"/>
              </w:rPr>
            </w:pPr>
            <w:r>
              <w:rPr>
                <w:rFonts w:ascii="Arial" w:cs="Arial" w:eastAsia="Arial" w:hAnsi="Arial"/>
                <w:sz w:val="18"/>
                <w:szCs w:val="18"/>
                <w:color w:val="auto"/>
                <w:w w:val="93"/>
              </w:rPr>
              <w:t>Non-cumulative convertible preferred stock, Series A, $ 0.0001 par value, 0 and 35,000,000 shares authorized,</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7"/>
        </w:trPr>
        <w:tc>
          <w:tcPr>
            <w:tcW w:w="8280" w:type="dxa"/>
            <w:vAlign w:val="bottom"/>
          </w:tcPr>
          <w:p>
            <w:pPr>
              <w:spacing w:after="0"/>
              <w:rPr>
                <w:sz w:val="20"/>
                <w:szCs w:val="20"/>
                <w:color w:val="auto"/>
              </w:rPr>
            </w:pPr>
            <w:r>
              <w:rPr>
                <w:rFonts w:ascii="Arial" w:cs="Arial" w:eastAsia="Arial" w:hAnsi="Arial"/>
                <w:sz w:val="18"/>
                <w:szCs w:val="18"/>
                <w:color w:val="auto"/>
              </w:rPr>
              <w:t>issued and outstanding at June 30, 2021 and December 31, 2020, respectively</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34,922</w:t>
            </w:r>
          </w:p>
        </w:tc>
        <w:tc>
          <w:tcPr>
            <w:tcW w:w="80" w:type="dxa"/>
            <w:vAlign w:val="bottom"/>
          </w:tcPr>
          <w:p>
            <w:pPr>
              <w:spacing w:after="0"/>
              <w:rPr>
                <w:sz w:val="19"/>
                <w:szCs w:val="19"/>
                <w:color w:val="auto"/>
              </w:rPr>
            </w:pPr>
          </w:p>
        </w:tc>
      </w:tr>
      <w:tr>
        <w:trPr>
          <w:trHeight w:val="200"/>
        </w:trPr>
        <w:tc>
          <w:tcPr>
            <w:tcW w:w="8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3"/>
              </w:rPr>
              <w:t>Non-cumulative convertible preferred stock, Series B, $ 0.0001 par value, 0 and 26,143,790 shares authorized,</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at June 30, 2021 and December 31, 2020, respectively</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144,839</w:t>
            </w:r>
          </w:p>
        </w:tc>
        <w:tc>
          <w:tcPr>
            <w:tcW w:w="80" w:type="dxa"/>
            <w:vAlign w:val="bottom"/>
            <w:shd w:val="clear" w:color="auto" w:fill="CCEEFF"/>
          </w:tcPr>
          <w:p>
            <w:pPr>
              <w:spacing w:after="0"/>
              <w:rPr>
                <w:sz w:val="19"/>
                <w:szCs w:val="19"/>
                <w:color w:val="auto"/>
              </w:rPr>
            </w:pPr>
          </w:p>
        </w:tc>
      </w:tr>
      <w:tr>
        <w:trPr>
          <w:trHeight w:val="213"/>
        </w:trPr>
        <w:tc>
          <w:tcPr>
            <w:tcW w:w="82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8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89"/>
              </w:rPr>
              <w:t>Preferred stock, $ 0.0001 par value, 10,000,000 and 0 shares authorized at June 30, 2021 and December 31, 2020,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respectively, and 0 shares issued and outstanding</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9"/>
        </w:trPr>
        <w:tc>
          <w:tcPr>
            <w:tcW w:w="8280" w:type="dxa"/>
            <w:vAlign w:val="bottom"/>
          </w:tcPr>
          <w:p>
            <w:pPr>
              <w:spacing w:after="0" w:line="199" w:lineRule="exact"/>
              <w:rPr>
                <w:sz w:val="20"/>
                <w:szCs w:val="20"/>
                <w:color w:val="auto"/>
              </w:rPr>
            </w:pPr>
            <w:r>
              <w:rPr>
                <w:rFonts w:ascii="Arial" w:cs="Arial" w:eastAsia="Arial" w:hAnsi="Arial"/>
                <w:sz w:val="18"/>
                <w:szCs w:val="18"/>
                <w:color w:val="auto"/>
                <w:w w:val="92"/>
              </w:rPr>
              <w:t>Common stock, $0.0001 par value, 300,000,000 and 125,236,190 shares authorized; 54,404,091 and 7,481,861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7"/>
        </w:trPr>
        <w:tc>
          <w:tcPr>
            <w:tcW w:w="8280" w:type="dxa"/>
            <w:vAlign w:val="bottom"/>
          </w:tcPr>
          <w:p>
            <w:pPr>
              <w:spacing w:after="0"/>
              <w:rPr>
                <w:sz w:val="20"/>
                <w:szCs w:val="20"/>
                <w:color w:val="auto"/>
              </w:rPr>
            </w:pPr>
            <w:r>
              <w:rPr>
                <w:rFonts w:ascii="Arial" w:cs="Arial" w:eastAsia="Arial" w:hAnsi="Arial"/>
                <w:sz w:val="18"/>
                <w:szCs w:val="18"/>
                <w:color w:val="auto"/>
              </w:rPr>
              <w:t>shares issued and outstanding at June 30, 2021 and December 31, 2020, respectively</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14"/>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781,558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217,832</w:t>
            </w:r>
          </w:p>
        </w:tc>
        <w:tc>
          <w:tcPr>
            <w:tcW w:w="80" w:type="dxa"/>
            <w:vAlign w:val="bottom"/>
            <w:shd w:val="clear" w:color="auto" w:fill="CCEEFF"/>
          </w:tcPr>
          <w:p>
            <w:pPr>
              <w:spacing w:after="0"/>
              <w:rPr>
                <w:sz w:val="18"/>
                <w:szCs w:val="18"/>
                <w:color w:val="auto"/>
              </w:rPr>
            </w:pPr>
          </w:p>
        </w:tc>
      </w:tr>
      <w:tr>
        <w:trPr>
          <w:trHeight w:val="213"/>
        </w:trPr>
        <w:tc>
          <w:tcPr>
            <w:tcW w:w="8280" w:type="dxa"/>
            <w:vAlign w:val="bottom"/>
          </w:tcPr>
          <w:p>
            <w:pPr>
              <w:spacing w:after="0"/>
              <w:rPr>
                <w:sz w:val="20"/>
                <w:szCs w:val="20"/>
                <w:color w:val="auto"/>
              </w:rPr>
            </w:pPr>
            <w:r>
              <w:rPr>
                <w:rFonts w:ascii="Arial" w:cs="Arial" w:eastAsia="Arial" w:hAnsi="Arial"/>
                <w:sz w:val="18"/>
                <w:szCs w:val="18"/>
                <w:color w:val="auto"/>
              </w:rPr>
              <w:t>Subscription receivable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(31,900)</w:t>
            </w:r>
          </w:p>
        </w:tc>
      </w:tr>
      <w:tr>
        <w:trPr>
          <w:trHeight w:val="213"/>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(333,963)</w:t>
            </w: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(292,342)</w:t>
            </w:r>
          </w:p>
        </w:tc>
      </w:tr>
      <w:tr>
        <w:trPr>
          <w:trHeight w:val="227"/>
        </w:trPr>
        <w:tc>
          <w:tcPr>
            <w:tcW w:w="82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07"/>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447,597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(106,412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20"/>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495,630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7"/>
        </w:trPr>
        <w:tc>
          <w:tcPr>
            <w:tcW w:w="8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CENTURY THERAPEUTICS,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62"/>
              <w:spacing w:after="0"/>
              <w:rPr>
                <w:sz w:val="20"/>
                <w:szCs w:val="20"/>
                <w:color w:val="auto"/>
              </w:rPr>
            </w:pPr>
            <w:r>
              <w:rPr>
                <w:rFonts w:ascii="Arial" w:cs="Arial" w:eastAsia="Arial" w:hAnsi="Arial"/>
                <w:sz w:val="18"/>
                <w:szCs w:val="18"/>
                <w:color w:val="auto"/>
                <w:w w:val="90"/>
              </w:rPr>
              <w:t>Three Months</w:t>
            </w:r>
          </w:p>
        </w:tc>
        <w:tc>
          <w:tcPr>
            <w:tcW w:w="100" w:type="dxa"/>
            <w:vAlign w:val="bottom"/>
          </w:tcPr>
          <w:p>
            <w:pPr>
              <w:spacing w:after="0"/>
              <w:rPr>
                <w:sz w:val="18"/>
                <w:szCs w:val="18"/>
                <w:color w:val="auto"/>
              </w:rPr>
            </w:pPr>
          </w:p>
        </w:tc>
        <w:tc>
          <w:tcPr>
            <w:tcW w:w="1340" w:type="dxa"/>
            <w:vAlign w:val="bottom"/>
            <w:gridSpan w:val="2"/>
          </w:tcPr>
          <w:p>
            <w:pPr>
              <w:jc w:val="center"/>
              <w:ind w:right="222"/>
              <w:spacing w:after="0"/>
              <w:rPr>
                <w:sz w:val="20"/>
                <w:szCs w:val="20"/>
                <w:color w:val="auto"/>
              </w:rPr>
            </w:pPr>
            <w:r>
              <w:rPr>
                <w:rFonts w:ascii="Arial" w:cs="Arial" w:eastAsia="Arial" w:hAnsi="Arial"/>
                <w:sz w:val="18"/>
                <w:szCs w:val="18"/>
                <w:color w:val="auto"/>
                <w:w w:val="90"/>
              </w:rPr>
              <w:t>Three Months</w:t>
            </w:r>
          </w:p>
        </w:tc>
        <w:tc>
          <w:tcPr>
            <w:tcW w:w="100" w:type="dxa"/>
            <w:vAlign w:val="bottom"/>
          </w:tcPr>
          <w:p>
            <w:pPr>
              <w:spacing w:after="0"/>
              <w:rPr>
                <w:sz w:val="18"/>
                <w:szCs w:val="18"/>
                <w:color w:val="auto"/>
              </w:rPr>
            </w:pPr>
          </w:p>
        </w:tc>
        <w:tc>
          <w:tcPr>
            <w:tcW w:w="1340" w:type="dxa"/>
            <w:vAlign w:val="bottom"/>
            <w:gridSpan w:val="2"/>
          </w:tcPr>
          <w:p>
            <w:pPr>
              <w:jc w:val="center"/>
              <w:ind w:right="222"/>
              <w:spacing w:after="0"/>
              <w:rPr>
                <w:sz w:val="20"/>
                <w:szCs w:val="20"/>
                <w:color w:val="auto"/>
              </w:rPr>
            </w:pPr>
            <w:r>
              <w:rPr>
                <w:rFonts w:ascii="Arial" w:cs="Arial" w:eastAsia="Arial" w:hAnsi="Arial"/>
                <w:sz w:val="18"/>
                <w:szCs w:val="18"/>
                <w:color w:val="auto"/>
                <w:w w:val="94"/>
              </w:rPr>
              <w:t>Six Months</w:t>
            </w:r>
          </w:p>
        </w:tc>
        <w:tc>
          <w:tcPr>
            <w:tcW w:w="120" w:type="dxa"/>
            <w:vAlign w:val="bottom"/>
          </w:tcPr>
          <w:p>
            <w:pPr>
              <w:spacing w:after="0"/>
              <w:rPr>
                <w:sz w:val="18"/>
                <w:szCs w:val="18"/>
                <w:color w:val="auto"/>
              </w:rPr>
            </w:pPr>
          </w:p>
        </w:tc>
        <w:tc>
          <w:tcPr>
            <w:tcW w:w="1220" w:type="dxa"/>
            <w:vAlign w:val="bottom"/>
            <w:gridSpan w:val="2"/>
          </w:tcPr>
          <w:p>
            <w:pPr>
              <w:jc w:val="center"/>
              <w:ind w:right="142"/>
              <w:spacing w:after="0"/>
              <w:rPr>
                <w:sz w:val="20"/>
                <w:szCs w:val="20"/>
                <w:color w:val="auto"/>
              </w:rPr>
            </w:pPr>
            <w:r>
              <w:rPr>
                <w:rFonts w:ascii="Arial" w:cs="Arial" w:eastAsia="Arial" w:hAnsi="Arial"/>
                <w:sz w:val="18"/>
                <w:szCs w:val="18"/>
                <w:color w:val="auto"/>
                <w:w w:val="94"/>
              </w:rPr>
              <w:t>Six Months</w:t>
            </w:r>
          </w:p>
        </w:tc>
      </w:tr>
      <w:tr>
        <w:trPr>
          <w:trHeight w:val="226"/>
        </w:trPr>
        <w:tc>
          <w:tcPr>
            <w:tcW w:w="5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262"/>
              <w:spacing w:after="0"/>
              <w:rPr>
                <w:sz w:val="20"/>
                <w:szCs w:val="20"/>
                <w:color w:val="auto"/>
              </w:rPr>
            </w:pPr>
            <w:r>
              <w:rPr>
                <w:rFonts w:ascii="Arial" w:cs="Arial" w:eastAsia="Arial" w:hAnsi="Arial"/>
                <w:sz w:val="18"/>
                <w:szCs w:val="18"/>
                <w:color w:val="auto"/>
                <w:w w:val="84"/>
              </w:rPr>
              <w:t>Ended</w:t>
            </w:r>
          </w:p>
        </w:tc>
        <w:tc>
          <w:tcPr>
            <w:tcW w:w="100" w:type="dxa"/>
            <w:vAlign w:val="bottom"/>
          </w:tcPr>
          <w:p>
            <w:pPr>
              <w:spacing w:after="0"/>
              <w:rPr>
                <w:sz w:val="19"/>
                <w:szCs w:val="19"/>
                <w:color w:val="auto"/>
              </w:rPr>
            </w:pPr>
          </w:p>
        </w:tc>
        <w:tc>
          <w:tcPr>
            <w:tcW w:w="1340" w:type="dxa"/>
            <w:vAlign w:val="bottom"/>
            <w:gridSpan w:val="2"/>
          </w:tcPr>
          <w:p>
            <w:pPr>
              <w:jc w:val="center"/>
              <w:ind w:right="222"/>
              <w:spacing w:after="0"/>
              <w:rPr>
                <w:sz w:val="20"/>
                <w:szCs w:val="20"/>
                <w:color w:val="auto"/>
              </w:rPr>
            </w:pPr>
            <w:r>
              <w:rPr>
                <w:rFonts w:ascii="Arial" w:cs="Arial" w:eastAsia="Arial" w:hAnsi="Arial"/>
                <w:sz w:val="18"/>
                <w:szCs w:val="18"/>
                <w:color w:val="auto"/>
                <w:w w:val="84"/>
              </w:rPr>
              <w:t>Ended</w:t>
            </w:r>
          </w:p>
        </w:tc>
        <w:tc>
          <w:tcPr>
            <w:tcW w:w="100" w:type="dxa"/>
            <w:vAlign w:val="bottom"/>
          </w:tcPr>
          <w:p>
            <w:pPr>
              <w:spacing w:after="0"/>
              <w:rPr>
                <w:sz w:val="19"/>
                <w:szCs w:val="19"/>
                <w:color w:val="auto"/>
              </w:rPr>
            </w:pPr>
          </w:p>
        </w:tc>
        <w:tc>
          <w:tcPr>
            <w:tcW w:w="1340" w:type="dxa"/>
            <w:vAlign w:val="bottom"/>
            <w:gridSpan w:val="2"/>
          </w:tcPr>
          <w:p>
            <w:pPr>
              <w:jc w:val="center"/>
              <w:ind w:right="222"/>
              <w:spacing w:after="0"/>
              <w:rPr>
                <w:sz w:val="20"/>
                <w:szCs w:val="20"/>
                <w:color w:val="auto"/>
              </w:rPr>
            </w:pPr>
            <w:r>
              <w:rPr>
                <w:rFonts w:ascii="Arial" w:cs="Arial" w:eastAsia="Arial" w:hAnsi="Arial"/>
                <w:sz w:val="18"/>
                <w:szCs w:val="18"/>
                <w:color w:val="auto"/>
                <w:w w:val="84"/>
              </w:rPr>
              <w:t>Ended</w:t>
            </w:r>
          </w:p>
        </w:tc>
        <w:tc>
          <w:tcPr>
            <w:tcW w:w="120" w:type="dxa"/>
            <w:vAlign w:val="bottom"/>
          </w:tcPr>
          <w:p>
            <w:pPr>
              <w:spacing w:after="0"/>
              <w:rPr>
                <w:sz w:val="19"/>
                <w:szCs w:val="19"/>
                <w:color w:val="auto"/>
              </w:rPr>
            </w:pPr>
          </w:p>
        </w:tc>
        <w:tc>
          <w:tcPr>
            <w:tcW w:w="1220" w:type="dxa"/>
            <w:vAlign w:val="bottom"/>
            <w:gridSpan w:val="2"/>
          </w:tcPr>
          <w:p>
            <w:pPr>
              <w:jc w:val="center"/>
              <w:ind w:right="142"/>
              <w:spacing w:after="0"/>
              <w:rPr>
                <w:sz w:val="20"/>
                <w:szCs w:val="20"/>
                <w:color w:val="auto"/>
              </w:rPr>
            </w:pPr>
            <w:r>
              <w:rPr>
                <w:rFonts w:ascii="Arial" w:cs="Arial" w:eastAsia="Arial" w:hAnsi="Arial"/>
                <w:sz w:val="18"/>
                <w:szCs w:val="18"/>
                <w:color w:val="auto"/>
                <w:w w:val="84"/>
              </w:rPr>
              <w:t>Ended</w:t>
            </w:r>
          </w:p>
        </w:tc>
      </w:tr>
      <w:tr>
        <w:trPr>
          <w:trHeight w:val="228"/>
        </w:trPr>
        <w:tc>
          <w:tcPr>
            <w:tcW w:w="5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262"/>
              <w:spacing w:after="0"/>
              <w:rPr>
                <w:sz w:val="20"/>
                <w:szCs w:val="20"/>
                <w:color w:val="auto"/>
              </w:rPr>
            </w:pPr>
            <w:r>
              <w:rPr>
                <w:rFonts w:ascii="Arial" w:cs="Arial" w:eastAsia="Arial" w:hAnsi="Arial"/>
                <w:sz w:val="18"/>
                <w:szCs w:val="18"/>
                <w:color w:val="auto"/>
                <w:w w:val="87"/>
              </w:rPr>
              <w:t>June 30, 2021</w:t>
            </w:r>
          </w:p>
        </w:tc>
        <w:tc>
          <w:tcPr>
            <w:tcW w:w="100" w:type="dxa"/>
            <w:vAlign w:val="bottom"/>
          </w:tcPr>
          <w:p>
            <w:pPr>
              <w:spacing w:after="0"/>
              <w:rPr>
                <w:sz w:val="19"/>
                <w:szCs w:val="19"/>
                <w:color w:val="auto"/>
              </w:rPr>
            </w:pPr>
          </w:p>
        </w:tc>
        <w:tc>
          <w:tcPr>
            <w:tcW w:w="1340" w:type="dxa"/>
            <w:vAlign w:val="bottom"/>
            <w:gridSpan w:val="2"/>
          </w:tcPr>
          <w:p>
            <w:pPr>
              <w:jc w:val="center"/>
              <w:ind w:right="222"/>
              <w:spacing w:after="0"/>
              <w:rPr>
                <w:sz w:val="20"/>
                <w:szCs w:val="20"/>
                <w:color w:val="auto"/>
              </w:rPr>
            </w:pPr>
            <w:r>
              <w:rPr>
                <w:rFonts w:ascii="Arial" w:cs="Arial" w:eastAsia="Arial" w:hAnsi="Arial"/>
                <w:sz w:val="18"/>
                <w:szCs w:val="18"/>
                <w:color w:val="auto"/>
                <w:w w:val="87"/>
              </w:rPr>
              <w:t>June 30, 2020</w:t>
            </w:r>
          </w:p>
        </w:tc>
        <w:tc>
          <w:tcPr>
            <w:tcW w:w="100" w:type="dxa"/>
            <w:vAlign w:val="bottom"/>
          </w:tcPr>
          <w:p>
            <w:pPr>
              <w:spacing w:after="0"/>
              <w:rPr>
                <w:sz w:val="19"/>
                <w:szCs w:val="19"/>
                <w:color w:val="auto"/>
              </w:rPr>
            </w:pPr>
          </w:p>
        </w:tc>
        <w:tc>
          <w:tcPr>
            <w:tcW w:w="1340" w:type="dxa"/>
            <w:vAlign w:val="bottom"/>
            <w:gridSpan w:val="2"/>
          </w:tcPr>
          <w:p>
            <w:pPr>
              <w:jc w:val="center"/>
              <w:ind w:right="222"/>
              <w:spacing w:after="0"/>
              <w:rPr>
                <w:sz w:val="20"/>
                <w:szCs w:val="20"/>
                <w:color w:val="auto"/>
              </w:rPr>
            </w:pPr>
            <w:r>
              <w:rPr>
                <w:rFonts w:ascii="Arial" w:cs="Arial" w:eastAsia="Arial" w:hAnsi="Arial"/>
                <w:sz w:val="18"/>
                <w:szCs w:val="18"/>
                <w:color w:val="auto"/>
                <w:w w:val="87"/>
              </w:rPr>
              <w:t>June 30, 2021</w:t>
            </w:r>
          </w:p>
        </w:tc>
        <w:tc>
          <w:tcPr>
            <w:tcW w:w="120" w:type="dxa"/>
            <w:vAlign w:val="bottom"/>
          </w:tcPr>
          <w:p>
            <w:pPr>
              <w:spacing w:after="0"/>
              <w:rPr>
                <w:sz w:val="19"/>
                <w:szCs w:val="19"/>
                <w:color w:val="auto"/>
              </w:rPr>
            </w:pPr>
          </w:p>
        </w:tc>
        <w:tc>
          <w:tcPr>
            <w:tcW w:w="1220" w:type="dxa"/>
            <w:vAlign w:val="bottom"/>
            <w:gridSpan w:val="2"/>
          </w:tcPr>
          <w:p>
            <w:pPr>
              <w:jc w:val="center"/>
              <w:ind w:right="142"/>
              <w:spacing w:after="0"/>
              <w:rPr>
                <w:sz w:val="20"/>
                <w:szCs w:val="20"/>
                <w:color w:val="auto"/>
              </w:rPr>
            </w:pPr>
            <w:r>
              <w:rPr>
                <w:rFonts w:ascii="Arial" w:cs="Arial" w:eastAsia="Arial" w:hAnsi="Arial"/>
                <w:sz w:val="18"/>
                <w:szCs w:val="18"/>
                <w:color w:val="auto"/>
                <w:w w:val="87"/>
              </w:rPr>
              <w:t>June 30, 2020</w:t>
            </w:r>
          </w:p>
        </w:tc>
      </w:tr>
      <w:tr>
        <w:trPr>
          <w:trHeight w:val="208"/>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18,933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8,484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34,307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16,427</w:t>
            </w: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6,776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4,360</w:t>
            </w:r>
          </w:p>
        </w:tc>
      </w:tr>
      <w:tr>
        <w:trPr>
          <w:trHeight w:val="227"/>
        </w:trPr>
        <w:tc>
          <w:tcPr>
            <w:tcW w:w="5080" w:type="dxa"/>
            <w:vAlign w:val="bottom"/>
          </w:tcPr>
          <w:p>
            <w:pPr>
              <w:spacing w:after="0"/>
              <w:rPr>
                <w:sz w:val="20"/>
                <w:szCs w:val="20"/>
                <w:color w:val="auto"/>
              </w:rPr>
            </w:pPr>
            <w:r>
              <w:rPr>
                <w:rFonts w:ascii="Arial" w:cs="Arial" w:eastAsia="Arial" w:hAnsi="Arial"/>
                <w:sz w:val="18"/>
                <w:szCs w:val="18"/>
                <w:color w:val="auto"/>
              </w:rPr>
              <w:t>Write off of in-process research and development asset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19"/>
                <w:szCs w:val="19"/>
                <w:color w:val="auto"/>
              </w:rPr>
            </w:pP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4,722</w:t>
            </w:r>
          </w:p>
        </w:tc>
      </w:tr>
      <w:tr>
        <w:trPr>
          <w:trHeight w:val="207"/>
        </w:trPr>
        <w:tc>
          <w:tcPr>
            <w:tcW w:w="5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7"/>
        </w:trPr>
        <w:tc>
          <w:tcPr>
            <w:tcW w:w="5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(23,021)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(15,516)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(41,083)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(25,509)</w:t>
            </w:r>
          </w:p>
        </w:tc>
      </w:tr>
      <w:tr>
        <w:trPr>
          <w:trHeight w:val="213"/>
        </w:trPr>
        <w:tc>
          <w:tcPr>
            <w:tcW w:w="5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27"/>
        </w:trPr>
        <w:tc>
          <w:tcPr>
            <w:tcW w:w="5080" w:type="dxa"/>
            <w:vAlign w:val="bottom"/>
          </w:tcPr>
          <w:p>
            <w:pPr>
              <w:spacing w:after="0"/>
              <w:rPr>
                <w:sz w:val="20"/>
                <w:szCs w:val="20"/>
                <w:color w:val="auto"/>
              </w:rPr>
            </w:pPr>
            <w:r>
              <w:rPr>
                <w:rFonts w:ascii="Arial" w:cs="Arial" w:eastAsia="Arial" w:hAnsi="Arial"/>
                <w:sz w:val="18"/>
                <w:szCs w:val="18"/>
                <w:color w:val="auto"/>
              </w:rPr>
              <w:t>Other income, net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535</w:t>
            </w:r>
          </w:p>
        </w:tc>
      </w:tr>
      <w:tr>
        <w:trPr>
          <w:trHeight w:val="22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(23,273</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(15,301</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(41,621</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3"/>
        </w:trPr>
        <w:tc>
          <w:tcPr>
            <w:tcW w:w="5080" w:type="dxa"/>
            <w:vAlign w:val="bottom"/>
          </w:tcPr>
          <w:p>
            <w:pPr>
              <w:spacing w:after="0"/>
              <w:rPr>
                <w:sz w:val="20"/>
                <w:szCs w:val="20"/>
                <w:color w:val="auto"/>
              </w:rPr>
            </w:pPr>
            <w:r>
              <w:rPr>
                <w:rFonts w:ascii="Arial" w:cs="Arial" w:eastAsia="Arial" w:hAnsi="Arial"/>
                <w:sz w:val="18"/>
                <w:szCs w:val="18"/>
                <w:color w:val="auto"/>
                <w:w w:val="96"/>
              </w:rPr>
              <w:t>Weighted average common shares outstanding Basic and Diluted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12,044,610</w:t>
            </w:r>
          </w:p>
        </w:tc>
        <w:tc>
          <w:tcPr>
            <w:tcW w:w="100" w:type="dxa"/>
            <w:vAlign w:val="bottom"/>
          </w:tcPr>
          <w:p>
            <w:pPr>
              <w:spacing w:after="0"/>
              <w:rPr>
                <w:sz w:val="18"/>
                <w:szCs w:val="18"/>
                <w:color w:val="auto"/>
              </w:rPr>
            </w:pP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7,481,861</w:t>
            </w:r>
          </w:p>
        </w:tc>
        <w:tc>
          <w:tcPr>
            <w:tcW w:w="100" w:type="dxa"/>
            <w:vAlign w:val="bottom"/>
          </w:tcPr>
          <w:p>
            <w:pPr>
              <w:spacing w:after="0"/>
              <w:rPr>
                <w:sz w:val="18"/>
                <w:szCs w:val="18"/>
                <w:color w:val="auto"/>
              </w:rPr>
            </w:pP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9,775,840</w:t>
            </w:r>
          </w:p>
        </w:tc>
        <w:tc>
          <w:tcPr>
            <w:tcW w:w="120" w:type="dxa"/>
            <w:vAlign w:val="bottom"/>
          </w:tcPr>
          <w:p>
            <w:pPr>
              <w:spacing w:after="0"/>
              <w:rPr>
                <w:sz w:val="18"/>
                <w:szCs w:val="18"/>
                <w:color w:val="auto"/>
              </w:rPr>
            </w:pP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7,481,861</w:t>
            </w: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0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(23,273)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
              <w:spacing w:after="0"/>
              <w:rPr>
                <w:sz w:val="20"/>
                <w:szCs w:val="20"/>
                <w:color w:val="auto"/>
              </w:rPr>
            </w:pPr>
            <w:r>
              <w:rPr>
                <w:rFonts w:ascii="Arial" w:cs="Arial" w:eastAsia="Arial" w:hAnsi="Arial"/>
                <w:sz w:val="18"/>
                <w:szCs w:val="18"/>
                <w:color w:val="auto"/>
              </w:rPr>
              <w:t>(15,301)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
              <w:spacing w:after="0"/>
              <w:rPr>
                <w:sz w:val="20"/>
                <w:szCs w:val="20"/>
                <w:color w:val="auto"/>
              </w:rPr>
            </w:pPr>
            <w:r>
              <w:rPr>
                <w:rFonts w:ascii="Arial" w:cs="Arial" w:eastAsia="Arial" w:hAnsi="Arial"/>
                <w:sz w:val="18"/>
                <w:szCs w:val="18"/>
                <w:color w:val="auto"/>
              </w:rPr>
              <w:t>(41,621)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(24,974)</w:t>
            </w:r>
          </w:p>
        </w:tc>
      </w:tr>
      <w:tr>
        <w:trPr>
          <w:trHeight w:val="213"/>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short-term 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124</w:t>
            </w:r>
          </w:p>
        </w:tc>
      </w:tr>
      <w:tr>
        <w:trPr>
          <w:trHeight w:val="227"/>
        </w:trPr>
        <w:tc>
          <w:tcPr>
            <w:tcW w:w="508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6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2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(23,250</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(41,621</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5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7" w:name="page8"/>
    <w:bookmarkEnd w:id="7"/>
    <w:p>
      <w:pPr>
        <w:ind w:left="90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184150</wp:posOffset>
            </wp:positionV>
            <wp:extent cx="7196455" cy="4202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4638675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2021-08-12T07:20:12Z</dcterms:created>
  <dcterms:modified xsi:type="dcterms:W3CDTF">2021-08-12T07:20:12Z</dcterms:modified>
</cp:coreProperties>
</file>