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703580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772160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29"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68" w:lineRule="exact"/>
        <w:rPr>
          <w:sz w:val="24"/>
          <w:szCs w:val="24"/>
          <w:color w:val="auto"/>
        </w:rPr>
      </w:pPr>
    </w:p>
    <w:p>
      <w:pPr>
        <w:ind w:left="60"/>
        <w:spacing w:after="0"/>
        <w:rPr>
          <w:sz w:val="20"/>
          <w:szCs w:val="20"/>
          <w:color w:val="auto"/>
        </w:rPr>
      </w:pPr>
      <w:r>
        <w:rPr>
          <w:rFonts w:ascii="Arial" w:cs="Arial" w:eastAsia="Arial" w:hAnsi="Arial"/>
          <w:sz w:val="13"/>
          <w:szCs w:val="13"/>
          <w:b w:val="1"/>
          <w:bCs w:val="1"/>
          <w:color w:val="auto"/>
        </w:rPr>
        <w:t>(Mark One)</w:t>
      </w:r>
    </w:p>
    <w:p>
      <w:pPr>
        <w:spacing w:after="0" w:line="70" w:lineRule="exact"/>
        <w:rPr>
          <w:sz w:val="24"/>
          <w:szCs w:val="24"/>
          <w:color w:val="auto"/>
        </w:rPr>
      </w:pPr>
    </w:p>
    <w:p>
      <w:pPr>
        <w:ind w:left="700" w:hanging="326"/>
        <w:spacing w:after="0"/>
        <w:tabs>
          <w:tab w:leader="none" w:pos="7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2024</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700" w:right="419" w:hanging="326"/>
        <w:spacing w:after="0" w:line="296" w:lineRule="auto"/>
        <w:tabs>
          <w:tab w:leader="none" w:pos="7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2900" w:type="dxa"/>
        <w:tblCellMar>
          <w:top w:w="0" w:type="dxa"/>
          <w:left w:w="0" w:type="dxa"/>
          <w:bottom w:w="0" w:type="dxa"/>
          <w:right w:w="0" w:type="dxa"/>
        </w:tblCellMar>
      </w:tblPr>
      <w:tr>
        <w:trPr>
          <w:trHeight w:val="141"/>
        </w:trPr>
        <w:tc>
          <w:tcPr>
            <w:tcW w:w="1800" w:type="dxa"/>
            <w:vAlign w:val="bottom"/>
          </w:tcPr>
          <w:p>
            <w:pPr>
              <w:spacing w:after="0" w:line="141" w:lineRule="exact"/>
              <w:rPr>
                <w:sz w:val="20"/>
                <w:szCs w:val="20"/>
                <w:color w:val="auto"/>
              </w:rPr>
            </w:pPr>
            <w:r>
              <w:rPr>
                <w:rFonts w:ascii="Arial" w:cs="Arial" w:eastAsia="Arial" w:hAnsi="Arial"/>
                <w:sz w:val="13"/>
                <w:szCs w:val="13"/>
                <w:b w:val="1"/>
                <w:bCs w:val="1"/>
                <w:color w:val="auto"/>
                <w:w w:val="97"/>
              </w:rPr>
              <w:t>For the transition period from</w:t>
            </w:r>
          </w:p>
        </w:tc>
        <w:tc>
          <w:tcPr>
            <w:tcW w:w="660" w:type="dxa"/>
            <w:vAlign w:val="bottom"/>
            <w:tcBorders>
              <w:bottom w:val="single" w:sz="8" w:color="auto"/>
            </w:tcBorders>
          </w:tcPr>
          <w:p>
            <w:pPr>
              <w:spacing w:after="0"/>
              <w:rPr>
                <w:sz w:val="12"/>
                <w:szCs w:val="12"/>
                <w:color w:val="auto"/>
              </w:rPr>
            </w:pPr>
          </w:p>
        </w:tc>
        <w:tc>
          <w:tcPr>
            <w:tcW w:w="200" w:type="dxa"/>
            <w:vAlign w:val="bottom"/>
          </w:tcPr>
          <w:p>
            <w:pPr>
              <w:ind w:left="80"/>
              <w:spacing w:after="0" w:line="141" w:lineRule="exact"/>
              <w:rPr>
                <w:sz w:val="20"/>
                <w:szCs w:val="20"/>
                <w:color w:val="auto"/>
              </w:rPr>
            </w:pPr>
            <w:r>
              <w:rPr>
                <w:rFonts w:ascii="Arial" w:cs="Arial" w:eastAsia="Arial" w:hAnsi="Arial"/>
                <w:sz w:val="13"/>
                <w:szCs w:val="13"/>
                <w:b w:val="1"/>
                <w:bCs w:val="1"/>
                <w:color w:val="auto"/>
                <w:w w:val="81"/>
              </w:rPr>
              <w:t>to</w:t>
            </w:r>
          </w:p>
        </w:tc>
        <w:tc>
          <w:tcPr>
            <w:tcW w:w="560" w:type="dxa"/>
            <w:vAlign w:val="bottom"/>
            <w:tcBorders>
              <w:bottom w:val="single" w:sz="8" w:color="auto"/>
            </w:tcBorders>
          </w:tcPr>
          <w:p>
            <w:pPr>
              <w:spacing w:after="0"/>
              <w:rPr>
                <w:sz w:val="12"/>
                <w:szCs w:val="12"/>
                <w:color w:val="auto"/>
              </w:rPr>
            </w:pPr>
          </w:p>
        </w:tc>
      </w:tr>
      <w:tr>
        <w:trPr>
          <w:trHeight w:val="215"/>
        </w:trPr>
        <w:tc>
          <w:tcPr>
            <w:tcW w:w="3220" w:type="dxa"/>
            <w:vAlign w:val="bottom"/>
            <w:gridSpan w:val="4"/>
          </w:tcPr>
          <w:p>
            <w:pPr>
              <w:ind w:left="540"/>
              <w:spacing w:after="0"/>
              <w:rPr>
                <w:sz w:val="20"/>
                <w:szCs w:val="20"/>
                <w:color w:val="auto"/>
              </w:rPr>
            </w:pPr>
            <w:r>
              <w:rPr>
                <w:rFonts w:ascii="Arial" w:cs="Arial" w:eastAsia="Arial" w:hAnsi="Arial"/>
                <w:sz w:val="13"/>
                <w:szCs w:val="13"/>
                <w:b w:val="1"/>
                <w:bCs w:val="1"/>
                <w:color w:val="auto"/>
              </w:rPr>
              <w:t>Commission file number: 001-40498</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Century Therapeutics,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54" w:lineRule="exact"/>
        <w:rPr>
          <w:sz w:val="24"/>
          <w:szCs w:val="24"/>
          <w:color w:val="auto"/>
        </w:rPr>
      </w:pPr>
    </w:p>
    <w:tbl>
      <w:tblPr>
        <w:tblLayout w:type="fixed"/>
        <w:tblInd w:w="1400" w:type="dxa"/>
        <w:tblCellMar>
          <w:top w:w="0" w:type="dxa"/>
          <w:left w:w="0" w:type="dxa"/>
          <w:bottom w:w="0" w:type="dxa"/>
          <w:right w:w="0" w:type="dxa"/>
        </w:tblCellMar>
      </w:tblPr>
      <w:tr>
        <w:trPr>
          <w:trHeight w:val="149"/>
        </w:trPr>
        <w:tc>
          <w:tcPr>
            <w:tcW w:w="4920" w:type="dxa"/>
            <w:vAlign w:val="bottom"/>
          </w:tcPr>
          <w:p>
            <w:pPr>
              <w:jc w:val="center"/>
              <w:ind w:right="2697"/>
              <w:spacing w:after="0"/>
              <w:rPr>
                <w:sz w:val="20"/>
                <w:szCs w:val="20"/>
                <w:color w:val="auto"/>
              </w:rPr>
            </w:pPr>
            <w:r>
              <w:rPr>
                <w:rFonts w:ascii="Arial" w:cs="Arial" w:eastAsia="Arial" w:hAnsi="Arial"/>
                <w:sz w:val="13"/>
                <w:szCs w:val="13"/>
                <w:b w:val="1"/>
                <w:bCs w:val="1"/>
                <w:color w:val="auto"/>
                <w:w w:val="98"/>
              </w:rPr>
              <w:t>Delaware</w:t>
            </w:r>
          </w:p>
        </w:tc>
        <w:tc>
          <w:tcPr>
            <w:tcW w:w="1200" w:type="dxa"/>
            <w:vAlign w:val="bottom"/>
          </w:tcPr>
          <w:p>
            <w:pPr>
              <w:jc w:val="right"/>
              <w:ind w:right="77"/>
              <w:spacing w:after="0"/>
              <w:rPr>
                <w:sz w:val="20"/>
                <w:szCs w:val="20"/>
                <w:color w:val="auto"/>
              </w:rPr>
            </w:pPr>
            <w:r>
              <w:rPr>
                <w:rFonts w:ascii="Arial" w:cs="Arial" w:eastAsia="Arial" w:hAnsi="Arial"/>
                <w:sz w:val="13"/>
                <w:szCs w:val="13"/>
                <w:b w:val="1"/>
                <w:bCs w:val="1"/>
                <w:color w:val="auto"/>
              </w:rPr>
              <w:t>84-2040295</w:t>
            </w:r>
          </w:p>
        </w:tc>
      </w:tr>
      <w:tr>
        <w:trPr>
          <w:trHeight w:val="135"/>
        </w:trPr>
        <w:tc>
          <w:tcPr>
            <w:tcW w:w="4920" w:type="dxa"/>
            <w:vAlign w:val="bottom"/>
          </w:tcPr>
          <w:p>
            <w:pPr>
              <w:jc w:val="center"/>
              <w:ind w:right="2677"/>
              <w:spacing w:after="0" w:line="135" w:lineRule="exact"/>
              <w:rPr>
                <w:sz w:val="20"/>
                <w:szCs w:val="20"/>
                <w:color w:val="auto"/>
              </w:rPr>
            </w:pPr>
            <w:r>
              <w:rPr>
                <w:rFonts w:ascii="Arial" w:cs="Arial" w:eastAsia="Arial" w:hAnsi="Arial"/>
                <w:sz w:val="13"/>
                <w:szCs w:val="13"/>
                <w:color w:val="auto"/>
                <w:w w:val="97"/>
              </w:rPr>
              <w:t>(State or other jurisdiction of</w:t>
            </w:r>
          </w:p>
        </w:tc>
        <w:tc>
          <w:tcPr>
            <w:tcW w:w="1200" w:type="dxa"/>
            <w:vAlign w:val="bottom"/>
          </w:tcPr>
          <w:p>
            <w:pPr>
              <w:jc w:val="center"/>
              <w:ind w:left="177"/>
              <w:spacing w:after="0" w:line="135" w:lineRule="exact"/>
              <w:rPr>
                <w:sz w:val="20"/>
                <w:szCs w:val="20"/>
                <w:color w:val="auto"/>
              </w:rPr>
            </w:pPr>
            <w:r>
              <w:rPr>
                <w:rFonts w:ascii="Arial" w:cs="Arial" w:eastAsia="Arial" w:hAnsi="Arial"/>
                <w:sz w:val="13"/>
                <w:szCs w:val="13"/>
                <w:color w:val="auto"/>
                <w:w w:val="96"/>
              </w:rPr>
              <w:t>(I.R.S. Employer</w:t>
            </w:r>
          </w:p>
        </w:tc>
      </w:tr>
      <w:tr>
        <w:trPr>
          <w:trHeight w:val="135"/>
        </w:trPr>
        <w:tc>
          <w:tcPr>
            <w:tcW w:w="4920" w:type="dxa"/>
            <w:vAlign w:val="bottom"/>
          </w:tcPr>
          <w:p>
            <w:pPr>
              <w:jc w:val="center"/>
              <w:ind w:right="2697"/>
              <w:spacing w:after="0" w:line="135" w:lineRule="exact"/>
              <w:rPr>
                <w:sz w:val="20"/>
                <w:szCs w:val="20"/>
                <w:color w:val="auto"/>
              </w:rPr>
            </w:pPr>
            <w:r>
              <w:rPr>
                <w:rFonts w:ascii="Arial" w:cs="Arial" w:eastAsia="Arial" w:hAnsi="Arial"/>
                <w:sz w:val="13"/>
                <w:szCs w:val="13"/>
                <w:color w:val="auto"/>
                <w:w w:val="96"/>
              </w:rPr>
              <w:t>incorporation or organization)</w:t>
            </w:r>
          </w:p>
        </w:tc>
        <w:tc>
          <w:tcPr>
            <w:tcW w:w="120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6"/>
              </w:rPr>
              <w:t>Identification No.)</w:t>
            </w:r>
          </w:p>
        </w:tc>
      </w:tr>
      <w:tr>
        <w:trPr>
          <w:trHeight w:val="135"/>
        </w:trPr>
        <w:tc>
          <w:tcPr>
            <w:tcW w:w="4920" w:type="dxa"/>
            <w:vAlign w:val="bottom"/>
          </w:tcPr>
          <w:p>
            <w:pPr>
              <w:jc w:val="center"/>
              <w:ind w:right="2677"/>
              <w:spacing w:after="0" w:line="135" w:lineRule="exact"/>
              <w:rPr>
                <w:sz w:val="20"/>
                <w:szCs w:val="20"/>
                <w:color w:val="auto"/>
              </w:rPr>
            </w:pPr>
            <w:r>
              <w:rPr>
                <w:rFonts w:ascii="Arial" w:cs="Arial" w:eastAsia="Arial" w:hAnsi="Arial"/>
                <w:sz w:val="13"/>
                <w:szCs w:val="13"/>
                <w:b w:val="1"/>
                <w:bCs w:val="1"/>
                <w:color w:val="auto"/>
                <w:w w:val="96"/>
              </w:rPr>
              <w:t>25 N 38th Street, 11th Floor</w:t>
            </w:r>
          </w:p>
        </w:tc>
        <w:tc>
          <w:tcPr>
            <w:tcW w:w="120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19104</w:t>
            </w:r>
          </w:p>
        </w:tc>
      </w:tr>
      <w:tr>
        <w:trPr>
          <w:trHeight w:val="135"/>
        </w:trPr>
        <w:tc>
          <w:tcPr>
            <w:tcW w:w="4920" w:type="dxa"/>
            <w:vAlign w:val="bottom"/>
          </w:tcPr>
          <w:p>
            <w:pPr>
              <w:jc w:val="center"/>
              <w:ind w:right="2677"/>
              <w:spacing w:after="0" w:line="135" w:lineRule="exact"/>
              <w:rPr>
                <w:sz w:val="20"/>
                <w:szCs w:val="20"/>
                <w:color w:val="auto"/>
              </w:rPr>
            </w:pPr>
            <w:r>
              <w:rPr>
                <w:rFonts w:ascii="Arial" w:cs="Arial" w:eastAsia="Arial" w:hAnsi="Arial"/>
                <w:sz w:val="13"/>
                <w:szCs w:val="13"/>
                <w:b w:val="1"/>
                <w:bCs w:val="1"/>
                <w:color w:val="auto"/>
                <w:w w:val="97"/>
              </w:rPr>
              <w:t>Philadelphia, Pennsylvania</w:t>
            </w:r>
          </w:p>
        </w:tc>
        <w:tc>
          <w:tcPr>
            <w:tcW w:w="1200" w:type="dxa"/>
            <w:vAlign w:val="bottom"/>
          </w:tcPr>
          <w:p>
            <w:pPr>
              <w:jc w:val="center"/>
              <w:ind w:left="177"/>
              <w:spacing w:after="0" w:line="135" w:lineRule="exact"/>
              <w:rPr>
                <w:sz w:val="20"/>
                <w:szCs w:val="20"/>
                <w:color w:val="auto"/>
              </w:rPr>
            </w:pPr>
            <w:r>
              <w:rPr>
                <w:rFonts w:ascii="Arial" w:cs="Arial" w:eastAsia="Arial" w:hAnsi="Arial"/>
                <w:sz w:val="13"/>
                <w:szCs w:val="13"/>
                <w:color w:val="auto"/>
                <w:w w:val="97"/>
              </w:rPr>
              <w:t>(Zip Code)</w:t>
            </w:r>
          </w:p>
        </w:tc>
      </w:tr>
      <w:tr>
        <w:trPr>
          <w:trHeight w:val="166"/>
        </w:trPr>
        <w:tc>
          <w:tcPr>
            <w:tcW w:w="4920" w:type="dxa"/>
            <w:vAlign w:val="bottom"/>
          </w:tcPr>
          <w:p>
            <w:pPr>
              <w:jc w:val="center"/>
              <w:ind w:right="2697"/>
              <w:spacing w:after="0"/>
              <w:rPr>
                <w:sz w:val="20"/>
                <w:szCs w:val="20"/>
                <w:color w:val="auto"/>
              </w:rPr>
            </w:pPr>
            <w:r>
              <w:rPr>
                <w:rFonts w:ascii="Arial" w:cs="Arial" w:eastAsia="Arial" w:hAnsi="Arial"/>
                <w:sz w:val="13"/>
                <w:szCs w:val="13"/>
                <w:color w:val="auto"/>
                <w:w w:val="97"/>
              </w:rPr>
              <w:t>(Address of principal executive offices)</w:t>
            </w:r>
          </w:p>
        </w:tc>
        <w:tc>
          <w:tcPr>
            <w:tcW w:w="1200" w:type="dxa"/>
            <w:vAlign w:val="bottom"/>
          </w:tcPr>
          <w:p>
            <w:pPr>
              <w:spacing w:after="0"/>
              <w:rPr>
                <w:sz w:val="14"/>
                <w:szCs w:val="14"/>
                <w:color w:val="auto"/>
              </w:rPr>
            </w:pPr>
          </w:p>
        </w:tc>
      </w:tr>
      <w:tr>
        <w:trPr>
          <w:trHeight w:val="185"/>
        </w:trPr>
        <w:tc>
          <w:tcPr>
            <w:tcW w:w="4920" w:type="dxa"/>
            <w:vAlign w:val="bottom"/>
          </w:tcPr>
          <w:p>
            <w:pPr>
              <w:jc w:val="right"/>
              <w:ind w:right="1317"/>
              <w:spacing w:after="0"/>
              <w:rPr>
                <w:sz w:val="20"/>
                <w:szCs w:val="20"/>
                <w:color w:val="auto"/>
              </w:rPr>
            </w:pPr>
            <w:r>
              <w:rPr>
                <w:rFonts w:ascii="Arial" w:cs="Arial" w:eastAsia="Arial" w:hAnsi="Arial"/>
                <w:sz w:val="13"/>
                <w:szCs w:val="13"/>
                <w:b w:val="1"/>
                <w:bCs w:val="1"/>
                <w:color w:val="auto"/>
              </w:rPr>
              <w:t>(267) 817-5790</w:t>
            </w:r>
          </w:p>
        </w:tc>
        <w:tc>
          <w:tcPr>
            <w:tcW w:w="1200" w:type="dxa"/>
            <w:vAlign w:val="bottom"/>
          </w:tcPr>
          <w:p>
            <w:pPr>
              <w:spacing w:after="0"/>
              <w:rPr>
                <w:sz w:val="16"/>
                <w:szCs w:val="16"/>
                <w:color w:val="auto"/>
              </w:rPr>
            </w:pPr>
          </w:p>
        </w:tc>
      </w:tr>
      <w:tr>
        <w:trPr>
          <w:trHeight w:val="172"/>
        </w:trPr>
        <w:tc>
          <w:tcPr>
            <w:tcW w:w="4920" w:type="dxa"/>
            <w:vAlign w:val="bottom"/>
          </w:tcPr>
          <w:p>
            <w:pPr>
              <w:jc w:val="center"/>
              <w:ind w:left="1237"/>
              <w:spacing w:after="0"/>
              <w:rPr>
                <w:sz w:val="20"/>
                <w:szCs w:val="20"/>
                <w:color w:val="auto"/>
              </w:rPr>
            </w:pPr>
            <w:r>
              <w:rPr>
                <w:rFonts w:ascii="Arial" w:cs="Arial" w:eastAsia="Arial" w:hAnsi="Arial"/>
                <w:sz w:val="13"/>
                <w:szCs w:val="13"/>
                <w:b w:val="1"/>
                <w:bCs w:val="1"/>
                <w:color w:val="auto"/>
                <w:w w:val="96"/>
              </w:rPr>
              <w:t>(Registrant’s telephone number, including area code)</w:t>
            </w:r>
          </w:p>
        </w:tc>
        <w:tc>
          <w:tcPr>
            <w:tcW w:w="12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52" w:lineRule="exact"/>
        <w:rPr>
          <w:sz w:val="24"/>
          <w:szCs w:val="24"/>
          <w:color w:val="auto"/>
        </w:rPr>
      </w:pPr>
    </w:p>
    <w:tbl>
      <w:tblPr>
        <w:tblLayout w:type="fixed"/>
        <w:tblInd w:w="60" w:type="dxa"/>
        <w:tblCellMar>
          <w:top w:w="0" w:type="dxa"/>
          <w:left w:w="0" w:type="dxa"/>
          <w:bottom w:w="0" w:type="dxa"/>
          <w:right w:w="0" w:type="dxa"/>
        </w:tblCellMar>
      </w:tblPr>
      <w:tr>
        <w:trPr>
          <w:trHeight w:val="149"/>
        </w:trPr>
        <w:tc>
          <w:tcPr>
            <w:tcW w:w="31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Title of each class</w:t>
            </w:r>
          </w:p>
        </w:tc>
        <w:tc>
          <w:tcPr>
            <w:tcW w:w="294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2840" w:type="dxa"/>
            <w:vAlign w:val="bottom"/>
            <w:gridSpan w:val="2"/>
            <w:vMerge w:val="restart"/>
          </w:tcPr>
          <w:p>
            <w:pPr>
              <w:jc w:val="center"/>
              <w:ind w:left="117"/>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04"/>
        </w:trPr>
        <w:tc>
          <w:tcPr>
            <w:tcW w:w="3120" w:type="dxa"/>
            <w:vAlign w:val="bottom"/>
            <w:gridSpan w:val="2"/>
            <w:vMerge w:val="continue"/>
          </w:tcPr>
          <w:p>
            <w:pPr>
              <w:spacing w:after="0"/>
              <w:rPr>
                <w:sz w:val="9"/>
                <w:szCs w:val="9"/>
                <w:color w:val="auto"/>
              </w:rPr>
            </w:pPr>
          </w:p>
        </w:tc>
        <w:tc>
          <w:tcPr>
            <w:tcW w:w="2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Symbol(s)</w:t>
            </w:r>
          </w:p>
        </w:tc>
        <w:tc>
          <w:tcPr>
            <w:tcW w:w="2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9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94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3120" w:type="dxa"/>
            <w:vAlign w:val="bottom"/>
            <w:gridSpan w:val="2"/>
          </w:tcPr>
          <w:p>
            <w:pPr>
              <w:jc w:val="center"/>
              <w:ind w:right="180"/>
              <w:spacing w:after="0"/>
              <w:rPr>
                <w:sz w:val="20"/>
                <w:szCs w:val="20"/>
                <w:color w:val="auto"/>
              </w:rPr>
            </w:pPr>
            <w:r>
              <w:rPr>
                <w:rFonts w:ascii="Arial" w:cs="Arial" w:eastAsia="Arial" w:hAnsi="Arial"/>
                <w:sz w:val="13"/>
                <w:szCs w:val="13"/>
                <w:color w:val="auto"/>
                <w:w w:val="96"/>
              </w:rPr>
              <w:t>Common Stock, $0.0001 par value per share</w:t>
            </w:r>
          </w:p>
        </w:tc>
        <w:tc>
          <w:tcPr>
            <w:tcW w:w="2940" w:type="dxa"/>
            <w:vAlign w:val="bottom"/>
          </w:tcPr>
          <w:p>
            <w:pPr>
              <w:jc w:val="center"/>
              <w:spacing w:after="0"/>
              <w:rPr>
                <w:sz w:val="20"/>
                <w:szCs w:val="20"/>
                <w:color w:val="auto"/>
              </w:rPr>
            </w:pPr>
            <w:r>
              <w:rPr>
                <w:rFonts w:ascii="Arial" w:cs="Arial" w:eastAsia="Arial" w:hAnsi="Arial"/>
                <w:sz w:val="13"/>
                <w:szCs w:val="13"/>
                <w:color w:val="auto"/>
                <w:w w:val="98"/>
              </w:rPr>
              <w:t>IPSC</w:t>
            </w:r>
          </w:p>
        </w:tc>
        <w:tc>
          <w:tcPr>
            <w:tcW w:w="18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c>
          <w:tcPr>
            <w:tcW w:w="0" w:type="dxa"/>
            <w:vAlign w:val="bottom"/>
          </w:tcPr>
          <w:p>
            <w:pPr>
              <w:spacing w:after="0"/>
              <w:rPr>
                <w:sz w:val="1"/>
                <w:szCs w:val="1"/>
                <w:color w:val="auto"/>
              </w:rPr>
            </w:pPr>
          </w:p>
        </w:tc>
      </w:tr>
    </w:tbl>
    <w:p>
      <w:pPr>
        <w:spacing w:after="0" w:line="75" w:lineRule="exact"/>
        <w:rPr>
          <w:sz w:val="24"/>
          <w:szCs w:val="24"/>
          <w:color w:val="auto"/>
        </w:rPr>
      </w:pPr>
    </w:p>
    <w:p>
      <w:pPr>
        <w:ind w:left="700" w:right="1019"/>
        <w:spacing w:after="0" w:line="22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3" w:lineRule="exact"/>
        <w:rPr>
          <w:sz w:val="24"/>
          <w:szCs w:val="24"/>
          <w:color w:val="auto"/>
        </w:rPr>
      </w:pPr>
    </w:p>
    <w:p>
      <w:pPr>
        <w:ind w:left="60" w:right="259" w:firstLine="648"/>
        <w:spacing w:after="0" w:line="25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50" w:lineRule="exact"/>
        <w:rPr>
          <w:sz w:val="20"/>
          <w:szCs w:val="20"/>
          <w:color w:val="auto"/>
        </w:rPr>
      </w:pPr>
      <w:r>
        <w:rPr>
          <w:rFonts w:ascii="Arial" w:cs="Arial" w:eastAsia="Arial" w:hAnsi="Arial"/>
          <w:sz w:val="13"/>
          <w:szCs w:val="13"/>
          <w:color w:val="auto"/>
        </w:rPr>
        <w:t xml:space="preserve">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4" w:lineRule="exact"/>
        <w:rPr>
          <w:sz w:val="24"/>
          <w:szCs w:val="24"/>
          <w:color w:val="auto"/>
        </w:rPr>
      </w:pPr>
    </w:p>
    <w:p>
      <w:pPr>
        <w:ind w:left="60" w:right="99" w:firstLine="648"/>
        <w:spacing w:after="0" w:line="25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ind w:left="60"/>
        <w:spacing w:after="0" w:line="150" w:lineRule="exact"/>
        <w:rPr>
          <w:sz w:val="20"/>
          <w:szCs w:val="20"/>
          <w:color w:val="auto"/>
        </w:rPr>
      </w:pPr>
      <w:r>
        <w:rPr>
          <w:rFonts w:ascii="Arial" w:cs="Arial" w:eastAsia="Arial" w:hAnsi="Arial"/>
          <w:sz w:val="13"/>
          <w:szCs w:val="13"/>
          <w:color w:val="auto"/>
        </w:rPr>
        <w:t xml:space="preserve">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4" w:lineRule="exact"/>
        <w:rPr>
          <w:sz w:val="24"/>
          <w:szCs w:val="24"/>
          <w:color w:val="auto"/>
        </w:rPr>
      </w:pPr>
    </w:p>
    <w:p>
      <w:pPr>
        <w:ind w:left="60" w:right="79" w:firstLine="648"/>
        <w:spacing w:after="0" w:line="2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1500" w:type="dxa"/>
        <w:tblCellMar>
          <w:top w:w="0" w:type="dxa"/>
          <w:left w:w="0" w:type="dxa"/>
          <w:bottom w:w="0" w:type="dxa"/>
          <w:right w:w="0" w:type="dxa"/>
        </w:tblCellMar>
      </w:tblPr>
      <w:tr>
        <w:trPr>
          <w:trHeight w:val="155"/>
        </w:trPr>
        <w:tc>
          <w:tcPr>
            <w:tcW w:w="2780" w:type="dxa"/>
            <w:vAlign w:val="bottom"/>
          </w:tcPr>
          <w:p>
            <w:pPr>
              <w:jc w:val="center"/>
              <w:ind w:right="1317"/>
              <w:spacing w:after="0" w:line="150" w:lineRule="exact"/>
              <w:rPr>
                <w:sz w:val="20"/>
                <w:szCs w:val="20"/>
                <w:color w:val="auto"/>
              </w:rPr>
            </w:pPr>
            <w:r>
              <w:rPr>
                <w:rFonts w:ascii="Arial" w:cs="Arial" w:eastAsia="Arial" w:hAnsi="Arial"/>
                <w:sz w:val="13"/>
                <w:szCs w:val="13"/>
                <w:color w:val="auto"/>
                <w:w w:val="96"/>
              </w:rPr>
              <w:t xml:space="preserve">Large accelerated filer </w:t>
            </w:r>
            <w:r>
              <w:rPr>
                <w:rFonts w:ascii="MS PGothic" w:cs="MS PGothic" w:eastAsia="MS PGothic" w:hAnsi="MS PGothic"/>
                <w:sz w:val="13"/>
                <w:szCs w:val="13"/>
                <w:color w:val="auto"/>
                <w:w w:val="96"/>
              </w:rPr>
              <w:t>☐</w:t>
            </w: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 xml:space="preserve">Accelerated filer </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r>
        <w:trPr>
          <w:trHeight w:val="149"/>
        </w:trPr>
        <w:tc>
          <w:tcPr>
            <w:tcW w:w="2780" w:type="dxa"/>
            <w:vAlign w:val="bottom"/>
            <w:vMerge w:val="restart"/>
          </w:tcPr>
          <w:p>
            <w:pPr>
              <w:jc w:val="center"/>
              <w:ind w:right="1297"/>
              <w:spacing w:after="0" w:line="150" w:lineRule="exact"/>
              <w:rPr>
                <w:sz w:val="20"/>
                <w:szCs w:val="20"/>
                <w:color w:val="auto"/>
              </w:rPr>
            </w:pPr>
            <w:r>
              <w:rPr>
                <w:rFonts w:ascii="Arial" w:cs="Arial" w:eastAsia="Arial" w:hAnsi="Arial"/>
                <w:sz w:val="13"/>
                <w:szCs w:val="13"/>
                <w:color w:val="auto"/>
                <w:w w:val="95"/>
              </w:rPr>
              <w:t xml:space="preserve">Non-accelerated filer </w:t>
            </w:r>
            <w:r>
              <w:rPr>
                <w:rFonts w:ascii="MS PGothic" w:cs="MS PGothic" w:eastAsia="MS PGothic" w:hAnsi="MS PGothic"/>
                <w:sz w:val="13"/>
                <w:szCs w:val="13"/>
                <w:color w:val="auto"/>
                <w:w w:val="95"/>
              </w:rPr>
              <w:t>☒</w:t>
            </w: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 xml:space="preserve">Smaller reporting company </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r>
        <w:trPr>
          <w:trHeight w:val="213"/>
        </w:trPr>
        <w:tc>
          <w:tcPr>
            <w:tcW w:w="2780" w:type="dxa"/>
            <w:vAlign w:val="bottom"/>
            <w:vMerge w:val="continue"/>
          </w:tcPr>
          <w:p>
            <w:pPr>
              <w:spacing w:after="0"/>
              <w:rPr>
                <w:sz w:val="18"/>
                <w:szCs w:val="18"/>
                <w:color w:val="auto"/>
              </w:rPr>
            </w:pP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Emerging growth company</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60" w:right="99" w:firstLine="648"/>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p>
    <w:p>
      <w:pPr>
        <w:ind w:left="60" w:right="479" w:firstLine="648"/>
        <w:spacing w:after="0" w:line="254" w:lineRule="auto"/>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4"/>
          <w:szCs w:val="24"/>
          <w:color w:val="auto"/>
        </w:rPr>
      </w:pPr>
    </w:p>
    <w:p>
      <w:pPr>
        <w:ind w:left="60"/>
        <w:spacing w:after="0" w:line="150" w:lineRule="exact"/>
        <w:rPr>
          <w:sz w:val="20"/>
          <w:szCs w:val="20"/>
          <w:color w:val="auto"/>
        </w:rPr>
      </w:pPr>
      <w:r>
        <w:rPr>
          <w:rFonts w:ascii="Arial" w:cs="Arial" w:eastAsia="Arial" w:hAnsi="Arial"/>
          <w:sz w:val="13"/>
          <w:szCs w:val="13"/>
          <w:color w:val="auto"/>
        </w:rPr>
        <w:t xml:space="preserve">prepared or issued its audit report. </w:t>
      </w:r>
      <w:r>
        <w:rPr>
          <w:rFonts w:ascii="MS PGothic" w:cs="MS PGothic" w:eastAsia="MS PGothic" w:hAnsi="MS PGothic"/>
          <w:sz w:val="13"/>
          <w:szCs w:val="13"/>
          <w:color w:val="auto"/>
        </w:rPr>
        <w:t>☐</w:t>
      </w:r>
    </w:p>
    <w:p>
      <w:pPr>
        <w:spacing w:after="0" w:line="44" w:lineRule="exact"/>
        <w:rPr>
          <w:sz w:val="24"/>
          <w:szCs w:val="24"/>
          <w:color w:val="auto"/>
        </w:rPr>
      </w:pPr>
    </w:p>
    <w:p>
      <w:pPr>
        <w:ind w:left="60" w:right="119" w:firstLine="648"/>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 w:lineRule="exact"/>
        <w:rPr>
          <w:sz w:val="24"/>
          <w:szCs w:val="24"/>
          <w:color w:val="auto"/>
        </w:rPr>
      </w:pPr>
    </w:p>
    <w:p>
      <w:pPr>
        <w:ind w:left="60" w:right="139" w:firstLine="683"/>
        <w:spacing w:after="0" w:line="167"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s executive officers during the relevant recovery period pursuant to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240.10D-1(b). </w:t>
      </w:r>
      <w:r>
        <w:rPr>
          <w:rFonts w:ascii="MS PGothic" w:cs="MS PGothic" w:eastAsia="MS PGothic" w:hAnsi="MS PGothic"/>
          <w:sz w:val="13"/>
          <w:szCs w:val="13"/>
          <w:color w:val="auto"/>
        </w:rPr>
        <w:t>☐</w:t>
      </w:r>
    </w:p>
    <w:p>
      <w:pPr>
        <w:spacing w:after="0" w:line="4" w:lineRule="exact"/>
        <w:rPr>
          <w:sz w:val="24"/>
          <w:szCs w:val="24"/>
          <w:color w:val="auto"/>
        </w:rPr>
      </w:pPr>
    </w:p>
    <w:p>
      <w:pPr>
        <w:ind w:left="70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ind w:left="60" w:right="239" w:firstLine="648"/>
        <w:spacing w:after="0" w:line="243" w:lineRule="auto"/>
        <w:rPr>
          <w:sz w:val="20"/>
          <w:szCs w:val="20"/>
          <w:color w:val="auto"/>
        </w:rPr>
      </w:pPr>
      <w:r>
        <w:rPr>
          <w:rFonts w:ascii="Arial" w:cs="Arial" w:eastAsia="Arial" w:hAnsi="Arial"/>
          <w:sz w:val="13"/>
          <w:szCs w:val="13"/>
          <w:color w:val="auto"/>
        </w:rPr>
        <w:t>The aggregate market value of the registrant’s voting stock held by non-affiliates of the registrant was approximately $212,506,473 as of June 30, 2024, the last business day of the registrant’s last completed second quarter.</w:t>
      </w:r>
    </w:p>
    <w:p>
      <w:pPr>
        <w:spacing w:after="0" w:line="35" w:lineRule="exact"/>
        <w:rPr>
          <w:sz w:val="24"/>
          <w:szCs w:val="24"/>
          <w:color w:val="auto"/>
        </w:rPr>
      </w:pPr>
    </w:p>
    <w:p>
      <w:pPr>
        <w:ind w:left="700"/>
        <w:spacing w:after="0"/>
        <w:rPr>
          <w:sz w:val="20"/>
          <w:szCs w:val="20"/>
          <w:color w:val="auto"/>
        </w:rPr>
      </w:pPr>
      <w:r>
        <w:rPr>
          <w:rFonts w:ascii="Arial" w:cs="Arial" w:eastAsia="Arial" w:hAnsi="Arial"/>
          <w:sz w:val="13"/>
          <w:szCs w:val="13"/>
          <w:color w:val="auto"/>
        </w:rPr>
        <w:t>As of February 28, 2025, the registrant had 86,045,033 shares of Common Stock, $0.0001 par value per share, outstanding.</w:t>
      </w:r>
    </w:p>
    <w:p>
      <w:pPr>
        <w:spacing w:after="0" w:line="53" w:lineRule="exact"/>
        <w:rPr>
          <w:sz w:val="24"/>
          <w:szCs w:val="24"/>
          <w:color w:val="auto"/>
        </w:rPr>
      </w:pPr>
    </w:p>
    <w:p>
      <w:pPr>
        <w:ind w:left="30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40" w:lineRule="exact"/>
        <w:rPr>
          <w:sz w:val="24"/>
          <w:szCs w:val="24"/>
          <w:color w:val="auto"/>
        </w:rPr>
      </w:pPr>
    </w:p>
    <w:p>
      <w:pPr>
        <w:ind w:left="60" w:right="79" w:firstLine="648"/>
        <w:spacing w:after="0" w:line="243" w:lineRule="auto"/>
        <w:rPr>
          <w:sz w:val="20"/>
          <w:szCs w:val="20"/>
          <w:color w:val="auto"/>
        </w:rPr>
      </w:pPr>
      <w:r>
        <w:rPr>
          <w:rFonts w:ascii="Arial" w:cs="Arial" w:eastAsia="Arial" w:hAnsi="Arial"/>
          <w:sz w:val="13"/>
          <w:szCs w:val="13"/>
          <w:color w:val="auto"/>
        </w:rPr>
        <w:t>Part III of this Annual Report on Form 10-K incorporates certain information by reference from the registrant’s definitive proxy statement for the 2025 annual meeting of shareholders to be filed no later than 120 days after the end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453390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33655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76200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p>
      <w:pPr>
        <w:ind w:left="260"/>
        <w:spacing w:after="0"/>
        <w:tabs>
          <w:tab w:leader="none" w:pos="8360" w:val="left"/>
        </w:tabs>
        <w:rPr>
          <w:sz w:val="20"/>
          <w:szCs w:val="20"/>
          <w:color w:val="auto"/>
        </w:rPr>
      </w:pPr>
      <w:r>
        <w:rPr>
          <w:rFonts w:ascii="Arial" w:cs="Arial" w:eastAsia="Arial" w:hAnsi="Arial"/>
          <w:sz w:val="16"/>
          <w:szCs w:val="16"/>
          <w:b w:val="1"/>
          <w:bCs w:val="1"/>
          <w:color w:val="auto"/>
        </w:rPr>
        <w:t>Item No.</w:t>
      </w:r>
      <w:r>
        <w:rPr>
          <w:sz w:val="20"/>
          <w:szCs w:val="20"/>
          <w:color w:val="auto"/>
        </w:rPr>
        <w:tab/>
      </w:r>
      <w:r>
        <w:rPr>
          <w:rFonts w:ascii="Arial" w:cs="Arial" w:eastAsia="Arial" w:hAnsi="Arial"/>
          <w:sz w:val="15"/>
          <w:szCs w:val="15"/>
          <w:b w:val="1"/>
          <w:bCs w:val="1"/>
          <w:color w:val="auto"/>
        </w:rPr>
        <w:t>Page</w:t>
      </w:r>
    </w:p>
    <w:p>
      <w:pPr>
        <w:spacing w:after="0" w:line="21"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EE"/>
        </w:rPr>
        <w:t>CAUTIONARY NOTE REGARDING FORWARD-LOOKING STATEMENTS</w:t>
      </w: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40" w:type="dxa"/>
            <w:vAlign w:val="bottom"/>
            <w:gridSpan w:val="16"/>
          </w:tcPr>
          <w:p>
            <w:pPr>
              <w:jc w:val="center"/>
              <w:ind w:right="3380"/>
              <w:spacing w:after="0"/>
              <w:rPr>
                <w:sz w:val="20"/>
                <w:szCs w:val="20"/>
                <w:color w:val="auto"/>
              </w:rPr>
            </w:pPr>
            <w:r>
              <w:rPr>
                <w:rFonts w:ascii="Arial" w:cs="Arial" w:eastAsia="Arial" w:hAnsi="Arial"/>
                <w:sz w:val="16"/>
                <w:szCs w:val="16"/>
                <w:b w:val="1"/>
                <w:bCs w:val="1"/>
                <w:color w:val="0000EE"/>
                <w:w w:val="99"/>
              </w:rPr>
              <w:t>PART I</w:t>
            </w:r>
          </w:p>
        </w:tc>
      </w:tr>
      <w:tr>
        <w:trPr>
          <w:trHeight w:val="223"/>
        </w:trPr>
        <w:tc>
          <w:tcPr>
            <w:tcW w:w="1060" w:type="dxa"/>
            <w:vAlign w:val="bottom"/>
            <w:gridSpan w:val="4"/>
          </w:tcPr>
          <w:p>
            <w:pPr>
              <w:spacing w:after="0"/>
              <w:rPr>
                <w:sz w:val="20"/>
                <w:szCs w:val="20"/>
                <w:color w:val="auto"/>
              </w:rPr>
            </w:pPr>
            <w:r>
              <w:rPr>
                <w:rFonts w:ascii="Arial" w:cs="Arial" w:eastAsia="Arial" w:hAnsi="Arial"/>
                <w:sz w:val="16"/>
                <w:szCs w:val="16"/>
                <w:color w:val="0000EE"/>
              </w:rPr>
              <w:t>ITEM 1.</w:t>
            </w:r>
          </w:p>
        </w:tc>
        <w:tc>
          <w:tcPr>
            <w:tcW w:w="3120" w:type="dxa"/>
            <w:vAlign w:val="bottom"/>
            <w:gridSpan w:val="18"/>
          </w:tcPr>
          <w:p>
            <w:pPr>
              <w:spacing w:after="0"/>
              <w:rPr>
                <w:sz w:val="20"/>
                <w:szCs w:val="20"/>
                <w:color w:val="auto"/>
              </w:rPr>
            </w:pPr>
            <w:r>
              <w:rPr>
                <w:rFonts w:ascii="Arial" w:cs="Arial" w:eastAsia="Arial" w:hAnsi="Arial"/>
                <w:sz w:val="16"/>
                <w:szCs w:val="16"/>
                <w:color w:val="0000EE"/>
              </w:rPr>
              <w:t>BUSINESS</w:t>
            </w:r>
          </w:p>
        </w:tc>
        <w:tc>
          <w:tcPr>
            <w:tcW w:w="540" w:type="dxa"/>
            <w:vAlign w:val="bottom"/>
            <w:tcBorders>
              <w:top w:val="single" w:sz="8" w:color="0000EE"/>
            </w:tcBorders>
          </w:tcPr>
          <w:p>
            <w:pPr>
              <w:spacing w:after="0"/>
              <w:rPr>
                <w:sz w:val="19"/>
                <w:szCs w:val="19"/>
                <w:color w:val="auto"/>
              </w:rPr>
            </w:pPr>
          </w:p>
        </w:tc>
        <w:tc>
          <w:tcPr>
            <w:tcW w:w="3380" w:type="dxa"/>
            <w:vAlign w:val="bottom"/>
            <w:gridSpan w:val="14"/>
          </w:tcPr>
          <w:p>
            <w:pPr>
              <w:spacing w:after="0"/>
              <w:rPr>
                <w:sz w:val="19"/>
                <w:szCs w:val="19"/>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1A.</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RISK FACTORS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1B.</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UNRESOLVED STAFF COMMENTS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8"/>
              </w:rPr>
              <w:t>ITEM 1C.</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CYBERSECURITY</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0" w:type="dxa"/>
            <w:vAlign w:val="bottom"/>
            <w:gridSpan w:val="3"/>
          </w:tcPr>
          <w:p>
            <w:pPr>
              <w:spacing w:after="0" w:line="183" w:lineRule="exact"/>
              <w:rPr>
                <w:sz w:val="20"/>
                <w:szCs w:val="20"/>
                <w:color w:val="auto"/>
              </w:rPr>
            </w:pPr>
            <w:r>
              <w:rPr>
                <w:rFonts w:ascii="Arial" w:cs="Arial" w:eastAsia="Arial" w:hAnsi="Arial"/>
                <w:sz w:val="16"/>
                <w:szCs w:val="16"/>
                <w:color w:val="0000EE"/>
              </w:rPr>
              <w:t>ITEM 2.</w:t>
            </w:r>
          </w:p>
        </w:tc>
        <w:tc>
          <w:tcPr>
            <w:tcW w:w="34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PROPERTIES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3.</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LEGAL PROCEEDINGS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4.</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MINE SAFETY DISCLOSURES</w:t>
            </w:r>
          </w:p>
        </w:tc>
      </w:tr>
      <w:tr>
        <w:trPr>
          <w:trHeight w:val="183"/>
        </w:trPr>
        <w:tc>
          <w:tcPr>
            <w:tcW w:w="56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gridSpan w:val="16"/>
          </w:tcPr>
          <w:p>
            <w:pPr>
              <w:jc w:val="center"/>
              <w:ind w:right="3380"/>
              <w:spacing w:after="0" w:line="183" w:lineRule="exact"/>
              <w:rPr>
                <w:sz w:val="20"/>
                <w:szCs w:val="20"/>
                <w:color w:val="auto"/>
              </w:rPr>
            </w:pPr>
            <w:r>
              <w:rPr>
                <w:rFonts w:ascii="Arial" w:cs="Arial" w:eastAsia="Arial" w:hAnsi="Arial"/>
                <w:sz w:val="16"/>
                <w:szCs w:val="16"/>
                <w:b w:val="1"/>
                <w:bCs w:val="1"/>
                <w:color w:val="0000EE"/>
                <w:w w:val="98"/>
              </w:rPr>
              <w:t>PART II</w:t>
            </w: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5.</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MARKET FOR REGISTRANT’S COMMON EQUITY, RELATED STOCKHOLDER MATTERS AND</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640" w:type="dxa"/>
            <w:vAlign w:val="bottom"/>
            <w:tcBorders>
              <w:top w:val="single" w:sz="8" w:color="0000EE"/>
              <w:bottom w:val="single" w:sz="8" w:color="0000EE"/>
            </w:tcBorders>
            <w:gridSpan w:val="18"/>
          </w:tcPr>
          <w:p>
            <w:pPr>
              <w:spacing w:after="0" w:line="169" w:lineRule="exact"/>
              <w:rPr>
                <w:sz w:val="20"/>
                <w:szCs w:val="20"/>
                <w:color w:val="auto"/>
              </w:rPr>
            </w:pPr>
            <w:r>
              <w:rPr>
                <w:rFonts w:ascii="Arial" w:cs="Arial" w:eastAsia="Arial" w:hAnsi="Arial"/>
                <w:sz w:val="16"/>
                <w:szCs w:val="16"/>
                <w:color w:val="0000EE"/>
              </w:rPr>
              <w:t>ISSUER PURCHASES OF EQUITY SECURITIES.</w:t>
            </w:r>
          </w:p>
        </w:tc>
        <w:tc>
          <w:tcPr>
            <w:tcW w:w="3360" w:type="dxa"/>
            <w:vAlign w:val="bottom"/>
            <w:tcBorders>
              <w:top w:val="single" w:sz="8" w:color="0000EE"/>
            </w:tcBorders>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6.</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RESERVED</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7.</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MANAGEMENT’S DISCUSSION AND ANALYSIS OF FINANCIAL CONDITION AND RESULTS</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40" w:type="dxa"/>
            <w:vAlign w:val="bottom"/>
            <w:tcBorders>
              <w:top w:val="single" w:sz="8" w:color="0000EE"/>
            </w:tcBorders>
            <w:gridSpan w:val="30"/>
          </w:tcPr>
          <w:p>
            <w:pPr>
              <w:spacing w:after="0" w:line="169" w:lineRule="exact"/>
              <w:rPr>
                <w:sz w:val="20"/>
                <w:szCs w:val="20"/>
                <w:color w:val="auto"/>
              </w:rPr>
            </w:pPr>
            <w:r>
              <w:rPr>
                <w:rFonts w:ascii="Arial" w:cs="Arial" w:eastAsia="Arial" w:hAnsi="Arial"/>
                <w:sz w:val="16"/>
                <w:szCs w:val="16"/>
                <w:color w:val="0000EE"/>
              </w:rPr>
              <w:t>OF OPERATIONS</w:t>
            </w:r>
          </w:p>
        </w:tc>
        <w:tc>
          <w:tcPr>
            <w:tcW w:w="180" w:type="dxa"/>
            <w:vAlign w:val="bottom"/>
            <w:gridSpan w:val="2"/>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7A.</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QUANTITATIVE AND QUALITATIVE DISCLOSURES ABOUT MARKET RISK</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rPr>
              <w:t>ITEM 8.</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FINANCIAL STATEMENTS AND SUPPLEMENTARY DATA</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9.</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CHANGES IN AND DISAGREEMENTS WITH ACCOUNTANTS ON ACCOUNTING AND</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6"/>
                <w:szCs w:val="16"/>
                <w:color w:val="0000EE"/>
              </w:rPr>
              <w:t>FINANCIAL DISCLOSURE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3"/>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9A.</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CONTROLS AND PROCEDURES</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9B.</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OTHER INFORMATION</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8"/>
              </w:rPr>
              <w:t>ITEM 9C.</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DISCLOSURE REGARDING FOREIGN JURISDICTIONS THAT PREVENT INSPECTIONS</w:t>
            </w:r>
          </w:p>
        </w:tc>
      </w:tr>
      <w:tr>
        <w:trPr>
          <w:trHeight w:val="183"/>
        </w:trPr>
        <w:tc>
          <w:tcPr>
            <w:tcW w:w="5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80" w:type="dxa"/>
            <w:vAlign w:val="bottom"/>
            <w:tcBorders>
              <w:top w:val="single" w:sz="8" w:color="0000EE"/>
            </w:tcBorders>
            <w:gridSpan w:val="13"/>
          </w:tcPr>
          <w:p>
            <w:pPr>
              <w:jc w:val="center"/>
              <w:ind w:right="2880"/>
              <w:spacing w:after="0" w:line="183" w:lineRule="exact"/>
              <w:rPr>
                <w:sz w:val="20"/>
                <w:szCs w:val="20"/>
                <w:color w:val="auto"/>
              </w:rPr>
            </w:pPr>
            <w:r>
              <w:rPr>
                <w:rFonts w:ascii="Arial" w:cs="Arial" w:eastAsia="Arial" w:hAnsi="Arial"/>
                <w:sz w:val="16"/>
                <w:szCs w:val="16"/>
                <w:b w:val="1"/>
                <w:bCs w:val="1"/>
                <w:color w:val="0000EE"/>
                <w:w w:val="97"/>
              </w:rPr>
              <w:t>PART III</w:t>
            </w:r>
          </w:p>
        </w:tc>
        <w:tc>
          <w:tcPr>
            <w:tcW w:w="480" w:type="dxa"/>
            <w:vAlign w:val="bottom"/>
            <w:gridSpan w:val="4"/>
          </w:tcPr>
          <w:p>
            <w:pPr>
              <w:spacing w:after="0"/>
              <w:rPr>
                <w:sz w:val="15"/>
                <w:szCs w:val="15"/>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10.</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DIRECTORS, EXECUTIVE OFFICERS AND CORPORATE GOVERNANCE</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11.</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EXECUTIVE COMPENSATION</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12.</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SECURITY OWNERSHIP OF CERTAIN BENEFICIAL OWNERS AND MANAGEMENT AND</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800" w:type="dxa"/>
            <w:vAlign w:val="bottom"/>
            <w:tcBorders>
              <w:top w:val="single" w:sz="8" w:color="0000EE"/>
              <w:bottom w:val="single" w:sz="8" w:color="0000EE"/>
            </w:tcBorders>
            <w:gridSpan w:val="13"/>
          </w:tcPr>
          <w:p>
            <w:pPr>
              <w:spacing w:after="0" w:line="169" w:lineRule="exact"/>
              <w:rPr>
                <w:sz w:val="20"/>
                <w:szCs w:val="20"/>
                <w:color w:val="auto"/>
              </w:rPr>
            </w:pPr>
            <w:r>
              <w:rPr>
                <w:rFonts w:ascii="Arial" w:cs="Arial" w:eastAsia="Arial" w:hAnsi="Arial"/>
                <w:sz w:val="16"/>
                <w:szCs w:val="16"/>
                <w:color w:val="0000EE"/>
                <w:w w:val="98"/>
              </w:rPr>
              <w:t>RELATED STOCKHOLDER MATTERS</w:t>
            </w:r>
          </w:p>
        </w:tc>
        <w:tc>
          <w:tcPr>
            <w:tcW w:w="3800" w:type="dxa"/>
            <w:vAlign w:val="bottom"/>
            <w:tcBorders>
              <w:top w:val="single" w:sz="8" w:color="0000EE"/>
            </w:tcBorders>
            <w:gridSpan w:val="16"/>
          </w:tcPr>
          <w:p>
            <w:pPr>
              <w:spacing w:after="0"/>
              <w:rPr>
                <w:sz w:val="14"/>
                <w:szCs w:val="14"/>
                <w:color w:val="auto"/>
              </w:rPr>
            </w:pPr>
          </w:p>
        </w:tc>
        <w:tc>
          <w:tcPr>
            <w:tcW w:w="420" w:type="dxa"/>
            <w:vAlign w:val="bottom"/>
            <w:gridSpan w:val="3"/>
          </w:tcPr>
          <w:p>
            <w:pPr>
              <w:spacing w:after="0"/>
              <w:rPr>
                <w:sz w:val="14"/>
                <w:szCs w:val="14"/>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13.</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CERTAIN RELATIONSHIPS AND RELATED TRANSACTIONS, AND DIRECTOR</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EE"/>
            </w:tcBorders>
            <w:gridSpan w:val="26"/>
          </w:tcPr>
          <w:p>
            <w:pPr>
              <w:spacing w:after="0" w:line="169" w:lineRule="exact"/>
              <w:rPr>
                <w:sz w:val="20"/>
                <w:szCs w:val="20"/>
                <w:color w:val="auto"/>
              </w:rPr>
            </w:pPr>
            <w:r>
              <w:rPr>
                <w:rFonts w:ascii="Arial" w:cs="Arial" w:eastAsia="Arial" w:hAnsi="Arial"/>
                <w:sz w:val="16"/>
                <w:szCs w:val="16"/>
                <w:color w:val="0000EE"/>
              </w:rPr>
              <w:t>INDEPENDENCE</w:t>
            </w:r>
          </w:p>
        </w:tc>
        <w:tc>
          <w:tcPr>
            <w:tcW w:w="1220" w:type="dxa"/>
            <w:vAlign w:val="bottom"/>
            <w:gridSpan w:val="6"/>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10"/>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14.</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PRINCIPAL ACCOUNTING FEES AND SERVICES</w:t>
            </w:r>
          </w:p>
        </w:tc>
      </w:tr>
      <w:tr>
        <w:trPr>
          <w:trHeight w:val="183"/>
        </w:trPr>
        <w:tc>
          <w:tcPr>
            <w:tcW w:w="5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40" w:type="dxa"/>
            <w:vAlign w:val="bottom"/>
            <w:tcBorders>
              <w:top w:val="single" w:sz="8" w:color="0000EE"/>
              <w:bottom w:val="single" w:sz="8" w:color="0000EE"/>
            </w:tcBorders>
            <w:gridSpan w:val="6"/>
          </w:tcPr>
          <w:p>
            <w:pPr>
              <w:jc w:val="center"/>
              <w:spacing w:after="0" w:line="183" w:lineRule="exact"/>
              <w:rPr>
                <w:sz w:val="20"/>
                <w:szCs w:val="20"/>
                <w:color w:val="auto"/>
              </w:rPr>
            </w:pPr>
            <w:r>
              <w:rPr>
                <w:rFonts w:ascii="Arial" w:cs="Arial" w:eastAsia="Arial" w:hAnsi="Arial"/>
                <w:sz w:val="16"/>
                <w:szCs w:val="16"/>
                <w:b w:val="1"/>
                <w:bCs w:val="1"/>
                <w:color w:val="0000EE"/>
              </w:rPr>
              <w:t>PART IV</w:t>
            </w:r>
          </w:p>
        </w:tc>
        <w:tc>
          <w:tcPr>
            <w:tcW w:w="20" w:type="dxa"/>
            <w:vAlign w:val="bottom"/>
            <w:tcBorders>
              <w:top w:val="single" w:sz="8" w:color="0000EE"/>
            </w:tcBorders>
          </w:tcPr>
          <w:p>
            <w:pPr>
              <w:spacing w:after="0"/>
              <w:rPr>
                <w:sz w:val="15"/>
                <w:szCs w:val="15"/>
                <w:color w:val="auto"/>
              </w:rPr>
            </w:pPr>
          </w:p>
        </w:tc>
        <w:tc>
          <w:tcPr>
            <w:tcW w:w="3320" w:type="dxa"/>
            <w:vAlign w:val="bottom"/>
            <w:gridSpan w:val="11"/>
          </w:tcPr>
          <w:p>
            <w:pPr>
              <w:spacing w:after="0"/>
              <w:rPr>
                <w:sz w:val="15"/>
                <w:szCs w:val="15"/>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15.</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EXHIBIT AND FINANCIAL STATEMENT SCHEDULES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EE"/>
        </w:rPr>
        <w:t>EXHIBIT INDEX</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EE"/>
        </w:rPr>
        <w:t>SIGNATURES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3</w:t>
      </w:r>
    </w:p>
    <w:p>
      <w:pPr>
        <w:spacing w:after="0" w:line="268"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6</w:t>
      </w:r>
    </w:p>
    <w:p>
      <w:pPr>
        <w:spacing w:after="0" w:line="31"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47</w:t>
      </w:r>
    </w:p>
    <w:p>
      <w:pPr>
        <w:spacing w:after="0" w:line="19"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113</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113</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113</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114</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114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115</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115</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116</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131</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131</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165</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165</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166</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166</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167</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167</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167</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167</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167</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168</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168</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172</w:t>
      </w:r>
    </w:p>
    <w:p>
      <w:pPr>
        <w:spacing w:after="0" w:line="200" w:lineRule="exact"/>
        <w:rPr>
          <w:sz w:val="20"/>
          <w:szCs w:val="20"/>
          <w:color w:val="auto"/>
        </w:rPr>
      </w:pPr>
    </w:p>
    <w:p>
      <w:pPr>
        <w:sectPr>
          <w:pgSz w:w="11900" w:h="16838" w:orient="portrait"/>
          <w:cols w:equalWidth="0" w:num="2">
            <w:col w:w="8140" w:space="540"/>
            <w:col w:w="339"/>
          </w:cols>
          <w:pgMar w:left="1440" w:top="5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This Annual Report on Form 10-K and the documents incorporated by reference herein contain forward-looking statements that involve substantial risks and uncertainties. All statements, other than statements of historical facts, included in this Annual Report on Form 10-K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83"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The forward-looking statements in this Annual Report on Form 10-K and the documents incorporated herein by reference include, among other things, statements about:</w:t>
      </w:r>
    </w:p>
    <w:p>
      <w:pPr>
        <w:spacing w:after="0" w:line="140" w:lineRule="exact"/>
        <w:rPr>
          <w:sz w:val="20"/>
          <w:szCs w:val="20"/>
          <w:color w:val="auto"/>
        </w:rPr>
      </w:pPr>
    </w:p>
    <w:p>
      <w:pPr>
        <w:ind w:left="720" w:right="1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right="27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early clinical nature of our business and our ability to successfully advance our current and future product candidates, through development activities, preclinical studies, and clinical trials;</w:t>
      </w:r>
    </w:p>
    <w:p>
      <w:pPr>
        <w:spacing w:after="0" w:line="154" w:lineRule="exact"/>
        <w:rPr>
          <w:rFonts w:ascii="Times New Roman" w:cs="Times New Roman" w:eastAsia="Times New Roman" w:hAnsi="Times New Roman"/>
          <w:sz w:val="18"/>
          <w:szCs w:val="18"/>
          <w:color w:val="auto"/>
        </w:rPr>
      </w:pPr>
    </w:p>
    <w:p>
      <w:pPr>
        <w:ind w:left="720" w:right="6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54"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54"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the success of our lead product candidate, CNTY-101, and our ability to progress CNTY-101 through clinical development;</w:t>
      </w:r>
    </w:p>
    <w:p>
      <w:pPr>
        <w:spacing w:after="0" w:line="154" w:lineRule="exact"/>
        <w:rPr>
          <w:rFonts w:ascii="Times New Roman" w:cs="Times New Roman" w:eastAsia="Times New Roman" w:hAnsi="Times New Roman"/>
          <w:sz w:val="18"/>
          <w:szCs w:val="18"/>
          <w:color w:val="auto"/>
        </w:rPr>
      </w:pPr>
    </w:p>
    <w:p>
      <w:pPr>
        <w:ind w:left="720" w:right="49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novelty of our approach to immuno-oncology and autoimmune and inflammatory treatments, utilizing iPSC-derived natural killer cells, or iNK cells, and iPSC-derived T cells, or iT cells, and the challenges we will face due to the novel nature of such technology;</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224"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170" w:lineRule="exact"/>
        <w:rPr>
          <w:rFonts w:ascii="Times New Roman" w:cs="Times New Roman" w:eastAsia="Times New Roman" w:hAnsi="Times New Roman"/>
          <w:sz w:val="18"/>
          <w:szCs w:val="18"/>
          <w:color w:val="auto"/>
        </w:rPr>
      </w:pPr>
    </w:p>
    <w:p>
      <w:pPr>
        <w:ind w:left="720" w:right="2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progress, success, cost, and timing of our development activities, preclinical studies and clinical trials;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future investigational new drug, or IND, applications and the likelihood of, and our ability to obtain and maintain, regulatory clearance of IND applications for our product candidates;</w:t>
      </w:r>
    </w:p>
    <w:p>
      <w:pPr>
        <w:spacing w:after="0" w:line="154"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15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170" w:lineRule="exact"/>
        <w:rPr>
          <w:rFonts w:ascii="Times New Roman" w:cs="Times New Roman" w:eastAsia="Times New Roman" w:hAnsi="Times New Roman"/>
          <w:sz w:val="18"/>
          <w:szCs w:val="18"/>
          <w:color w:val="auto"/>
        </w:rPr>
      </w:pPr>
    </w:p>
    <w:p>
      <w:pPr>
        <w:ind w:left="720" w:right="3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170" w:lineRule="exact"/>
        <w:rPr>
          <w:rFonts w:ascii="Times New Roman" w:cs="Times New Roman" w:eastAsia="Times New Roman" w:hAnsi="Times New Roman"/>
          <w:sz w:val="18"/>
          <w:szCs w:val="18"/>
          <w:color w:val="auto"/>
        </w:rPr>
      </w:pPr>
    </w:p>
    <w:p>
      <w:pPr>
        <w:ind w:left="720" w:right="13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54" w:lineRule="exact"/>
        <w:rPr>
          <w:rFonts w:ascii="Times New Roman" w:cs="Times New Roman" w:eastAsia="Times New Roman" w:hAnsi="Times New Roman"/>
          <w:sz w:val="18"/>
          <w:szCs w:val="18"/>
          <w:color w:val="auto"/>
        </w:rPr>
      </w:pPr>
    </w:p>
    <w:p>
      <w:pPr>
        <w:ind w:left="720" w:right="51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public opinion and scrutiny of cell-based immuno-oncology and autoimmune and inflammatory therapies and its potential impact on public perception of our company and product candidates;</w:t>
      </w:r>
    </w:p>
    <w:p>
      <w:pPr>
        <w:spacing w:after="0" w:line="131" w:lineRule="exact"/>
        <w:rPr>
          <w:rFonts w:ascii="Times New Roman" w:cs="Times New Roman" w:eastAsia="Times New Roman" w:hAnsi="Times New Roman"/>
          <w:sz w:val="17"/>
          <w:szCs w:val="17"/>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54"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54"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224"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and retain key members of management and other clinical and scientific personnel;</w:t>
      </w:r>
    </w:p>
    <w:p>
      <w:pPr>
        <w:spacing w:after="0" w:line="235" w:lineRule="exact"/>
        <w:rPr>
          <w:rFonts w:ascii="Times New Roman" w:cs="Times New Roman" w:eastAsia="Times New Roman" w:hAnsi="Times New Roman"/>
          <w:sz w:val="17"/>
          <w:szCs w:val="17"/>
          <w:color w:val="auto"/>
        </w:rPr>
      </w:pPr>
    </w:p>
    <w:p>
      <w:pPr>
        <w:ind w:left="720" w:right="17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volatility of capital markets and other macroeconomic factors, including due to inflationary pressures, banking instability, global health crises, geopolitical tensions or the outbreak of hostilities or war;</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 and</w:t>
      </w:r>
    </w:p>
    <w:p>
      <w:pPr>
        <w:spacing w:after="0" w:line="224" w:lineRule="exact"/>
        <w:rPr>
          <w:rFonts w:ascii="Times New Roman" w:cs="Times New Roman" w:eastAsia="Times New Roman" w:hAnsi="Times New Roman"/>
          <w:sz w:val="18"/>
          <w:szCs w:val="18"/>
          <w:color w:val="auto"/>
        </w:rPr>
      </w:pPr>
    </w:p>
    <w:p>
      <w:pPr>
        <w:ind w:left="720" w:right="1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Annual Report on Form 10-K.</w:t>
      </w:r>
    </w:p>
    <w:p>
      <w:pPr>
        <w:spacing w:after="0" w:line="15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Annual Report on Form 10-K,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law, we undertake no obligation to publicly update any forward-looking statements, whether as a result of new information, future events or otherwise.</w:t>
      </w:r>
    </w:p>
    <w:p>
      <w:pPr>
        <w:spacing w:after="0" w:line="154"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You should read this Annual Report on Form 10-K and the documents that we incorporate by reference herein completely and with the understanding that our actual future results may be materially different from what we expect. We do not assume any obligation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are a clinical-stage biotechnology company harnessing the power of allogeneic pluripotent stem cell therapies to develop potentially curative cell therapy products for autoimmune diseases and cancer. Our natural killer, or NK, and T cell programs are allogeneic, meaning they are derived from healthy donors for use in any patient, rather than being sourced from an individual for their own specific use, as is the case with autologous T cells. As a result, we believe such “off-the-shelf" therapies have the potential to overcome the limitations of first-generation cell therapies by providing readily available treatments more quickly, reliably, at greater scale, and to a broader patient population. What we believe further sets us apart from other allogeneic approaches is our focus on induced pluripotent stem cells, or iPSCs, which possess the unique ability to self-renew indefinitely and differentiate into any cell type, enabling virtually unlimited genetic editing, consistent reproducibility, and scalable manufacturing. We have created a comprehensive, genetically engineered allogeneic cell therapy platform that includes:</w:t>
      </w:r>
    </w:p>
    <w:p>
      <w:pPr>
        <w:spacing w:after="0" w:line="186" w:lineRule="exact"/>
        <w:rPr>
          <w:sz w:val="20"/>
          <w:szCs w:val="20"/>
          <w:color w:val="auto"/>
        </w:rPr>
      </w:pPr>
    </w:p>
    <w:p>
      <w:pPr>
        <w:ind w:left="720" w:right="19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Industry-leading iPSCs and differentiation know-how to generate immune effector cells from iPSCs, or iPSC-derived cells;</w:t>
      </w:r>
    </w:p>
    <w:p>
      <w:pPr>
        <w:spacing w:after="0" w:line="154"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Clustered regularly interspaced short palindromic repeats, or CRISPR mediated precision gene editing that allows us to incorporate multiple transgenes and disrupt target genes intended to optimize cell product performance;</w:t>
      </w:r>
    </w:p>
    <w:p>
      <w:pPr>
        <w:spacing w:after="0" w:line="170"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Sophisticated protein engineering capabilities to develop proprietary next generation chimeric antigen receptors, or CARs;</w:t>
      </w:r>
    </w:p>
    <w:p>
      <w:pPr>
        <w:spacing w:after="0" w:line="154" w:lineRule="exact"/>
        <w:rPr>
          <w:rFonts w:ascii="Times New Roman" w:cs="Times New Roman" w:eastAsia="Times New Roman" w:hAnsi="Times New Roman"/>
          <w:sz w:val="18"/>
          <w:szCs w:val="18"/>
          <w:color w:val="auto"/>
        </w:rPr>
      </w:pPr>
    </w:p>
    <w:p>
      <w:pPr>
        <w:ind w:left="720" w:right="11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proprietary Allo-Evasion™ technology intended to prevent rejection of our cell products by the host immune system, enabling the potential for persistence and re-dosing of therapy; and</w:t>
      </w:r>
    </w:p>
    <w:p>
      <w:pPr>
        <w:spacing w:after="0" w:line="154"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Cutting-edge manufacturing capabilities intended to drive scale advantages and reduce cost of goods sold, or COGs, while minimizing product development and supply risk.</w:t>
      </w:r>
    </w:p>
    <w:p>
      <w:pPr>
        <w:spacing w:after="0" w:line="154" w:lineRule="exact"/>
        <w:rPr>
          <w:sz w:val="20"/>
          <w:szCs w:val="20"/>
          <w:color w:val="auto"/>
        </w:rPr>
      </w:pPr>
    </w:p>
    <w:p>
      <w:pPr>
        <w:ind w:left="60" w:right="239"/>
        <w:spacing w:after="0" w:line="241" w:lineRule="auto"/>
        <w:rPr>
          <w:sz w:val="20"/>
          <w:szCs w:val="20"/>
          <w:color w:val="auto"/>
        </w:rPr>
      </w:pPr>
      <w:r>
        <w:rPr>
          <w:rFonts w:ascii="Arial" w:cs="Arial" w:eastAsia="Arial" w:hAnsi="Arial"/>
          <w:sz w:val="18"/>
          <w:szCs w:val="18"/>
          <w:color w:val="auto"/>
        </w:rPr>
        <w:t xml:space="preserve">We are leveraging our expertise in cellular reprogramming, differentiation, genetic engineering, and manufacturing to develop therapies with the potential to provide enhanced clinical outcomes compared to existing cell therapy technologies and available therapeutic options. We are unique in the breadth of immune effector cell types we can generate from iPSCs, including iPSC-derived natural killer cells, or iNK cells, iPSC-derived </w:t>
      </w:r>
      <w:r>
        <w:rPr>
          <w:rFonts w:ascii="Times New Roman" w:cs="Times New Roman" w:eastAsia="Times New Roman" w:hAnsi="Times New Roman"/>
          <w:sz w:val="18"/>
          <w:szCs w:val="18"/>
          <w:color w:val="auto"/>
        </w:rPr>
        <w:t>gd</w:t>
      </w:r>
      <w:r>
        <w:rPr>
          <w:rFonts w:ascii="Arial" w:cs="Arial" w:eastAsia="Arial" w:hAnsi="Arial"/>
          <w:sz w:val="18"/>
          <w:szCs w:val="18"/>
          <w:color w:val="auto"/>
        </w:rPr>
        <w:t xml:space="preserve"> T cells, or </w:t>
      </w:r>
      <w:r>
        <w:rPr>
          <w:rFonts w:ascii="Times New Roman" w:cs="Times New Roman" w:eastAsia="Times New Roman" w:hAnsi="Times New Roman"/>
          <w:sz w:val="18"/>
          <w:szCs w:val="18"/>
          <w:color w:val="auto"/>
        </w:rPr>
        <w:t>gd</w:t>
      </w:r>
      <w:r>
        <w:rPr>
          <w:rFonts w:ascii="Arial" w:cs="Arial" w:eastAsia="Arial" w:hAnsi="Arial"/>
          <w:sz w:val="18"/>
          <w:szCs w:val="18"/>
          <w:color w:val="auto"/>
        </w:rPr>
        <w:t xml:space="preserve"> IT cells and iPSC-derived CD4+ and CD8+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T cells, or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iT cells. We believe this capability enables optimal matching of cell characteristics to indication, ensuring we target the right cell for the right indication. Further, we have developed a feeder-free, scalable process that recapitulates normal T cell development in a dish, allowing for what we believe to be the industry-first presentation of iPSC-derived CD4+ and CD8+ CAR-T cells that demonstrate αβ-like T cell function.</w:t>
      </w:r>
    </w:p>
    <w:p>
      <w:pPr>
        <w:spacing w:after="0" w:line="181"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Our lead clinical product candidate, CNTY-101, is a CAR-iNK cell therapy with six precision gene edits currently being tested in a Phase 1 clinical trial for patients with B-cell mediated autoimmune diseases. In March 2025, we announced that we have discontinued our ELiPSE-1 Phase 1 clinical trial of CNTY-101 for patients with lymphoma for strategic reasons. While we remain encouraged by tolerability and clinical activity of CNTY-101 in late-stage R/R NHL, emerging data from ELiPSE-1 did not meet our threshold to be considered transformational in this patient population.</w:t>
      </w:r>
    </w:p>
    <w:p>
      <w:pPr>
        <w:spacing w:after="0" w:line="179" w:lineRule="exact"/>
        <w:rPr>
          <w:sz w:val="20"/>
          <w:szCs w:val="20"/>
          <w:color w:val="auto"/>
        </w:rPr>
      </w:pPr>
    </w:p>
    <w:p>
      <w:pPr>
        <w:ind w:left="60" w:right="239"/>
        <w:spacing w:after="0" w:line="301" w:lineRule="auto"/>
        <w:rPr>
          <w:sz w:val="20"/>
          <w:szCs w:val="20"/>
          <w:color w:val="auto"/>
        </w:rPr>
      </w:pPr>
      <w:r>
        <w:rPr>
          <w:rFonts w:ascii="Arial" w:cs="Arial" w:eastAsia="Arial" w:hAnsi="Arial"/>
          <w:sz w:val="17"/>
          <w:szCs w:val="17"/>
          <w:color w:val="auto"/>
        </w:rPr>
        <w:t>In March 2025, we also announced a re-prioritized pre-clinical pipeline intended to further leverage the unique capabilities and technologies we have towards transformative treatments holding strong commercial potential</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to treat serious diseases with high unmet need. Accordingly, in addition to our clinical stage programs, we will be focusing on three core pre-clinical programs built on our industry leading iT cell platform. We believe these programs have significant potential for differentiation in their respective categories.</w:t>
      </w:r>
    </w:p>
    <w:p>
      <w:pPr>
        <w:spacing w:after="0" w:line="200" w:lineRule="exact"/>
        <w:rPr>
          <w:sz w:val="20"/>
          <w:szCs w:val="20"/>
          <w:color w:val="auto"/>
        </w:rPr>
      </w:pPr>
    </w:p>
    <w:p>
      <w:pPr>
        <w:spacing w:after="0" w:line="212" w:lineRule="exact"/>
        <w:rPr>
          <w:sz w:val="20"/>
          <w:szCs w:val="20"/>
          <w:color w:val="auto"/>
        </w:rPr>
      </w:pPr>
    </w:p>
    <w:p>
      <w:pPr>
        <w:ind w:left="720" w:right="21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CNTY-308: A CD19-targeted CAR-iT cell therapy engineered with Allo-Evasion™ 5.0 demonstrating preclinical efficacy comparable to autologous CD19 CAR-T cells. It is being developed primarily for B-cell mediated autoimmune diseases and malignancies.</w:t>
      </w:r>
    </w:p>
    <w:p>
      <w:pPr>
        <w:spacing w:after="0" w:line="170" w:lineRule="exact"/>
        <w:rPr>
          <w:rFonts w:ascii="Times New Roman" w:cs="Times New Roman" w:eastAsia="Times New Roman" w:hAnsi="Times New Roman"/>
          <w:sz w:val="18"/>
          <w:szCs w:val="18"/>
          <w:color w:val="auto"/>
        </w:rPr>
      </w:pPr>
    </w:p>
    <w:p>
      <w:pPr>
        <w:jc w:val="both"/>
        <w:ind w:left="720" w:right="13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CNTY-341: A CD19/CD22 dual-targeted CAR-iT cell therapy engineered with Allo-Evasion™ 5.0 which pairs dual targeting and primary T-cell-like functionality in an allogeneic cell with the goal of providing a differentiated therapy for B cell malignancies.</w:t>
      </w:r>
    </w:p>
    <w:p>
      <w:pPr>
        <w:spacing w:after="0" w:line="170" w:lineRule="exact"/>
        <w:rPr>
          <w:rFonts w:ascii="Times New Roman" w:cs="Times New Roman" w:eastAsia="Times New Roman" w:hAnsi="Times New Roman"/>
          <w:sz w:val="18"/>
          <w:szCs w:val="18"/>
          <w:color w:val="auto"/>
        </w:rPr>
      </w:pPr>
    </w:p>
    <w:p>
      <w:pPr>
        <w:ind w:left="720" w:right="13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first solid tumor CAR iT program exploiting Nectin-4 CAR and other validated targets, engineered with Allo-Evasion™ 5.0 and additional engineering aimed at overcoming the key barriers to success in solid tumors.</w:t>
      </w:r>
    </w:p>
    <w:p>
      <w:pPr>
        <w:spacing w:after="0" w:line="170" w:lineRule="exact"/>
        <w:rPr>
          <w:rFonts w:ascii="Times New Roman" w:cs="Times New Roman" w:eastAsia="Times New Roman" w:hAnsi="Times New Roman"/>
          <w:sz w:val="18"/>
          <w:szCs w:val="18"/>
          <w:color w:val="auto"/>
        </w:rPr>
      </w:pPr>
    </w:p>
    <w:p>
      <w:pPr>
        <w:ind w:left="720" w:right="55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are also selectively expanding to non-immune effector cells with opportunities to potentially accelerate in high-impact therapeutic areas where we believe our technology and capabilities can provide meaningful differentiation.</w:t>
      </w:r>
    </w:p>
    <w:p>
      <w:pPr>
        <w:spacing w:after="0" w:line="171" w:lineRule="exact"/>
        <w:rPr>
          <w:sz w:val="20"/>
          <w:szCs w:val="20"/>
          <w:color w:val="auto"/>
        </w:rPr>
      </w:pPr>
    </w:p>
    <w:p>
      <w:pPr>
        <w:ind w:left="380" w:right="159"/>
        <w:spacing w:after="0" w:line="244" w:lineRule="auto"/>
        <w:rPr>
          <w:sz w:val="20"/>
          <w:szCs w:val="20"/>
          <w:color w:val="auto"/>
        </w:rPr>
      </w:pPr>
      <w:r>
        <w:rPr>
          <w:rFonts w:ascii="Arial" w:cs="Arial" w:eastAsia="Arial" w:hAnsi="Arial"/>
          <w:sz w:val="18"/>
          <w:szCs w:val="18"/>
          <w:color w:val="auto"/>
        </w:rPr>
        <w:t>Our vision is to become a premier, fully integrated biotechnology company by developing and ultimately commercializing off-the-shelf allogeneic cell therapies that dramatically and positively transform the lives of patients suffering from life-threatening autoimmune diseases and cancers. To achieve our vision, we have assembled a world-class team with decades of collective experience in cell therapy and drug development, manufacturing, and commercialization.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Approach:</w:t>
      </w:r>
    </w:p>
    <w:p>
      <w:pPr>
        <w:spacing w:after="0" w:line="212"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Off-the-shelf therapies</w:t>
      </w:r>
    </w:p>
    <w:p>
      <w:pPr>
        <w:spacing w:after="0" w:line="224" w:lineRule="exact"/>
        <w:rPr>
          <w:sz w:val="20"/>
          <w:szCs w:val="20"/>
          <w:color w:val="auto"/>
        </w:rPr>
      </w:pPr>
    </w:p>
    <w:p>
      <w:pPr>
        <w:ind w:left="1380" w:right="79" w:hanging="331"/>
        <w:spacing w:after="0" w:line="236" w:lineRule="auto"/>
        <w:tabs>
          <w:tab w:leader="none" w:pos="138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We are focused on developing “off-the-shelf" cell therapies, which are derived from donor cells or engineered cell lines, are manufactured in advance and stored for immediate use, removing the need for patient-specific cell collection. We believe the advantage of this approach is scalability and availability, allowing for treatment without the delays and complications to access associated with the manufacture of personalized therapies. Unlike autologous therapies which rely on a patient’s own cells and can be limited by cell quality, off-the-shelf therapies are sourced from healthy donors or optimized cell lines, designed to ensure consistency and potency, and are modified to potentially overcome immune rejection. By addressing manufacturing challenges, reducing costs, and increasing accessibility, off-the-shelf cell therapies have the potential to transform immunotherapy, making treatments available to more patients.</w:t>
      </w:r>
    </w:p>
    <w:p>
      <w:pPr>
        <w:spacing w:after="0" w:line="188" w:lineRule="exact"/>
        <w:rPr>
          <w:rFonts w:ascii="Courier New" w:cs="Courier New" w:eastAsia="Courier New" w:hAnsi="Courier New"/>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iPSCs</w:t>
      </w:r>
    </w:p>
    <w:p>
      <w:pPr>
        <w:spacing w:after="0" w:line="22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Engineerability</w:t>
      </w:r>
    </w:p>
    <w:p>
      <w:pPr>
        <w:spacing w:after="0" w:line="177" w:lineRule="exact"/>
        <w:rPr>
          <w:rFonts w:ascii="Courier New" w:cs="Courier New" w:eastAsia="Courier New" w:hAnsi="Courier New"/>
          <w:sz w:val="18"/>
          <w:szCs w:val="18"/>
          <w:color w:val="auto"/>
        </w:rPr>
      </w:pPr>
    </w:p>
    <w:p>
      <w:pPr>
        <w:ind w:left="2020" w:right="339"/>
        <w:spacing w:after="0" w:line="253" w:lineRule="auto"/>
        <w:rPr>
          <w:rFonts w:ascii="Courier New" w:cs="Courier New" w:eastAsia="Courier New" w:hAnsi="Courier New"/>
          <w:sz w:val="18"/>
          <w:szCs w:val="18"/>
          <w:color w:val="auto"/>
        </w:rPr>
      </w:pPr>
      <w:r>
        <w:rPr>
          <w:rFonts w:ascii="Arial" w:cs="Arial" w:eastAsia="Arial" w:hAnsi="Arial"/>
          <w:sz w:val="18"/>
          <w:szCs w:val="18"/>
          <w:color w:val="auto"/>
        </w:rPr>
        <w:t>The unlimited replication capacity of iPSCs allows us to incorporate multiple genetic modifications at precise sites, or loci, in the genome of iPSCs that are designed to improve cell function using CRISPR-mediated gene editing.</w:t>
      </w:r>
    </w:p>
    <w:p>
      <w:pPr>
        <w:spacing w:after="0" w:line="187" w:lineRule="exact"/>
        <w:rPr>
          <w:rFonts w:ascii="Courier New" w:cs="Courier New" w:eastAsia="Courier New" w:hAnsi="Courier New"/>
          <w:sz w:val="18"/>
          <w:szCs w:val="18"/>
          <w:color w:val="auto"/>
        </w:rPr>
      </w:pPr>
    </w:p>
    <w:p>
      <w:pPr>
        <w:ind w:left="1380" w:hanging="331"/>
        <w:spacing w:after="0"/>
        <w:tabs>
          <w:tab w:leader="none" w:pos="138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Reproducibility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20" w:right="99"/>
        <w:spacing w:after="0"/>
        <w:rPr>
          <w:sz w:val="20"/>
          <w:szCs w:val="20"/>
          <w:color w:val="auto"/>
        </w:rPr>
      </w:pPr>
      <w:r>
        <w:rPr>
          <w:rFonts w:ascii="Arial" w:cs="Arial" w:eastAsia="Arial" w:hAnsi="Arial"/>
          <w:sz w:val="18"/>
          <w:szCs w:val="18"/>
          <w:color w:val="auto"/>
        </w:rPr>
        <w:t>We have developed optimized cell-editing protocols that enable the generation of multiple gene deletions and bi-allelic gene insertions in a single iPSC clone derived from one healthy donor with relative ease and consistency, while maintaining genomic stability throughout the process. These cells can be extensively and fully characterized to ensure a consistent reproducible product. After editing, iPSCs can be cloned from a single cell and expanded to form a master cell bank, or MCB, that contains only cells that have the desired precision edits and no “off-target” edits. This MCB is the basis of all cells used to produce therapeutics and is capable of providing a sufficient number of doses for the life of a product due to the unlimited replicative capacity of iPSCs.</w:t>
      </w:r>
    </w:p>
    <w:p>
      <w:pPr>
        <w:spacing w:after="0" w:line="396" w:lineRule="exact"/>
        <w:rPr>
          <w:sz w:val="20"/>
          <w:szCs w:val="20"/>
          <w:color w:val="auto"/>
        </w:rPr>
      </w:pPr>
    </w:p>
    <w:p>
      <w:pPr>
        <w:ind w:left="1380" w:hanging="331"/>
        <w:spacing w:after="0"/>
        <w:tabs>
          <w:tab w:leader="none" w:pos="138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Profitable Scalability</w:t>
      </w:r>
    </w:p>
    <w:p>
      <w:pPr>
        <w:spacing w:after="0" w:line="177" w:lineRule="exact"/>
        <w:rPr>
          <w:rFonts w:ascii="Courier New" w:cs="Courier New" w:eastAsia="Courier New" w:hAnsi="Courier New"/>
          <w:sz w:val="18"/>
          <w:szCs w:val="18"/>
          <w:color w:val="auto"/>
        </w:rPr>
      </w:pPr>
    </w:p>
    <w:p>
      <w:pPr>
        <w:ind w:left="2020" w:right="179"/>
        <w:spacing w:after="0"/>
        <w:rPr>
          <w:rFonts w:ascii="Courier New" w:cs="Courier New" w:eastAsia="Courier New" w:hAnsi="Courier New"/>
          <w:sz w:val="18"/>
          <w:szCs w:val="18"/>
          <w:color w:val="auto"/>
        </w:rPr>
      </w:pPr>
      <w:r>
        <w:rPr>
          <w:rFonts w:ascii="Arial" w:cs="Arial" w:eastAsia="Arial" w:hAnsi="Arial"/>
          <w:sz w:val="18"/>
          <w:szCs w:val="18"/>
          <w:color w:val="auto"/>
        </w:rPr>
        <w:t>We believe our iPSC-derived platform affords us a significant opportunity to advance multiplex gene-edited cell therapies that can be produced at a substantially lower cost and accessible by a much larger patient population as compared to other donor-derived and autologous cell therapy approaches. We are developing a significant depth of expertise related to scalable manufacturing and quality assurance in a dedicated facility to rapidly iterate and improve conditions for cell expansion, harvest, final container filling, and cryopreservation at a significantly reduced cost per dose.</w:t>
      </w:r>
    </w:p>
    <w:p>
      <w:pPr>
        <w:spacing w:after="0" w:line="202" w:lineRule="exact"/>
        <w:rPr>
          <w:rFonts w:ascii="Courier New" w:cs="Courier New" w:eastAsia="Courier New" w:hAnsi="Courier New"/>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Allo-EvasionTM technology</w:t>
      </w:r>
    </w:p>
    <w:p>
      <w:pPr>
        <w:spacing w:after="0" w:line="224" w:lineRule="exact"/>
        <w:rPr>
          <w:rFonts w:ascii="Times New Roman" w:cs="Times New Roman" w:eastAsia="Times New Roman" w:hAnsi="Times New Roman"/>
          <w:sz w:val="18"/>
          <w:szCs w:val="18"/>
          <w:color w:val="auto"/>
        </w:rPr>
      </w:pPr>
    </w:p>
    <w:p>
      <w:pPr>
        <w:ind w:left="1380" w:right="179" w:hanging="331"/>
        <w:spacing w:after="0" w:line="237" w:lineRule="auto"/>
        <w:tabs>
          <w:tab w:leader="none" w:pos="138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Our proprietary Allo-EvasionTM engineering technology is designed to enable our cell product candidates to escape recognition and destruction and thus coexist with the host immune system. This innovative technology also [allows us] to perform repeat dosing of our cell therapies where needed to improve their therapeutic potential by more precisely controlling drug exposure. Thus, we can utilize repeat dosing as needed to both maximize durability of response and improve efficacy for the disease or setting. Additionally, we believe this technology may permit dosing in patients with limited or no immune preconditioning regimens, or without the use of ongoing immune suppression.</w:t>
      </w:r>
    </w:p>
    <w:p>
      <w:pPr>
        <w:spacing w:after="0" w:line="185" w:lineRule="exact"/>
        <w:rPr>
          <w:rFonts w:ascii="Courier New" w:cs="Courier New" w:eastAsia="Courier New" w:hAnsi="Courier New"/>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Immune cell differentiation: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iT cells, </w:t>
      </w:r>
      <w:r>
        <w:rPr>
          <w:rFonts w:ascii="Times New Roman" w:cs="Times New Roman" w:eastAsia="Times New Roman" w:hAnsi="Times New Roman"/>
          <w:sz w:val="18"/>
          <w:szCs w:val="18"/>
          <w:color w:val="auto"/>
        </w:rPr>
        <w:t>gd</w:t>
      </w:r>
      <w:r>
        <w:rPr>
          <w:rFonts w:ascii="Arial" w:cs="Arial" w:eastAsia="Arial" w:hAnsi="Arial"/>
          <w:sz w:val="18"/>
          <w:szCs w:val="18"/>
          <w:color w:val="auto"/>
        </w:rPr>
        <w:t xml:space="preserve"> IT cells, iNK cells</w:t>
      </w:r>
    </w:p>
    <w:p>
      <w:pPr>
        <w:spacing w:after="0" w:line="224" w:lineRule="exact"/>
        <w:rPr>
          <w:rFonts w:ascii="Times New Roman" w:cs="Times New Roman" w:eastAsia="Times New Roman" w:hAnsi="Times New Roman"/>
          <w:sz w:val="18"/>
          <w:szCs w:val="18"/>
          <w:color w:val="auto"/>
        </w:rPr>
      </w:pPr>
    </w:p>
    <w:p>
      <w:pPr>
        <w:ind w:left="1380" w:right="159" w:hanging="331"/>
        <w:spacing w:after="0" w:line="242" w:lineRule="auto"/>
        <w:tabs>
          <w:tab w:leader="none" w:pos="138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 xml:space="preserve">Our ability to generate multiple mature functional immune effector cells including iNK cells, </w:t>
      </w:r>
      <w:r>
        <w:rPr>
          <w:rFonts w:ascii="Times New Roman" w:cs="Times New Roman" w:eastAsia="Times New Roman" w:hAnsi="Times New Roman"/>
          <w:sz w:val="18"/>
          <w:szCs w:val="18"/>
          <w:color w:val="auto"/>
        </w:rPr>
        <w:t>gd</w:t>
      </w:r>
      <w:r>
        <w:rPr>
          <w:rFonts w:ascii="Arial" w:cs="Arial" w:eastAsia="Arial" w:hAnsi="Arial"/>
          <w:sz w:val="18"/>
          <w:szCs w:val="18"/>
          <w:color w:val="auto"/>
        </w:rPr>
        <w:t xml:space="preserve"> iT cells, CD4+ and CD8+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iT cells using scalable feeder-free processes allows us to choose the “right cell” for the “right indication”. Differentiation of iPSCs to functional immune cells involves a series of developmental steps that we recapitulate under strictly controlled conditions, with different growth factors, cytokines, and small molecule mixtures introduced at different stages. By successfully guiding iPSCs through the natural stages of development, we generate mature immune effector cells.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12" w:lineRule="exact"/>
        <w:rPr>
          <w:sz w:val="20"/>
          <w:szCs w:val="20"/>
          <w:color w:val="auto"/>
        </w:rPr>
      </w:pPr>
    </w:p>
    <w:p>
      <w:pPr>
        <w:ind w:left="720" w:right="499" w:hanging="319"/>
        <w:spacing w:after="0" w:line="281" w:lineRule="auto"/>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Leverage our iPSC-derived allogeneic cell platforms to overcome the limitations of existing therapeutic approaches and provide improved treatment options to more patients</w:t>
      </w:r>
    </w:p>
    <w:p>
      <w:pPr>
        <w:spacing w:after="0" w:line="136" w:lineRule="exact"/>
        <w:rPr>
          <w:sz w:val="20"/>
          <w:szCs w:val="20"/>
          <w:color w:val="auto"/>
        </w:rPr>
      </w:pPr>
    </w:p>
    <w:p>
      <w:pPr>
        <w:ind w:left="700" w:right="179"/>
        <w:spacing w:after="0" w:line="242" w:lineRule="auto"/>
        <w:rPr>
          <w:sz w:val="20"/>
          <w:szCs w:val="20"/>
          <w:color w:val="auto"/>
        </w:rPr>
      </w:pPr>
      <w:r>
        <w:rPr>
          <w:rFonts w:ascii="Arial" w:cs="Arial" w:eastAsia="Arial" w:hAnsi="Arial"/>
          <w:sz w:val="18"/>
          <w:szCs w:val="18"/>
          <w:color w:val="auto"/>
        </w:rPr>
        <w:t>We believe our iPSC-derived allogeneic cell therapy platforms have the potential to overcome the limitations of autologous and donor-derived cell therapies by providing readily available treatments more quickly, reliably, at greater scale, and to a broader patient population. Incorporating industry-leading iPSC differentiation know-how, CRISPR-mediated precision gene editing, sophisticated protein engineering, proprietary Allo-Evasion™ technology, and cutting-edge manufacturing, we seek to provide patients with improved treatment options.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19"/>
        <w:spacing w:after="0" w:line="266" w:lineRule="auto"/>
        <w:rPr>
          <w:sz w:val="20"/>
          <w:szCs w:val="20"/>
          <w:color w:val="auto"/>
        </w:rPr>
      </w:pPr>
      <w:r>
        <w:rPr>
          <w:rFonts w:ascii="Arial" w:cs="Arial" w:eastAsia="Arial" w:hAnsi="Arial"/>
          <w:sz w:val="17"/>
          <w:szCs w:val="17"/>
          <w:color w:val="auto"/>
        </w:rPr>
        <w:t>Central to the potential clinical performance of our iPSC-derived cell therapies is our novel and proprietary Allo-Evasion™ technology, which is intended to avoid host recognition and rejection, enable repeat dosing, and increase cell durability and persistence. This may reduce or possibly eliminate the need for immune preconditioning regimens, such as lymphodepleting chemotherapy, or LDC.</w:t>
      </w:r>
    </w:p>
    <w:p>
      <w:pPr>
        <w:spacing w:after="0" w:line="159" w:lineRule="exact"/>
        <w:rPr>
          <w:sz w:val="20"/>
          <w:szCs w:val="20"/>
          <w:color w:val="auto"/>
        </w:rPr>
      </w:pPr>
    </w:p>
    <w:p>
      <w:pPr>
        <w:ind w:left="700" w:right="239"/>
        <w:spacing w:after="0" w:line="256" w:lineRule="auto"/>
        <w:rPr>
          <w:sz w:val="20"/>
          <w:szCs w:val="20"/>
          <w:color w:val="auto"/>
        </w:rPr>
      </w:pPr>
      <w:r>
        <w:rPr>
          <w:rFonts w:ascii="Arial" w:cs="Arial" w:eastAsia="Arial" w:hAnsi="Arial"/>
          <w:sz w:val="17"/>
          <w:szCs w:val="17"/>
          <w:color w:val="auto"/>
        </w:rPr>
        <w:t>LDC is used prior to all approved CAR-T cell therapies, due to its ability to ensure cytokine support for the CAR-T cells and eliminate host cells that can kill the cell therapy. However, the chemotherapeutic agents used for lymphodepletion can cause a variety of toxicities including prolonged cytopenias, severe neurotoxicities, and fertility issues. These can result in patient and provider hesitation and can limit the use of cell therapies in the outpatient setting. The requirement for LDC also limits the number of doses of cell therapy a patient can receive. In particular, avoiding LDC entirely or keeping LDC regimens to a minimum is desirable (to reduce toxicity and increase tolerability as much as possible), and introduces the possibility of treating a broader range of diseases and patients.</w:t>
      </w:r>
    </w:p>
    <w:p>
      <w:pPr>
        <w:spacing w:after="0" w:line="168" w:lineRule="exact"/>
        <w:rPr>
          <w:sz w:val="20"/>
          <w:szCs w:val="20"/>
          <w:color w:val="auto"/>
        </w:rPr>
      </w:pPr>
    </w:p>
    <w:p>
      <w:pPr>
        <w:ind w:left="700" w:right="99"/>
        <w:spacing w:after="0" w:line="253" w:lineRule="auto"/>
        <w:rPr>
          <w:sz w:val="20"/>
          <w:szCs w:val="20"/>
          <w:color w:val="auto"/>
        </w:rPr>
      </w:pPr>
      <w:r>
        <w:rPr>
          <w:rFonts w:ascii="Arial" w:cs="Arial" w:eastAsia="Arial" w:hAnsi="Arial"/>
          <w:sz w:val="17"/>
          <w:szCs w:val="17"/>
          <w:color w:val="auto"/>
        </w:rPr>
        <w:t>Our cells are designed to have the potential to be effective treatments with reduced LDC and ultimately aim to eliminate LDC through the use of engineering steps to provide cytokine support and Allo-Evasion™. Edits that provide cytokine support include secreted IL15 (used in CNTY-101), as well as next-generation cytokine engineering to improve cell proliferation and persistence. With respect to Allo-Evasion™, we continue to evolve our platform and, at present, utilize two versions designed to evade the patient’s immune system and allow for repeat dosing, potentially enabling durable responses, Allo-Evasion™ 1.0, and 5.0. Allo-Evasion™ 1.0 is used in CNTY-101, while Allo-Evasion™ 5.0 (which is also designed to protect against humoral immunity) is included in our pre-clinical pipeline programs. Preliminary data from ELiPSE-1 demonstrated similar exposure to CNTY-101 in the presence or absence of host lymphocytes – evidence of persistence in the presence of a restored immune system. We believe the inclusion of Allo-Evasion™ 5.0 promises to build on the learnings from CNTY-101 and provide an even more comprehensive approach to evading elimination by the patient’s immune system.</w:t>
      </w:r>
    </w:p>
    <w:p>
      <w:pPr>
        <w:spacing w:after="0" w:line="173" w:lineRule="exact"/>
        <w:rPr>
          <w:sz w:val="20"/>
          <w:szCs w:val="20"/>
          <w:color w:val="auto"/>
        </w:rPr>
      </w:pPr>
    </w:p>
    <w:p>
      <w:pPr>
        <w:jc w:val="both"/>
        <w:ind w:left="700" w:right="179"/>
        <w:spacing w:after="0" w:line="275" w:lineRule="auto"/>
        <w:rPr>
          <w:sz w:val="20"/>
          <w:szCs w:val="20"/>
          <w:color w:val="auto"/>
        </w:rPr>
      </w:pPr>
      <w:r>
        <w:rPr>
          <w:rFonts w:ascii="Arial" w:cs="Arial" w:eastAsia="Arial" w:hAnsi="Arial"/>
          <w:sz w:val="17"/>
          <w:szCs w:val="17"/>
          <w:color w:val="auto"/>
        </w:rPr>
        <w:t>The ability of Allo-Evasion™ and engineerability of the iPSC platform to reduce or eliminate LDC could allow treatment of more fragile or less severely affected patient populations, alongside implementation of more flexible and effective dosing protocols that may increase physician and patient access.</w:t>
      </w:r>
    </w:p>
    <w:p>
      <w:pPr>
        <w:spacing w:after="0" w:line="152" w:lineRule="exact"/>
        <w:rPr>
          <w:sz w:val="20"/>
          <w:szCs w:val="20"/>
          <w:color w:val="auto"/>
        </w:rPr>
      </w:pPr>
    </w:p>
    <w:p>
      <w:pPr>
        <w:ind w:left="700" w:right="239"/>
        <w:spacing w:after="0" w:line="244" w:lineRule="auto"/>
        <w:rPr>
          <w:sz w:val="20"/>
          <w:szCs w:val="20"/>
          <w:color w:val="auto"/>
        </w:rPr>
      </w:pPr>
      <w:r>
        <w:rPr>
          <w:rFonts w:ascii="Arial" w:cs="Arial" w:eastAsia="Arial" w:hAnsi="Arial"/>
          <w:sz w:val="18"/>
          <w:szCs w:val="18"/>
          <w:color w:val="auto"/>
        </w:rPr>
        <w:t xml:space="preserve">A further source of differentiation is our ability to generate multiple immune effector cells including iNK cells, </w:t>
      </w:r>
      <w:r>
        <w:rPr>
          <w:rFonts w:ascii="Times New Roman" w:cs="Times New Roman" w:eastAsia="Times New Roman" w:hAnsi="Times New Roman"/>
          <w:sz w:val="18"/>
          <w:szCs w:val="18"/>
          <w:color w:val="auto"/>
        </w:rPr>
        <w:t>gd</w:t>
      </w:r>
      <w:r>
        <w:rPr>
          <w:rFonts w:ascii="Arial" w:cs="Arial" w:eastAsia="Arial" w:hAnsi="Arial"/>
          <w:sz w:val="18"/>
          <w:szCs w:val="18"/>
          <w:color w:val="auto"/>
        </w:rPr>
        <w:t xml:space="preserve"> iT cells, CD4+ and CD8+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color w:val="231F20"/>
        </w:rPr>
        <w:t>b</w:t>
      </w:r>
      <w:r>
        <w:rPr>
          <w:rFonts w:ascii="Arial" w:cs="Arial" w:eastAsia="Arial" w:hAnsi="Arial"/>
          <w:sz w:val="18"/>
          <w:szCs w:val="18"/>
          <w:color w:val="auto"/>
        </w:rPr>
        <w:t xml:space="preserve"> iT cells, allowing us to match the “right cell” for the “right indication” based on clinical need. For example, in autoimmune diseases such as systemic lupus erythematosus, or SLE, where the rapid removal of pathogenic B cells is desirable, iNK cells that are highly cytotoxic but short-lived may be well suited to achieve B cell depletion and reset without prolonged B cell aplasia. In diseases such as cancer, where uncontrolled growth of tumor cells is a pathological feature, the rapid target-induced expansion of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color w:val="231F20"/>
        </w:rPr>
        <w:t>b</w:t>
      </w:r>
      <w:r>
        <w:rPr>
          <w:rFonts w:ascii="Arial" w:cs="Arial" w:eastAsia="Arial" w:hAnsi="Arial"/>
          <w:sz w:val="18"/>
          <w:szCs w:val="18"/>
          <w:color w:val="auto"/>
        </w:rPr>
        <w:t xml:space="preserve"> iT cells with prolonged persistence may be advantageous. Similarly,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color w:val="231F20"/>
        </w:rPr>
        <w:t>b</w:t>
      </w:r>
      <w:r>
        <w:rPr>
          <w:rFonts w:ascii="Arial" w:cs="Arial" w:eastAsia="Arial" w:hAnsi="Arial"/>
          <w:sz w:val="18"/>
          <w:szCs w:val="18"/>
          <w:color w:val="auto"/>
        </w:rPr>
        <w:t xml:space="preserve"> iT cells may be uniquely suited to solid tumor indications wherein homing and tissue residency could improve efficacy.</w:t>
      </w:r>
    </w:p>
    <w:p>
      <w:pPr>
        <w:spacing w:after="0" w:line="183" w:lineRule="exact"/>
        <w:rPr>
          <w:sz w:val="20"/>
          <w:szCs w:val="20"/>
          <w:color w:val="auto"/>
        </w:rPr>
      </w:pPr>
    </w:p>
    <w:p>
      <w:pPr>
        <w:ind w:left="720" w:right="219" w:hanging="319"/>
        <w:spacing w:after="0" w:line="281" w:lineRule="auto"/>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Advance CNTY-101 clinical development and understand the value of CD19 CAR NK therapy in autoimmunity, and evaluate initial POC in oncology</w:t>
      </w:r>
    </w:p>
    <w:p>
      <w:pPr>
        <w:spacing w:after="0" w:line="136" w:lineRule="exact"/>
        <w:rPr>
          <w:sz w:val="20"/>
          <w:szCs w:val="20"/>
          <w:color w:val="auto"/>
        </w:rPr>
      </w:pPr>
    </w:p>
    <w:p>
      <w:pPr>
        <w:ind w:left="700" w:right="139"/>
        <w:spacing w:after="0" w:line="244" w:lineRule="auto"/>
        <w:rPr>
          <w:sz w:val="20"/>
          <w:szCs w:val="20"/>
          <w:color w:val="auto"/>
        </w:rPr>
      </w:pPr>
      <w:r>
        <w:rPr>
          <w:rFonts w:ascii="Arial" w:cs="Arial" w:eastAsia="Arial" w:hAnsi="Arial"/>
          <w:sz w:val="18"/>
          <w:szCs w:val="18"/>
          <w:color w:val="auto"/>
        </w:rPr>
        <w:t>CNTY-101 is our first therapeutic development candidate, and incorporates a CD19 CAR, sIL15, EGFR safety switch, and Allo-Evasion™ 1.0 precision edits. CNTY-101 is a consistent, frozen, off the shelf product candidate. As a natural killer cell therapy, in addition to having an expected favorable clinical tolerability profile, it is expected that drug exposure will be more dependent on administered dose than expansion in response to (variable) target antigen levels, allowing repeat dosing 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479"/>
        <w:spacing w:after="0" w:line="271" w:lineRule="auto"/>
        <w:rPr>
          <w:sz w:val="20"/>
          <w:szCs w:val="20"/>
          <w:color w:val="auto"/>
        </w:rPr>
      </w:pPr>
      <w:r>
        <w:rPr>
          <w:rFonts w:ascii="Arial" w:cs="Arial" w:eastAsia="Arial" w:hAnsi="Arial"/>
          <w:sz w:val="18"/>
          <w:szCs w:val="18"/>
          <w:color w:val="auto"/>
        </w:rPr>
        <w:t>precisely control drug exposure and increase durability of response. Host rejection is addressed by Allo-Evasion™.</w:t>
      </w:r>
    </w:p>
    <w:p>
      <w:pPr>
        <w:spacing w:after="0" w:line="154" w:lineRule="exact"/>
        <w:rPr>
          <w:sz w:val="20"/>
          <w:szCs w:val="20"/>
          <w:color w:val="auto"/>
        </w:rPr>
      </w:pPr>
    </w:p>
    <w:p>
      <w:pPr>
        <w:ind w:left="700" w:right="379"/>
        <w:spacing w:after="0" w:line="244" w:lineRule="auto"/>
        <w:rPr>
          <w:sz w:val="20"/>
          <w:szCs w:val="20"/>
          <w:color w:val="auto"/>
        </w:rPr>
      </w:pPr>
      <w:r>
        <w:rPr>
          <w:rFonts w:ascii="Arial" w:cs="Arial" w:eastAsia="Arial" w:hAnsi="Arial"/>
          <w:sz w:val="18"/>
          <w:szCs w:val="18"/>
          <w:color w:val="auto"/>
        </w:rPr>
        <w:t>ELiPSE-1, a Phase 1 trial of CNTY-101 in CD19-positive lymphoma patients, evaluated initial safety, efficacy, dose, and regimen, and preliminary proof of concept for our iPSC and Allo-Evasion™ 1.0 platform, including feasibility of multiple dosing. Cell therapies have been approved for use in CD19-positive B-cell malignancies, so we believed this setting was ideal for assessing the initial proof of concept for CNTY-101.</w:t>
      </w:r>
    </w:p>
    <w:p>
      <w:pPr>
        <w:spacing w:after="0" w:line="176" w:lineRule="exact"/>
        <w:rPr>
          <w:sz w:val="20"/>
          <w:szCs w:val="20"/>
          <w:color w:val="auto"/>
        </w:rPr>
      </w:pPr>
    </w:p>
    <w:p>
      <w:pPr>
        <w:ind w:left="700" w:right="159"/>
        <w:spacing w:after="0"/>
        <w:rPr>
          <w:sz w:val="20"/>
          <w:szCs w:val="20"/>
          <w:color w:val="auto"/>
        </w:rPr>
      </w:pPr>
      <w:r>
        <w:rPr>
          <w:rFonts w:ascii="Arial" w:cs="Arial" w:eastAsia="Arial" w:hAnsi="Arial"/>
          <w:sz w:val="18"/>
          <w:szCs w:val="18"/>
          <w:color w:val="auto"/>
        </w:rPr>
        <w:t>23 patients were treated in the ELiPSE-1 trial. Results demonstrated encouraging clinical activity in the heavily pre-treated R/R NHL patients, with a manageable tolerability profile enabling outpatient dosing. For the highest dose levels DL3B and DL4B we observed encouraging efficacy, with ORR 77% and CRR 22%. Deep B cell depletion was observed through the initial treatment cycle, and CNTY-101 demonstrated trafficking to lymph nodes, while repeat-dosing cycles led to persistent exposure in the presence of an intact endogenous immune system, supportive of the aims of Allo-Evasion™ engineering. In March 2025, we announced the discontinuation of the ELiPSE-1 clinical trial for strategic reasons.</w:t>
      </w:r>
    </w:p>
    <w:p>
      <w:pPr>
        <w:spacing w:after="0" w:line="180" w:lineRule="exact"/>
        <w:rPr>
          <w:sz w:val="20"/>
          <w:szCs w:val="20"/>
          <w:color w:val="auto"/>
        </w:rPr>
      </w:pPr>
    </w:p>
    <w:p>
      <w:pPr>
        <w:ind w:left="700" w:right="199"/>
        <w:spacing w:after="0" w:line="256" w:lineRule="auto"/>
        <w:rPr>
          <w:sz w:val="20"/>
          <w:szCs w:val="20"/>
          <w:color w:val="auto"/>
        </w:rPr>
      </w:pPr>
      <w:r>
        <w:rPr>
          <w:rFonts w:ascii="Arial" w:cs="Arial" w:eastAsia="Arial" w:hAnsi="Arial"/>
          <w:sz w:val="17"/>
          <w:szCs w:val="17"/>
          <w:color w:val="auto"/>
        </w:rPr>
        <w:t>Based on the compelling preliminary efficacy of autologous CD19 CAR T cell therapies in autoimmune disease populations, as an immediately available off the shelf allogeneic NK product candidate, we believe CNTY-101 is well-suited for use in autoimmune disease treatment, where precise control of B-cell targeting and depletion is desirable, and may avoid extended B-cell aplasia that may occur with T cell treatments. We have initiated a Phase 1 trial, CALiPSO-1, in B-cell driven autoimmune diseases SLE, lupus nephritis, or LN, idiopathic inflammatory myopathy, or IIM, and diffuse cutaneous systemic sclerosis, or DcSSc. The CALiPSO-1 trial is evaluating safety, tolerability, disease activity measures, PK, B cell depletion, and autoantibody effects, serving as a POC for autoimmune efficacy.</w:t>
      </w:r>
    </w:p>
    <w:p>
      <w:pPr>
        <w:spacing w:after="0" w:line="168" w:lineRule="exact"/>
        <w:rPr>
          <w:sz w:val="20"/>
          <w:szCs w:val="20"/>
          <w:color w:val="auto"/>
        </w:rPr>
      </w:pPr>
    </w:p>
    <w:p>
      <w:pPr>
        <w:ind w:left="720" w:right="539" w:hanging="319"/>
        <w:spacing w:after="0" w:line="281" w:lineRule="auto"/>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Develop transformative next generation allogeneic therapies for autoimmune diseases and oncology using our industry leading iT cell platform</w:t>
      </w:r>
    </w:p>
    <w:p>
      <w:pPr>
        <w:spacing w:after="0" w:line="136" w:lineRule="exact"/>
        <w:rPr>
          <w:sz w:val="20"/>
          <w:szCs w:val="20"/>
          <w:color w:val="auto"/>
        </w:rPr>
      </w:pPr>
    </w:p>
    <w:p>
      <w:pPr>
        <w:ind w:left="700" w:right="139"/>
        <w:spacing w:after="0" w:line="242" w:lineRule="auto"/>
        <w:rPr>
          <w:sz w:val="20"/>
          <w:szCs w:val="20"/>
          <w:color w:val="auto"/>
        </w:rPr>
      </w:pPr>
      <w:r>
        <w:rPr>
          <w:rFonts w:ascii="Arial" w:cs="Arial" w:eastAsia="Arial" w:hAnsi="Arial"/>
          <w:sz w:val="18"/>
          <w:szCs w:val="18"/>
          <w:color w:val="auto"/>
        </w:rPr>
        <w:t xml:space="preserve">CNTY-308 is an investigational CD19-targeted, iPSC-derived CAR T cell therapy candidate engineered with Allo-Evasion™ 5.0 being developed for B cell-mediated autoimmune diseases and malignancies. CNTY-308 is built on our industry-leading iPSC derived CD4+ and CD8+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iT cell platform. Our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iT cells display potent cytotoxicity, cytokine secretion, target-driven proliferation and cell persistence comparable to primary CAR-T cells. Given the initial success of autologous CAR T cell therapies in indications such as autoimmune disease and commercial autologous CAR T cell therapies in B cell malignancies, we believe this program has the potential to show similar benefits with the benefits of an “off-the-shelf” cell therapy.</w:t>
      </w:r>
    </w:p>
    <w:p>
      <w:pPr>
        <w:spacing w:after="0" w:line="178" w:lineRule="exact"/>
        <w:rPr>
          <w:sz w:val="20"/>
          <w:szCs w:val="20"/>
          <w:color w:val="auto"/>
        </w:rPr>
      </w:pPr>
    </w:p>
    <w:p>
      <w:pPr>
        <w:ind w:left="700" w:right="459"/>
        <w:spacing w:after="0" w:line="275" w:lineRule="auto"/>
        <w:rPr>
          <w:sz w:val="20"/>
          <w:szCs w:val="20"/>
          <w:color w:val="auto"/>
        </w:rPr>
      </w:pPr>
      <w:r>
        <w:rPr>
          <w:rFonts w:ascii="Arial" w:cs="Arial" w:eastAsia="Arial" w:hAnsi="Arial"/>
          <w:sz w:val="17"/>
          <w:szCs w:val="17"/>
          <w:color w:val="auto"/>
        </w:rPr>
        <w:t xml:space="preserve">CNTY-341 is built on our industry leading iPSC-derived CD4+ and CD8+ </w:t>
      </w:r>
      <w:r>
        <w:rPr>
          <w:rFonts w:ascii="Times New Roman" w:cs="Times New Roman" w:eastAsia="Times New Roman" w:hAnsi="Times New Roman"/>
          <w:sz w:val="17"/>
          <w:szCs w:val="17"/>
          <w:color w:val="auto"/>
        </w:rPr>
        <w:t>ab</w:t>
      </w:r>
      <w:r>
        <w:rPr>
          <w:rFonts w:ascii="Arial" w:cs="Arial" w:eastAsia="Arial" w:hAnsi="Arial"/>
          <w:sz w:val="17"/>
          <w:szCs w:val="17"/>
          <w:color w:val="auto"/>
        </w:rPr>
        <w:t xml:space="preserve"> iT cell platform with the intent to develop a differentiated therapy in B cell malignancies. These iPSC-derived </w:t>
      </w:r>
      <w:r>
        <w:rPr>
          <w:rFonts w:ascii="Times New Roman" w:cs="Times New Roman" w:eastAsia="Times New Roman" w:hAnsi="Times New Roman"/>
          <w:sz w:val="17"/>
          <w:szCs w:val="17"/>
          <w:color w:val="auto"/>
        </w:rPr>
        <w:t>ab</w:t>
      </w:r>
      <w:r>
        <w:rPr>
          <w:rFonts w:ascii="Arial" w:cs="Arial" w:eastAsia="Arial" w:hAnsi="Arial"/>
          <w:sz w:val="17"/>
          <w:szCs w:val="17"/>
          <w:color w:val="auto"/>
        </w:rPr>
        <w:t xml:space="preserve"> iT cells are</w:t>
      </w:r>
    </w:p>
    <w:p>
      <w:pPr>
        <w:ind w:left="700" w:right="359"/>
        <w:spacing w:after="0" w:line="264" w:lineRule="auto"/>
        <w:rPr>
          <w:sz w:val="20"/>
          <w:szCs w:val="20"/>
          <w:color w:val="auto"/>
        </w:rPr>
      </w:pPr>
      <w:r>
        <w:rPr>
          <w:rFonts w:ascii="Arial" w:cs="Arial" w:eastAsia="Arial" w:hAnsi="Arial"/>
          <w:sz w:val="18"/>
          <w:szCs w:val="18"/>
          <w:color w:val="auto"/>
        </w:rPr>
        <w:t>engineered with a proprietary CD19/CD22 dual targeting CAR and are engineered with Allo-Evasion 5.0</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spacing w:after="0" w:line="46" w:lineRule="exact"/>
        <w:rPr>
          <w:sz w:val="20"/>
          <w:szCs w:val="20"/>
          <w:color w:val="auto"/>
        </w:rPr>
      </w:pPr>
    </w:p>
    <w:p>
      <w:pPr>
        <w:ind w:left="700" w:right="239"/>
        <w:spacing w:after="0" w:line="253" w:lineRule="auto"/>
        <w:rPr>
          <w:sz w:val="20"/>
          <w:szCs w:val="20"/>
          <w:color w:val="auto"/>
        </w:rPr>
      </w:pPr>
      <w:r>
        <w:rPr>
          <w:rFonts w:ascii="Arial" w:cs="Arial" w:eastAsia="Arial" w:hAnsi="Arial"/>
          <w:sz w:val="18"/>
          <w:szCs w:val="18"/>
          <w:color w:val="auto"/>
        </w:rPr>
        <w:t>Our first foray into solid tumors will aim to combine superior iT cell performance with additional engineering aimed at enhancing cell performance functionality beyond what is currently demonstrated with autologous T cell therapies.</w:t>
      </w:r>
    </w:p>
    <w:p>
      <w:pPr>
        <w:spacing w:after="0" w:line="169" w:lineRule="exact"/>
        <w:rPr>
          <w:sz w:val="20"/>
          <w:szCs w:val="20"/>
          <w:color w:val="auto"/>
        </w:rPr>
      </w:pPr>
    </w:p>
    <w:p>
      <w:pPr>
        <w:ind w:left="720" w:right="79" w:hanging="319"/>
        <w:spacing w:after="0" w:line="281" w:lineRule="auto"/>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Leverage our own manufacturing infrastructure, product, and process understanding and scale-up technologies to minimize manufacturing risk</w:t>
      </w:r>
    </w:p>
    <w:p>
      <w:pPr>
        <w:spacing w:after="0" w:line="136" w:lineRule="exact"/>
        <w:rPr>
          <w:sz w:val="20"/>
          <w:szCs w:val="20"/>
          <w:color w:val="auto"/>
        </w:rPr>
      </w:pPr>
    </w:p>
    <w:p>
      <w:pPr>
        <w:ind w:left="700" w:right="199"/>
        <w:spacing w:after="0" w:line="271" w:lineRule="auto"/>
        <w:rPr>
          <w:sz w:val="20"/>
          <w:szCs w:val="20"/>
          <w:color w:val="auto"/>
        </w:rPr>
      </w:pPr>
      <w:r>
        <w:rPr>
          <w:rFonts w:ascii="Arial" w:cs="Arial" w:eastAsia="Arial" w:hAnsi="Arial"/>
          <w:sz w:val="18"/>
          <w:szCs w:val="18"/>
          <w:color w:val="auto"/>
        </w:rPr>
        <w:t>Our iPSC platform is designed to enable us to produce NK cells and T cells at substantially lower cost, accessible to a much larger patient population, and with a higher degree of batch-to-batch</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99"/>
        <w:spacing w:after="0" w:line="238" w:lineRule="auto"/>
        <w:rPr>
          <w:sz w:val="20"/>
          <w:szCs w:val="20"/>
          <w:color w:val="auto"/>
        </w:rPr>
      </w:pPr>
      <w:r>
        <w:rPr>
          <w:rFonts w:ascii="Arial" w:cs="Arial" w:eastAsia="Arial" w:hAnsi="Arial"/>
          <w:sz w:val="18"/>
          <w:szCs w:val="18"/>
          <w:color w:val="auto"/>
        </w:rPr>
        <w:t>consistency and product quality, as compared to other donor-derived and autologous cell therapy approaches. In order to realize the advantages of our iPSC-platform, we believe that developing an intimate understanding of the relevant cell types, the processes used to manufacture these cells, and the analytical methods required to accurately and reliably measure critical product attributes is critical to our success. We believe this understanding will enable us to produce safe and efficacious products, implement process and product changes with greater efficiency and support the clinical development of commercial products. We believe that the only way to realize the full cost and capacity advantages of our platform is to develop a significant depth of expertise related to scale manufacturing. And, we believe our investment in in-house manufacturing will enable us to analyze, learn and adapt more rapidly, and increase control of development and manufacturing timelines for efficient clinical development of our product candidates.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5.  Selectively evaluate strategic partnerships to enable greater patient access.</w:t>
      </w:r>
    </w:p>
    <w:p>
      <w:pPr>
        <w:spacing w:after="0" w:line="212" w:lineRule="exact"/>
        <w:rPr>
          <w:sz w:val="20"/>
          <w:szCs w:val="20"/>
          <w:color w:val="auto"/>
        </w:rPr>
      </w:pPr>
    </w:p>
    <w:p>
      <w:pPr>
        <w:ind w:left="700" w:right="199"/>
        <w:spacing w:after="0" w:line="239" w:lineRule="auto"/>
        <w:rPr>
          <w:sz w:val="20"/>
          <w:szCs w:val="20"/>
          <w:color w:val="auto"/>
        </w:rPr>
      </w:pPr>
      <w:r>
        <w:rPr>
          <w:rFonts w:ascii="Arial" w:cs="Arial" w:eastAsia="Arial" w:hAnsi="Arial"/>
          <w:sz w:val="18"/>
          <w:szCs w:val="18"/>
          <w:color w:val="auto"/>
        </w:rPr>
        <w:t>The research, development, and clinical investigation of cell therapies for treating human diseases are advancing rapidly. We believe we are well positioned to establish strategic partnerships with third parties seeking to develop iPSC-derived cellular immunotherapies for autoimmune, cancer, and other diseases. To maximize the potential of our innovations and expand patient access, we may pursue additional strategic alliances, joint ventures, collaborations, or licensing agreements that align with our development and commercialization efforts. This approach is particularly relevant for product candidates that we are not actively advancing following the March 2025 pipeline prioritization. By working with partners who share our vision, we aim to accelerate the development and delivery of transformative therapies to patients in need.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146050</wp:posOffset>
            </wp:positionV>
            <wp:extent cx="5554980" cy="2537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5498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CNTY-101: Our CAR-iNK product candidate targeting CD19 for B-cell mediated autoimmune diseases results of evaluation in relapsed, refractory B-cell non-Hodgkin’s lymphoma (R/R NHL).</w:t>
      </w:r>
    </w:p>
    <w:p>
      <w:pPr>
        <w:spacing w:after="0" w:line="154"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Our lead product candidate, CNTY-101, is an allogeneic, iPSC-derived CAR-iNK cell therapy with six precision gene edits. CNTY-101 is engineered to express CD19 CAR, with Allo-EvasionTM 1.0 edits designed to overcome the three major pathways of host vs graft rejection, IL15 to support cell persistence, and a safety switch (EGFR sequence) that enables the elimination of the cells by an EGFR inhibitor if needed. CALiPSO-1, a Phase 1 clinical trial to assess CNTY-101 in patients with B cell-mediated</w:t>
      </w:r>
    </w:p>
    <w:p>
      <w:pPr>
        <w:sectPr>
          <w:pgSz w:w="11900" w:h="16838" w:orient="portrait"/>
          <w:cols w:equalWidth="0" w:num="1">
            <w:col w:w="9019"/>
          </w:cols>
          <w:pgMar w:left="1440" w:top="512"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autoimmune disease) is underway, and an investigator-initiated clinical trial (CARAMEL) to evaluate safety, efficacy, and key translational data of CNTY-101 in SLE, LN, IIM, and DcSSc patients is expected to initiate in mid-2025.</w:t>
      </w:r>
    </w:p>
    <w:p>
      <w:pPr>
        <w:spacing w:after="0" w:line="16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ELiPSE-1, a Phase 1 dose-finding clinical trial of CNTY-101 in patients with B cell malignancies, has been discontinued for strategic reasons. While we remain encouraged by tolerability and clinical activity of CNTY-101 in late-stage R/R NHL, emerging data from ELiPSE-1 did not meet our threshold to be considered transformational in this patient population. We continue to believe the clinical data from CNTY-101 in ELiPSE-1 provides further evidence for the potential of CNTY-101 in autoimmune diseases based on its favorable clinical activity and favorable tolerability profile, demonstrated deep B cell depletion, ability to traffic to lymph nodes, and, supportive of the aims of Allo-Evasion™ engineering, sustained CNTY-101 exposure at planned dose levels</w:t>
      </w:r>
      <w:r>
        <w:rPr>
          <w:rFonts w:ascii="Arial" w:cs="Arial" w:eastAsia="Arial" w:hAnsi="Arial"/>
          <w:sz w:val="18"/>
          <w:szCs w:val="18"/>
          <w:color w:val="FF0000"/>
        </w:rPr>
        <w: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 T cells and B-cell Malignancies</w:t>
      </w:r>
    </w:p>
    <w:p>
      <w:pPr>
        <w:spacing w:after="0" w:line="210"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B-cell lymphoma is a cancer that affects B lymphocytes that make up part of the immune system. It generally originates in the lymph nodes. B-cell lymphoma includes both Hodgkin’s disease and approximately 80% to 85% of patients diagnosed with non-Hodgkin’s lymphoma, or NHL, a disease classification that includes more than 50 different hematological malignancies. In the United States, approximately 70,000 cases of NHL are diagnosed each year and the number of new diagnoses is increasing each year as the median age in the United States increases. 30-40% of these patients will relapse or have disease refractory to current treatments.</w:t>
      </w:r>
    </w:p>
    <w:p>
      <w:pPr>
        <w:spacing w:after="0" w:line="20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Comprehensive data is available from the use of cellular therapy in R/R B cell lymphoma. In patients treated with FDA-approved CD19 CAR T therapies with ≥24 months of follow-up data, overall response rates ranged from 53-83% and complete response rates from 39-65%. Long-term event-free survival, or EFS, rates of 38-43% indicate an approximate ‘curative’ rate of approximately 40%. Two CD19 CAR-T cell products have also been approved in the second-line setting (patients who were refractory to first-line therapy or relapsed within 12 months) due to a longer EFS compared to autologous stem cell transplant in randomized trials. This background, as well as data from products currently under development, provides benchmarks for assessment of newer cell therapies such as CNTY-101, CNTY-308, and CNTY-341.</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ELiPSE-1 Clinical Trial</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conducted a first-in-human Phase 1 clinical trial of CNTY-101 in the United States (NCT05336409) in relapsed and refractory CD19 positive large B-cell lymphoma, or RR NHL, patients. The primary objective of the Phase 1 clinical trial was to evaluate incidence and nature of dose-limiting toxicities within each dose level cohort and establish the recommended Phase 2 dose, using an adaptive Bayesian Optimum Interval, or BOIN, design. The secondary objectives of the trial included cell pharmacokinetics and persistence, incidence, nature, and severity of adverse events, overall response rate, complete and partial response rates, and duration of response, among other measures. Exploratory measures included evaluation of immunogenicity, correlation of antigen expression with response, and evaluation of cytokine profiles to provide insight into patient safety.</w:t>
      </w:r>
    </w:p>
    <w:p>
      <w:pPr>
        <w:spacing w:after="0" w:line="180"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 xml:space="preserve">The trial enrolled patients who had relapsed following at least two prior lines of therapy, including prior CD19-CAR-T cell treatment. We evaluated two dosing schedules, a single CNTY-101 infusion per cycle in Schedule A, and three weekly infusions of CNTY-101 per cycle in Schedule B. Patients received lymphodepletion prior to the first cycle of CNTY-101, and prior to the second cycle, if LDC was tolerated. Patients could then receive additional cycles of CNTY-101 treatment without subsequent lymphodepletion. </w:t>
      </w:r>
      <w:r>
        <w:rPr>
          <w:rFonts w:ascii="Arial" w:cs="Arial" w:eastAsia="Arial" w:hAnsi="Arial"/>
          <w:sz w:val="18"/>
          <w:szCs w:val="18"/>
          <w:color w:val="231F20"/>
        </w:rPr>
        <w:t>The study was planned to</w:t>
      </w:r>
      <w:r>
        <w:rPr>
          <w:rFonts w:ascii="Arial" w:cs="Arial" w:eastAsia="Arial" w:hAnsi="Arial"/>
          <w:sz w:val="18"/>
          <w:szCs w:val="18"/>
          <w:color w:val="auto"/>
        </w:rPr>
        <w:t xml:space="preserve"> </w:t>
      </w:r>
      <w:r>
        <w:rPr>
          <w:rFonts w:ascii="Arial" w:cs="Arial" w:eastAsia="Arial" w:hAnsi="Arial"/>
          <w:sz w:val="18"/>
          <w:szCs w:val="18"/>
          <w:color w:val="231F20"/>
        </w:rPr>
        <w:t>include dose escalation and dose expansion but was discontinued during dose escalation.</w:t>
      </w:r>
    </w:p>
    <w:p>
      <w:pPr>
        <w:spacing w:after="0" w:line="179" w:lineRule="exact"/>
        <w:rPr>
          <w:sz w:val="20"/>
          <w:szCs w:val="20"/>
          <w:color w:val="auto"/>
        </w:rPr>
      </w:pPr>
    </w:p>
    <w:p>
      <w:pPr>
        <w:ind w:left="60" w:right="239"/>
        <w:spacing w:after="0" w:line="284" w:lineRule="auto"/>
        <w:rPr>
          <w:sz w:val="20"/>
          <w:szCs w:val="20"/>
          <w:color w:val="auto"/>
        </w:rPr>
      </w:pPr>
      <w:r>
        <w:rPr>
          <w:rFonts w:ascii="Arial" w:cs="Arial" w:eastAsia="Arial" w:hAnsi="Arial"/>
          <w:sz w:val="18"/>
          <w:szCs w:val="18"/>
          <w:color w:val="auto"/>
        </w:rPr>
        <w:t>As of March 1, 2025, a total of 23 subjects were treated with CNTY-101 with all 23 evaluable for safety and 22 evaluable for preliminary efficacy. Treatment with CNTY-101 continued to be generally well-tolerated with no dose-limiting toxicities reported, a total of n=1 case of Gr 1 immune effector cell-associated neurotoxicity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4" w:lineRule="auto"/>
        <w:rPr>
          <w:sz w:val="20"/>
          <w:szCs w:val="20"/>
          <w:color w:val="auto"/>
        </w:rPr>
      </w:pPr>
      <w:r>
        <w:rPr>
          <w:rFonts w:ascii="Arial" w:cs="Arial" w:eastAsia="Arial" w:hAnsi="Arial"/>
          <w:sz w:val="18"/>
          <w:szCs w:val="18"/>
          <w:color w:val="auto"/>
        </w:rPr>
        <w:t>syndrome, or ICANS, and no Grade 3 or higher cytokine release syndrome, or CRS. Consistent with the manageable tolerability profile observed to date, a majority of participants received CNTY-101 infusions in an outpatient setting.</w:t>
      </w:r>
    </w:p>
    <w:p>
      <w:pPr>
        <w:spacing w:after="0" w:line="17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Dose level DL3B (1 billion cells in each of three weekly doses per cycle), which represented the largest single trial cohort (n=6), showed an overall response rate, or ORR of 83% and a complete response rate, or CRR of 33%, with all participants receiving additional cycles of treatment. Overall response rate for Dose Levels 3B and 4B (1 billion cells in each of three weekly doses per cycle and 3 billion cells in each of three weekly doses) is 77% (7/9) and complete response rate was 22% (2/9). For​ DL3B and DL4B (n=9), 2 patients (22%) had G2 cytokine release syndrome and 1 patient (11%) had G2 cytokine release syndrome. No ICANS or events of GR3+ CRS were observed.</w:t>
      </w:r>
    </w:p>
    <w:p>
      <w:pPr>
        <w:spacing w:after="0" w:line="185"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Assessment of CNTY-101 pharmacokinetics showed increasing exposure with dose, including extended cell persistence throughout the dosing cycle in Schedule B as dose levels increased to 3B (1 billion cells in each of three weekly doses per cycle) and 4B (3 billion cells in each of three weekly doses per cycle).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CNTY-101 Exposure Increases with Dose, Sustained Exposure at Doses Intended for CALiPSO-1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146050</wp:posOffset>
            </wp:positionV>
            <wp:extent cx="5546090" cy="2280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4609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right="119"/>
        <w:spacing w:after="0" w:line="243" w:lineRule="auto"/>
        <w:rPr>
          <w:sz w:val="20"/>
          <w:szCs w:val="20"/>
          <w:color w:val="auto"/>
        </w:rPr>
      </w:pPr>
      <w:r>
        <w:rPr>
          <w:rFonts w:ascii="Arial" w:cs="Arial" w:eastAsia="Arial" w:hAnsi="Arial"/>
          <w:sz w:val="13"/>
          <w:szCs w:val="13"/>
          <w:color w:val="auto"/>
        </w:rPr>
        <w:t>Error bars show mean ± SD on original scale, subsequently log10 transformed. Due to log scale, low values are truncated at 1. All schedule B LDC+ cycles are included. S: Screen, LOB: Limit of Blank.</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3"/>
          <w:szCs w:val="13"/>
          <w:color w:val="auto"/>
        </w:rPr>
        <w:t>Source: Company data available as of March 7, 2025</w:t>
      </w:r>
    </w:p>
    <w:p>
      <w:pPr>
        <w:spacing w:after="0" w:line="193" w:lineRule="exact"/>
        <w:rPr>
          <w:sz w:val="20"/>
          <w:szCs w:val="20"/>
          <w:color w:val="auto"/>
        </w:rPr>
      </w:pPr>
    </w:p>
    <w:p>
      <w:pPr>
        <w:ind w:left="60" w:right="79"/>
        <w:spacing w:after="0" w:line="222" w:lineRule="auto"/>
        <w:rPr>
          <w:sz w:val="20"/>
          <w:szCs w:val="20"/>
          <w:color w:val="auto"/>
        </w:rPr>
      </w:pPr>
      <w:r>
        <w:rPr>
          <w:rFonts w:ascii="Arial" w:cs="Arial" w:eastAsia="Arial" w:hAnsi="Arial"/>
          <w:sz w:val="18"/>
          <w:szCs w:val="18"/>
          <w:color w:val="auto"/>
        </w:rPr>
        <w:t>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is designed to allow CNTY-101 cells to evade a patient’s immune system and enable repeat dosing of the product. To assess this, we evaluated CNTY-101 persistence when infused once weekly for 3 weeks following LDC. CNTY-101 persistence was consistent with each infusion in the absence and upon restoration of the patient’s NK and T cells (restored immune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60" w:right="79"/>
        <w:spacing w:after="0" w:line="281" w:lineRule="auto"/>
        <w:rPr>
          <w:sz w:val="20"/>
          <w:szCs w:val="20"/>
          <w:color w:val="auto"/>
        </w:rPr>
      </w:pPr>
      <w:r>
        <w:rPr>
          <w:rFonts w:ascii="Arial" w:cs="Arial" w:eastAsia="Arial" w:hAnsi="Arial"/>
          <w:sz w:val="18"/>
          <w:szCs w:val="18"/>
          <w:b w:val="1"/>
          <w:bCs w:val="1"/>
          <w:color w:val="auto"/>
        </w:rPr>
        <w:t>Enabled with Allo-Evasion™, CNTY-101 infusions in dose level 3B showed similar exposure in the presence or absence of endogenous lymphocytes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98425</wp:posOffset>
            </wp:positionV>
            <wp:extent cx="5554980" cy="2322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5498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99"/>
        <w:spacing w:after="0" w:line="226" w:lineRule="auto"/>
        <w:rPr>
          <w:sz w:val="20"/>
          <w:szCs w:val="20"/>
          <w:color w:val="auto"/>
        </w:rPr>
      </w:pPr>
      <w:r>
        <w:rPr>
          <w:rFonts w:ascii="Arial" w:cs="Arial" w:eastAsia="Arial" w:hAnsi="Arial"/>
          <w:sz w:val="13"/>
          <w:szCs w:val="13"/>
          <w:color w:val="auto"/>
        </w:rPr>
        <w:t>Graphs show data from 3B cohort (N=6). Lines in the top panel represent mean and shaded area represents 1*SEM. Triangles mark CNTY-101 infusions within a Schedule B cycle, grey arrow indicates LDC. Dotted blue curve is a LOESS fit to medians in bottom panel. S: Screen</w:t>
      </w:r>
    </w:p>
    <w:p>
      <w:pPr>
        <w:ind w:left="60"/>
        <w:spacing w:after="0" w:line="217" w:lineRule="auto"/>
        <w:rPr>
          <w:sz w:val="20"/>
          <w:szCs w:val="20"/>
          <w:color w:val="auto"/>
        </w:rPr>
      </w:pPr>
      <w:r>
        <w:rPr>
          <w:rFonts w:ascii="Arial" w:cs="Arial" w:eastAsia="Arial" w:hAnsi="Arial"/>
          <w:sz w:val="13"/>
          <w:szCs w:val="13"/>
          <w:color w:val="auto"/>
        </w:rPr>
        <w:t>*cfDNA concentrations two-days post infusion not significantly different according to Mann-Whitney U test</w:t>
      </w:r>
    </w:p>
    <w:p>
      <w:pPr>
        <w:ind w:left="60"/>
        <w:spacing w:after="0" w:line="188" w:lineRule="auto"/>
        <w:rPr>
          <w:sz w:val="20"/>
          <w:szCs w:val="20"/>
          <w:color w:val="auto"/>
        </w:rPr>
      </w:pPr>
      <w:r>
        <w:rPr>
          <w:rFonts w:ascii="Arial" w:cs="Arial" w:eastAsia="Arial" w:hAnsi="Arial"/>
          <w:sz w:val="11"/>
          <w:szCs w:val="11"/>
          <w:color w:val="auto"/>
        </w:rPr>
        <w:t>Translational data available as of March 7</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2025</w:t>
      </w:r>
    </w:p>
    <w:p>
      <w:pPr>
        <w:ind w:left="60"/>
        <w:spacing w:after="0"/>
        <w:rPr>
          <w:sz w:val="20"/>
          <w:szCs w:val="20"/>
          <w:color w:val="auto"/>
        </w:rPr>
      </w:pPr>
      <w:r>
        <w:rPr>
          <w:rFonts w:ascii="Arial" w:cs="Arial" w:eastAsia="Arial" w:hAnsi="Arial"/>
          <w:sz w:val="13"/>
          <w:szCs w:val="13"/>
          <w:color w:val="auto"/>
        </w:rPr>
        <w:t>Translational data available as of March 7</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2025</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B cell depletion was observed in all patients following the initial cycle of CNTY-101 treatment.</w:t>
      </w:r>
    </w:p>
    <w:p>
      <w:pPr>
        <w:spacing w:after="0" w:line="212"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b w:val="1"/>
          <w:bCs w:val="1"/>
          <w:color w:val="auto"/>
        </w:rPr>
        <w:t xml:space="preserve">CNTY-101 Treatment Demonstrates Deep B-Cell depletion and was associated with naive non-class switched profile of re-emergent B-cells; </w:t>
      </w:r>
      <w:r>
        <w:rPr>
          <w:rFonts w:ascii="Arial" w:cs="Arial" w:eastAsia="Arial" w:hAnsi="Arial"/>
          <w:sz w:val="18"/>
          <w:szCs w:val="18"/>
          <w:b w:val="1"/>
          <w:bCs w:val="1"/>
          <w:i w:val="1"/>
          <w:iCs w:val="1"/>
          <w:color w:val="auto"/>
        </w:rPr>
        <w:t>Data in r/r NHL patients supports the application of CNTY-101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autoimmune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112395</wp:posOffset>
            </wp:positionV>
            <wp:extent cx="5554980" cy="1688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5498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right="579"/>
        <w:spacing w:after="0" w:line="226" w:lineRule="auto"/>
        <w:rPr>
          <w:sz w:val="20"/>
          <w:szCs w:val="20"/>
          <w:color w:val="auto"/>
        </w:rPr>
      </w:pPr>
      <w:r>
        <w:rPr>
          <w:rFonts w:ascii="Arial" w:cs="Arial" w:eastAsia="Arial" w:hAnsi="Arial"/>
          <w:sz w:val="13"/>
          <w:szCs w:val="13"/>
          <w:color w:val="auto"/>
        </w:rPr>
        <w:t>Left figure: Graphs show data from the initial cycle of all subjects in 3B and 4B who had baseline B cell counts of 1 cell/ mL or greater (N=7). Each line represents an individual subject.</w:t>
      </w:r>
    </w:p>
    <w:p>
      <w:pPr>
        <w:ind w:left="60" w:right="279"/>
        <w:spacing w:after="0" w:line="246" w:lineRule="auto"/>
        <w:rPr>
          <w:sz w:val="20"/>
          <w:szCs w:val="20"/>
          <w:color w:val="auto"/>
        </w:rPr>
      </w:pPr>
      <w:r>
        <w:rPr>
          <w:rFonts w:ascii="Arial" w:cs="Arial" w:eastAsia="Arial" w:hAnsi="Arial"/>
          <w:sz w:val="13"/>
          <w:szCs w:val="13"/>
          <w:color w:val="auto"/>
        </w:rPr>
        <w:t>Right figure: Data shows proportion of non-class switched (IgD+, IgM+ or IgD+IgM+) or switched (IgD-IgM-) circulating B cells (CD19+ CD20+) in healthy donors (N=4) or within earliest evaluable re-emergent B cells in patients (N=4). Majority of the B cells exhibited a naïve profile (IgD+ CD27-, data not shown) Source: Company data, available as of March 7</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2024</w:t>
      </w:r>
    </w:p>
    <w:p>
      <w:pPr>
        <w:spacing w:after="0" w:line="9"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Lastly, CNTY-101 cells traffic to lymph nodes, as evaluated by detection in tumor biopsies after treatment with dose levels DL3B and 4B.</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27" w:lineRule="auto"/>
        <w:rPr>
          <w:sz w:val="20"/>
          <w:szCs w:val="20"/>
          <w:color w:val="auto"/>
        </w:rPr>
      </w:pPr>
      <w:r>
        <w:rPr>
          <w:rFonts w:ascii="Arial" w:cs="Arial" w:eastAsia="Arial" w:hAnsi="Arial"/>
          <w:sz w:val="18"/>
          <w:szCs w:val="18"/>
          <w:color w:val="auto"/>
        </w:rPr>
        <w:t>Overall, we believe the initial clinical and translational results from the ELiPSE-1 clinical trial provide strong support for use of CNTY-101 DL3B and DL4B in B-cell driven autoimmune diseases in CALiPSO-1 and CARAMEL due to: a favorable initial tolerability profile; ability to be delivered in an outpatient setting; clinical responses in heavily pre-treated R/R NHL patients - for DL3B and DL4B, ORR 77% and CRR 22%, including a majority of post CAR T treated patients; deep B cell depletion observed through the initial CNTY-101 treatment cycle; demonstrated trafficking to lymph nodes; and, repeat-dosing cycles leading to exposure in the presence of an intact endogenous immune system, which we believe supports proof of concept of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engineering.</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B-Cell Mediated Autoimmune Diseases</w:t>
      </w:r>
    </w:p>
    <w:p>
      <w:pPr>
        <w:spacing w:after="0" w:line="21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 number of autoimmune diseases, including SLE and LN, SSc, and IIM, share the characteristic of pathogenic auto-reactive antibodies, which are produced by B-cells that express CD19. SLE/LN is a complex multi-system autoimmune disease. Renal and central nervous system involvement as well as accelerated cardiovascular aging are major causes of morbidity and mortality in SLE. IIM comprise a heterogenous group of rare immune-mediated disorders involving muscle, frequently involve the lung and skin, and may involve other tissues. Patients with associated interstitial lung disease have a significantly increased incidence of mortality compared to those without lung involvement. DcSSc is a rare life-threatening systemic disease characterized by skin thickening of distal and proximal limbs, face and trunk, interstitial lung disease, and progressive dysfunction of multiple other organ systems, commonly including gastrointestinal, cardiovascular, and renal manifestations. The current treatment options for each of these disorders leave many patients without adequate disease control.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Treatments and Shortcomings</w:t>
      </w:r>
    </w:p>
    <w:p>
      <w:pPr>
        <w:spacing w:after="0" w:line="21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As described in the figure below, there is significant unmet need for patients with severe disease who have not responded to other therapies. For example, the most recently FDA-approved therapy for SLE, anifrolumab, was approved in 2021 based on results from two randomized clinical trials, TULIP-1 and TULIP-2, which enrolled patients who had moderate to severe SLE despite standard therapy. Anifrolumab was administered to the active patient arm, and all patients were allowed to remain on their standard therapies (except for protocol-mandated attempts to taper corticosteroids) during the trial. TULIP-2 showed response (measured per British Isles Lupus Assessment Group-based Composite Lupus Assessment) in 47.8% of anifrolumab (300 mg)-treated patients compared to 31.5% of placebo-treated patients (Morand 2020). While TULIP-1 did not meet its primary endpoint (SLE responder index of 4 met in 36% of anifrolumab (300 mg)-treated patients compared to 40% of placebo-treated patients), data from the trial was used to support the results from TULIP-2 (Furie 2019). A post-hoc analysis of the combined data from these trials using the more stringent endpoint of Lupus Low Disease Activity State demonstrated that 30% of anifrolumab (300 mg)-treated patients demonstrated low disease activity at Week 52, compared with 19.6% of placebo-treated patients (Morand 2023). Together these results indicate at most half of treated patients meeting efficacy endpoints, and fewer meeting more stringent endpoints, leaving many patients without adequate disease control even while on standard therapies. Treatments for other autoimmune diseases show similarly inadequate responses in many patients.</w:t>
      </w:r>
    </w:p>
    <w:p>
      <w:pPr>
        <w:spacing w:after="0" w:line="186"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While patients with these diseases can respond to B-cell depleting agents such as rituximab, suggesting that targeting B-cells is a viable therapeutic approach, many patients experience suboptimal or impermanent efficacy with currently available agents. Our CNTY-101 clinical development program in B-cell mediated autoimmune diseases thus represents potential for benefit in an area of significant medical need.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3086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5498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B-cell-directed autologous CAR T cell therapies have provided new hope for durable remissions through an “immune reset”. However, some of the challenges encountered with auto-CAR-T in oncology related to product availability, toxicities, and potential long-term risks could hamper their widespread adoption in non-oncology indications.</w:t>
      </w:r>
    </w:p>
    <w:p>
      <w:pPr>
        <w:spacing w:after="0" w:line="174" w:lineRule="exact"/>
        <w:rPr>
          <w:sz w:val="20"/>
          <w:szCs w:val="20"/>
          <w:color w:val="auto"/>
        </w:rPr>
      </w:pPr>
    </w:p>
    <w:p>
      <w:pPr>
        <w:ind w:left="60" w:right="339"/>
        <w:spacing w:after="0" w:line="244" w:lineRule="auto"/>
        <w:rPr>
          <w:sz w:val="20"/>
          <w:szCs w:val="20"/>
          <w:color w:val="auto"/>
        </w:rPr>
      </w:pPr>
      <w:r>
        <w:rPr>
          <w:rFonts w:ascii="Arial" w:cs="Arial" w:eastAsia="Arial" w:hAnsi="Arial"/>
          <w:sz w:val="18"/>
          <w:szCs w:val="18"/>
          <w:color w:val="auto"/>
        </w:rPr>
        <w:t>CNTY-101 has been designed with uniquely engineered features which we believe may provide multiple potential treatment advantages in the B-cell-driven autoimmune disease setting. These potential advantages include availability of a consistent off-the-shelf frozen product, an improved tolerability profile, ability to be re-dosed without lymphodepletion while avoiding allo-rejection of the product, and a product design that may enable the elimination of B-cells to effect a decline in auto-antibodies without prolonged B cell aplasia.</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CALiPSO-1 Clinical Trial</w:t>
      </w:r>
    </w:p>
    <w:p>
      <w:pPr>
        <w:spacing w:after="0" w:line="21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CNTY-101 Phase 1 clinical trial (CALiPSO-1; NCT05336409) is a multi-center Phase 1 clinical trial designed to assess the safety, tolerability, pharmacokinetics, and clinical response of CNTY-101 in patients with refractory autoimmune diseases, including SLE/LN, IIM, and DcSSc. Key endpoints include safety, efficacy assessments appropriate for each disease, and translational endpoints including B-cell depletion and auto-antibody decline. The trial will evaluate one to two cycles of 3 weekly doses of CNTY-101 at doses up to 1 billion cells per dose, with lymphodepletion only included prior to the first CNTY-101 infusion. The CALiPSO-1 clinical trial is being run in US sites with EU sites initiating in 2025.</w:t>
      </w:r>
    </w:p>
    <w:p>
      <w:pPr>
        <w:spacing w:after="0" w:line="187" w:lineRule="exact"/>
        <w:rPr>
          <w:sz w:val="20"/>
          <w:szCs w:val="20"/>
          <w:color w:val="auto"/>
        </w:rPr>
      </w:pPr>
    </w:p>
    <w:p>
      <w:pPr>
        <w:ind w:left="60" w:right="719"/>
        <w:spacing w:after="0" w:line="269" w:lineRule="auto"/>
        <w:rPr>
          <w:sz w:val="20"/>
          <w:szCs w:val="20"/>
          <w:color w:val="auto"/>
        </w:rPr>
      </w:pPr>
      <w:r>
        <w:rPr>
          <w:rFonts w:ascii="Arial" w:cs="Arial" w:eastAsia="Arial" w:hAnsi="Arial"/>
          <w:sz w:val="18"/>
          <w:szCs w:val="18"/>
          <w:i w:val="1"/>
          <w:iCs w:val="1"/>
          <w:color w:val="auto"/>
        </w:rPr>
        <w:t>CARAMEL Phase 1/2 Clinical Trial in B-cell Mediated Autoimmune Diseases: Single center Investigator Initiated Trial</w:t>
      </w:r>
    </w:p>
    <w:p>
      <w:pPr>
        <w:spacing w:after="0" w:line="15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have entered into an agreement for an investigator-initiated Phase 1/2 clinical trial sponsored by Professors Dr. Georg Schett and Dr. Andreas Mackensen of its CD19 CAR-iNK investigational cell therapy candidate CNTY-101 in patients with B-cell mediated autoimmune diseases. The IIT, which is sponsored by the Friedrich-Alexander University Erlangen-Nürnberg, represents the first evaluation by the internationally recognized Schett/Mackensen group of an allogeneic iPSC-derived CD19-directed NK cell therapy for the treatment of autoimmune diseases. Consistent with our ongoing Phase 1 CALiPSO-1 trial (NCT06255028),</w:t>
      </w:r>
    </w:p>
    <w:p>
      <w:pPr>
        <w:sectPr>
          <w:pgSz w:w="11900" w:h="16838" w:orient="portrait"/>
          <w:cols w:equalWidth="0" w:num="1">
            <w:col w:w="9019"/>
          </w:cols>
          <w:pgMar w:left="1440" w:top="512"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IIT (known as the CARAMEL trial) will evaluate safety, efficacy, and key translational data of CNTY-101 in SLE, LN, IIM, and DcSSc patients. The CARAMEL trial is expected to initiate in mid-2025.</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Pre-clinical Pipeline Prioritization</w:t>
      </w:r>
    </w:p>
    <w:p>
      <w:pPr>
        <w:spacing w:after="0" w:line="212" w:lineRule="exact"/>
        <w:rPr>
          <w:sz w:val="20"/>
          <w:szCs w:val="20"/>
          <w:color w:val="auto"/>
        </w:rPr>
      </w:pPr>
    </w:p>
    <w:p>
      <w:pPr>
        <w:ind w:left="60" w:right="99"/>
        <w:spacing w:after="0" w:line="227" w:lineRule="auto"/>
        <w:rPr>
          <w:sz w:val="20"/>
          <w:szCs w:val="20"/>
          <w:color w:val="auto"/>
        </w:rPr>
      </w:pPr>
      <w:r>
        <w:rPr>
          <w:rFonts w:ascii="Arial" w:cs="Arial" w:eastAsia="Arial" w:hAnsi="Arial"/>
          <w:sz w:val="18"/>
          <w:szCs w:val="18"/>
          <w:color w:val="auto"/>
        </w:rPr>
        <w:t>In March 2025, we announced a re-prioritized pre-clinical pipeline intended to further leverage the unique capabilities and technologies we have towards transformative treatments holding strong commercial potential to treat serious diseases with high unmet need. Accordingly, in addition to our clinical stage programs, we will be focusing on three core pre-clinical programs that are all built on our industry leading iT cell platform, which is producing iPSC-derived CAR-T cells with function comparable to primary CAR-T cells. All three programs will incorporate Allo-Evasion 5.0</w:t>
      </w:r>
      <w:r>
        <w:rPr>
          <w:rFonts w:ascii="Arial" w:cs="Arial" w:eastAsia="Arial" w:hAnsi="Arial"/>
          <w:sz w:val="26"/>
          <w:szCs w:val="26"/>
          <w:color w:val="auto"/>
          <w:vertAlign w:val="superscript"/>
        </w:rPr>
        <w:t>TM</w:t>
      </w:r>
      <w:r>
        <w:rPr>
          <w:rFonts w:ascii="Arial" w:cs="Arial" w:eastAsia="Arial" w:hAnsi="Arial"/>
          <w:sz w:val="18"/>
          <w:szCs w:val="18"/>
          <w:color w:val="auto"/>
        </w:rPr>
        <w:t>. We believe these three programs have the potential to be differentiated in their category. All other pre-clinical programs will not be progressing internally at this time and may present out-licensing opportunities or be re-evaluated in the future.</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CNTY-308: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144780</wp:posOffset>
            </wp:positionV>
            <wp:extent cx="5349240" cy="2811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 xml:space="preserve">CNTY-308 is a CD19-targeted, iPSC derived CAR T cell therapy engineered with Allo-Evasion™ 5.0. It is being developed for B-cell mediated autoimmune diseases and malignancies. CNTY-308 is built on our industry leading iPSC-derived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T cell platform. In preclinical studies, CNTY-308 demonstrated potent activity and cell persistence that was comparable to primary CAR-T cell controls. Specifically, these cells have demonstrated three key characteristics of successful CAR T cell therapies:</w:t>
      </w:r>
    </w:p>
    <w:p>
      <w:pPr>
        <w:spacing w:after="0" w:line="176" w:lineRule="exact"/>
        <w:rPr>
          <w:sz w:val="20"/>
          <w:szCs w:val="20"/>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Anti-tumor cytotoxicity</w:t>
      </w:r>
    </w:p>
    <w:p>
      <w:pPr>
        <w:spacing w:after="0" w:line="211"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capacity to produce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T cell cytokines including IL-2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694690</wp:posOffset>
            </wp:positionV>
            <wp:extent cx="5349240" cy="2828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0"/>
        <w:spacing w:after="0"/>
        <w:tabs>
          <w:tab w:leader="none" w:pos="700" w:val="left"/>
        </w:tabs>
        <w:rPr>
          <w:sz w:val="20"/>
          <w:szCs w:val="20"/>
          <w:color w:val="auto"/>
        </w:rPr>
      </w:pPr>
      <w:r>
        <w:rPr>
          <w:rFonts w:ascii="Arial" w:cs="Arial" w:eastAsia="Arial" w:hAnsi="Arial"/>
          <w:sz w:val="18"/>
          <w:szCs w:val="18"/>
          <w:color w:val="auto"/>
        </w:rPr>
        <w:t>3.</w:t>
        <w:tab/>
        <w:t>Proliferation in response to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5349240" cy="2785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When tested in an established NALM6 tumor model in rodents (CD19-expressing B cell malignancy model), CNTY-308 cells were shown to be capable of controlling tumor growth for the length of the study with a single dose of cells, comparable to primary CAR-T cell controls. Furthermore, CNTY-308 cells were detected in peripheral blood, spleen, and bone marrow for at least 21 days after cell infusion. Importantly, CNTY-308 cells not only persisted but responded to an additional tumor challenge (tumor rechallenge), controlling tumor similarly, if not better, than primary CAR-T cell controls. Taken together, we believe the evolving preclinical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39"/>
        <w:spacing w:after="0" w:line="271" w:lineRule="auto"/>
        <w:rPr>
          <w:sz w:val="20"/>
          <w:szCs w:val="20"/>
          <w:color w:val="auto"/>
        </w:rPr>
      </w:pPr>
      <w:r>
        <w:rPr>
          <w:rFonts w:ascii="Arial" w:cs="Arial" w:eastAsia="Arial" w:hAnsi="Arial"/>
          <w:sz w:val="18"/>
          <w:szCs w:val="18"/>
          <w:color w:val="auto"/>
        </w:rPr>
        <w:t>data package for CNTY-308 supports the continuing progression of this program for B-cell mediated autoimmune diseases and malignancies.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CNTY-341:</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CNTY-341 is an investigational dual-targeted CD19 and CD22 iPSC-derived CAR-T cell therapy product candidate engineered with Allo-Evasion™ 5.0. CNTY-341 is built on our iT cell platform, with the goal of pairing dual targeting with primary T-cell-like functionality to provide a differentiated cell therapy for B cell malignancies. We have developed our own dual CD19/CD22 CAR, which has displayed robust activity when transduced into primary T cells.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Solid tumors:</w:t>
      </w:r>
    </w:p>
    <w:p>
      <w:pPr>
        <w:spacing w:after="0" w:line="21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Our first investigational solid tumor CAR-T cell program is designed to target validated tumor antigens including Nectin-4 (present on several solid tumors including urothelial cancer, breast cancer and lung cancer) and others using our own developed CAR moieties. The program is being developed on our iT cell platform with Allo-Evasion™ 5.0 and will include additional engineering to overcome some of the key challenges faced by cell therapies in solid tumors. Enhancements may include cytokine support and strategies to overcome the tumor microenvironment.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1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believe our iPSC-derived NK and T cells afford us a significant opportunity to advance multiplex gene-edited cell therapies that can be produced at substantially lower cost and accessible by a much larger patient population as compared to other donor-derived and autologous cell therapy approaches. To capitalize on these advantages, we believe it is imperative to develop an intimate understanding of the relevant cell types, the processes used to manufacture these cells, and the analytical methods required to accurately and reliably measure critical product attributes. We believe this understanding will enable us to produce safe and efficacious products, implement process and product changes with greater efficiency and accelerate the clinical development of commercializable products. In addition, we are developing a significant depth of expertise related to scalable manufacturing, which we believe is essential to enable cell expansion, harvest, and final container filling, along with cryopreservation, at a significantly reduced cost per dose. We have constructed our manufacturing strategy with the intent of achieving these objectives.</w:t>
      </w:r>
    </w:p>
    <w:p>
      <w:pPr>
        <w:spacing w:after="0" w:line="186"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We believe our relationship with FUJIFILM Cellular Dynamics Inc., or FCDI and its role in the manufacture of our initial product candidates has provided valuable know-how that accelerated development of our proprietary methods to generate functional iPSC-derived iNK cells. We believe that our optimized iPSC differentiation methods are scalable and compatible with efficient manufacturing processes. Our process development group is responsible for overall management of process optimization efforts and coordinates contracted efforts with FCDI for certain product candidates.</w:t>
      </w:r>
    </w:p>
    <w:p>
      <w:pPr>
        <w:spacing w:after="0" w:line="17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Cryopreservation of allogeneic cell therapies is essential for the ability to deliver these as off-the-shelf products. Therefore, we believe that addressing the key determinants of cryopreservation is of particular relevance to the success of our therapeutic programs. The ability of cells to withstand cryopreservation depends not only on the freezing step itself, but on multiple factors in the entire manufacturing process both preceding and following freezing, including the thawing process and post-thaw handling prior to patient administration. As such, all factors involved in the supply chain, from initial cell engineering to patient administration, are being addressed to characterize the impact of cryopreservation on our cell product candidates, especially its impact on yield, activity, stability, and consistency. We have invested significant resources to optimize our manufacturing processes and continue to iteratively invest in this area. We are also committing additional resources to ensure that adequate infrastructure and expertise is available at clinical sites regarding handling and treatment preparation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Effective cryopreservation strategies must consider all elements of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137795</wp:posOffset>
            </wp:positionV>
            <wp:extent cx="4937760" cy="130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377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For our ELiPSE-1 clinical trial, FCDI produced the clinical supply of CNTY-101. FCDI currently maintains a cGMP-compliant manufacturing facility in Madison, Wisconsin and our audit of the facility confirmed its Phase 1 readiness. We may also source clinical trial supply for some of our other iNK product candidates, and we will have the option to source NK cell therapies to be sold commercially, if approved, from FCDI.</w:t>
      </w:r>
    </w:p>
    <w:p>
      <w:pPr>
        <w:spacing w:after="0" w:line="174"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At the same time, we have constructed our own 53,000 square foot cell therapy manufacturing facility in Branchburg, New Jersey, which is now operational and from which we are sourcing clinical supply of CNTY-101 for our CALiPSO-1 clinical trial. We also intend to use this facility as the primary manufacturing site for our CAR-iT cell therapies; however, we have designed the facility to be a flexible, multi-product facility, capable of producing any immune cell type.</w:t>
      </w:r>
    </w:p>
    <w:p>
      <w:pPr>
        <w:spacing w:after="0" w:line="176"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We believe the development of in-house manufacturing will enable us to analyze, learn, and adapt more rapidly and increase control of development and manufacturing timelines for efficient clinical development of our product candidates. Through this enhanced control and investment in our process and analytical development capabilities, we believe we are gaining a deeper understanding of our critical product attributes and the factors that affect product quality. We are also developing expertise in scale-up technologies to enable optimal manufacturing scale for our product candidates, which will reduce cost of goods and improve patient access.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Licensing, partnerships, and collaborations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Fujifilm Cellular Dynamics, Inc.</w:t>
      </w:r>
    </w:p>
    <w:p>
      <w:pPr>
        <w:spacing w:after="0" w:line="210"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are party to an exclusive license with FCDI, dated September 18, 2018, or, as amended, the Differentiation License, pursuant to which we have licensed from FCDI certain patents and know-how related to differentiation of iPSC cells into immune-effector cells in the field of cancer immunotherapeutics. We are also party to a non-exclusive license with FCDI, also dated September 18, 2018, or, as amended, the Reprogramming License, pursuant to which we have licensed from FCDI certain patents and know-how related to the reprogramming of human somatic cells to iPSCs in the field of cancer immunotherapeutics. On October 21, 2019, we entered into a Master Collaboration Agreement with FCDI pursuant to which we agreed to fund research and development work at FCDI pursuant to a research plan, or, as amended, the FCDI Collaboration Agreement. On March 23, 2021, we entered into a Manufacturing and Supply Agreement with FCDI, or the Manufacturing Agreement, pursuant to which FCDI will provide certain agreed upon technology transfer, process development, analytical testing and cGMP manufacturing services to us. On January 7, 2022, we entered into a letter agreement with FCDI, which amends each of the agreements in relation to our collaboration with Bristol-Myers Squibb. On September 22, 2023, we entered into a worldwide license agreement with FCDI, or the Autoimmune License, whereby FCDI will grant non-exclusive licenses to us for certain patent rights and know-how related to cell differentiation and reprogramming for the development and commercialization of iPSC-derived therapies for the treatment of inflammatory and autoimmune diseases.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Reprogramming License Agreement</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Under the Reprogramming License, FCDI granted us a non-exclusive, worldwide license, excluding Japan, under certain patent rights and know-how related to cell reprogramming of human cells to iPSCs to exploit FCDI Licensed Products within the field of cancer immunotherapy products.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p>
    <w:p>
      <w:pPr>
        <w:spacing w:after="0" w:line="18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Under the Reprogramming License, we agreed to pay FCDI low single-digit percentage royalty payments on net sales of FCDI Licensed Products, as required by the WARF License, until the expiration of the last-to-expire patent licensed thereunder. We also agreed to pay certain milestone payments to FCDI as required by the WARF License upon the achievement of certain development and commercial milestones up to an aggregate of $6 million per FCDI Licensed Product.</w:t>
      </w:r>
    </w:p>
    <w:p>
      <w:pPr>
        <w:spacing w:after="0" w:line="17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Reprogramming License expires upon the expiration of the last-to-expire patent licensed thereunder, which is currently expected to expire in 2034. Either party may terminate the Reprogramming License upon the other party’s breach of a material obligation, subject to a 60-day notice and cure period, or in the event of the other party’s bankruptcy, if not dispensed or otherwise disposed within 60 days. We may terminate the Reprogramming License for convenience upon 90 days’ notice in its entirety or on a product-by-product or country-by-country basis. FCDI may terminate the Reprogramming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Reprogramming License upon written notice in the event of termination of the Differentiation License.</w:t>
      </w:r>
    </w:p>
    <w:p>
      <w:pPr>
        <w:spacing w:after="0" w:line="18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The Reprogramming License also contains customary representations and warranties, confidentiality, insurance and indemnification provisions.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Differentiation License Agreement</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Under the Differentiation License, FCDI granted us an exclusive, fully paid-up, sublicensable, worldwide license, excluding Japan,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worldwide license under certain manufacturing know-how developed by us under the Differentiation License or FCDI Collaboration Agreement for manufacturing and process development activities outside of the field of cancer immunotherapy for cells other than NK cells, T cells, dendritic cells and macrophages derived from human iPSC until the termination of the Differentiation License.</w:t>
      </w:r>
    </w:p>
    <w:p>
      <w:pPr>
        <w:spacing w:after="0" w:line="183"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Licensed Products in Japan, and we and FCDI will amend the Differentiation License as necessary to permit such exploitation. We also issued shares of common stock to FCDI as consideration under the Differentiation License.</w:t>
      </w:r>
    </w:p>
    <w:p>
      <w:pPr>
        <w:spacing w:after="0" w:line="16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Differentiation License expires upon the expiration of the last-to-expire patent licensed thereunder, which is currently expected to expire in 2036. Either party may terminate the Differentiation License upon the other party’s breach of any material obligation, subject to a 60-day notice and cure period, or in the event of the other party’s bankruptcy, if not dispensed or otherwise disposed within 60 days. We may terminate the Differentiation License in its entirety or on an indication-by-indication basis, a product-by-product basis or country-by-country basis, for convenience upon 90 days’ written notice. In addition, FCDI may terminate the Differentiation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Differentiation License upon written notice in the event of termination of Reprogramming License. FCDI may also terminate the Differentiation License upon written notice if (i) the Reprogramming License Agreement expires or terminates for any reason or (ii) the WARF License expires or terminates for any reason.</w:t>
      </w:r>
    </w:p>
    <w:p>
      <w:pPr>
        <w:spacing w:after="0" w:line="183"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Differentiation License also contains customary representations and warranties, confidentiality, insurance and indemnification provisions.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Collaboration Agreement</w:t>
      </w:r>
    </w:p>
    <w:p>
      <w:pPr>
        <w:spacing w:after="0" w:line="21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Under the FCDI Collaboration Agreement, we established a collaborative relationship under which FCDI agreed to render certain services to us for the development and manufacture iPSC-derived cells in accordance with a research plan and approved budget funded by us. For the first three years of the term of the FCDI Collaboration Agreement, we agreed to pay FCDI a minimum of $2.5 million per year. Under the FCDI Collaboration Agreement, with certain exceptions, we have ownership rights to the deliverables made under the collaboration, including any intellectual property rights therein. Such exceptions include, among other things, deliverables that are cells obtained or created by changing the state of a cell to a state of pluripotency using methods or materials covered by the licensed patents, or Reprogrammed iPS Cells, or any compositions or materials derived from the use of Reprogrammed iPS Cells, produced by the use of Reprogrammed iPS Cells or which incorporate wholly or partially Reprogrammed iPS Cells, which, in each case, will be owned by FCDI, unless directly or indirectly derived from or made from the cell lines selected by us pursuant to the terms of the FCDI Collaboration Agreement.</w:t>
      </w:r>
    </w:p>
    <w:p>
      <w:pPr>
        <w:spacing w:after="0" w:line="183"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The FCDI Collaboration Agreement expires upon the termination of the Reprogramming License. Either party may terminate the FCDI Collaboration Agreement upon the other party’s material breach, subject to a 30-day notice and cure period. We may terminate the FCDI Collaboration Agreement for convenience by providing FCDI 60-days’ written notice.</w:t>
      </w:r>
    </w:p>
    <w:p>
      <w:pPr>
        <w:spacing w:after="0" w:line="174"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The FCDI Collaboration Agreement also contains customary representations and warranties, confidentiality and indemnification provisions.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Letter Agreement</w:t>
      </w:r>
    </w:p>
    <w:p>
      <w:pPr>
        <w:spacing w:after="0" w:line="210"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Under the letter agreement, which amends certain terms of each of the FCDI Agreements, including such amendments that (i) amend the definition of Territory under each of the FCDI Agreements, for purposes of the sublicenses under the FCDI Agreements pursuant to our Research Collaboration and License Agreement with Bristol-Myers Squibb dated January 7, 2022, or the Collaboration Agreement, includes Japan, (ii) amends the licenses granted to us and our affiliates under the FCDI Agreements such that the rights are sublicensable to Bristol-Myers Squibb, including with respect to Japan and (iii) the intellectual property developed under the Bristol-Myers Squibb collaboration is not subject to grant-back and option provisions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under the Reprogramming License (iv) waives any right of FCDI to manufacture products developed under the Collaboration Agreement.</w:t>
      </w:r>
    </w:p>
    <w:p>
      <w:pPr>
        <w:spacing w:after="0" w:line="154"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Pursuant to the Letter Agreement, and in consideration for amending the FCDI Agreements, we paid to FCDI (i) an upfront payment of $ 10 million, and will pay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Manufacturing Agreement</w:t>
      </w:r>
    </w:p>
    <w:p>
      <w:pPr>
        <w:spacing w:after="0" w:line="21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Under the Manufacturing Agreement, FCDI has and will perform certain agreed upon technology transfer, process development, analytical testing, and cGMP manufacturing services for us with respect to clinical supply of certain of our product candidates as agreed to in current and future work orders. The Manufacturing Agreement contains certain exclusivity provisions, which remain effective until the fifth anniversary of the Manufacturing Agreement, including that FCDI will be our exclusive supplier of clinical grade CNTY-101 for use in B-cell malignancies during the exclusivity period and that FCDI will have the option to be our exclusive supplier during the remainder of the exclusivity period of clinical material for the next one or two NK cell products for which we file an IND, depending on the other INDs that we file during the remainder of the exclusivity period. Subject to certain conditions, FCDI may also have the right to be the exclusive clinical supplier for the first product candidate for which we submit an IND after the fifth anniversary of the Manufacturing Agreement and choose not to manufacture ourselves.</w:t>
      </w:r>
    </w:p>
    <w:p>
      <w:pPr>
        <w:spacing w:after="0" w:line="186"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Either party may terminate the Manufacturing Agreement upon the other party’s material breach, subject to a 30-day notice and cure period, or in the event that the activities to be performed under the Manufacturing Agreement are unable to be performed for scientific or technical reasons and the parties are unable to resolve such issue within 60 days. We may terminate the Manufacturing Agreement for convenience after March 23, 2026 by providing FCDI 60-days’ written notice.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Worldwide License Agreement</w:t>
      </w:r>
    </w:p>
    <w:p>
      <w:pPr>
        <w:spacing w:after="0" w:line="21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On September 22, 2023, we and FCDI entered into a worldwide license agreement, or the Autoimmune License, whereby FCDI will grant non-exclusive licenses to us for certain patent rights and know-how related to cell differentiation and reprogramming for the development and commercialization of iPSC-derived therapies for the treatment of inflammatory and autoimmune diseases. Under the terms of the Autoimmune License, FCDI will be eligible to receive certain development and regulatory milestone payments as well as low single-digit royalties related to products developed in connection with the Autoimmune License. In addition, on September 22, 2023, we and FCDI amended the Reprogramming License, Differentiation License and the Collaboration Agreement to expand our existing license related to the development and commercialization of iPSC-derived cancer immunotherapeutics to also include inflammatory and autoimmune diseases. In connection with the entry into the Autoimmune License and the amendments to the Reprogramming License and Differentiation License, we made an upfront payment in the amount of $4.0 million. In addition, we paid FCDI a $1.0 million milestone fee pursuant to the Autoimmune License for filing of the IND for SLE for CNTY-101, both of which are included as in-process research and development in the consolidated statements of operations and comprehensive loss for the year ended December 31, 2023.</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HealthCare LLC Option Agreement</w:t>
      </w:r>
    </w:p>
    <w:p>
      <w:pPr>
        <w:spacing w:after="0" w:line="210"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In June 2019, we entered into an option agreement with Bayer, or the Option Agreement, which was subsequently amended and restated in February 2021,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For clarity, T cell programs are excluded from the Bayer Option Agreement Research Products. Under the Option Agreement, Bayer was granted a right of first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refusal, or ROFR, to submit bids for the transfer or license of rights to research, develop and/or commercialize certain Research Products, which we refer to as the Research Product Rights. While CNTY-101 is no longer included in the Bayer option rights, any other wholly owned product candidate comprised of iNK cells that we develop in the future is subject to the terms of the Option Agreement. Bayer’s ROFR is only exercisable with respect to up to four Research Products and the right terminates upon our tenth IND submission. Subject to certain exceptions, Bayer may only exercise these option rights in a non-sequential and alternating manner, and such rights are subject to additional limitations.</w:t>
      </w:r>
    </w:p>
    <w:p>
      <w:pPr>
        <w:spacing w:after="0" w:line="18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In the event that Bayer exercises its ROFR right, we will provide Bayer with our current, minimum offer terms with respect to the relevant Research Product Rights, or the Minimum Offer Terms, as determined by our Board (excluding any director appointed by Bayer), which will include (i) the minimum upfront cash proceeds to be received by us for the Research Product Rights and (ii) any other applicable licensing and financial terms. If Bayer’s bid does not meet the Minimum Offer Terms, Bayer’s ROFR rights with respect to that Research Product terminate except that Bayer will retain topping rights for future third party bids for that Research Product. If Bayer’s bid meets the Minimum Offer Terms, we can accept the bid or seek a third party valuation to determine the fair market value of the Research Product Rights and Bayer will have the opportunity to match the third party valuation. If Bayer does not match the third party valuation, Bayer’s rights with respect to that Research Product terminate except that Bayer will retain topping rights for future third party bids for that Research Product that are less than the third party valuation. The Option Agreement also contains provisions regarding our receipt of an unsolicited bid for certain Research Product Rights prior to an IND submission for a Research Product under which Bayer will have the option to submit a competing bid or relinquish its rights with respect to the transfer of the applicable Research Product in connection with the unsolicited bid.</w:t>
      </w:r>
    </w:p>
    <w:p>
      <w:pPr>
        <w:spacing w:after="0" w:line="189"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The Option Agreement terminates upon the earlier of (i) Bayer and its affiliates ceasing to hold any of our capital stock or (ii) a change of control of us, as defined therein. The Option Agreement also contains customary representations and warranties and confidentiality provisions.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Bristol-Myers Squibb</w:t>
      </w:r>
    </w:p>
    <w:p>
      <w:pPr>
        <w:spacing w:after="0" w:line="210"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On January 7, 2022, we entered into a Research, Collaboration and License Agreement with Bristol-Myers Squibb Company to collaborate on the research, development and commercialization of induced pluripotent stem cell derived, engineered natural killer cell and/or gamma delta T cell programs for hematologic malignancies, initially focused on acute myeloid leukemia, and multiple myeloma.</w:t>
      </w:r>
    </w:p>
    <w:p>
      <w:pPr>
        <w:spacing w:after="0" w:line="174"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In connection with the Collaboration Agreement Bristol-Myers Squibb purchased 2,160,760 shares of our common stock at a price per share of $23.14, for an aggregate purchase price of $50 million.</w:t>
      </w:r>
    </w:p>
    <w:p>
      <w:pPr>
        <w:spacing w:after="0" w:line="154"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Following an internal corporate portfolio prioritization process, Bristol-Myers Squibb notified the Company on December 12, 2024 that it would be terminating the Collaboration Agreement in its entirety without cause. The termination was effective as of March 12, 2025.</w:t>
      </w:r>
    </w:p>
    <w:p>
      <w:pPr>
        <w:spacing w:after="0" w:line="16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While we are encouraged by the scientific progress on programs for acute myeloid leukemia (CNTY-104) and multiple myeloma (CNTY-106) under the agreement and their commercial potential, consistent with the pre-clinical pipeline prioritization announced in March 2025, these programs will not be progressing internally at this time and may present out-licensing opportunities or be re-evaluated in the future.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iCELL Inc.</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On March 20, 2020, we entered into an exclusive sublicense, or the iCELL Sublicense, with iCELL Inc., or iCELL, for certain patents related to an immune function reconstruction method using multipotent stem cells and the method for producing antigen specific T-cells, in each case, to research, develop and commercialize products in the United States, France, Germany, Italy, Liechtenstein, the Netherlands, Switzerland and the UK and any other countries where valid claims exist. Additionally, we received a non-exclusive license 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such rights in Japan. The rights sublicensed to us under the iCELL Sublicense were licensed to iCELL by the University of Tokyo, or UTokyo, pursuant to an exclusive license agreement, or the UTokyo License. iCELL reserved for itself and for UTokyo an irrevocable, nonexclusive, royalty-free license to make and use certain non-public information for their own internal educational and research activities.nThe initial term of the sublicense expires on the later of (i) March 31, 2027, or (ii) the expiration of the last-to-expire valid claim covering a licensed product, which is currently expected to expire in 2033. iCELL may terminate the agreement with 30 days’ notice if we have failed to make a payment within 60 days of such payment becoming due and we do not cure such breach within 30 days of written notice. We may terminate the agreement upon 90 days’ written notice if any third party brings a claim against us related to the licensed patents or technology and such claim is not settled within 90 days. Pursuant to the iCELL Sublicense, we paid an upfront license issue fee in the low six-figures and we agreed to make low single-digit percentage royalty payments until the last-to-expire valid claim under the licensed patents to iCELL on certain net sales amounts of the products developed under the iCELL Sublicense, as well as commercial milestone payments on a country-by-country basis based on certain net sales amounts related to products developed under the iCELL Sublicense in the aggregate of $70 million. We also agreed to make certain milestone payments to iCELL upon the achievement of certain developmental and regulatory milestones in the aggregate of $4.25 million. Upon the termination of the UTokyo License, iCELL will use good faith efforts to assist us in exercising any rights available to us under the UTokyo License to become a direct licensee of UTokyo. The iCELL Sublicense also contains customary representation and warranties, confidentiality, insurance, audit, indemnification and miscellaneous provisions.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Inscripta</w:t>
      </w:r>
    </w:p>
    <w:p>
      <w:pPr>
        <w:spacing w:after="0" w:line="21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January 2019, we entered into a non-exclusive license agreement with Inscripta, Inc. Under the license agreement, we obtained a non-exclusive, worldwide, royalty-free, irrevocable license to a patent portfolio covering the composition, production, and use of CRISPR-MAD7, a novel gene-editing CRISPR endonuclease from the Eubacterium rectale genome. The license agreement does not contain any payment terms; thus no payments have been made, or will be made, to Inscripta under the license agreement. The licensed intellectual property includes two issued U.S. patents and any pending applications claiming priority therefrom. Our license covers the use of CRISPR-MAD7 to perform research and development in both academic and commercial setting and use of MAD7 to perform commercial services, provided that such use may not include the (i) sale or resale of MAD7, including as part of a therapeutic product, (ii) continued use of MAD7 in a commercial manufacturing process or (iii) use of MAD7 in the editing of human embryos. Such license will expire upon the expiration of the last valid claim under the licensed patents, which is currently expected to expire in 2037. These licensed issued patents and any licensed patents that may issue from these pending patent applications will expire in 2037, without giving effect to any patent term adjustment or extension.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Intellectual property is of vital importance in our field and in biotechnology generally. We seek to protect and enhance our intellectual property, proprietary technology, inventions, and improvements that are commercially important to the development of our business by seeking, maintaining, enforcing and defending patent rights, whether developed internally or licensed from third parties.</w:t>
      </w:r>
    </w:p>
    <w:p>
      <w:pPr>
        <w:spacing w:after="0" w:line="174"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We have sought patent protection in the United States and other countries throughout the world related to each of our pipeline programs, including our CNTY-101 product candidate, as well as other iPSC-derived engineered CAR cells comprising certain transgene insertions and deletions, including our proprietary Allo-Evasion™ technology. We have an issued US Patent No. 11,661,459 directed to the safety switch construct incorporated in our CNTY-101 product, and an allowed US Patent Application No. 18/193,030 directed to a composition that includes the iPSC or derivative cell thereof having safety switch construct incorporated in our CNTY-101 product. We have also filed patent applications related to our other product candidates, including CNTY-104, CNTY-107, CNTY-308, and CNTY-341. We have also filed patent applications relating to our T-cell platform related to compositions and methods for generating alpha-beta and gamma delta T-cells from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iPSCs. Additionally, we have filed a patent application on gene transfer vectors and methods of engineering iPSCs. We have also filed patent applications related to genetically engineered cells expressing CD16 variants and NKG2D and uses thereof as well as other technologies. This portfolio covers compositions of programmed cellular immunotherapies, our proprietary Allo-Evasion™ technology and our platform for industrial scale iPSC engineering and differentiation. The portfolio also includes technology for a universal CAR cell platform and a novel safety switch which includes an issued US Patent No.11,883,432. These issued patents and any patents that may be issued from allowed patent applications will expire on dates in 2041, without giving effect to any patent term adjustment or extension.</w:t>
      </w:r>
    </w:p>
    <w:p>
      <w:pPr>
        <w:spacing w:after="0" w:line="180"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We have also filed provisional and/or non-provisional patent applications related to iPSC-derived cells engineered to express CXCR4. Additionally, through our acquisition of Clade Therapeutics, Inc., we acquired patent applications related to (i) methods of making and using single positive T cells, and (ii) cells engineered with one or both of a CD300a and NKG2A binding domain to enhance cell cloaking.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Such applications may not result in issued patents and, even if patents do issue, such patents may not be in a form that will provide us with meaningful protection for our product candidates. We also rely on trade secrets that may be important to the development of our business, but which may be difficult to protect and provide us with only limited protection.</w:t>
      </w:r>
    </w:p>
    <w:p>
      <w:pPr>
        <w:spacing w:after="0" w:line="18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expect to file additional patent applications in support of current and new clinical candidates as well as new platform and core technologies. Our commercial success will depend in part on obtaining, maintaining, protecting, and enforcing patent protection and trade secret protection of our current and future product candidates and the methods used to develop and manufacture them, as well as successfully defending such patents against third-party challenges and operating without infringing, violating or misappropriating the intellectual property or proprietary rights of others. Our ability to stop unauthorized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18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including the United States, the patent term is generally 20 years from the earliest date of filing a non-provisional or Patent Cooperation Treaty, or PCT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patent term of a patent that covers an FDA-approved drug may also be eligible for patent term extension, which permits patent term restoration as compensation for the patent term lost during the FDA regulatory review process. The Drug Price Competition and Patent Term Restoration Act, or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regarding the risks related to our intellectual property, see “Risk factors—Risks related to our intellectual property.”</w:t>
      </w:r>
    </w:p>
    <w:p>
      <w:pPr>
        <w:spacing w:after="0" w:line="15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In some instances, we submit patent applications directly with the USPTO as provisional patent applications. Corresponding non-provisional patent applications must be filed not later than 12 months after the provisional application filing date to claim priority to the provisional application filing date.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8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will file U.S. non-provisional applications and PCT applications that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for some or all of the claims filed in the application,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earliest priority date of the PCT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18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For all patent applications, we determine claiming strategy on a case-by-case basis.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8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product candidates, platform, or technology. We cannot predict whether the patent applications we are currently pursuing will issue as patents in any particular jurisdiction or whether the claims of any issued patents will provide sufficient proprietary protection from competitors. In addition, any patents that we hold may be challenged, circumvented or invalidated by third parties.</w:t>
      </w:r>
    </w:p>
    <w:p>
      <w:pPr>
        <w:spacing w:after="0" w:line="183"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Our commercial success will also depend in part on not infringing, violating, or misappropriating the intellectual property or proprietary rights of third parties. Third-party patents could require us to alter our development or commercial strategies, or our product candidates or processes, obtain licenses, which may not be available on commercially reasonable terms, or at all, or cease certain activities. If third parties prepare and file patent applications in the United States that also claim technology to which we have rights, we may have to participate in interference or derivation proceedings in the USPTO to determine priority of invention. Further, our breach of any license agreements or our failure to obtain a license to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proprietary rights required to develop or commercialize our product candidates may have a material adverse impact on us. For more information, see “Risk Factors—Risks related to intellectual property.”</w:t>
      </w:r>
    </w:p>
    <w:p>
      <w:pPr>
        <w:spacing w:after="0" w:line="15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addition to patent protection, we also rely on trade secrets, know-how, other proprietary information and/or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our intellectual property.”</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Intellectual property relating to iPSC technology</w:t>
      </w:r>
    </w:p>
    <w:p>
      <w:pPr>
        <w:spacing w:after="0" w:line="21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have licensed from FCDI a portfolio of six patent families including issued patents and pending applications broadly applicable to the reprogramming of somatic cells. Our license is non-exclusive within the field of cancer immunotherapeutics in the worldwide territory outside of Japan and for the treatment of inflammatory and autoimmune diseases worldwide. This portfolio covers various aspects of the generation of human iPSCs from somatic cells and, as of May 31, 2021, includes 12 issued U.S. patents claiming methods and compositions used in the reprogramming of human somatic cells to iPSCs. Specifically, the portfolio includes patents with claims for producing human iPSCs from hematopoietic progenitor cells using episomal genetic vectors and includes claims for doing the reprogramming under feeder free conditions. The portfolio also includes a composition of matter patent issued in the United States covering an Epstein-Barr Virus, or EBV, reprogramming vector containing genes for certain reprogramming factors. These issued patents and any patents that may be issued from these pending patent applications will expire on dates ranging from 2029 to 2034, without giving effect to any patent term adjustment or extension.</w:t>
      </w:r>
    </w:p>
    <w:p>
      <w:pPr>
        <w:spacing w:after="0" w:line="183"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color w:val="auto"/>
        </w:rPr>
        <w:t>Included within the license is a sublicense under certain patents, which are directed to compositions and methods of using and making iPSCs, owned by WARF relating to the so-called “Thompson Factors” for reprogramming human cells to iPSCs, the issued United States patents in this portfolio will expire on dates ranging from 2028 to 2029, without giving effect to any patent term adjustment or extension.</w:t>
      </w:r>
    </w:p>
    <w:p>
      <w:pPr>
        <w:spacing w:after="0" w:line="17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Intellectual property relating to genetic engineering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In January 2019, we entered into a non-exclusive license agreement with Inscripta, Inc. Under the license agreement, we obtained a non-exclusive, royalty-free, irrevocable license to a patent portfolio covering the composition, production, and use of CRISPR-MAD7, a novel gene-editing CRISPR endonuclease from the Eubacterium rectale genome. The intellectual property includes two issued U.S. patents and any pending applications claiming priority therefrom. Our license covers the making and using of CRISPR-MAD7 for editing iPSCs, making master engineered iPSC lines and using master engineered iPSC lines to manufacture human therapeutic products. These issued patents and any patents that may be issued from these pending patent applications will expire in 2037, without giving effect to any patent term adjustment or extension.</w:t>
      </w:r>
    </w:p>
    <w:p>
      <w:pPr>
        <w:spacing w:after="0" w:line="18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Intellectual property relating to the differentiation of hematopoietic cells</w:t>
      </w:r>
    </w:p>
    <w:p>
      <w:pPr>
        <w:spacing w:after="0" w:line="21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have licensed from FCDI a portfolio of six patent families regarding methods of differentiating iPSC cells including issued patents and pending patent applications broadly applicable to the differentiation of iPSC cells, the last of which is currently expected to expire in 2036. Our license is exclusive to exploit cancer immunotherapeutic products and non-exclusive for the products for the treatment of inflammatory and autoimmune diseases consisting of cells that are or are modifications of NK cells, T cells, dendritic cells and macrophages derived from human iPSCs. This portfolio covers various aspects of the generation of hematopoietic precursor and immune effector cells from iPSCs and, as of May 31, 2021, includes five issued U.S. patents claiming methods for the differentiation of human iPSCs to hematopoietic precursor cells and further differentiation into immune effector cells. Specifically, the portfolio includes patents with claims for producing hematopoietic precursor cells from iPSCs using a multi-step process involving certain defined media. These issued patents and any patents that may issue from these pending patent applications will expire on dates ranging from 2030 to 2036, without giving effect to any patent term adjustment or extension.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Intellectual property relating to engineered iPSCs and derivative cells</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Currently, we own two issued US patents and fifteen pending US utility patent applications and five pending provisional patent applications covering our engineered iPSC cells, cell differentiation technology, compositions of engineered cellular immunotherapies, and gene transfer vectors and methods of engineering iPSC cells. The portfolio includes composition of matter claims covering CNTY-101, as well as other iPSC-derived engineered CAR cells comprising certain transgene insertions and deletions, including our proprietary Allo-Evasion™ technology. We have an issued US patent No. 11,661,459 directed to the safety switch construct incorporated in our CNTY-101 product and an issued US patent with claims directed to a universal CAR cell platform. We have also filed patent applications relating to our T-cell platform related to compositions and methods for generating alpha-beta and gamma-delta T cells from iPSCs. We have also filed patent applications related to a novel safety switch. Any U.S. patents that may issue from such pending provisional patent applications would expire in from 2040-2043, without giving effect to any patent term adjustment or extension.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Intellectual property relating to engineered T cells</w:t>
      </w:r>
    </w:p>
    <w:p>
      <w:pPr>
        <w:spacing w:after="0" w:line="21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have exclusively sublicensed from iCELL two families of patents owned by the University of Tokyo relating to immune function reconstruction method using multipotent stem cells and method for producing antigen-specific T cells. The portfolio includes two issued U.S. patents claiming methods for the production of T cells having antigen specificity from iPSC cells derived from human T cells where the T cells differentiated from the iPSC cells retain the antigen specificity of the human T cell from which it was derived. These issued patents will expire in 2031, without giving effect to any patent term adjustment or extension.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The biotechnology and pharmaceutical industries have made substantial investment in recent years in the rapid development of novel immunotherapies for the treatment of a range of pathologies, including cancers, and autoimmune disorders, making this a highly competitive market.</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immunotherapy and, furthermore, within the treatment of cancers and autoimmune disorders. In addition to the current standard of care treatments for patients with cancers or autoimmune disorders,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spacing w:after="0" w:line="189" w:lineRule="exact"/>
        <w:rPr>
          <w:sz w:val="20"/>
          <w:szCs w:val="20"/>
          <w:color w:val="auto"/>
        </w:rPr>
      </w:pPr>
    </w:p>
    <w:p>
      <w:pPr>
        <w:jc w:val="both"/>
        <w:ind w:left="60" w:right="119"/>
        <w:spacing w:after="0" w:line="247" w:lineRule="auto"/>
        <w:rPr>
          <w:sz w:val="20"/>
          <w:szCs w:val="20"/>
          <w:color w:val="auto"/>
        </w:rPr>
      </w:pPr>
      <w:r>
        <w:rPr>
          <w:rFonts w:ascii="Arial" w:cs="Arial" w:eastAsia="Arial" w:hAnsi="Arial"/>
          <w:sz w:val="18"/>
          <w:szCs w:val="18"/>
          <w:color w:val="auto"/>
        </w:rPr>
        <w:t>Large pharmaceutical companies that have commercialized or are developing immunotherapies to treat cancer include but are not limited to AstraZeneca, Bristol-Myers Squibb, Gilead Sciences, Merck, Novartis, Pfizer, and Roche. Some of these companies, such as Bristol-Myers Squibb, Novartis, and Roche, are also developing cell therapy therapies for autoimmune diseases.</w:t>
      </w:r>
    </w:p>
    <w:p>
      <w:pPr>
        <w:spacing w:after="0" w:line="174"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Companies that compete with us directly on the level of the development of product candidates targeting B-cell lymphomas include but are not limited to Gilead Sciences, Novartis, and Bristol-Myers Squibb, among others. Companies developing Nectin-4 targeted agents include but are not limited to Pfizer, Astellas, and Bicycle Therapeutics.</w:t>
      </w:r>
    </w:p>
    <w:p>
      <w:pPr>
        <w:spacing w:after="0" w:line="174" w:lineRule="exact"/>
        <w:rPr>
          <w:sz w:val="20"/>
          <w:szCs w:val="20"/>
          <w:color w:val="auto"/>
        </w:rPr>
      </w:pPr>
    </w:p>
    <w:p>
      <w:pPr>
        <w:ind w:left="60" w:right="119"/>
        <w:spacing w:after="0" w:line="261" w:lineRule="auto"/>
        <w:rPr>
          <w:sz w:val="20"/>
          <w:szCs w:val="20"/>
          <w:color w:val="auto"/>
        </w:rPr>
      </w:pPr>
      <w:r>
        <w:rPr>
          <w:rFonts w:ascii="Arial" w:cs="Arial" w:eastAsia="Arial" w:hAnsi="Arial"/>
          <w:sz w:val="17"/>
          <w:szCs w:val="17"/>
          <w:color w:val="auto"/>
        </w:rPr>
        <w:t>Other emerging biopharmaceutical companies which can potentially develop competing cell therapy candidates to treat both cancer and autoimmune diseases include but are not limited to Adicet Bio, Allogene Therapeutics, Artiva Biotherapeutics, Caribou Biosciences, CRIPSR Therapeutics, Fate Therapeutics, Nkarta Therapeutics, and Sana Biotechnology. Furthermore, companies pursuing the development of cell therapies in autoimmune diseases include but are not limited to Cabaletta Bio, Cartesian Therapeutics, and Kyverna Therapeutics.</w:t>
      </w:r>
    </w:p>
    <w:p>
      <w:pPr>
        <w:spacing w:after="0" w:line="16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Competition may also arise from non-cell therapy modalities, such as bispecific antibodies and T cell engagers. 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0" w:lineRule="exact"/>
        <w:rPr>
          <w:sz w:val="20"/>
          <w:szCs w:val="20"/>
          <w:color w:val="auto"/>
        </w:rPr>
      </w:pPr>
    </w:p>
    <w:p>
      <w:pPr>
        <w:ind w:left="60" w:right="279"/>
        <w:spacing w:after="0" w:line="266" w:lineRule="auto"/>
        <w:rPr>
          <w:sz w:val="20"/>
          <w:szCs w:val="20"/>
          <w:color w:val="auto"/>
        </w:rPr>
      </w:pPr>
      <w:r>
        <w:rPr>
          <w:rFonts w:ascii="Arial" w:cs="Arial" w:eastAsia="Arial" w:hAnsi="Arial"/>
          <w:sz w:val="17"/>
          <w:szCs w:val="17"/>
          <w:color w:val="auto"/>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are able to enter the market. The key competitive factors affecting the success of all of our programs are likely to be product safety, efficacy, convenience and treatment cost.</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the United States, biologic products are licensed by the U.S. Food and Drug Administration, or FDA, for marketing under the Public Health Service Act, referred to as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 development process</w:t>
      </w:r>
    </w:p>
    <w:p>
      <w:pPr>
        <w:spacing w:after="0" w:line="210"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The process required by the FDA before a biologic product may be marketed in the United States generally involves the following:</w:t>
      </w:r>
    </w:p>
    <w:p>
      <w:pPr>
        <w:spacing w:after="0" w:line="356" w:lineRule="exact"/>
        <w:rPr>
          <w:sz w:val="20"/>
          <w:szCs w:val="20"/>
          <w:color w:val="auto"/>
        </w:rPr>
      </w:pPr>
    </w:p>
    <w:p>
      <w:pPr>
        <w:ind w:left="720" w:right="239" w:hanging="319"/>
        <w:spacing w:after="0" w:line="252"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170" w:lineRule="exact"/>
        <w:rPr>
          <w:rFonts w:ascii="Times New Roman" w:cs="Times New Roman" w:eastAsia="Times New Roman" w:hAnsi="Times New Roman"/>
          <w:sz w:val="18"/>
          <w:szCs w:val="18"/>
          <w:color w:val="auto"/>
        </w:rPr>
      </w:pPr>
    </w:p>
    <w:p>
      <w:pPr>
        <w:ind w:left="720" w:right="679" w:hanging="319"/>
        <w:spacing w:after="0" w:line="270"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preparation of clinical trial material in accordance with current Good Manufacturing Practices, or cGMPs;</w:t>
      </w:r>
    </w:p>
    <w:p>
      <w:pPr>
        <w:spacing w:after="0" w:line="154"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application for an investigational new drug, or IND, which must become effective before human clinical trials may begin;</w:t>
      </w:r>
    </w:p>
    <w:p>
      <w:pPr>
        <w:spacing w:after="0" w:line="154"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institutional review board, or IRB, reviewing each clinical site before each clinical trial may be initiated;</w:t>
      </w:r>
    </w:p>
    <w:p>
      <w:pPr>
        <w:spacing w:after="0" w:line="154" w:lineRule="exact"/>
        <w:rPr>
          <w:rFonts w:ascii="Times New Roman" w:cs="Times New Roman" w:eastAsia="Times New Roman" w:hAnsi="Times New Roman"/>
          <w:sz w:val="18"/>
          <w:szCs w:val="18"/>
          <w:color w:val="auto"/>
        </w:rPr>
      </w:pPr>
    </w:p>
    <w:p>
      <w:pPr>
        <w:jc w:val="both"/>
        <w:ind w:left="720" w:right="99" w:hanging="319"/>
        <w:spacing w:after="0" w:line="246"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according to Good Clinical Practices, or GCP, and any additional requirements for the protection of human research subjects and their health information, to establish the safety, purity, potency, and efficacy, of the proposed biologic product for its intended use;</w:t>
      </w:r>
    </w:p>
    <w:p>
      <w:pPr>
        <w:spacing w:after="0" w:line="176"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 Biologics License Application, or BLA, for marketing approval that includes substantive evidence of safety, purity, potency, and efficacy from results of nonclinical testing and clinical trials;</w:t>
      </w:r>
    </w:p>
    <w:p>
      <w:pPr>
        <w:spacing w:after="0" w:line="170" w:lineRule="exact"/>
        <w:rPr>
          <w:rFonts w:ascii="Times New Roman" w:cs="Times New Roman" w:eastAsia="Times New Roman" w:hAnsi="Times New Roman"/>
          <w:sz w:val="18"/>
          <w:szCs w:val="18"/>
          <w:color w:val="auto"/>
        </w:rPr>
      </w:pPr>
    </w:p>
    <w:p>
      <w:pPr>
        <w:ind w:left="720" w:right="299" w:hanging="319"/>
        <w:spacing w:after="0" w:line="246"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prior to BLA approval of the manufacturing facility or facilities where the biologic product is produced to assess compliance with cGMP, to assure that the facilities, methods, and controls are adequate to preserve the biologic’s identity, strength, quality and purity;</w:t>
      </w:r>
    </w:p>
    <w:p>
      <w:pPr>
        <w:spacing w:after="0" w:line="176" w:lineRule="exact"/>
        <w:rPr>
          <w:rFonts w:ascii="Times New Roman" w:cs="Times New Roman" w:eastAsia="Times New Roman" w:hAnsi="Times New Roman"/>
          <w:sz w:val="18"/>
          <w:szCs w:val="18"/>
          <w:color w:val="auto"/>
        </w:rPr>
      </w:pPr>
    </w:p>
    <w:p>
      <w:pPr>
        <w:ind w:left="720" w:right="279" w:hanging="319"/>
        <w:spacing w:after="0" w:line="270"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39" w:hanging="319"/>
        <w:spacing w:after="0" w:line="270" w:lineRule="auto"/>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FDA Advisory Committee meeting to elicit expert input on critical issues and including a vote by external committee members;</w:t>
      </w:r>
    </w:p>
    <w:p>
      <w:pPr>
        <w:spacing w:after="0" w:line="154" w:lineRule="exact"/>
        <w:rPr>
          <w:rFonts w:ascii="Times New Roman" w:cs="Times New Roman" w:eastAsia="Times New Roman" w:hAnsi="Times New Roman"/>
          <w:sz w:val="18"/>
          <w:szCs w:val="18"/>
          <w:color w:val="auto"/>
        </w:rPr>
      </w:pPr>
    </w:p>
    <w:p>
      <w:pPr>
        <w:ind w:left="720" w:right="739" w:hanging="319"/>
        <w:spacing w:after="0" w:line="270" w:lineRule="auto"/>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or licensure, of the BLA, and payment of associated user fees, when applicable; and</w:t>
      </w:r>
    </w:p>
    <w:p>
      <w:pPr>
        <w:spacing w:after="0" w:line="154" w:lineRule="exact"/>
        <w:rPr>
          <w:rFonts w:ascii="Times New Roman" w:cs="Times New Roman" w:eastAsia="Times New Roman" w:hAnsi="Times New Roman"/>
          <w:sz w:val="18"/>
          <w:szCs w:val="18"/>
          <w:color w:val="auto"/>
        </w:rPr>
      </w:pPr>
    </w:p>
    <w:p>
      <w:pPr>
        <w:ind w:left="720" w:right="359" w:hanging="319"/>
        <w:spacing w:after="0" w:line="252" w:lineRule="auto"/>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Strategies, or REMS, and the potential requirement to conduct post-approval studies.</w:t>
      </w:r>
    </w:p>
    <w:p>
      <w:pPr>
        <w:spacing w:after="0" w:line="171"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7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18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8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National Institutes of Health, or NIH, Guidelines for Research Involving Recombinant or Synthetic Nucleic Acid Molecules, or NIH Guidelines.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for recombinant or synthetic nucleic acid molecule research, many companies and other institutions not otherwise subject to the NIH Guidelines voluntarily follow them.</w:t>
      </w:r>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12" w:lineRule="exact"/>
        <w:rPr>
          <w:sz w:val="20"/>
          <w:szCs w:val="20"/>
          <w:color w:val="auto"/>
        </w:rPr>
      </w:pPr>
    </w:p>
    <w:p>
      <w:pPr>
        <w:jc w:val="both"/>
        <w:ind w:left="720" w:right="259" w:hanging="319"/>
        <w:spacing w:after="0" w:line="252"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Phase 1. The biologic product is initially introduced into healthy human subjects and tested for safety. In the case of some products for rare and severe diseases, initial human testing is often conducted in patients.</w:t>
      </w:r>
    </w:p>
    <w:p>
      <w:pPr>
        <w:spacing w:after="0" w:line="170" w:lineRule="exact"/>
        <w:rPr>
          <w:rFonts w:ascii="Times New Roman" w:cs="Times New Roman" w:eastAsia="Times New Roman" w:hAnsi="Times New Roman"/>
          <w:sz w:val="18"/>
          <w:szCs w:val="18"/>
          <w:color w:val="auto"/>
        </w:rPr>
      </w:pPr>
    </w:p>
    <w:p>
      <w:pPr>
        <w:ind w:left="720" w:right="299" w:hanging="319"/>
        <w:spacing w:after="0" w:line="252"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Phase 2. The biologic product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170" w:lineRule="exact"/>
        <w:rPr>
          <w:rFonts w:ascii="Times New Roman" w:cs="Times New Roman" w:eastAsia="Times New Roman" w:hAnsi="Times New Roman"/>
          <w:sz w:val="18"/>
          <w:szCs w:val="18"/>
          <w:color w:val="auto"/>
        </w:rPr>
      </w:pPr>
    </w:p>
    <w:p>
      <w:pPr>
        <w:ind w:left="720" w:right="79" w:hanging="319"/>
        <w:spacing w:after="0" w:line="242"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Phase 3. Clinical trials are undertaken to further evaluate dosage, clinical efficacy, potency and safety in an expanded patient population at geographically dispersed clinical trial sites. These clinical trials are intended to establish the overall risk/benefit ratio of the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38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18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use of biologics,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auto"/>
        </w:rPr>
        <w:t>stability studies must be conducted to demonstrate that the biological product candidate does not undergo unacceptable deterioration over its shelf life.</w:t>
      </w:r>
    </w:p>
    <w:p>
      <w:pPr>
        <w:spacing w:after="0" w:line="15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76" w:lineRule="exact"/>
        <w:rPr>
          <w:sz w:val="20"/>
          <w:szCs w:val="20"/>
          <w:color w:val="auto"/>
        </w:rPr>
      </w:pPr>
    </w:p>
    <w:p>
      <w:pPr>
        <w:ind w:left="60" w:right="459"/>
        <w:spacing w:after="0" w:line="247" w:lineRule="auto"/>
        <w:rPr>
          <w:sz w:val="20"/>
          <w:szCs w:val="20"/>
          <w:color w:val="auto"/>
        </w:rPr>
      </w:pPr>
      <w:r>
        <w:rPr>
          <w:rFonts w:ascii="Arial" w:cs="Arial" w:eastAsia="Arial" w:hAnsi="Arial"/>
          <w:sz w:val="18"/>
          <w:szCs w:val="18"/>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 review and approval processes</w:t>
      </w:r>
    </w:p>
    <w:p>
      <w:pPr>
        <w:spacing w:after="0" w:line="210"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79"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Under the Prescription Drug User Fee Act, as amended, or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7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180"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Before approving a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clinical trial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 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w:t>
      </w:r>
    </w:p>
    <w:p>
      <w:pPr>
        <w:spacing w:after="0" w:line="183"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6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83"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One of the performance goals agreed to by the FDA under the PDUFA is to review standard BLAs in ten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6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With respect to oncology products, the FDA may review applications under Real-Time Oncology Review, or RTOR, established by the FDA’s Oncology Center of Excellence. RTOR, which allows an applicant to pre submit components of the application to allow the FDA to review clinical data before the complete filing is submitted, aims to explore a more efficient review process to ensure that safe and effective treatments are available to patients as early as possible, while maintaining and improving review quality. Drugs considered for review under RTOR must, among other things, be likely to demonstrate substantial improvements on a clinically relevant endpoint(s) over available therapy, and must have easily interpreted endpoints. In addition, no aspect of the application should be likely to require a longer review time, such as, for example, a requirement for a new REMS. To determine eligibility for RTOR, the FDA requires top-line efficacy and safety results from an applicant’s pivotal clinical trial(s), as well as completion of database lock for the clinical trial(s). The FDA will generally make a decision regarding acceptance into RTOR within twenty (20) business days of receipt of the request from the applicant. If an applicant is not accepted into RTOR, the applicant will follow routine application submission procedures.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 post-approval requirements</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the cGMP regulations, including quality control and quality assurance and maintenance of records and documentation. Prior to the institution of any manufacturing changes, a determination needs to be made whether FDA approval is required in advance. If not done in accordance with FDA expectations, the FDA may restrict supply and may take further action.</w:t>
      </w:r>
    </w:p>
    <w:p>
      <w:pPr>
        <w:spacing w:after="0" w:line="17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Following approval, manufacturers and other entities involved in the manufacture and distribution of approved drugs or biologics, and those supplying products, ingredients, and components of them, are required to register their establishments with the FDA and certain state agencies. Manufacturing facilities are subject to biennial inspections by the FDA and periodic inspections by certain state agencies for compliance with cGMP requirements and other regulatory requirements. Such inspections may result in an issuance of FDA Form 483 deficiency observations, untitled letters, or warning letters, which can lead to plant shutdown and other more serious penalties and fines.</w:t>
      </w:r>
    </w:p>
    <w:p>
      <w:pPr>
        <w:spacing w:after="0" w:line="185"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 Additionally, manufacturers and other parties involved in the drug supply chain for prescription drug products must also comply with product tracking and tracing requirements and notify the FDA of counterfeit, diverted, stolen and intentionally adulterated products or products that are otherwise unfit for distribution in the United States.</w:t>
      </w:r>
    </w:p>
    <w:p>
      <w:pPr>
        <w:spacing w:after="0" w:line="16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18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89"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and those supplying products, ingredients, and components of them,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areas of production and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7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guidances, and policies are often revised or reinterpreted by the agency in ways that may significantly affect the manner in which pharmaceutical products are regulated and marketed.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Orphan drug designation</w:t>
      </w:r>
    </w:p>
    <w:p>
      <w:pPr>
        <w:spacing w:after="0" w:line="21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Under the Orphan Drug Act, the FDA may grant Orphan Drug Designation, or ODD,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18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Expedited review and approval programs</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183" w:lineRule="exact"/>
        <w:rPr>
          <w:sz w:val="20"/>
          <w:szCs w:val="20"/>
          <w:color w:val="auto"/>
        </w:rPr>
      </w:pPr>
    </w:p>
    <w:p>
      <w:pPr>
        <w:ind w:left="60" w:right="279"/>
        <w:spacing w:after="0" w:line="301" w:lineRule="auto"/>
        <w:rPr>
          <w:sz w:val="20"/>
          <w:szCs w:val="20"/>
          <w:color w:val="auto"/>
        </w:rPr>
      </w:pPr>
      <w:r>
        <w:rPr>
          <w:rFonts w:ascii="Arial" w:cs="Arial" w:eastAsia="Arial" w:hAnsi="Arial"/>
          <w:sz w:val="17"/>
          <w:szCs w:val="17"/>
          <w:color w:val="auto"/>
        </w:rPr>
        <w:t>The FDA may give priority review designation to biological products that treat a serious condition and, if approved, would provide a significant improvement in safety or effectiveness. A priority review means that the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goal for the FDA to review an application is six months, rather than the standard review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In addition, the FDA generally requires, unless otherwise informed by the agency, pre-approval of promotional materials for a product approved under the accelerated approval pathway, which could adversely impact the timing of the commercial launch of the product.</w:t>
      </w:r>
    </w:p>
    <w:p>
      <w:pPr>
        <w:spacing w:after="0" w:line="19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Moreover,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83"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Biologics Price Competition and Innovation Act</w:t>
      </w:r>
    </w:p>
    <w:p>
      <w:pPr>
        <w:spacing w:after="0" w:line="21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Biologics Price Competition and Innovation Act of 2009, or BPCIA, which was enacted as part of the Patient Protection and Affordable Care Act of 2010, as amended by the Health Care and Education Reconciliation Act of 2010, or PPACA,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in vitro studies, in vivo animal studies, and generally at least one clinical study, absent a waiver from the Secretary of Health and Human Services.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Regulation outside of the United States</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to regulations in the United States, we are subject to a variety of regulations in other jurisdictions governing clinical studies, commercial sales, and distribution of our products. Most countries outside of the United States require that CTAs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new Clinical Trials Regulation (EU) No 536/2014, which replaced the Clinical Trials Directive 2001/20/EC on January 31, 2022, a single application is now made through the Clinical Trials Information System, or CTIS, for clinical trial authorization in up to 30 EU/EEA countries at the same time and with a single set of documentation.</w:t>
      </w:r>
    </w:p>
    <w:p>
      <w:pPr>
        <w:spacing w:after="0" w:line="183"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(Concerned Member States) of a draft report prepared by a Reference Member State. Part II is assessed separately by each Concerned Member State. The role of the relevant ethics committees in the assessment procedure will continue to be governed by the national law of the Concerned Member State, however overall related timelines are defined by the Clinical Trials Regulation. The new Clinical Trials Regulation also provides for simplified reporting procedures for clinical trial sponsors.</w:t>
      </w:r>
    </w:p>
    <w:p>
      <w:pPr>
        <w:spacing w:after="0" w:line="168"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In addition, whether or not we obtain FDA approval for a product, we must obtain approval of a product by the comparable regulatory authorities of countries outside the United States before we can market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To obtain regulatory approval of our product candidates under the European Union regulatory system, we are required to submit a marketing authorization application, or MAA, to be assessed in the centralized procedure. The centralized procedure allows applicants to obtain a marketing authorization, or MA, that is valid throughout the European Union, and the additional Member States of the European Economic Area (Iceland, Liechtenstein and Norway), or EEA. It is compulsory for medicinal products manufactured using biotechnological processes, for orphan medicinal products, for advanced therapy medicinal products (gene-therapy, somatic cell-therapy or tissue-engineered medicines) and for human products containing a new active substance which are not authorized in the European Union and which are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that constitute a significant therapeutic, scientific or technical innovation or for which a centralized authorization is in the interests of patients at European Union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 profile. The procedure results in a European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Commission decision, which is valid in all European Union Member States. The centralized procedure is as follows: full copies of the MA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 has been granted.</w:t>
      </w:r>
    </w:p>
    <w:p>
      <w:pPr>
        <w:spacing w:after="0" w:line="185" w:lineRule="exact"/>
        <w:rPr>
          <w:sz w:val="20"/>
          <w:szCs w:val="20"/>
          <w:color w:val="auto"/>
        </w:rPr>
      </w:pPr>
    </w:p>
    <w:p>
      <w:pPr>
        <w:jc w:val="both"/>
        <w:ind w:left="60" w:right="159"/>
        <w:spacing w:after="0" w:line="255" w:lineRule="auto"/>
        <w:rPr>
          <w:sz w:val="20"/>
          <w:szCs w:val="20"/>
          <w:color w:val="auto"/>
        </w:rPr>
      </w:pPr>
      <w:r>
        <w:rPr>
          <w:rFonts w:ascii="Arial" w:cs="Arial" w:eastAsia="Arial" w:hAnsi="Arial"/>
          <w:sz w:val="17"/>
          <w:szCs w:val="17"/>
          <w:color w:val="auto"/>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w:t>
      </w:r>
    </w:p>
    <w:p>
      <w:pPr>
        <w:spacing w:after="0" w:line="2"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When the opinion is favorable, it shall include the draft summary of product characteristics, or SmPC, the package leaflet and the labeling. The time limit for the evaluation procedure is 210 days (excluding clock stops, when additional written or oral information is to be provided by the applicant in response to questions asked by the CHMP).The EMA then has fifteen days to forward its opinion to the European Commission, which will make a binding decision on the grant of an MA within 67 days of the receipt of the CHMP opinion.</w:t>
      </w:r>
    </w:p>
    <w:p>
      <w:pPr>
        <w:spacing w:after="0" w:line="18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There are two other procedures in the European Union for the grant of an MA in multiple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SmPC,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w:t>
      </w:r>
    </w:p>
    <w:p>
      <w:pPr>
        <w:spacing w:after="0" w:line="18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criteria for designating an “orphan medicinal product” in the European Union are similar in principle to those in the United States. Under Article 3 of Regulation (EC) 141/2000, a medicinal product may be designated as an orphan medicinal product if it is intended for the diagnosis, prevention, or treatment of a life-threatening or chronically debilitating condition that affects no more than five in 10,000 persons in the European Union. In addition, orphan designation can be granted if the product is intended for a life threatening, seriously debilitating, or serious and chronic condition in the European Union and where, without incentives, it is unlikely that sales of the product in the European Union would be sufficient to justify the necessary investment in its development. Orphan drug designation is only available if there is no other satisfactory method approved in the European Union of diagnosing, preventing, or treating the applicable orphan condition, or if such a method exists, the proposed orphan drug will be of significant benefit to patients affected by such condition, as defined in Regulation (EC) 847/2000.</w:t>
      </w:r>
    </w:p>
    <w:p>
      <w:pPr>
        <w:spacing w:after="0" w:line="18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Orphan designation provides opportunities for fee reductions, protocol assistance and access to the centralized procedure before and during the first year after a marketing authorization, or MA. Fee reductions are not limited to the first year after a marketing authorization for small and medium enterprises. In addition, if a product that has an orphan designation subsequently receives a centralized MA for the indication for which it has such designation, the product is entitled to orphan market exclusivity, which means the EMA may not approve any other application to market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the designation criteria are no longer met, including where it is shown that the product is sufficiently profitable not to justify maintenance of market exclusivity. Competitors may receive marketing approval of different drugs or biologics for the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indications for which the orphan product has exclusivity. Additionally, an MA may be granted to a similar medicinal product for the same indication at any time if:</w:t>
      </w:r>
    </w:p>
    <w:p>
      <w:pPr>
        <w:spacing w:after="0" w:line="154" w:lineRule="exact"/>
        <w:rPr>
          <w:sz w:val="20"/>
          <w:szCs w:val="20"/>
          <w:color w:val="auto"/>
        </w:rPr>
      </w:pPr>
    </w:p>
    <w:p>
      <w:pPr>
        <w:ind w:left="720" w:right="79" w:hanging="319"/>
        <w:spacing w:after="0" w:line="270"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second applicant can establish that its product, although similar to the authorized orphan product, is safer, more effective or otherwise clinically superior;</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MA holder of the authorized product consents to a second orphan medicinal product application; or</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MA holder of the authorized product cannot supply enough orphan medicinal product.</w:t>
      </w:r>
    </w:p>
    <w:p>
      <w:pPr>
        <w:spacing w:after="0" w:line="224"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A pediatric investigation plan, or PIP, in the European Union is aimed at ensuring that the necessary data are obtained to support the authorization of a medicine for children, through studies in children. All applications for MAs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across the European Union with the results of studies from a PIP included in the product information are eligible for an extension of their supplementary protection certificate, or SPC, by six months(provided an application for such extension is made at the same time as filing the SPC application for the product, or at any point up to 2 years before the SPC expires). This is the case even when the studies’ results are negative. For orphan medicinal products, the incentive is an additional two years of market exclusivity.</w:t>
      </w:r>
    </w:p>
    <w:p>
      <w:pPr>
        <w:spacing w:after="0" w:line="173"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 or PUMA. If a PUMA is granted, the product will benefit from ten years of market protection as an incentive.</w:t>
      </w:r>
    </w:p>
    <w:p>
      <w:pPr>
        <w:spacing w:after="0" w:line="174"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In March 2016, the EMA launched an initiative, The PRIority Medicines, or PRIME, scheme, to facilitate development of product candidates in indications, often rare, for which few or no therapies currently exist. The PRIME scheme is intended to encourage development of products in areas of unmet medical need and provides accelerated assessment of products representing substantial innovation reviewed under the centralized procedure.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w:t>
      </w:r>
    </w:p>
    <w:p>
      <w:pPr>
        <w:spacing w:after="0" w:line="180"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aforementioned European Union rules are generally applicable in the EEA.</w:t>
      </w:r>
    </w:p>
    <w:p>
      <w:pPr>
        <w:spacing w:after="0" w:line="212"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United Kingdom left the European Union on January 31, 2020, referred to as Brexit, and the United Kingdom and the European Union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United Kingdom and European Union pharmaceutical regulations. At present, Great Britain has implemented European Union legislation on the marketing, promotion and sale of medicinal products through the Human Medicines Regulations 2012 (as amended) (under the Northern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Ireland Protocol, the European Union regulatory framework continues to apply in Northern Ireland). Except in respect of the new EU Clinical Trials Regulation, the regulatory regime in Great Britain therefore largely aligns with current European Union medicines regulations, however it is possible that these regimes will diverge more significantly in future now that Great Britain’s regulatory system is independent from the European Union and the TCA does not provide for mutual recognition of United Kingdom and European Union pharmaceutical legislation. However, notwithstanding that there is no wholesale recognition of European Union pharmaceutical legislation under the TCA, under the new framework mentioned below which will be put in place by the MHRA from January 1, 2024, the MHRA has stated that it will take into account decisions on the approval of MAs from the EMA (and certain other regulators) when considering an application for a Great Britain MA.</w:t>
      </w:r>
    </w:p>
    <w:p>
      <w:pPr>
        <w:spacing w:after="0" w:line="18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Medicines and Healthcare products Regulatory Agency, or MHRA, the United Kingdom’s medicines regulator, has introduced changes to national licensing procedures, including procedures to prioritize access to new medicines that will benefit patients, an accelerated assessment procedure and new routes of evaluation for novel products and biotechnological products. All existing European Union MAs for centrally authorized products were automatically converted (grandfathered) into United Kingdom MAs free-of-charge on January 1, 2021. For a period of three years from January 1, 2021, the MHRA may rely on a decision taken by the European Commission on the approval of a new MA in the centralized procedure, in order to more quickly grant a new Great Britain MA. A separate application will, however, still be required. On January 24, 2023, the MHRA announced that a new international recognition framework will be put in place from January 1, 2024, which will have regard to decisions on the approval of MAs made by the EMA and certain other regulators when determining an application for a new Great Britain MA.</w:t>
      </w:r>
    </w:p>
    <w:p>
      <w:pPr>
        <w:spacing w:after="0" w:line="186"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There is now no pre-MA orphan designation in Great Britain. Instead, the MHRA reviews applications for orphan designation in parallel to the corresponding MAA. The criteria are essentially the same, but have been tailored for the Great Britain market, i.e., the prevalence of the condition in Great Britain (rather than the European Union) must not be more than five in 10,000. Should an orphan designation be granted, the period or market exclusivity will be set from the date of first approval of the product in Great Britain or the European Union, wherever is earliest.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Healthcare laws and regulations</w:t>
      </w:r>
    </w:p>
    <w:p>
      <w:pPr>
        <w:spacing w:after="0" w:line="21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376" w:lineRule="exact"/>
        <w:rPr>
          <w:sz w:val="20"/>
          <w:szCs w:val="20"/>
          <w:color w:val="auto"/>
        </w:rPr>
      </w:pPr>
    </w:p>
    <w:p>
      <w:pPr>
        <w:ind w:left="720" w:right="179" w:hanging="319"/>
        <w:spacing w:after="0" w:line="243" w:lineRule="auto"/>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179" w:lineRule="exact"/>
        <w:rPr>
          <w:rFonts w:ascii="Times New Roman" w:cs="Times New Roman" w:eastAsia="Times New Roman" w:hAnsi="Times New Roman"/>
          <w:sz w:val="18"/>
          <w:szCs w:val="18"/>
          <w:color w:val="auto"/>
        </w:rPr>
      </w:pPr>
    </w:p>
    <w:p>
      <w:pPr>
        <w:jc w:val="both"/>
        <w:ind w:left="720" w:right="379" w:hanging="319"/>
        <w:spacing w:after="0" w:line="246" w:lineRule="auto"/>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176" w:lineRule="exact"/>
        <w:rPr>
          <w:rFonts w:ascii="Times New Roman" w:cs="Times New Roman" w:eastAsia="Times New Roman" w:hAnsi="Times New Roman"/>
          <w:sz w:val="18"/>
          <w:szCs w:val="18"/>
          <w:color w:val="auto"/>
        </w:rPr>
      </w:pPr>
    </w:p>
    <w:p>
      <w:pPr>
        <w:ind w:left="720" w:right="299" w:hanging="319"/>
        <w:spacing w:after="0" w:line="243" w:lineRule="auto"/>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hanging="319"/>
        <w:spacing w:after="0" w:line="246"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176" w:lineRule="exact"/>
        <w:rPr>
          <w:rFonts w:ascii="Times New Roman" w:cs="Times New Roman" w:eastAsia="Times New Roman" w:hAnsi="Times New Roman"/>
          <w:sz w:val="18"/>
          <w:szCs w:val="18"/>
          <w:color w:val="auto"/>
        </w:rPr>
      </w:pPr>
    </w:p>
    <w:p>
      <w:pPr>
        <w:ind w:left="720" w:right="259" w:hanging="319"/>
        <w:spacing w:after="0" w:line="239"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or CMS, information related to payments or other transfers of value made to physicians and teaching hospitals, nurse practitioners, clinical nurse specialists, certified registered nurse anesthetists, anesthesiologist assistants, certified nurse-midwives, and physician assistants, as well as ownership and investment interests held by physicians and their immediate family members;</w:t>
      </w:r>
    </w:p>
    <w:p>
      <w:pPr>
        <w:spacing w:after="0" w:line="186" w:lineRule="exact"/>
        <w:rPr>
          <w:rFonts w:ascii="Times New Roman" w:cs="Times New Roman" w:eastAsia="Times New Roman" w:hAnsi="Times New Roman"/>
          <w:sz w:val="18"/>
          <w:szCs w:val="18"/>
          <w:color w:val="auto"/>
        </w:rPr>
      </w:pPr>
    </w:p>
    <w:p>
      <w:pPr>
        <w:ind w:left="720" w:right="339" w:hanging="319"/>
        <w:spacing w:after="0" w:line="252"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Price reporting laws require manufacturers to calculate and report complex pricing metrics to federal and state government agencies, where such reported prices may be used in the calculation of reimbursement and/or discounts on approved products;</w:t>
      </w:r>
    </w:p>
    <w:p>
      <w:pPr>
        <w:spacing w:after="0" w:line="170" w:lineRule="exact"/>
        <w:rPr>
          <w:rFonts w:ascii="Times New Roman" w:cs="Times New Roman" w:eastAsia="Times New Roman" w:hAnsi="Times New Roman"/>
          <w:sz w:val="18"/>
          <w:szCs w:val="18"/>
          <w:color w:val="auto"/>
        </w:rPr>
      </w:pPr>
    </w:p>
    <w:p>
      <w:pPr>
        <w:ind w:left="720" w:right="99" w:hanging="319"/>
        <w:spacing w:after="0" w:line="270"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54"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The Foreign Corrupt Practices Act, or FCPA prohibits United States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5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Healthcare Reform</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the United States Congress, or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Act, or collectively the Affordable Care Act, substantially changed the way healthcare is financed by both governmental and private insurers, and significantly impacts the pharmaceutical industry. The Affordable Care Act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w:t>
      </w:r>
    </w:p>
    <w:p>
      <w:pPr>
        <w:spacing w:after="0" w:line="189" w:lineRule="exact"/>
        <w:rPr>
          <w:sz w:val="20"/>
          <w:szCs w:val="20"/>
          <w:color w:val="auto"/>
        </w:rPr>
      </w:pPr>
    </w:p>
    <w:p>
      <w:pPr>
        <w:ind w:left="60" w:right="399"/>
        <w:spacing w:after="0" w:line="255" w:lineRule="auto"/>
        <w:rPr>
          <w:sz w:val="20"/>
          <w:szCs w:val="20"/>
          <w:color w:val="auto"/>
        </w:rPr>
      </w:pPr>
      <w:r>
        <w:rPr>
          <w:rFonts w:ascii="Arial" w:cs="Arial" w:eastAsia="Arial" w:hAnsi="Arial"/>
          <w:sz w:val="17"/>
          <w:szCs w:val="17"/>
          <w:color w:val="auto"/>
        </w:rPr>
        <w:t>Other legislative changes have been proposed and adopted since passage of the Affordable Care Act. The Budget Control Act of 2011 and subsequent legislation, among other things, include aggregate reductions to Medicare payments to healthcare providers of up to 2% per fiscal year, which remain in effect through 2023.</w:t>
      </w:r>
    </w:p>
    <w:p>
      <w:pPr>
        <w:spacing w:after="0" w:line="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Further, the American Taxpayer Relief Act, among other things, reduced Medicare payments to several types of providers, including hospitals, imaging centers and cancer treatment centers, and increased the statute of limitations period for the government to recover overpayments to providers from three to five years. The American Rescue Plan Act of 2021 eliminated the statutory Medicaid drug rebate cap, previously set at 100% of a drug’s average manufacturer price, for single source and innovator multiple source drugs, effective</w:t>
      </w:r>
    </w:p>
    <w:p>
      <w:pPr>
        <w:spacing w:after="0" w:line="180"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7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that replace the previous Coverage Gap Discount Program;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are exempted from the Medicare drug price negotiation program, but only if they have just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that challenges the constitutionality of the IRA’s Medicare drug price negotiation program. The effects of the IRA on our business and the healthcare industry in general is not yet known.</w:t>
      </w:r>
    </w:p>
    <w:p>
      <w:pPr>
        <w:spacing w:after="0" w:line="18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Further legislative and regulatory changes under the Affordable Care Act remain possible. It is unknown what form any such changes or any law would take, and how or whether it may affect our business in the future. We expect that changes or additions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The Affordable Care Act has also been subject to challenges in the courts. For example, on June 17, 2021, the Supreme Court dismissed the most recent judicial challenge to the Affordable Care Act brought by several states without specifically ruling on the constitutionality of the Affordable Care Act. The Supreme Court ruled that the plaintiffs lacked standing to challenge the law as they had not alleged personal injury traceable to the allegedly unlawful conduct. As a result, the Supreme Court did not rule on the constitutionality of the ACA or any of its provisions.</w:t>
      </w:r>
    </w:p>
    <w:p>
      <w:pPr>
        <w:spacing w:after="0" w:line="17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The Affordable Care Act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w:t>
      </w:r>
    </w:p>
    <w:p>
      <w:pPr>
        <w:spacing w:after="0" w:line="17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Affordable Care Act also expanded the Public Health Service’s 340B drug pricing program. The 340B drug pricing program requires participating manufacturers to agree to charge statutorily-defined covered entities no more than the 340B “ceiling price” for the manufacturer’s covered outpatient drugs. The Affordable Care Act expanded the 340B program to include additional types of covered entities: certain free-standing cancer hospitals, critical access hospitals, rural referral centers and sole community hospitals, each as defined by the Affordable Care Act. Because the 340B ceiling price is determined based on the average manufacturer price, or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188"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President Biden issued – and President Trump is expected to issue – multiple executive orders that seek to reduce prescription drug costs. Although a number of these and other proposed measures may require authorization through additional legislation to become effective, and the presidential administration may reverse or otherwise change these measures, both the presidential administration and Congress have indicated that they will continue to seek new legislative measures to control drug costs.</w:t>
      </w:r>
    </w:p>
    <w:p>
      <w:pPr>
        <w:spacing w:after="0" w:line="17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4"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1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As of March 1, 2025, we had 140 full-time employees and 10 part-time employees. Of our 150 full and part-time employees, 131 are engaged in research and development activities. We consider our relationship with our employees to be good.</w:t>
      </w:r>
    </w:p>
    <w:p>
      <w:pPr>
        <w:spacing w:after="0" w:line="169"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 We regularly evaluate our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compensation programs with an independent compensation consultant and utilize industry benchmarking in an effort to ensure competitiveness compared to similar biotechnology and biopharmaceutical companies with which we compete for talent, as well as fair and equitable treatment across our workforce with respect to gender, race, and other personal characteristics.</w:t>
      </w:r>
    </w:p>
    <w:p>
      <w:pPr>
        <w:spacing w:after="0" w:line="174"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We are an equal opportunity employer and we maintain policies that prohibit unlawful discrimination based on race, color, religion, gender, sexual orientation, gender identity/expression, national origin/ancestry, age, disability, marital and veteran status. Our employees are not part of any collective bargaining agreements, and we believe that we have good relations with our employees.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Facilities</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Our principal executive offices are located in Philadelphia, Pennsylvania. We primarily operate in office and laboratory spaces in Philadelphia, Pennsylvania pursuant to a lease that expires in March 2034. Additionally, we lease office and lab space in Boston, Massachusetts pursuant to a lease that expires in November 2030. We also operate in a cell therapy manufacturing facility in Branchburg, New Jersey pursuant to a lease expiring in February 2037. We believe that our current facilities are adequate to meet our ongoing needs. We have leases for lab and office space we’ve currently vacated in Philadelphia with expirations in December 2025 and October 2031 that we are actively marketing for sublease. Additionally, we have a lease for office space in Seattle that expires in September 2030 that is currently under a sublease that expires in November 2025.</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proceedings</w:t>
      </w:r>
    </w:p>
    <w:p>
      <w:pPr>
        <w:spacing w:after="0" w:line="212"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 Summary</w:t>
      </w:r>
    </w:p>
    <w:p>
      <w:pPr>
        <w:spacing w:after="0" w:line="212"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“Cautionary Note Regarding Forward-Looking Statements” and “Risk Factors” in this Annual Report on Form 10-K. The below summary is qualified in its entirety by those more complete discussions of such risks and uncertainties.</w:t>
      </w:r>
    </w:p>
    <w:p>
      <w:pPr>
        <w:spacing w:after="0" w:line="179" w:lineRule="exact"/>
        <w:rPr>
          <w:sz w:val="20"/>
          <w:szCs w:val="20"/>
          <w:color w:val="auto"/>
        </w:rPr>
      </w:pPr>
    </w:p>
    <w:p>
      <w:pPr>
        <w:jc w:val="both"/>
        <w:ind w:left="720" w:right="79" w:hanging="319"/>
        <w:spacing w:after="0" w:line="252" w:lineRule="auto"/>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operating history, have incurred significant losses since our inception, expect that we will continue to incur significant losses for the foreseeable future, and require additional funding in order to finance operations;</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have never generated revenue from product sales and may never achieve or maintain profitability;</w:t>
      </w:r>
    </w:p>
    <w:p>
      <w:pPr>
        <w:spacing w:after="0" w:line="224" w:lineRule="exact"/>
        <w:rPr>
          <w:rFonts w:ascii="Times New Roman" w:cs="Times New Roman" w:eastAsia="Times New Roman" w:hAnsi="Times New Roman"/>
          <w:sz w:val="18"/>
          <w:szCs w:val="18"/>
          <w:color w:val="auto"/>
        </w:rPr>
      </w:pPr>
    </w:p>
    <w:p>
      <w:pPr>
        <w:jc w:val="both"/>
        <w:ind w:left="720" w:right="339" w:hanging="319"/>
        <w:spacing w:after="0" w:line="252" w:lineRule="auto"/>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are early in our development efforts and our business is dependent on our ability to advance our current and future product candidates through preclinical studies and clinical trials, obtain marketing approval and ultimately commercialize our current and future product candidates;</w:t>
      </w:r>
    </w:p>
    <w:p>
      <w:pPr>
        <w:spacing w:after="0" w:line="170"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are highly dependent on the success of our lead product candidate, CNTY-101, which is currently undergoing a Phase 1 clinical trials, and our other product candidates;</w:t>
      </w:r>
    </w:p>
    <w:p>
      <w:pPr>
        <w:spacing w:after="0" w:line="154" w:lineRule="exact"/>
        <w:rPr>
          <w:rFonts w:ascii="Times New Roman" w:cs="Times New Roman" w:eastAsia="Times New Roman" w:hAnsi="Times New Roman"/>
          <w:sz w:val="18"/>
          <w:szCs w:val="18"/>
          <w:color w:val="auto"/>
        </w:rPr>
      </w:pPr>
    </w:p>
    <w:p>
      <w:pPr>
        <w:ind w:left="720" w:right="299" w:hanging="319"/>
        <w:spacing w:after="0" w:line="252" w:lineRule="auto"/>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Utilizing CAR-iNK and CAR-iT cells represents a novel approach to immuno-oncology treatment of cancer and autoimmune diseases, and we must overcome significant challenges in order to develop, commercialize, and manufacture our product candidates;</w:t>
      </w:r>
    </w:p>
    <w:p>
      <w:pPr>
        <w:spacing w:after="0" w:line="170" w:lineRule="exact"/>
        <w:rPr>
          <w:rFonts w:ascii="Times New Roman" w:cs="Times New Roman" w:eastAsia="Times New Roman" w:hAnsi="Times New Roman"/>
          <w:sz w:val="18"/>
          <w:szCs w:val="18"/>
          <w:color w:val="auto"/>
        </w:rPr>
      </w:pPr>
    </w:p>
    <w:p>
      <w:pPr>
        <w:ind w:left="720" w:right="559" w:hanging="319"/>
        <w:spacing w:after="0" w:line="252" w:lineRule="auto"/>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170"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76" w:lineRule="exact"/>
        <w:rPr>
          <w:rFonts w:ascii="Times New Roman" w:cs="Times New Roman" w:eastAsia="Times New Roman" w:hAnsi="Times New Roman"/>
          <w:sz w:val="18"/>
          <w:szCs w:val="18"/>
          <w:color w:val="auto"/>
        </w:rPr>
      </w:pPr>
    </w:p>
    <w:p>
      <w:pPr>
        <w:ind w:left="720" w:right="219" w:hanging="319"/>
        <w:spacing w:after="0" w:line="246" w:lineRule="auto"/>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As an organization, we have limited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176"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manufacture and distribution of our iPSC-derived cell product candidates is complex and subject to a multitude of risks, and these risks could substantially increase our costs and limit the clinical and commercial supply of our product candidates;</w:t>
      </w:r>
    </w:p>
    <w:p>
      <w:pPr>
        <w:spacing w:after="0" w:line="170" w:lineRule="exact"/>
        <w:rPr>
          <w:rFonts w:ascii="Times New Roman" w:cs="Times New Roman" w:eastAsia="Times New Roman" w:hAnsi="Times New Roman"/>
          <w:sz w:val="18"/>
          <w:szCs w:val="18"/>
          <w:color w:val="auto"/>
        </w:rPr>
      </w:pPr>
    </w:p>
    <w:p>
      <w:pPr>
        <w:ind w:left="720" w:right="99" w:hanging="319"/>
        <w:spacing w:after="0" w:line="243" w:lineRule="auto"/>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Cell-based therapies depend on the availability of reagents and specialized materials and equipment which in each case are required to be acceptable to the FDA and foreign regulatory agencies.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39" w:hanging="319"/>
        <w:spacing w:after="0" w:line="246"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for the manufacture of some of our product candidates for development, and we are beginning to operate our own manufacturing facility for the production of certain of our product candidates. Operational issues with our own facility or with third party facilities could delay our development plans and thereby limit our ability to generate revenue;</w:t>
      </w:r>
    </w:p>
    <w:p>
      <w:pPr>
        <w:spacing w:after="0" w:line="176"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70" w:lineRule="exact"/>
        <w:rPr>
          <w:rFonts w:ascii="Times New Roman" w:cs="Times New Roman" w:eastAsia="Times New Roman" w:hAnsi="Times New Roman"/>
          <w:sz w:val="18"/>
          <w:szCs w:val="18"/>
          <w:color w:val="auto"/>
        </w:rPr>
      </w:pPr>
    </w:p>
    <w:p>
      <w:pPr>
        <w:ind w:left="720" w:right="139" w:hanging="319"/>
        <w:spacing w:after="0" w:line="252"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successfully commercialize CNTY-101 or any of our other product candidates for which we receive regulatory approval, or experience significant delays in doing so, our business will be materially harmed;</w:t>
      </w:r>
    </w:p>
    <w:p>
      <w:pPr>
        <w:spacing w:after="0" w:line="170" w:lineRule="exact"/>
        <w:rPr>
          <w:rFonts w:ascii="Times New Roman" w:cs="Times New Roman" w:eastAsia="Times New Roman" w:hAnsi="Times New Roman"/>
          <w:sz w:val="18"/>
          <w:szCs w:val="18"/>
          <w:color w:val="auto"/>
        </w:rPr>
      </w:pPr>
    </w:p>
    <w:p>
      <w:pPr>
        <w:ind w:left="720" w:right="219" w:hanging="319"/>
        <w:spacing w:after="0" w:line="252"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Any pandemic, epidemic, or outbreak of an infectious disease may materially and adversely affect our business and our financial results and could cause a disruption to the development of our drug candidates;</w:t>
      </w:r>
    </w:p>
    <w:p>
      <w:pPr>
        <w:spacing w:after="0" w:line="170" w:lineRule="exact"/>
        <w:rPr>
          <w:rFonts w:ascii="Times New Roman" w:cs="Times New Roman" w:eastAsia="Times New Roman" w:hAnsi="Times New Roman"/>
          <w:sz w:val="18"/>
          <w:szCs w:val="18"/>
          <w:color w:val="auto"/>
        </w:rPr>
      </w:pPr>
    </w:p>
    <w:p>
      <w:pPr>
        <w:jc w:val="both"/>
        <w:ind w:left="720" w:right="459" w:hanging="319"/>
        <w:spacing w:after="0" w:line="300" w:lineRule="auto"/>
        <w:tabs>
          <w:tab w:leader="none" w:pos="7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Our success depends on obtaining, protecting, maintaining, and enforcing our intellectual property rights and our proprietary technologies, including intellectual property rights that are licensed to us;</w:t>
      </w:r>
    </w:p>
    <w:p>
      <w:pPr>
        <w:spacing w:after="0" w:line="131"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do not currently own issued patents relating to some of our product candidates;</w:t>
      </w:r>
    </w:p>
    <w:p>
      <w:pPr>
        <w:spacing w:after="0" w:line="224" w:lineRule="exact"/>
        <w:rPr>
          <w:rFonts w:ascii="Times New Roman" w:cs="Times New Roman" w:eastAsia="Times New Roman" w:hAnsi="Times New Roman"/>
          <w:sz w:val="18"/>
          <w:szCs w:val="18"/>
          <w:color w:val="auto"/>
        </w:rPr>
      </w:pPr>
    </w:p>
    <w:p>
      <w:pPr>
        <w:jc w:val="both"/>
        <w:ind w:left="720" w:right="359" w:hanging="319"/>
        <w:spacing w:after="0" w:line="270"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If any of our license agreements with FUJIFILM Cellular Dynamics Inc., or FCDI, are terminated, we could lose our rights to key components enabling our iPSC-derived allogenic cell therapy platforms;</w:t>
      </w:r>
    </w:p>
    <w:p>
      <w:pPr>
        <w:spacing w:after="0" w:line="154" w:lineRule="exact"/>
        <w:rPr>
          <w:rFonts w:ascii="Times New Roman" w:cs="Times New Roman" w:eastAsia="Times New Roman" w:hAnsi="Times New Roman"/>
          <w:sz w:val="18"/>
          <w:szCs w:val="18"/>
          <w:color w:val="auto"/>
        </w:rPr>
      </w:pPr>
    </w:p>
    <w:p>
      <w:pPr>
        <w:ind w:left="720" w:right="179"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 success depends significantly on our ability to operate without infringing, misappropriating, or otherwise violating the patents and other intellectual property and proprietary rights of thirds parties. Claims by third parties that we infringe, misappropriate, or violate their intellectual property or proprietary rights may result in liability for damages or prevent or delay our development and commercialization efforts, and 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83" w:lineRule="exact"/>
        <w:rPr>
          <w:rFonts w:ascii="Times New Roman" w:cs="Times New Roman" w:eastAsia="Times New Roman" w:hAnsi="Times New Roman"/>
          <w:sz w:val="18"/>
          <w:szCs w:val="18"/>
          <w:color w:val="auto"/>
        </w:rPr>
      </w:pPr>
    </w:p>
    <w:p>
      <w:pPr>
        <w:jc w:val="both"/>
        <w:ind w:left="720" w:right="459" w:hanging="319"/>
        <w:spacing w:after="0" w:line="300" w:lineRule="auto"/>
        <w:tabs>
          <w:tab w:leader="none" w:pos="7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If we are unable to regain compliance with the listing standards of Nasdaq, our common stock may become delisted, which could have a material adverse effect on the liquidity of our common stock;</w:t>
      </w:r>
    </w:p>
    <w:p>
      <w:pPr>
        <w:spacing w:after="0" w:line="131" w:lineRule="exact"/>
        <w:rPr>
          <w:rFonts w:ascii="Times New Roman" w:cs="Times New Roman" w:eastAsia="Times New Roman" w:hAnsi="Times New Roman"/>
          <w:sz w:val="17"/>
          <w:szCs w:val="17"/>
          <w:color w:val="auto"/>
        </w:rPr>
      </w:pPr>
    </w:p>
    <w:p>
      <w:pPr>
        <w:ind w:left="720" w:right="359" w:hanging="319"/>
        <w:spacing w:after="0" w:line="270"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trading price of the shares of our common stock has been highly volatile, and purchasers of our common stock could incur substantial losses; and</w:t>
      </w:r>
    </w:p>
    <w:p>
      <w:pPr>
        <w:spacing w:after="0" w:line="154" w:lineRule="exact"/>
        <w:rPr>
          <w:rFonts w:ascii="Times New Roman" w:cs="Times New Roman" w:eastAsia="Times New Roman" w:hAnsi="Times New Roman"/>
          <w:sz w:val="18"/>
          <w:szCs w:val="18"/>
          <w:color w:val="auto"/>
        </w:rPr>
      </w:pPr>
    </w:p>
    <w:p>
      <w:pPr>
        <w:ind w:left="720" w:right="339" w:hanging="319"/>
        <w:spacing w:after="0" w:line="252"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executive officers, directors, principal stockholders, and affiliates continue to exercise significant control over our company, which limits the ability of our other stockholders to influence corporate matters and could delay or prevent a change in corporate control.</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14" w:lineRule="exact"/>
        <w:rPr>
          <w:sz w:val="20"/>
          <w:szCs w:val="20"/>
          <w:color w:val="auto"/>
        </w:rPr>
      </w:pPr>
    </w:p>
    <w:p>
      <w:pPr>
        <w:ind w:left="60" w:right="379"/>
        <w:spacing w:after="0" w:line="278"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39"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We are an early stage biopharmaceutical company with a limited operating history. Our operations to date have been limited to organizing and staffing our company, business planning, raising capital, conducting discovery and research activities, filing patent applications, identifying potential product candidates, conducting clinical trials of CNTY-101, undertaking preclinical studies, in-licensing intellectual property, and acquiring and integrating Clade Therapeutics, Inc., or Clade. We have not yet demonstrated our ability to successfully complete a clinical trial, or submit a biologics license application, or BLA, for a product candidate, obtain regulatory approval for any product candidate, manufacture a product at a commercial-scale or arrange for a third party to do so on our behalf, or conduct sales, marketing, and distribution activities necessary for successful product commercialization. Consequently, any assumptions you make about our future success or viability may not be as informed as they could be if we had a longer operating history.</w:t>
      </w:r>
    </w:p>
    <w:p>
      <w:pPr>
        <w:spacing w:after="0" w:line="182" w:lineRule="exact"/>
        <w:rPr>
          <w:sz w:val="20"/>
          <w:szCs w:val="20"/>
          <w:color w:val="auto"/>
        </w:rPr>
      </w:pPr>
    </w:p>
    <w:p>
      <w:pPr>
        <w:ind w:left="60" w:right="79"/>
        <w:spacing w:after="0" w:line="278"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expect to incur significant losses for the foreseeable future.</w:t>
      </w:r>
    </w:p>
    <w:p>
      <w:pPr>
        <w:spacing w:after="0" w:line="139"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We have incurred significant operating losses since our inception. If our product candidates are not successfully developed and approved, we may never generate any revenue. Our net losses for the years ended December 31, 2024 and 2023 were $126.6 million and $136.7 million, respectively. As of December 31, 2024, we had an accumulated deficit of $782.3 million.</w:t>
      </w:r>
    </w:p>
    <w:p>
      <w:pPr>
        <w:spacing w:after="0" w:line="17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Substantially all of our losses have resulted from expenses incurred in connection with our research and development programs, our clinical trials of CNTY-101, our acquisition of Clade, our acquisition of IPR&amp;D and from general and administrative costs associated with our operations. All of our product candidates will require the expenditure of substantial additional development time and resources before we would be able to apply for or receive regulatory approvals and begin realizing product sales. We expect to continue to incur losses for the foreseeable future, and we anticipate these losses will increase as we continue our development of, seek regulatory approval for, and potentially commercialize any of our product candidates and seek to identify, assess, acquire, in-license, or develop additional product candidates. Our prior losses, combined with expected future losses, have had and will continue to have a negative effect on our stockholders’ deficit and working capital.</w:t>
      </w:r>
    </w:p>
    <w:p>
      <w:pPr>
        <w:spacing w:after="0" w:line="18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We expect that it will be several years, if ever, before we have a commercialized product. We anticipate that our expenses will increase substantially if, and as, we:</w:t>
      </w:r>
    </w:p>
    <w:p>
      <w:pPr>
        <w:spacing w:after="0" w:line="154" w:lineRule="exact"/>
        <w:rPr>
          <w:sz w:val="20"/>
          <w:szCs w:val="20"/>
          <w:color w:val="auto"/>
        </w:rPr>
      </w:pPr>
    </w:p>
    <w:p>
      <w:pPr>
        <w:ind w:left="720" w:right="699" w:hanging="319"/>
        <w:spacing w:after="0" w:line="270" w:lineRule="auto"/>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our induced pluripotent stem cells, or iPSC-derived allogeneic, cell therapy platforms;</w:t>
      </w:r>
    </w:p>
    <w:p>
      <w:pPr>
        <w:spacing w:after="0" w:line="154" w:lineRule="exact"/>
        <w:rPr>
          <w:rFonts w:ascii="Times New Roman" w:cs="Times New Roman" w:eastAsia="Times New Roman" w:hAnsi="Times New Roman"/>
          <w:sz w:val="18"/>
          <w:szCs w:val="18"/>
          <w:color w:val="auto"/>
        </w:rPr>
      </w:pPr>
    </w:p>
    <w:p>
      <w:pPr>
        <w:ind w:left="720" w:right="519" w:hanging="319"/>
        <w:spacing w:after="0" w:line="270" w:lineRule="auto"/>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the clinical development of CNTY-101 and the preclinical and clinical development of our other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additional product candidates;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and validate our own clinical-scale current good manufacturing practices, or cGMP, facilities;</w:t>
      </w:r>
    </w:p>
    <w:p>
      <w:pPr>
        <w:spacing w:after="0" w:line="224" w:lineRule="exact"/>
        <w:rPr>
          <w:rFonts w:ascii="Times New Roman" w:cs="Times New Roman" w:eastAsia="Times New Roman" w:hAnsi="Times New Roman"/>
          <w:sz w:val="18"/>
          <w:szCs w:val="18"/>
          <w:color w:val="auto"/>
        </w:rPr>
      </w:pPr>
    </w:p>
    <w:p>
      <w:pPr>
        <w:ind w:left="720" w:right="359" w:hanging="319"/>
        <w:spacing w:after="0" w:line="270" w:lineRule="auto"/>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other product candidates that successfully complete clinical trials;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224" w:lineRule="exact"/>
        <w:rPr>
          <w:rFonts w:ascii="Times New Roman" w:cs="Times New Roman" w:eastAsia="Times New Roman" w:hAnsi="Times New Roman"/>
          <w:sz w:val="18"/>
          <w:szCs w:val="18"/>
          <w:color w:val="auto"/>
        </w:rPr>
      </w:pPr>
    </w:p>
    <w:p>
      <w:pPr>
        <w:ind w:left="720" w:right="379" w:hanging="319"/>
        <w:spacing w:after="0" w:line="252"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associated with operating as a public company, such as operational, financial, and management information systems and personnel, including personnel to support our drug development, any future commercialization efforts; and</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may never succeed in any or all of these activities and, even if we do, we may never generate revenue.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have one product candidate in clinical development for multiple indications and no product candidates approved for commercial sale and have not generated any revenue. To become and remain profitable, we must develop and eventually commercialize product candidates with significant market potential, which will require us to be successful in a range of challenging activities. These activities can include completing preclinical studies and initiating and completing clinical trials of our product candidates, obtaining marketing approval for these product candidates, manufacturing, marketing, and selling those products that are approved and satisfying any post-marketing requirements. We may never succeed in any or all of these activities and, even if we do, we may never generate sufficient revenues to achieve profitability. Because of the numerous risks and uncertainties associated with biologics product development, we are unable to accurately predict the timing or amount of increased expenses or when, or if, we will be able to achieve profitability.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Even if we do achieve profitability, we may not be able to sustain or increase profitability. Our failure to become and remain profitable would decrease the value of our company and could impair our ability to raise capital, maintain our research and development efforts, expand our business, or continue our operations.</w:t>
      </w:r>
    </w:p>
    <w:p>
      <w:pPr>
        <w:spacing w:after="0" w:line="171"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5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Developing biopharmaceutical products, including conducting preclinical studies and clinical trials, is a time-consuming, expensive, and uncertain process that takes years to complete. Our operations have consumed substantial amounts of cash since inception, and we expect our expenses to increase in connection with our ongoing activities, particularly as we conduct preclinical activities and clinical trials of, and seek regulatory and marketing approval for, our product candidates. Even if one or more of our product candidates is approved for commercial sale, we anticipate incurring significant costs associated with commercializing any approved product candidate. We have financed our operations primarily through private placements of our securities and our initial public offering of common stock, or IPO, which closed in June 2021. Our research and development expenses increased from $92.7 million for the year ended December 31, 2023 to $107.2 million for the year ended December 31, 2024. As of December 31, 2024, we had cash, and cash equivalents of $58.4 million and investments of $161.7 million. Based on our research and development plans, we believe our existing cash, cash equivalents and investments will be sufficient to fund our operating expenses and capital expenditures requirements. Based on our current business plans, we believe our cash, cash equivalents and investments will be sufficient for us to fund our operating expenses and capital expenditures into the fourth quarter of 2026.</w:t>
      </w:r>
    </w:p>
    <w:p>
      <w:pPr>
        <w:spacing w:after="0" w:line="189"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Attempting to secure additional financing will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and we may need to seek additional funds sooner than planned. If we are unable to obtain funding on a timely basis or at all, we may be required to significantly curtail or stop one or more of our research or development programs.</w:t>
      </w:r>
    </w:p>
    <w:p>
      <w:pPr>
        <w:spacing w:after="0" w:line="181" w:lineRule="exact"/>
        <w:rPr>
          <w:sz w:val="20"/>
          <w:szCs w:val="20"/>
          <w:color w:val="auto"/>
        </w:rPr>
      </w:pPr>
    </w:p>
    <w:p>
      <w:pPr>
        <w:ind w:left="60" w:right="239"/>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3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inflation, pandemics, political unrest and hostilities,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In July 2022, we entered into a sales agreement, or the Sales Agreement, with Cowen and Company, LLC, or Cowen, pursuant to which we may offer and sell shares of our common stock having an aggregate offering price of up to $150 million from time to time through Cowen acting as our sales agent, or the 2022 ATM Facility. For the year ended December 31, 2024, 4,084,502 shares of common stock were issued and sold pursuant to the Sales Agreement at a weighted-average price of $4.50 per share, resulting in approximately $18.4 million in gross proceeds.. In April 2024, we entered into a securities purchase agreement, or the Securities Purchase Agreement, with certain institutional accredited investors, or the PIPE Investors, pursuant to which we agreed to issue and sell to the PIPE Investors in a private placement an aggregate of 15,873,011 shares of common stock at a price per share of $3.78, or the Private Placement. We received aggregate gross proceeds from the Private Placement of approximately $60 million, before deducting placement agent fees and offering expenses.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and impede our ability to conduct our business. Furthermore, the issuance of additional securities, whether equity or debt, by us, or the possibility of such issuance, may cause the market price of our common stock to decline.</w:t>
      </w:r>
    </w:p>
    <w:p>
      <w:pPr>
        <w:spacing w:after="0" w:line="179" w:lineRule="exact"/>
        <w:rPr>
          <w:sz w:val="20"/>
          <w:szCs w:val="20"/>
          <w:color w:val="auto"/>
        </w:rPr>
      </w:pPr>
    </w:p>
    <w:p>
      <w:pPr>
        <w:jc w:val="both"/>
        <w:ind w:left="60" w:right="259"/>
        <w:spacing w:after="0" w:line="254" w:lineRule="auto"/>
        <w:rPr>
          <w:sz w:val="20"/>
          <w:szCs w:val="20"/>
          <w:color w:val="auto"/>
        </w:rPr>
      </w:pPr>
      <w:r>
        <w:rPr>
          <w:rFonts w:ascii="Arial" w:cs="Arial" w:eastAsia="Arial" w:hAnsi="Arial"/>
          <w:sz w:val="17"/>
          <w:szCs w:val="17"/>
          <w:color w:val="auto"/>
        </w:rPr>
        <w:t>If we raise funds through additional licensing or collaboration arrangements with third parties, we may have to relinquish valuable rights to our product candidates or grant licenses under our intellectual property on terms that are not favorable to us. In addition, we may seek additional capital due to favorable market conditions or strategic considerations even if we believe we have sufficient funds for our current or future operating plans.</w:t>
      </w:r>
    </w:p>
    <w:p>
      <w:pPr>
        <w:ind w:left="60" w:right="639"/>
        <w:spacing w:after="0" w:line="242"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w:t>
      </w:r>
    </w:p>
    <w:p>
      <w:pPr>
        <w:spacing w:after="0" w:line="181" w:lineRule="exact"/>
        <w:rPr>
          <w:sz w:val="20"/>
          <w:szCs w:val="20"/>
          <w:color w:val="auto"/>
        </w:rPr>
      </w:pPr>
    </w:p>
    <w:p>
      <w:pPr>
        <w:jc w:val="both"/>
        <w:ind w:left="60" w:right="519"/>
        <w:spacing w:after="0" w:line="309" w:lineRule="auto"/>
        <w:rPr>
          <w:sz w:val="20"/>
          <w:szCs w:val="20"/>
          <w:color w:val="auto"/>
        </w:rPr>
      </w:pPr>
      <w:r>
        <w:rPr>
          <w:rFonts w:ascii="Arial" w:cs="Arial" w:eastAsia="Arial" w:hAnsi="Arial"/>
          <w:sz w:val="17"/>
          <w:szCs w:val="17"/>
          <w:b w:val="1"/>
          <w:bCs w:val="1"/>
          <w:i w:val="1"/>
          <w:iCs w:val="1"/>
          <w:color w:val="auto"/>
        </w:rPr>
        <w:t>If we are unable to regain compliance with the listing standards of Nasdaq, our common stock may become delisted, which could have a material adverse effect on the liquidity of our common stock.</w:t>
      </w:r>
    </w:p>
    <w:p>
      <w:pPr>
        <w:spacing w:after="0" w:line="11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Our common stock is listed on The Nasdaq Global Select Market, which imposes continued listing requirements with respect to listed securities, including a minimum bid price requirement.</w:t>
      </w:r>
    </w:p>
    <w:p>
      <w:pPr>
        <w:spacing w:after="0" w:line="15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As previously disclosed, on February 26, 2025, we received notice from the Listing Qualifications staff of The Nasdaq Stock Market LLC, or Nasdaq, that, because the closing bid price for our common stock had fallen below $1.00 per share for 30 consecutive trading days, we no longer complied with the minimum bid price requirement for continued listing on the Nasdaq Global Select Market under Nasdaq Listing Rule 5450(a)(1). In accordance with Nasdaq listing rules, we have an initial compliance period of 180 calendar days, or until August 25, 2025, to regain compliance with the minimum bid price requirement. To regain compliance, the closing bid price of our common stock must meet or exceed $1.00 per share for a minimum of 10 consecutive trading days prior to August 25, 2025. If we do not regain compliance by August 25, 2025, we may be eligible for an additional 180 calendar day compliance period if we apply to transfer the listing of our common stock to the Nasdaq Capital Market and meet the continued listing requirement for the market value of our publicly held shares and all other initial listing standards for the Nasdaq Capital Market, with the exception of the minimum bid price requirement, and provide written notice of our intention to cure the minimum bid price deficiency during the second compliance period. As part of its review process, Nasdaq will make a determination as to whether it believes we will be able to cure this deficiency. If Nasdaq staff determines that we will not be able to cure the deficiency, or if we are otherwise not eligible for such additional compliance period, Nasdaq will provide notice that our common stock will be subject to delisting. We would have the right to appeal any determination to delist our common stock, and our common stock would remain listed on the Nasdaq Global Select Market until the appeal process is complete.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There can be no assurance that we will be able to regain compliance with the minimum bid price requirement, otherwise maintain compliance with other applicable Nasdaq listing rules, or be successful in appealing any delisting determination. If Nasdaq delists our common stock, it is unlikely that we will be able to list our common stock on another national securities exchange and, as a result, we expect our securities would be quoted on an over-the-counter market. If this were to occur, we and our stockholders could face significant adverse consequences, including limited availability of market quotations and analyst coverage for our common stock, and reduced liquidity for trading of our securities, all of which would likely reduce the market price of our common stock. In addition, our common stock could be considered a “penny stock,” which will require brokers trading in our common stock to adhere to more stringent rules and possibly result in reduced trading activity in the secondary trading market for our common stock. Delisting could result in additional adverse consequences including reduced ability to issue additional securities or obtain additional financing on terms acceptable to us, or at all, as well as the potential loss of confidence of our customers, suppliers and employees, any of which could harm our business and future prospects. Even the perception that we are at heightened risk of delisting could also result in certain of the above these consequences, which could negatively impact the market price and trading volume of our common stock, and harm our stockholders and our business.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2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To the extent that we continue to generate taxable losses, subject to certain limitations, unused losses will carryforward to offset future taxable income, if any, until such unused losses expire. Under Section 382 of the Internal Revenue Code of 1986, as amended, or the Code, if a corporation undergoes an ownership change (generally defined as a greater than 50 percentage points change (by value) in its equity ownership over a rolling three-year period), the corporation’s ability to use its pre-change net operating losses and other pre-change tax attributes to offset its post-change income may be limited. We were formed in 2018 as Century Therapeutics, Inc., or Prior Century. In 2019, in connection with our investment from Bayer, Prior Century contributed substantially all of its operating assets and cash to a newly formed entity, Century Therapeutics, LLC. Our business was operated through Century Therapeutics, LLC, until February 2021, at which time we converted into a Delaware C corporation. Upon completion of this conversion, Prior Century, whose only significant asset was its equity investment in Century Therapeutics, LLC, merged with the C corporation, and in connection therewith the C corporation changed its name to “Century Therapeutics, Inc.” We believe that Prior Century or we may have experienced an ownership change in the past, which may affect our ability to utilize our net operating loss carryforwards. In addition, we may experience ownership changes in the future as a result of shifts in our stock ownership, some of which are outside our control. Similar limitations will apply to our ability to carry forward any unused tax credits to offset future taxable income.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For example, under Section 174 of the Code, in taxable years beginning after December 31, 2021, expenses that are incurred for research and development in the U.S. will be capitalized and amortized, which may have an adverse effect on our cash flow.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859"/>
        <w:spacing w:after="0" w:line="309" w:lineRule="auto"/>
        <w:rPr>
          <w:sz w:val="20"/>
          <w:szCs w:val="20"/>
          <w:color w:val="auto"/>
        </w:rPr>
      </w:pPr>
      <w:r>
        <w:rPr>
          <w:rFonts w:ascii="Arial" w:cs="Arial" w:eastAsia="Arial" w:hAnsi="Arial"/>
          <w:sz w:val="17"/>
          <w:szCs w:val="17"/>
          <w:b w:val="1"/>
          <w:bCs w:val="1"/>
          <w:i w:val="1"/>
          <w:iCs w:val="1"/>
          <w:color w:val="auto"/>
        </w:rPr>
        <w:t>Our Option Agreement with Bayer HealthCare LLC may require us to sell certain of our product candidates, which may limit the value we could generate from our product candidates.</w:t>
      </w:r>
    </w:p>
    <w:p>
      <w:pPr>
        <w:spacing w:after="0" w:line="11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are party to an option agreement, or the Option Agreement, with Bayer HealthCare LLC, or Bayer,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Under the Option Agreement, Bayer was granted a right of first refusal, or ROFR, to submit bids for the transfer or license of rights to research, develop and/or commercialize certain Research Products, which we refer to as the Research Product Rights. While CNTY-101 is no longer included in the Bayer option rights, any other wholly owned product candidate comprised of iNK cells that we develop in the future are subject to the terms of the Option Agreement. Bayer may exercise its ROFR for up to four of the first ten Research Products for which an IND is submitted, subject to certain limitations.</w:t>
      </w:r>
    </w:p>
    <w:p>
      <w:pPr>
        <w:spacing w:after="0" w:line="18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If Bayer exercises its ROFR for one of our Research Products, we may be required to transfer such Research Product (by sale, license, or other structure to be negotiated) to Bayer for a market value as determined by our board of directors, and such determination of market value may ultimately prove to be lower than the actual realizable value of applicable Research Product. There can be no guarantee that we will utilize the proceeds received in connection with the exercise of Bayer’s ROFR in a manner which will provide us with greater value than if we had retained the Research Product or sold such Research Product to another party. Any failure to realize or utilize the full value of our Research Products due to the Option Agreement could have a material adverse effect on our business, financial condition, and results of operation.</w:t>
      </w:r>
    </w:p>
    <w:p>
      <w:pPr>
        <w:spacing w:after="0" w:line="182" w:lineRule="exact"/>
        <w:rPr>
          <w:sz w:val="20"/>
          <w:szCs w:val="20"/>
          <w:color w:val="auto"/>
        </w:rPr>
      </w:pPr>
    </w:p>
    <w:p>
      <w:pPr>
        <w:ind w:left="60" w:right="259"/>
        <w:spacing w:after="0" w:line="278"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13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We cannot assure you that further deterioration in credit and financial markets and confidence in economic conditions will not occur. Our general business strategy and ability to raise capital may be adversely affected by any such economic downturn, volatile business environment, or continued unpredictable and unstable market conditions, including as a result of liquidity constraints, failures and instability in U.S. and international financial banking systems. If the current equity and credit markets deteriorate further, or fail to improve,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8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Further, the impacts geopolitical turmoil, such as the ongoing Ukrainian War and Israel-Hamas war (including any escalation or expansion), social unrest, political instability in the United States and elsewhere, terrorism, cyberwarfare or other acts of war, could lead to disruption, instability and volatility in the global markets, which may have an adverse impact on our business or ability to access the capital markets. Broad market and industry factors, including potentially worsening economic conditions and other adverse effects, or developments relating to pandemics, political, regulatory, and other market conditions, may negatively affect the market price of shares of our common stock, regardless of our actual operating performance.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79"/>
        <w:spacing w:after="0" w:line="249"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6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early 2023, several financial institutions closed and were taken in receivership by the Federal Deposit Insurance Corporation, or FDIC. Even 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7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4" w:lineRule="exact"/>
        <w:rPr>
          <w:sz w:val="20"/>
          <w:szCs w:val="20"/>
          <w:color w:val="auto"/>
        </w:rPr>
      </w:pPr>
    </w:p>
    <w:p>
      <w:pPr>
        <w:ind w:left="60" w:right="299"/>
        <w:spacing w:after="0" w:line="256" w:lineRule="auto"/>
        <w:rPr>
          <w:sz w:val="20"/>
          <w:szCs w:val="20"/>
          <w:color w:val="auto"/>
        </w:rPr>
      </w:pPr>
      <w:r>
        <w:rPr>
          <w:rFonts w:ascii="Arial" w:cs="Arial" w:eastAsia="Arial" w:hAnsi="Arial"/>
          <w:sz w:val="18"/>
          <w:szCs w:val="18"/>
          <w:b w:val="1"/>
          <w:bCs w:val="1"/>
          <w:i w:val="1"/>
          <w:iCs w:val="1"/>
          <w:color w:val="auto"/>
        </w:rPr>
        <w:t>We are early in our development efforts. Our business is dependent on our ability to advance our current and future product candidates through preclinical studies and clinical trials, obtain marketing approval, and ultimately commercialize them.</w:t>
      </w:r>
    </w:p>
    <w:p>
      <w:pPr>
        <w:spacing w:after="0" w:line="15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are early in our development efforts. We have discontinued the Phase 1 ELiPSE-1 clinical trial of CNTY-101 and are currently completing assessments in patients with relapsed or refractory CD19-positive B-cell lymphomas at clinical sites in the US. In the third quarter of 2024, we initiated our Phase 1 CALiPSO-1 clinical trial of CNTY-101 in patients with moderate to severe SLE, including indication-specific cohorts of Lupus Nephritis, or LN, patients, diffuse cutaneous Systemic Sclerosis, or dcSSc, patients and idiopathic inflammatory myopathy, or IIM, patients. We have activated a number of clinical sites in the United States and expect to activate additional sites in the coming months, with ability to enroll patients across indications. We have submitted a clinical trial application (CTA) for the CALiPSO-1 trial to Europe, to include clinical sites in a number of EU countries. Clinical investigation of cell therapies in both B-cell lymphomas and autoimmune diseases including SLE, LN, IIM, and SSc is highly competitive. Moreover, cell therapy modalities as a treatment for autoimmune diseases are a relatively new use, and rheumatology physicians and hospital processes are just beginning to be familiar and comfortable with their use. As a result, the execution and speed of enrollment of clinical trials in these novel and competitive areas are difficult to predict.</w:t>
      </w:r>
    </w:p>
    <w:p>
      <w:pPr>
        <w:spacing w:after="0" w:line="18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Additionally, we are actively engaged in a number of earlier stage discovery programs that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product sales and we may never be able to develop or commercialize a marketable product.</w:t>
      </w:r>
    </w:p>
    <w:p>
      <w:pPr>
        <w:spacing w:after="0" w:line="17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Each of our product candidates will require additional preclinical and/or clinical development, regulatory approval in multiple jurisdictions, obtaining manufacturing supply, capacity and expertise, building a commercial organization, or successfully outsourcing commercialization, substantial investment, and significant marketing efforts before we generate any revenue from product sales. Our product candidates must be authorized for marketing by the U.S. Food and Drug Administration, or the FDA, or certain other foreign regulatory agencies before we may commercialize our product candidates.</w:t>
      </w:r>
    </w:p>
    <w:p>
      <w:pPr>
        <w:spacing w:after="0" w:line="179"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color w:val="auto"/>
        </w:rPr>
        <w:t>The clinical and commercial success of our product candidates will depend on several factors, including the following:</w:t>
      </w:r>
    </w:p>
    <w:p>
      <w:pPr>
        <w:spacing w:after="0" w:line="154" w:lineRule="exact"/>
        <w:rPr>
          <w:sz w:val="20"/>
          <w:szCs w:val="20"/>
          <w:color w:val="auto"/>
        </w:rPr>
      </w:pPr>
    </w:p>
    <w:p>
      <w:pPr>
        <w:ind w:left="720" w:right="319" w:hanging="319"/>
        <w:spacing w:after="0" w:line="252"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 and in accordance with Good Laboratory Practices, or GLPs;</w:t>
      </w:r>
    </w:p>
    <w:p>
      <w:pPr>
        <w:spacing w:after="0" w:line="170" w:lineRule="exact"/>
        <w:rPr>
          <w:rFonts w:ascii="Times New Roman" w:cs="Times New Roman" w:eastAsia="Times New Roman" w:hAnsi="Times New Roman"/>
          <w:sz w:val="18"/>
          <w:szCs w:val="18"/>
          <w:color w:val="auto"/>
        </w:rPr>
      </w:pPr>
    </w:p>
    <w:p>
      <w:pPr>
        <w:ind w:left="720" w:right="439" w:hanging="319"/>
        <w:spacing w:after="0" w:line="270"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INDs or comparable foreign applications that allow commencement of our planned clinical trials or future clinical trials for our product candidates;</w:t>
      </w:r>
    </w:p>
    <w:p>
      <w:pPr>
        <w:spacing w:after="0" w:line="154" w:lineRule="exact"/>
        <w:rPr>
          <w:rFonts w:ascii="Times New Roman" w:cs="Times New Roman" w:eastAsia="Times New Roman" w:hAnsi="Times New Roman"/>
          <w:sz w:val="18"/>
          <w:szCs w:val="18"/>
          <w:color w:val="auto"/>
        </w:rPr>
      </w:pPr>
    </w:p>
    <w:p>
      <w:pPr>
        <w:ind w:left="720" w:right="819" w:hanging="319"/>
        <w:spacing w:after="0" w:line="270"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enrollment and completion of clinical trials, including under the FDA’s Good Clinical Practices, or GCPs, and GLPs;</w:t>
      </w:r>
    </w:p>
    <w:p>
      <w:pPr>
        <w:spacing w:after="0" w:line="154"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progression and execution of investigator-initiated trials and collaborative relationship with investigators</w:t>
      </w:r>
    </w:p>
    <w:p>
      <w:pPr>
        <w:spacing w:after="0" w:line="154" w:lineRule="exact"/>
        <w:rPr>
          <w:rFonts w:ascii="Times New Roman" w:cs="Times New Roman" w:eastAsia="Times New Roman" w:hAnsi="Times New Roman"/>
          <w:sz w:val="18"/>
          <w:szCs w:val="18"/>
          <w:color w:val="auto"/>
        </w:rPr>
      </w:pPr>
    </w:p>
    <w:p>
      <w:pPr>
        <w:ind w:left="720" w:right="179" w:hanging="319"/>
        <w:spacing w:after="0" w:line="252"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positive results from our ongoing, planned, and future clinical programs that support a finding of safety and effectiveness and an acceptable risk-benefit profile of our product candidates in the intended populations;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marketing approvals from applicable regulatory authorities;</w:t>
      </w:r>
    </w:p>
    <w:p>
      <w:pPr>
        <w:spacing w:after="0" w:line="224" w:lineRule="exact"/>
        <w:rPr>
          <w:rFonts w:ascii="Times New Roman" w:cs="Times New Roman" w:eastAsia="Times New Roman" w:hAnsi="Times New Roman"/>
          <w:sz w:val="18"/>
          <w:szCs w:val="18"/>
          <w:color w:val="auto"/>
        </w:rPr>
      </w:pPr>
    </w:p>
    <w:p>
      <w:pPr>
        <w:ind w:left="720" w:right="659" w:hanging="319"/>
        <w:spacing w:after="0" w:line="270"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of arrangements with CMOs for clinical supply and, where applicable, commercial manufacturing capabilities;</w:t>
      </w:r>
    </w:p>
    <w:p>
      <w:pPr>
        <w:spacing w:after="0" w:line="154" w:lineRule="exact"/>
        <w:rPr>
          <w:rFonts w:ascii="Times New Roman" w:cs="Times New Roman" w:eastAsia="Times New Roman" w:hAnsi="Times New Roman"/>
          <w:sz w:val="18"/>
          <w:szCs w:val="18"/>
          <w:color w:val="auto"/>
        </w:rPr>
      </w:pPr>
    </w:p>
    <w:p>
      <w:pPr>
        <w:ind w:left="720" w:right="219" w:hanging="319"/>
        <w:spacing w:after="0" w:line="270"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and maintenance of patent and trade secret protection, and/or regulatory exclusivity for our product candidates;</w:t>
      </w:r>
    </w:p>
    <w:p>
      <w:pPr>
        <w:spacing w:after="0" w:line="154" w:lineRule="exact"/>
        <w:rPr>
          <w:rFonts w:ascii="Times New Roman" w:cs="Times New Roman" w:eastAsia="Times New Roman" w:hAnsi="Times New Roman"/>
          <w:sz w:val="18"/>
          <w:szCs w:val="18"/>
          <w:color w:val="auto"/>
        </w:rPr>
      </w:pPr>
    </w:p>
    <w:p>
      <w:pPr>
        <w:ind w:left="720" w:right="659" w:hanging="319"/>
        <w:spacing w:after="0" w:line="270"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launch of our product candidates, if approved, whether alone or in collaboration with others;</w:t>
      </w:r>
    </w:p>
    <w:p>
      <w:pPr>
        <w:spacing w:after="0" w:line="154" w:lineRule="exact"/>
        <w:rPr>
          <w:rFonts w:ascii="Times New Roman" w:cs="Times New Roman" w:eastAsia="Times New Roman" w:hAnsi="Times New Roman"/>
          <w:sz w:val="18"/>
          <w:szCs w:val="18"/>
          <w:color w:val="auto"/>
        </w:rPr>
      </w:pPr>
    </w:p>
    <w:p>
      <w:pPr>
        <w:ind w:left="720" w:right="399" w:hanging="319"/>
        <w:spacing w:after="0" w:line="270"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acceptance of the benefits and use of our product candidates, including method of administration, if and when approved, by patients, the medical community, and third-party payors;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competition with other therapies;</w:t>
      </w:r>
    </w:p>
    <w:p>
      <w:pPr>
        <w:spacing w:after="0" w:line="224" w:lineRule="exact"/>
        <w:rPr>
          <w:rFonts w:ascii="Times New Roman" w:cs="Times New Roman" w:eastAsia="Times New Roman" w:hAnsi="Times New Roman"/>
          <w:sz w:val="18"/>
          <w:szCs w:val="18"/>
          <w:color w:val="auto"/>
        </w:rPr>
      </w:pPr>
    </w:p>
    <w:p>
      <w:pPr>
        <w:ind w:left="720" w:right="399" w:hanging="319"/>
        <w:spacing w:after="0" w:line="270"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and maintenance of healthcare coverage and adequate reimbursement and patients’ willingness to pay out-of-pocket in the absence of such coverage and adequate reimbursement;</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of a physician training system and network for administration of our product candidates;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enforcement and defense of intellectual property rights and claims; and</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maintenance of a continued acceptable safety, tolerability, and efficacy profile of our product candidates following approval.</w:t>
      </w:r>
    </w:p>
    <w:p>
      <w:pPr>
        <w:spacing w:after="0" w:line="154"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our product candidates, if approved,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178" w:lineRule="exact"/>
        <w:rPr>
          <w:sz w:val="20"/>
          <w:szCs w:val="20"/>
          <w:color w:val="auto"/>
        </w:rPr>
      </w:pPr>
    </w:p>
    <w:p>
      <w:pPr>
        <w:ind w:left="60" w:right="499"/>
        <w:spacing w:after="0" w:line="278" w:lineRule="auto"/>
        <w:rPr>
          <w:sz w:val="20"/>
          <w:szCs w:val="20"/>
          <w:color w:val="auto"/>
        </w:rPr>
      </w:pPr>
      <w:r>
        <w:rPr>
          <w:rFonts w:ascii="Arial" w:cs="Arial" w:eastAsia="Arial" w:hAnsi="Arial"/>
          <w:sz w:val="18"/>
          <w:szCs w:val="18"/>
          <w:b w:val="1"/>
          <w:bCs w:val="1"/>
          <w:i w:val="1"/>
          <w:iCs w:val="1"/>
          <w:color w:val="auto"/>
        </w:rPr>
        <w:t>Our business is highly dependent on the success of our lead product candidate, CNTY-101 and our other product candidates.</w:t>
      </w:r>
    </w:p>
    <w:p>
      <w:pPr>
        <w:spacing w:after="0" w:line="13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While we have successfully initiated the clinical development of CNTY-101 which now has a single sponsored Phase 1 clinical trial ongoing, and one investigator-initiated clinical trial expected to initiate in mid-2025, we cannot guarantee that an IND or CTA application will be cleared to proceed after submission to the FDA or other global health authorities for any additional indications or any of our other product candidates or that CNTY-101 or our other product candidates will be allowed to complete clinical developments and approved for commercialization, on a timely basis or at all. Although certain of our employees have prior experience with clinical trials and regulatory approvals, we have not previously completed any clinical trials or submitted a BLA to the FDA, or similar regulatory approval filings to comparable foreign authorities, for any product candidate, and we cannot be certain that CNTY-101 or our other product candidates will be complete and be successful in clinical trials or receive regulatory approval. The FDA and other comparable global regulatory authorities can delay, limit, or deny development or approval of a product candidate for many reasons. Any delay in obtaining, or inability to obtain, applicable regulatory authorizations or approvals will delay or harm our ability to successfully develop and commercialize CNTY-101 or our other product candidates and materially adversely affect our business, financial condition, results of operations, and growth prospects.</w:t>
      </w:r>
    </w:p>
    <w:p>
      <w:pPr>
        <w:spacing w:after="0" w:line="189" w:lineRule="exact"/>
        <w:rPr>
          <w:sz w:val="20"/>
          <w:szCs w:val="20"/>
          <w:color w:val="auto"/>
        </w:rPr>
      </w:pPr>
    </w:p>
    <w:p>
      <w:pPr>
        <w:ind w:left="60" w:right="439"/>
        <w:spacing w:after="0" w:line="301" w:lineRule="auto"/>
        <w:rPr>
          <w:sz w:val="20"/>
          <w:szCs w:val="20"/>
          <w:color w:val="auto"/>
        </w:rPr>
      </w:pPr>
      <w:r>
        <w:rPr>
          <w:rFonts w:ascii="Arial" w:cs="Arial" w:eastAsia="Arial" w:hAnsi="Arial"/>
          <w:sz w:val="17"/>
          <w:szCs w:val="17"/>
          <w:color w:val="auto"/>
        </w:rPr>
        <w:t>Furthermore, if our clinical trials of CNTY-101 or our other product candidates encounter safety, efficacy, or manufacturing problems, development delays, regulatory issues, or other problems, our development plans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for such product candidates in our pipeline could be significantly impaired, which could materially adversely affect our business, financial condition, results of operations, and growth prospects.</w:t>
      </w:r>
    </w:p>
    <w:p>
      <w:pPr>
        <w:spacing w:after="0" w:line="15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depends upon the success of our iPSC-derived allogeneic cell therapy platforms.</w:t>
      </w:r>
    </w:p>
    <w:p>
      <w:pPr>
        <w:spacing w:after="0" w:line="21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Our success depends on our ability to utilize our iPSC-derived allogeneic cell therapy platforms to generate chimeric antigen receptors, or CAR-iNK and CAR-iT cell product candidates, to obtain regulatory approval for product candidates derived from it, and to then commercialize our product candidates addressing one or more indications. Though iPSC-derived cell therapy product candidates have been evaluated by others in clinical trials, our lead product candidate has only commenced evaluation in Phase 1 clinical trials, and we may experience unexpected or adverse results in the future. We are exposed to a number of unforeseen risks and it is difficult to predict the types of challenges and risks that we may encounter during development of our product candidates. All of our product candidates developed from our iPSC allogeneic cell therapy platforms will require significant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In addition, we utilize our proprietary Allo-Evasion technology in our product candidates, which has only been tested in our initial clinical trials, and we may modify our technology for additional product candidates and such technology as so modified will not have been tested in a clinical setting. If any of our product candidates encounter safety or efficacy problems, including as a result of our use or modification of our Allo-Evasion technology, developmental delays, or regulatory issues or other problems, such problems could impact the development plans for our other product candidates because all of our product candidates are based on the same core iPSC technology.</w:t>
      </w:r>
    </w:p>
    <w:p>
      <w:pPr>
        <w:spacing w:after="0" w:line="18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Additionally, a key element of our strategy is to use and expand our iPSC allogeneic cell therapy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we may not be able to develop product candidates that a regulatory agency, such as the FDA, will consider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and achieve market acceptance. If we do not successfully develop, obtain approval for, and begin to commercialize any product candidates for which we receive approval, we will face difficulty in obtaining product revenue in future periods, which could result in significant harm to our financial position and adversely affect our share price.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359"/>
        <w:spacing w:after="0" w:line="256" w:lineRule="auto"/>
        <w:rPr>
          <w:sz w:val="20"/>
          <w:szCs w:val="20"/>
          <w:color w:val="auto"/>
        </w:rPr>
      </w:pPr>
      <w:r>
        <w:rPr>
          <w:rFonts w:ascii="Arial" w:cs="Arial" w:eastAsia="Arial" w:hAnsi="Arial"/>
          <w:sz w:val="18"/>
          <w:szCs w:val="18"/>
          <w:b w:val="1"/>
          <w:bCs w:val="1"/>
          <w:i w:val="1"/>
          <w:iCs w:val="1"/>
          <w:color w:val="auto"/>
        </w:rPr>
        <w:t>Utilizing CAR-iNK and CAR-iT cells represents a novel approach to immuno-oncology treatment of cancer and autoimmune diseases, and we must overcome significant challenges in order to develop, commercialize, and manufacture our product candidates.</w:t>
      </w:r>
    </w:p>
    <w:p>
      <w:pPr>
        <w:spacing w:after="0" w:line="15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have concentrated our research and development efforts on developing CAR-iNK and CAR-iT cell therapies. The processes and requirements imposed by the FDA or other applicable regulatory authorities may cause delays and additional costs in obtaining approvals for our product candidates. Because our iPSC-derived allogeneic cell therapy platforms are novel, and cell-based therapies are relatively new, regulatory agencies may lack experience in evaluating our product candidates utilizing CAR-iNK and CAR-iT cells. This novelty may lengthen the regulatory review process, including the time it takes for the FDA to review our IND applications, if and when submitted, increase our development costs, and delay or prevent commercialization of our iPSC-derived allogeneic cell therapy platform products. Additionally, advancing novel immuno-oncology and autoimmune cell therapies creates significant challenges for us, including:</w:t>
      </w:r>
    </w:p>
    <w:p>
      <w:pPr>
        <w:spacing w:after="0" w:line="183" w:lineRule="exact"/>
        <w:rPr>
          <w:sz w:val="20"/>
          <w:szCs w:val="20"/>
          <w:color w:val="auto"/>
        </w:rPr>
      </w:pPr>
    </w:p>
    <w:p>
      <w:pPr>
        <w:ind w:left="720" w:right="119" w:hanging="319"/>
        <w:spacing w:after="0" w:line="270"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and sustaining a manufacturing process to produce our cells on a large scale and in a cost-effective manner;</w:t>
      </w:r>
    </w:p>
    <w:p>
      <w:pPr>
        <w:spacing w:after="0" w:line="154" w:lineRule="exact"/>
        <w:rPr>
          <w:rFonts w:ascii="Times New Roman" w:cs="Times New Roman" w:eastAsia="Times New Roman" w:hAnsi="Times New Roman"/>
          <w:sz w:val="18"/>
          <w:szCs w:val="18"/>
          <w:color w:val="auto"/>
        </w:rPr>
      </w:pPr>
    </w:p>
    <w:p>
      <w:pPr>
        <w:ind w:left="720" w:right="299" w:hanging="319"/>
        <w:spacing w:after="0" w:line="270"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educating medical personnel regarding the potential side-effect profile of our cells and, as the clinical program progresses, on any observed side effects with the therapy;</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unanticipated technical limitations of our CRISPR-MAD7 gene editing technology; and</w:t>
      </w:r>
    </w:p>
    <w:p>
      <w:pPr>
        <w:spacing w:after="0" w:line="224" w:lineRule="exact"/>
        <w:rPr>
          <w:rFonts w:ascii="Times New Roman" w:cs="Times New Roman" w:eastAsia="Times New Roman" w:hAnsi="Times New Roman"/>
          <w:sz w:val="18"/>
          <w:szCs w:val="18"/>
          <w:color w:val="auto"/>
        </w:rPr>
      </w:pPr>
    </w:p>
    <w:p>
      <w:pPr>
        <w:ind w:left="720" w:right="339" w:hanging="319"/>
        <w:spacing w:after="0" w:line="270"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sales and marketing capabilities, as well as developing a distribution network to support the commercialization of any approved products.</w:t>
      </w:r>
    </w:p>
    <w:p>
      <w:pPr>
        <w:spacing w:after="0" w:line="15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must be able to overcome these challenges in order for us to successfully develop, commercialize, and manufacture our product candidates utilizing CAR-iNK and CAR-iT cells. In addition, although CNTY-101 and our future product candidates may differ in certain ways from other cancer immunotherapies and autoimmune diseases, including CD19-directed autologous CAR-T cell immunotherapies, serious adverse events, deaths or other unexpected safety issues in other companies’ clinical trials or that are discovered from post-marketing data sources involving cancer immunotherapies, more generally, even if unrelated to our product candidates, could negatively impact our business. For example, in November 2023, the FDA announced that it would be conducting an investigation into reports of T cell malignancies following BCMA-directed or CD19-directed autologous CAR-T cell immunotherapies following reports of T cell lymphoma in patients receiving these therapies. In January 2024, the FDA determined that new safety information related to T cell malignancies should be included in the labeling with boxed warning language on these malignancies for all currently approved BCMA- and CD-19-directed genetically modified autologous T cell immunotherapies. While CNTY 101 is designed to utilize a different mechanism of action, FDA’s ongoing post-market monitoring of CAR-T therapies could result in increased government regulation, unfavorable public perception and publicity, potential impacts on enrollment in our clinical trials, potential regulatory delays in the testing or approval of our product candidates, stricter labeling requirements for those product candidates that may receive approval, and a decrease in demand for any such product candidates.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not yet demonstrated long-term stability of cryopreserved CAR-iNK cells.</w:t>
      </w:r>
    </w:p>
    <w:p>
      <w:pPr>
        <w:spacing w:after="0" w:line="21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have not yet demonstrated long-term stability of cryopreserved CAR-iNK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 We may also encounter difficulties not only in developing freezing and thawing methodologies for large-scale use, but it is also possible that the freezing and thawing methodologies we develop and implement will not sufficiently preserve the function of one or more of our product candidates, thereby potentially negatively impacting certain clinical results.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579"/>
        <w:spacing w:after="0" w:line="256" w:lineRule="auto"/>
        <w:rPr>
          <w:sz w:val="20"/>
          <w:szCs w:val="20"/>
          <w:color w:val="auto"/>
        </w:rPr>
      </w:pPr>
      <w:r>
        <w:rPr>
          <w:rFonts w:ascii="Arial" w:cs="Arial" w:eastAsia="Arial" w:hAnsi="Arial"/>
          <w:sz w:val="18"/>
          <w:szCs w:val="18"/>
          <w:b w:val="1"/>
          <w:bCs w:val="1"/>
          <w:i w:val="1"/>
          <w:iCs w:val="1"/>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15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use a CRISPR-based nuclease to enable precise editing of the iPSC genome. For CNTY-101, we used the nuclease Cpf-1 but have shifted to CRISPR-MAD7 for all subsequent product candidates, and we may utilize CRISPR-MAD7 for CNTY-101 in the future. We decided to shift to CRISPR-MAD7 because we entered into a license agreement with Inscripta, Inc. and obtained a non-exclusive, royalty-free, irrevocable license to a patent portfolio covering the composition, production, and use of CRISPR-MAD7. We have optimized the protocols to produce CRISPR-MAD7 and have achieved similar cutting and HDR efficiencies compared to Cpf-1, but we do not have as much experimental data with CRISPR-MAD7 as we do with Cpf1. We may encounter technical liabilities associated with CRISPR-MAD7 that could force us to use a different CRISPR nuclease which could delay our programs and require us to enter into a license agreement for additional technology, which may not be available on commercially reasonable terms or at all.</w:t>
      </w:r>
    </w:p>
    <w:p>
      <w:pPr>
        <w:spacing w:after="0" w:line="180"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Our gene-editing technology may create unintended changes to the DNA such as a non-target site gene-edit, a large deletion, or a DNA translocation, any of which could impact timelines for new product generation. We have developed various genome characterization assays to identify deletions/insertions that can occur as a result of gene editing.</w:t>
      </w:r>
    </w:p>
    <w:p>
      <w:pPr>
        <w:spacing w:after="0" w:line="174"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Although we believe CAR-iNK and CAR-iT based therapies do not require further modification to avoid the risk of graft versus host disease, or GvHD, the gene-editing of our product candidates utilizing CAR-iNK and CAR-iT cells may not be successful in limiting the risk of GvHD or premature rejection by patients.</w:t>
      </w:r>
    </w:p>
    <w:p>
      <w:pPr>
        <w:spacing w:after="0" w:line="169"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In addition, the cell therapy industry is rapidly developing, and our competitors may introduce new gene-editing technologies that render our technology less attractive. As the FDA and foreign regulatory authorities begin issuing product approvals for gene-editing products, post-market adverse events or findings could adversely impact developers of gene-editing technologies or competitive pressures may force us to implement new gene-editing technologies at a substantial cost or delay in our clinical development process. In addition, regulatory requirements in the United States and in other jurisdictions governing the development of gene therapy products have changed frequently and may continue to change in the future. Our competitors may have greater financial, technical, and personnel resources that allow them to implement new gene-editing technologies before we can. We cannot be certain that we will be able to implement new gene-editing technologies on a timely basis or at a cost that is acceptable to us. If we are unable to implement technological advancements consistent with industry standards, our operations and financial condition may be adversely affected.</w:t>
      </w:r>
    </w:p>
    <w:p>
      <w:pPr>
        <w:spacing w:after="0" w:line="179" w:lineRule="exact"/>
        <w:rPr>
          <w:sz w:val="20"/>
          <w:szCs w:val="20"/>
          <w:color w:val="auto"/>
        </w:rPr>
      </w:pPr>
    </w:p>
    <w:p>
      <w:pPr>
        <w:ind w:left="60" w:right="1119"/>
        <w:spacing w:after="0" w:line="278"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3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 -controlled clinical trials to demonstrate the safety, purity, and potency of their product. The law is complex and is still being interpreted and implemented by the FDA. As a result, its ultimate impact, implementation, and meaning are subject to uncertainty. In addition, complexities associated with the larger, and often more complex, structures of biological products such as cell and gene products we are developing, as well as the processes by which</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71" w:lineRule="auto"/>
        <w:rPr>
          <w:sz w:val="20"/>
          <w:szCs w:val="20"/>
          <w:color w:val="auto"/>
        </w:rPr>
      </w:pPr>
      <w:r>
        <w:rPr>
          <w:rFonts w:ascii="Arial" w:cs="Arial" w:eastAsia="Arial" w:hAnsi="Arial"/>
          <w:sz w:val="18"/>
          <w:szCs w:val="18"/>
          <w:color w:val="auto"/>
        </w:rPr>
        <w:t>such products are manufactured, pose significant hurdles to implementation of the abbreviated approval pathway that are still being worked out by the FDA.</w:t>
      </w:r>
    </w:p>
    <w:p>
      <w:pPr>
        <w:spacing w:after="0" w:line="15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This includes FDA’s evolving view of whether switching studies are needed to support a demonstration of interchangeability.</w:t>
      </w:r>
    </w:p>
    <w:p>
      <w:pPr>
        <w:spacing w:after="0" w:line="18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Jurisdictions in addition to the United States have established abbreviated pathways for regulatory approval of biological products that are biosimilar to earlier approved reference products. For example, the European Union has had an established regulatory pathway for biosimilars since 2004. However, biosimilars can only be authorized once the period of data exclusivity on the reference biological medicine has expired.</w:t>
      </w:r>
    </w:p>
    <w:p>
      <w:pPr>
        <w:spacing w:after="0" w:line="17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product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and we may not generate adequate or sufficient revenues from them or be able to reach or sustain profitability.</w:t>
      </w:r>
    </w:p>
    <w:p>
      <w:pPr>
        <w:spacing w:after="0" w:line="182" w:lineRule="exact"/>
        <w:rPr>
          <w:sz w:val="20"/>
          <w:szCs w:val="20"/>
          <w:color w:val="auto"/>
        </w:rPr>
      </w:pPr>
    </w:p>
    <w:p>
      <w:pPr>
        <w:ind w:left="60" w:right="199"/>
        <w:spacing w:after="0" w:line="249" w:lineRule="auto"/>
        <w:rPr>
          <w:sz w:val="20"/>
          <w:szCs w:val="20"/>
          <w:color w:val="auto"/>
        </w:rPr>
      </w:pPr>
      <w:r>
        <w:rPr>
          <w:rFonts w:ascii="Arial" w:cs="Arial" w:eastAsia="Arial" w:hAnsi="Arial"/>
          <w:sz w:val="18"/>
          <w:szCs w:val="18"/>
          <w:b w:val="1"/>
          <w:bCs w:val="1"/>
          <w:i w:val="1"/>
          <w:iCs w:val="1"/>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65" w:lineRule="exact"/>
        <w:rPr>
          <w:sz w:val="20"/>
          <w:szCs w:val="20"/>
          <w:color w:val="auto"/>
        </w:rPr>
      </w:pPr>
    </w:p>
    <w:p>
      <w:pPr>
        <w:jc w:val="both"/>
        <w:ind w:left="60" w:right="139"/>
        <w:spacing w:after="0" w:line="242" w:lineRule="auto"/>
        <w:rPr>
          <w:sz w:val="20"/>
          <w:szCs w:val="20"/>
          <w:color w:val="auto"/>
        </w:rPr>
      </w:pPr>
      <w:r>
        <w:rPr>
          <w:rFonts w:ascii="Arial" w:cs="Arial" w:eastAsia="Arial" w:hAnsi="Arial"/>
          <w:sz w:val="18"/>
          <w:szCs w:val="18"/>
          <w:color w:val="auto"/>
        </w:rPr>
        <w:t>All but one of our product candidates are in preclinical development and the risk of failure for all of our product candidates is high. It is impossible to predict when or if any of our discovery or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w:t>
      </w:r>
    </w:p>
    <w:p>
      <w:pPr>
        <w:spacing w:after="0" w:line="17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results of preclinical studies and early clinical trials or early cohorts of our clinical trials of our product candidates may not be predictive of the results of later-stage clinical trials or later cohorts of our clinical trials. Our initial clinical trials will begin with relatively small cohorts before expanding in size in subsequent cohorts. The initial cohorts of early-stage clinical trials often involve enrollment of a small number of patients and may not be as predictive as trials with larger cohorts. Additionally, if safety issues arise in an early cohort, we may be delayed or prevented from subsequently expanding into larger trial cohorts. We may be unable to establish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w:t>
      </w:r>
    </w:p>
    <w:p>
      <w:pPr>
        <w:spacing w:after="0" w:line="183"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Moreover, clinical data is often susceptible to varying interpretations and analyses, and many companies that have believed their product candidates performed satisfactorily in clinical trials have nonetheless failed to obtain marketing approval of their products. A number of companies in the biopharmaceutical industry have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suffered significant setbacks in advanced clinical trials due to lack of efficacy or unfavorable safety profiles, notwithstanding promising results in earlier trials. There is typically a high rate of failure of product candidates proceeding through clinical trials. Most product candidates that commence clinical trials are never approved as products and there can be no assurance that any of our current clinical trials or future clinical trials, if allowed to proceed, will ultimately be successful or support clinical development of our current or any of our future product candidates.</w:t>
      </w:r>
    </w:p>
    <w:p>
      <w:pPr>
        <w:spacing w:after="0" w:line="179"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may experience delays in initiating or completing clinical trials. We also may experience numerous unforeseen events during, or as a result of, any of our current clinical trials or future clinical trials that we could conduct that could delay or prevent our ability to receive marketing approval or commercialize our lead product candidates or any future product candidates, including:</w:t>
      </w:r>
    </w:p>
    <w:p>
      <w:pPr>
        <w:spacing w:after="0" w:line="174" w:lineRule="exact"/>
        <w:rPr>
          <w:sz w:val="20"/>
          <w:szCs w:val="20"/>
          <w:color w:val="auto"/>
        </w:rPr>
      </w:pPr>
    </w:p>
    <w:p>
      <w:pPr>
        <w:ind w:left="720" w:right="239" w:hanging="319"/>
        <w:spacing w:after="0" w:line="270"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or institutional review boards, or IRBs, the FDA, or ethics committees may not authorize us or our investigators to commence a clinical trial or conduct a clinical trial at a prospective trial site;</w:t>
      </w:r>
    </w:p>
    <w:p>
      <w:pPr>
        <w:spacing w:after="0" w:line="154" w:lineRule="exact"/>
        <w:rPr>
          <w:rFonts w:ascii="Times New Roman" w:cs="Times New Roman" w:eastAsia="Times New Roman" w:hAnsi="Times New Roman"/>
          <w:sz w:val="18"/>
          <w:szCs w:val="18"/>
          <w:color w:val="auto"/>
        </w:rPr>
      </w:pPr>
    </w:p>
    <w:p>
      <w:pPr>
        <w:ind w:left="720" w:right="779" w:hanging="319"/>
        <w:spacing w:after="0" w:line="252"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as the terms of which can be subject to extensive negotiation and may vary significantly among different CROs and trial sites;</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deviating from trial protocol or dropping out of a trial;</w:t>
      </w:r>
    </w:p>
    <w:p>
      <w:pPr>
        <w:spacing w:after="0" w:line="224" w:lineRule="exact"/>
        <w:rPr>
          <w:rFonts w:ascii="Times New Roman" w:cs="Times New Roman" w:eastAsia="Times New Roman" w:hAnsi="Times New Roman"/>
          <w:sz w:val="18"/>
          <w:szCs w:val="18"/>
          <w:color w:val="auto"/>
        </w:rPr>
      </w:pPr>
    </w:p>
    <w:p>
      <w:pPr>
        <w:ind w:left="720" w:right="179" w:hanging="319"/>
        <w:spacing w:after="0" w:line="252"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170" w:lineRule="exact"/>
        <w:rPr>
          <w:rFonts w:ascii="Times New Roman" w:cs="Times New Roman" w:eastAsia="Times New Roman" w:hAnsi="Times New Roman"/>
          <w:sz w:val="18"/>
          <w:szCs w:val="18"/>
          <w:color w:val="auto"/>
        </w:rPr>
      </w:pPr>
    </w:p>
    <w:p>
      <w:pPr>
        <w:ind w:left="720" w:right="99" w:hanging="319"/>
        <w:spacing w:after="0" w:line="252"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pacing w:after="0" w:line="170" w:lineRule="exact"/>
        <w:rPr>
          <w:rFonts w:ascii="Times New Roman" w:cs="Times New Roman" w:eastAsia="Times New Roman" w:hAnsi="Times New Roman"/>
          <w:sz w:val="18"/>
          <w:szCs w:val="18"/>
          <w:color w:val="auto"/>
        </w:rPr>
      </w:pPr>
    </w:p>
    <w:p>
      <w:pPr>
        <w:ind w:left="720" w:right="259" w:hanging="319"/>
        <w:spacing w:after="0" w:line="252"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70" w:lineRule="exact"/>
        <w:rPr>
          <w:rFonts w:ascii="Times New Roman" w:cs="Times New Roman" w:eastAsia="Times New Roman" w:hAnsi="Times New Roman"/>
          <w:sz w:val="18"/>
          <w:szCs w:val="18"/>
          <w:color w:val="auto"/>
        </w:rPr>
      </w:pPr>
    </w:p>
    <w:p>
      <w:pPr>
        <w:ind w:left="720" w:right="439" w:hanging="319"/>
        <w:spacing w:after="0" w:line="246"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clinical trials of any of our product candidates may be greater than we anticipate;</w:t>
      </w:r>
    </w:p>
    <w:p>
      <w:pPr>
        <w:spacing w:after="0" w:line="224" w:lineRule="exact"/>
        <w:rPr>
          <w:rFonts w:ascii="Times New Roman" w:cs="Times New Roman" w:eastAsia="Times New Roman" w:hAnsi="Times New Roman"/>
          <w:sz w:val="18"/>
          <w:szCs w:val="18"/>
          <w:color w:val="auto"/>
        </w:rPr>
      </w:pPr>
    </w:p>
    <w:p>
      <w:pPr>
        <w:ind w:left="720" w:right="659" w:hanging="319"/>
        <w:spacing w:after="0" w:line="270"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quality of our product candidates or other materials necessary to conduct clinical trials of our product candidates may be inadequate to initiate or complete a given clinical trial;</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manufacture sufficient quantities of our product candidates for use in clinical trials;</w:t>
      </w:r>
    </w:p>
    <w:p>
      <w:pPr>
        <w:spacing w:after="0" w:line="224"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reports from clinical testing of other therapies may raise safety or efficacy concerns about our product candidates;</w:t>
      </w:r>
    </w:p>
    <w:p>
      <w:pPr>
        <w:spacing w:after="0" w:line="154" w:lineRule="exact"/>
        <w:rPr>
          <w:rFonts w:ascii="Times New Roman" w:cs="Times New Roman" w:eastAsia="Times New Roman" w:hAnsi="Times New Roman"/>
          <w:sz w:val="18"/>
          <w:szCs w:val="18"/>
          <w:color w:val="auto"/>
        </w:rPr>
      </w:pPr>
    </w:p>
    <w:p>
      <w:pPr>
        <w:ind w:left="720" w:right="259" w:hanging="319"/>
        <w:spacing w:after="0" w:line="252"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establish an appropriate safety profile for a product candidate based on clinical or preclinical data for such product candidate as well as data emerging from other studies or trials in the same class as our product candidate;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300" w:lineRule="auto"/>
        <w:tabs>
          <w:tab w:leader="none" w:pos="7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FDA or applicable foreign regulatory agencies may require us to submit additional data such as long-term toxicology studies, or impose other requirements before permitting us to initiate a clinical trial.</w:t>
      </w:r>
    </w:p>
    <w:p>
      <w:pPr>
        <w:spacing w:after="0" w:line="131"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Patient enrollment, a significant factor in the timing of clinical trials, is affected by many factors including the size and nature of the patient population, the number and location of clinical sites we enroll,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patients’ perceptions as to the potential advantages of the product candidate being studied in relation to other available therapies, including any new drugs or therapeutic biologics that may be approved for the indications being investigated by us, and other factors, such as future pandemics, over which we have no control. Furthermore, we are relying and expect to continue to rely on our collaborators, CROs, and clinical trial sites to ensure the proper and timely conduct of our current and future clinical trials, including the patient enrollment process, and we have limited influence over their performance. Additionally, we could encounter delays if treating physicians encounter unresolved ethical issues associated with enrolling patients in our current and future clinical trials of our product candidates in lieu of prescribing existing treatments that have established safety and efficacy profiles.</w:t>
      </w:r>
    </w:p>
    <w:p>
      <w:pPr>
        <w:spacing w:after="0" w:line="18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could also encounter delays if a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8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87" w:lineRule="exact"/>
        <w:rPr>
          <w:sz w:val="20"/>
          <w:szCs w:val="20"/>
          <w:color w:val="auto"/>
        </w:rPr>
      </w:pPr>
    </w:p>
    <w:p>
      <w:pPr>
        <w:ind w:left="60" w:right="219"/>
        <w:spacing w:after="0" w:line="249" w:lineRule="auto"/>
        <w:rPr>
          <w:sz w:val="20"/>
          <w:szCs w:val="20"/>
          <w:color w:val="auto"/>
        </w:rPr>
      </w:pPr>
      <w:r>
        <w:rPr>
          <w:rFonts w:ascii="Arial" w:cs="Arial" w:eastAsia="Arial" w:hAnsi="Arial"/>
          <w:sz w:val="18"/>
          <w:szCs w:val="18"/>
          <w:b w:val="1"/>
          <w:bCs w:val="1"/>
          <w:i w:val="1"/>
          <w:iCs w:val="1"/>
          <w:color w:val="auto"/>
        </w:rPr>
        <w:t>As an organization, we have limited experience designing and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16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design and implementation of clinical trials is a complex process. While the employees who will implement our clinical trials have experience in the field, we, as an organization, have not completed any clinical trials. We have limited experience designing and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w:t>
      </w:r>
    </w:p>
    <w:p>
      <w:pPr>
        <w:spacing w:after="0" w:line="176" w:lineRule="exact"/>
        <w:rPr>
          <w:sz w:val="20"/>
          <w:szCs w:val="20"/>
          <w:color w:val="auto"/>
        </w:rPr>
      </w:pPr>
    </w:p>
    <w:p>
      <w:pPr>
        <w:ind w:left="60" w:right="459"/>
        <w:spacing w:after="0" w:line="256"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15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is available.</w:t>
      </w:r>
    </w:p>
    <w:p>
      <w:pPr>
        <w:spacing w:after="0" w:line="18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Preliminary or interim data from clinical trials is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17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187" w:lineRule="exact"/>
        <w:rPr>
          <w:sz w:val="20"/>
          <w:szCs w:val="20"/>
          <w:color w:val="auto"/>
        </w:rPr>
      </w:pPr>
    </w:p>
    <w:p>
      <w:pPr>
        <w:jc w:val="both"/>
        <w:ind w:left="60" w:right="619"/>
        <w:spacing w:after="0" w:line="256" w:lineRule="auto"/>
        <w:rPr>
          <w:sz w:val="20"/>
          <w:szCs w:val="20"/>
          <w:color w:val="auto"/>
        </w:rPr>
      </w:pPr>
      <w:r>
        <w:rPr>
          <w:rFonts w:ascii="Arial" w:cs="Arial" w:eastAsia="Arial" w:hAnsi="Arial"/>
          <w:sz w:val="18"/>
          <w:szCs w:val="18"/>
          <w:b w:val="1"/>
          <w:bCs w:val="1"/>
          <w:i w:val="1"/>
          <w:iCs w:val="1"/>
          <w:color w:val="auto"/>
        </w:rPr>
        <w:t>Beyond CNTY-101, we may not be able to file our INDs or CTAs to commence clinical trials on the timelines we expect, and even if we are able to, the FDA or other global health authorities may not permit us to proceed.</w:t>
      </w:r>
    </w:p>
    <w:p>
      <w:pPr>
        <w:spacing w:after="0" w:line="15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expect our pipeline to yield multiple additional INDs or CTAs, including INDs or CTAs for CNTY-308,and CNTY-341 product candidates from our iPSC-derived allogeneic cell therapy platforms. We cannot be sure that submission of an IND will result in the FDA allowing testing and clinical trials to begin, or that, once begun, issues will not arise that result in suspension or termination of such clinical trials. The manufacturing of our product candidates remains an emerging and evolving field. Accordingly, we expect chemistry, manufacturing and control related topics, including product specifications, will be a focus of IND reviews, and unfavorable findings may delay or prevent the FDA from allowing us to proceed with clinical trials. Further, FDA guidelines for IND submissions may differ from those in the EU. For example, the cell line used to develop IPSC-308 and IPSC-341 was manufactured by Catalent under EU standards. Because the FDA guidelines with respect to the manufacture and utilization of donor cells is not the same as in the EU, IND clearance for IPSC-308, IPSC-341 and any other product candidates using cell lines developed under non-FDA standards may be delayed or ultimately not achieved which could impact our development timelines and harm our business, operating results, prospects, or financial condition.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17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focus on the development of programmed cellular immunotherapies for patients with cancer and autoimmune diseases, including off-the-shelf NK- and T-cell product candidates derived from clonal master engineered iPSC lines. Because our iPSC-derived allogeneic cell therapy platforms are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Due to these factors, our spending on current and future research and development programs and product candidates and the scientific innovation arising from these expenditures may not yield commercially viable product candidates.</w:t>
      </w:r>
    </w:p>
    <w:p>
      <w:pPr>
        <w:spacing w:after="0" w:line="188" w:lineRule="exact"/>
        <w:rPr>
          <w:sz w:val="20"/>
          <w:szCs w:val="20"/>
          <w:color w:val="auto"/>
        </w:rPr>
      </w:pPr>
    </w:p>
    <w:p>
      <w:pPr>
        <w:ind w:left="60" w:right="179"/>
        <w:spacing w:after="0" w:line="256" w:lineRule="auto"/>
        <w:rPr>
          <w:sz w:val="20"/>
          <w:szCs w:val="20"/>
          <w:color w:val="auto"/>
        </w:rPr>
      </w:pPr>
      <w:r>
        <w:rPr>
          <w:rFonts w:ascii="Arial" w:cs="Arial" w:eastAsia="Arial" w:hAnsi="Arial"/>
          <w:sz w:val="18"/>
          <w:szCs w:val="18"/>
          <w:b w:val="1"/>
          <w:bCs w:val="1"/>
          <w:i w:val="1"/>
          <w:iCs w:val="1"/>
          <w:color w:val="auto"/>
        </w:rPr>
        <w:t>We intend to study our product candidates in patient populations with significant comorbidities that may result in deaths or serious adverse events or unacceptable side effects and require us to abandon or limit our clinical development activities.</w:t>
      </w:r>
    </w:p>
    <w:p>
      <w:pPr>
        <w:spacing w:after="0" w:line="15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Patients we intend to treat with our product candidates may also receive chemotherapy agents, radiation, chronic immunosuppressants, biologics/monoclonal antibodies, and/or other cell therapy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if approved. Any inability to advance our existing product candidates or any other product candidate through clinical development would have a material adverse effect on our business.</w:t>
      </w:r>
    </w:p>
    <w:p>
      <w:pPr>
        <w:spacing w:after="0" w:line="188" w:lineRule="exact"/>
        <w:rPr>
          <w:sz w:val="20"/>
          <w:szCs w:val="20"/>
          <w:color w:val="auto"/>
        </w:rPr>
      </w:pPr>
    </w:p>
    <w:p>
      <w:pPr>
        <w:ind w:left="60" w:right="419"/>
        <w:spacing w:after="0" w:line="309" w:lineRule="auto"/>
        <w:rPr>
          <w:sz w:val="20"/>
          <w:szCs w:val="20"/>
          <w:color w:val="auto"/>
        </w:rPr>
      </w:pPr>
      <w:r>
        <w:rPr>
          <w:rFonts w:ascii="Arial" w:cs="Arial" w:eastAsia="Arial" w:hAnsi="Arial"/>
          <w:sz w:val="17"/>
          <w:szCs w:val="17"/>
          <w:b w:val="1"/>
          <w:bCs w:val="1"/>
          <w:i w:val="1"/>
          <w:iCs w:val="1"/>
          <w:color w:val="auto"/>
        </w:rPr>
        <w:t>We may experience difficulties identifying and enrolling patients in our clinical trials. Difficulty in enrolling patients could delay or prevent clinical trials of CNTY-101 or our other product candidates.</w:t>
      </w:r>
    </w:p>
    <w:p>
      <w:pPr>
        <w:spacing w:after="0" w:line="11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Identifying and qualifying patients to participate in clinical trials of CNTY-101 is critical to our success. The timing of our clinical trials depends in part on the speed at which we can recruit patients to participate in testing CNTY-101, and we may experience delays in our clinical trials if we encounter difficulties in enrollment. The eligibility criteria of our clinical trials may limit the pool of available study participants as it will require patients to have specific characteristics that we can measure to ensure their disease is either severe enough or not too advanced to include them in a clinical trial. The process of finding and diagnosing patients may prove costly.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our trials for any reason, the timeline for recruiting patients, conducting trials, and obtaining regulatory approval of potential products may be delayed, the commercial prospects of CNTY-101 or our other product candidates will be harmed, and our ability to generate product revenue from any of these product candidates could be delayed or prevented. Furthermore, our inability to enroll a sufficient number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patients for our clinical trials could result in significant delays or may require us to abandon one or more clinical trials altogether. Enrollment delays in our clinical trials may result in increased development costs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CNTY-101 or our other product candidates. Any of these occurrences may harm our business, financial condition, and prospects significantly.</w:t>
      </w:r>
    </w:p>
    <w:p>
      <w:pPr>
        <w:spacing w:after="0" w:line="181" w:lineRule="exact"/>
        <w:rPr>
          <w:sz w:val="20"/>
          <w:szCs w:val="20"/>
          <w:color w:val="auto"/>
        </w:rPr>
      </w:pPr>
    </w:p>
    <w:p>
      <w:pPr>
        <w:ind w:left="60" w:right="179"/>
        <w:spacing w:after="0" w:line="256" w:lineRule="auto"/>
        <w:rPr>
          <w:sz w:val="20"/>
          <w:szCs w:val="20"/>
          <w:color w:val="auto"/>
        </w:rPr>
      </w:pPr>
      <w:r>
        <w:rPr>
          <w:rFonts w:ascii="Arial" w:cs="Arial" w:eastAsia="Arial" w:hAnsi="Arial"/>
          <w:sz w:val="18"/>
          <w:szCs w:val="18"/>
          <w:b w:val="1"/>
          <w:bCs w:val="1"/>
          <w:i w:val="1"/>
          <w:iCs w:val="1"/>
          <w:color w:val="auto"/>
        </w:rPr>
        <w:t>CNTY-101 and our other product candidates may cause adverse events or undesirable side effects that could delay or prevent its regulatory approval, limit the commercial profile of an approved label, or result in significant negative consequences following marketing approval, if any.</w:t>
      </w:r>
    </w:p>
    <w:p>
      <w:pPr>
        <w:spacing w:after="0" w:line="159"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Cell therapy is still a relatively new approach to disease treatment and adverse side effects could develop. There also is the potential risk of delayed adverse events following exposure to cell therapy products due to persistent biologic activity of the genetic material or other components of products used to carry the genetic material.</w:t>
      </w:r>
    </w:p>
    <w:p>
      <w:pPr>
        <w:spacing w:after="0" w:line="174"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We have been collecting data about CNTY-101 in preclinical studies,our Phase 1 ELiPSE-1 clinical trial, and Phase 1 CALiPSO-1 clinical trial. While, to date, CNTY-101 has been generally well tolerated, the information regarding the side-effect profile of CNTY-101 and other future products in humans is limited. Accordingly, we may experience unexpected side effects and/or higher levels of known side effects in clinical trials, including adverse events known in cell therapies. These include the potential for, among others, cytokine release syndrome, or CRS, and neurotoxicity, or immune effector cell-associated neurotoxicity syndrome. B-cell directed therapies may also demonstrate infusion reactions/hypersensitivity, serious infections, prolonged cytopenias, hypogammaglobulinemia/B-cell aplasia, and secondary malignancies. Some of these events have been noted in our clinical trials, but have not been DLTs or resulted in pauses to enrollment.</w:t>
      </w:r>
    </w:p>
    <w:p>
      <w:pPr>
        <w:spacing w:after="0" w:line="18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Any adverse events or undesirable side effects caused by, or other unexpected properties of, CNTY-101 or our other product candidates could cause us, any future collaborators, an IRB, or ethics committee or regulatory authorities to interrupt, delay, or halt clinical trials of our product candidates and could result in a more restrictive label or the delay or denial of regulatory approval by the FDA or other regulatory authorities. It is possible that as we progress CNTY-101 or our other product candidates through preclinical and clinical development, or as the use of CNTY-101 or our other product candidates become more widespread if it receives regulatory approval, illnesses, injuries, discomforts, and other adverse events that were not observed in preclinical studies or clinical trials, as well as conditions that did not occur or went undetected, will be reported by patients. If such side effects become known later in development or after approval, such findings may harm our business, financial condition, and prospects significantly. Further, if a serious safety issue is identified in connection with the use of CNTY-101 or our other product candidates commercially or in third-party clinical trials elsewhere, such issues may adversely affect the development potential of CNTY-101 or our other product candidates or result in regulatory authorities restricting our ability to develop or commercialize CNTY-101 or our other product candidates.</w:t>
      </w:r>
    </w:p>
    <w:p>
      <w:pPr>
        <w:spacing w:after="0" w:line="189"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Further, if CNTY-101 or any of our other product candidates were to receive regulatory approval and we or others identify undesirable side effects caused by the product (or any other product) after the approval, a number of potentially significant negative consequences could result, including:</w:t>
      </w:r>
    </w:p>
    <w:p>
      <w:pPr>
        <w:spacing w:after="0" w:line="169" w:lineRule="exact"/>
        <w:rPr>
          <w:sz w:val="20"/>
          <w:szCs w:val="20"/>
          <w:color w:val="auto"/>
        </w:rPr>
      </w:pPr>
    </w:p>
    <w:p>
      <w:pPr>
        <w:ind w:left="720" w:right="259" w:hanging="319"/>
        <w:spacing w:after="0" w:line="270" w:lineRule="auto"/>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request that we recall or withdraw the product from the market or may limit the approval of the product through labeling or other means;</w:t>
      </w:r>
    </w:p>
    <w:p>
      <w:pPr>
        <w:spacing w:after="0" w:line="154" w:lineRule="exact"/>
        <w:rPr>
          <w:rFonts w:ascii="Times New Roman" w:cs="Times New Roman" w:eastAsia="Times New Roman" w:hAnsi="Times New Roman"/>
          <w:sz w:val="18"/>
          <w:szCs w:val="18"/>
          <w:color w:val="auto"/>
        </w:rPr>
      </w:pPr>
    </w:p>
    <w:p>
      <w:pPr>
        <w:ind w:left="720" w:right="139" w:hanging="319"/>
        <w:spacing w:after="0" w:line="270" w:lineRule="auto"/>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 or a precaution;</w:t>
      </w:r>
    </w:p>
    <w:p>
      <w:pPr>
        <w:spacing w:after="0" w:line="154" w:lineRule="exact"/>
        <w:rPr>
          <w:rFonts w:ascii="Times New Roman" w:cs="Times New Roman" w:eastAsia="Times New Roman" w:hAnsi="Times New Roman"/>
          <w:sz w:val="18"/>
          <w:szCs w:val="18"/>
          <w:color w:val="auto"/>
        </w:rPr>
      </w:pPr>
    </w:p>
    <w:p>
      <w:pPr>
        <w:ind w:left="720" w:right="359" w:hanging="319"/>
        <w:spacing w:after="0" w:line="270" w:lineRule="auto"/>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may decide to recall or remove the product from the marketplace;</w:t>
      </w:r>
    </w:p>
    <w:p>
      <w:pPr>
        <w:spacing w:after="0" w:line="224" w:lineRule="exact"/>
        <w:rPr>
          <w:rFonts w:ascii="Times New Roman" w:cs="Times New Roman" w:eastAsia="Times New Roman" w:hAnsi="Times New Roman"/>
          <w:sz w:val="18"/>
          <w:szCs w:val="18"/>
          <w:color w:val="auto"/>
        </w:rPr>
      </w:pPr>
    </w:p>
    <w:p>
      <w:pPr>
        <w:ind w:left="720" w:right="379" w:hanging="319"/>
        <w:spacing w:after="0" w:line="270"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sued and/or held liable for injury caused to individuals exposed to or taking our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damage to the public perception of the safety of CNTY-101 or our other product candidates; and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ind w:left="60" w:right="59"/>
        <w:spacing w:after="0" w:line="266"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if approved, and generate revenues, all of which would materially adversely affect our business, financial condition, and results of operations.</w:t>
      </w:r>
    </w:p>
    <w:p>
      <w:pPr>
        <w:spacing w:after="0" w:line="15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In addition, although CNTY-101 and our future product candidates may differ in certain ways from other cancer immunotherapies and autoimmune diseases, including CD19-directed autologous CAR-T cell immunotherapies, serious adverse events, deaths or other unexpected safety issues in other companies’ clinical trials or that are discovered from post-marketing data sources involving cancer immunotherapies, more generally, even if unrelated to our product candidates, could negatively impact our business. For example, in November 2023, the FDA announced that it would be conducting an investigation into reports of T cell malignancies following BCMA-directed or CD19-directed autologous CAR-T cell immunotherapies following reports of T cell lymphoma in patients receiving these therapies. In January 2024, the FDA determined that new safety information related to T cell malignancies should be included in the labeling with boxed warning language on these malignancies for all currently approved BCMA- and CD-19-directed genetically modified autologous T cell immunotherapies. While CNTY-101 is designed to utilize a different mechanism of action, FDA’s ongoing post-market monitoring of CAR-T therapies could result in increased government regulation, unfavorable public perception and publicity, potential impacts on enrollment in our clinical trials, potential regulatory delays in the testing or approval of our product candidates, stricter labeling requirements for those product candidates that may receive approval, and a decrease in demand for any such product candidates.</w:t>
      </w:r>
    </w:p>
    <w:p>
      <w:pPr>
        <w:spacing w:after="0" w:line="176" w:lineRule="exact"/>
        <w:rPr>
          <w:sz w:val="20"/>
          <w:szCs w:val="20"/>
          <w:color w:val="auto"/>
        </w:rPr>
      </w:pPr>
    </w:p>
    <w:p>
      <w:pPr>
        <w:ind w:left="60" w:right="179"/>
        <w:spacing w:after="0" w:line="249" w:lineRule="auto"/>
        <w:rPr>
          <w:sz w:val="20"/>
          <w:szCs w:val="20"/>
          <w:color w:val="auto"/>
        </w:rPr>
      </w:pPr>
      <w:r>
        <w:rPr>
          <w:rFonts w:ascii="Arial" w:cs="Arial" w:eastAsia="Arial" w:hAnsi="Arial"/>
          <w:sz w:val="18"/>
          <w:szCs w:val="18"/>
          <w:b w:val="1"/>
          <w:bCs w:val="1"/>
          <w:i w:val="1"/>
          <w:iCs w:val="1"/>
          <w:color w:val="auto"/>
        </w:rPr>
        <w:t>Public opinion and scrutiny of cell-based immuno-oncology therapies for treating cancer or immune-related disorders, or negative clinical trial results from our cell-based therapy competitors, may impact public perception of our company and product candidates, or impair our ability to conduct our business.</w:t>
      </w:r>
    </w:p>
    <w:p>
      <w:pPr>
        <w:spacing w:after="0" w:line="16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Our iPSC-derived allogeneic cell therapy platforms utilize a relatively novel technology involving the genetic modification of iPSCs and utilization of those modified cells in other individuals, and no iNK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or negative clinical trial results from our cell-based therapy competitors,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business or financial condition and may delay or impair the development and commercialization of our product candidates or demand for any products we may develop.</w:t>
      </w:r>
    </w:p>
    <w:p>
      <w:pPr>
        <w:spacing w:after="0" w:line="156" w:lineRule="exact"/>
        <w:rPr>
          <w:sz w:val="20"/>
          <w:szCs w:val="20"/>
          <w:color w:val="auto"/>
        </w:rPr>
      </w:pPr>
    </w:p>
    <w:p>
      <w:pPr>
        <w:ind w:left="60" w:right="1079"/>
        <w:spacing w:after="0" w:line="278"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39"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lobbying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1" w:lineRule="exact"/>
        <w:rPr>
          <w:sz w:val="20"/>
          <w:szCs w:val="20"/>
          <w:color w:val="auto"/>
        </w:rPr>
      </w:pPr>
    </w:p>
    <w:p>
      <w:pPr>
        <w:ind w:left="60" w:right="239"/>
        <w:spacing w:after="0" w:line="278"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 candidates, if approved, may be delayed.</w:t>
      </w:r>
    </w:p>
    <w:p>
      <w:pPr>
        <w:spacing w:after="0" w:line="13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and BLA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clinical trials that we conduct that could delay or prevent our ability to receive marketing approval or commercialize our product candidates.</w:t>
      </w:r>
    </w:p>
    <w:p>
      <w:pPr>
        <w:spacing w:after="0" w:line="185" w:lineRule="exact"/>
        <w:rPr>
          <w:sz w:val="20"/>
          <w:szCs w:val="20"/>
          <w:color w:val="auto"/>
        </w:rPr>
      </w:pPr>
    </w:p>
    <w:p>
      <w:pPr>
        <w:ind w:left="60" w:right="239"/>
        <w:spacing w:after="0" w:line="249" w:lineRule="auto"/>
        <w:rPr>
          <w:sz w:val="20"/>
          <w:szCs w:val="20"/>
          <w:color w:val="auto"/>
        </w:rPr>
      </w:pPr>
      <w:r>
        <w:rPr>
          <w:rFonts w:ascii="Arial" w:cs="Arial" w:eastAsia="Arial" w:hAnsi="Arial"/>
          <w:sz w:val="18"/>
          <w:szCs w:val="18"/>
          <w:b w:val="1"/>
          <w:bCs w:val="1"/>
          <w:i w:val="1"/>
          <w:iCs w:val="1"/>
          <w:color w:val="auto"/>
        </w:rPr>
        <w:t>Changes in regulatory requirements, guidance from the FDA and other regulatory authorities, or unanticipated events during our clinical trials of CNTY-101 or our other product candidates may result in changes to preclinical studies or clinical trials or additional preclinical or clinical trial requirements, which could result in increased costs to us and could delay our development timeline.</w:t>
      </w:r>
    </w:p>
    <w:p>
      <w:pPr>
        <w:spacing w:after="0" w:line="16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Regulatory requirements governing biologic drug products, including cell therapy products, are still evolving and it is difficult to determine how long it will take or how much it will cost to obtain regulatory approvals for CNTY-101 or our other product candidates. Changes in regulatory requirements, FDA guidance or guidance from other regulatory agencies, or unanticipated events during our preclinical studies or clinical trials may force us to terminate or adjust our development program.</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addition, the clinical trial requirements of the FDA and foreign regulatory authorities and the criteria these regulators use to determine the safety and efficacy of a product candidate vary substantially according to the type, complexity, novelty, intended use, and market of such product candidates. The regulatory approval process for novel product candidates such as ours can be more expensive and take longer than for other, better known or more extensively studied product candidates. The FDA, or the applicable regulatory authorities, may impose additional preclinical or clinical trial requirements. Amendments to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preclinical or clinical trials, the commercial prospects for CNTY-101 or our other product candidates may be harmed and our ability to generate product revenue will be delayed, and it would materially adversely affect our business, financial condition, and results of operations.</w:t>
      </w:r>
    </w:p>
    <w:p>
      <w:pPr>
        <w:spacing w:after="0" w:line="183"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In order to market any product outside of the United States, we must comply with numerous and varying regulatory requirements of other countries regarding biologic development and commercialization. The approval process varies from country to country and can involve additional product testing and additional administrative review periods. The time required to obtain approval in other countries might differ from and be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53" w:lineRule="auto"/>
        <w:rPr>
          <w:sz w:val="20"/>
          <w:szCs w:val="20"/>
          <w:color w:val="auto"/>
        </w:rPr>
      </w:pPr>
      <w:r>
        <w:rPr>
          <w:rFonts w:ascii="Arial" w:cs="Arial" w:eastAsia="Arial" w:hAnsi="Arial"/>
          <w:sz w:val="18"/>
          <w:szCs w:val="18"/>
          <w:color w:val="auto"/>
        </w:rPr>
        <w:t>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71" w:lineRule="exact"/>
        <w:rPr>
          <w:sz w:val="20"/>
          <w:szCs w:val="20"/>
          <w:color w:val="auto"/>
        </w:rPr>
      </w:pPr>
    </w:p>
    <w:p>
      <w:pPr>
        <w:ind w:left="60" w:right="239"/>
        <w:spacing w:after="0" w:line="24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16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Currently, federal agencies in the U.S. are operating under a continuing resolution that is set to expire on September 30, 2025. Without appropriation of additional funding to federal agencies, our business operations related to our product development activities for the U.S. market could be impacted. 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w:t>
      </w:r>
    </w:p>
    <w:p>
      <w:pPr>
        <w:spacing w:after="0" w:line="183" w:lineRule="exact"/>
        <w:rPr>
          <w:sz w:val="20"/>
          <w:szCs w:val="20"/>
          <w:color w:val="auto"/>
        </w:rPr>
      </w:pPr>
    </w:p>
    <w:p>
      <w:pPr>
        <w:ind w:left="60" w:right="439"/>
        <w:spacing w:after="0" w:line="253" w:lineRule="auto"/>
        <w:rPr>
          <w:sz w:val="20"/>
          <w:szCs w:val="20"/>
          <w:color w:val="auto"/>
        </w:rPr>
      </w:pPr>
      <w:r>
        <w:rPr>
          <w:rFonts w:ascii="Arial" w:cs="Arial" w:eastAsia="Arial" w:hAnsi="Arial"/>
          <w:sz w:val="18"/>
          <w:szCs w:val="18"/>
          <w:color w:val="auto"/>
        </w:rPr>
        <w:t>If a prolonged government shutdown occurs, it could significantly impact the ability of the FDA or other regulatory authorities to timely review and process our regulatory submissions, which could have a material adverse effect on our business.</w:t>
      </w:r>
    </w:p>
    <w:p>
      <w:pPr>
        <w:spacing w:after="0" w:line="171" w:lineRule="exact"/>
        <w:rPr>
          <w:sz w:val="20"/>
          <w:szCs w:val="20"/>
          <w:color w:val="auto"/>
        </w:rPr>
      </w:pPr>
    </w:p>
    <w:p>
      <w:pPr>
        <w:ind w:left="60" w:right="899"/>
        <w:spacing w:after="0" w:line="278"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supervise, and monitor our preclinical studies and clinical trials for our product candidates.</w:t>
      </w:r>
    </w:p>
    <w:p>
      <w:pPr>
        <w:spacing w:after="0" w:line="13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rely on third-party CROs, study sites, and others to conduct, supervise, and monitor our preclinical studies and clinical trials for our product candidates. We expect to continue to rely on third parties, such as CROs, clinical data management organizations, medical institutions, and clinical investigators, to conduct our preclinical studies and clinical trials of our product candidates. Although we have agreements with these third parties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preclinical studies and clinical trials required to support future approval of CNTY-101 and our other product candidates, or we may not obtain marketing approval for, or commercialize, CNTY-101 and our other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and prospects may be materially harmed.</w:t>
      </w:r>
    </w:p>
    <w:p>
      <w:pPr>
        <w:spacing w:after="0" w:line="18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preclinical studies and clinical trials is conducted in accordance with the general investigational plan and protocols for such trial. We must also ensure that our preclinical studies and clinical trials are conducted in accordance with GLP regulations, as appropriate. Moreover, the FDA and comparable foreign regulatory authorities require us to comply with GCPs for conducting, recording, and reporting the results of clinical trials to ensure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to comply with applicable GCPs or other regulatory requirements, we or they may be subject to enforcement or other legal actions, the data generated in our preclinical studies and clinical trials may be deemed unreliable and the FDA, or comparable foreign regulatory authorities may require us to perform additional studies.</w:t>
      </w:r>
    </w:p>
    <w:p>
      <w:pPr>
        <w:spacing w:after="0" w:line="169"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174"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We cannot assure you that upon inspection by a given regulatory authority, such regulatory authority will determine that any of our clinical trials will comply with the applicable regulatory requirements. In addition, our clinical trials must be conducted with product candidates that were produced under cGMP regulations.</w:t>
      </w:r>
    </w:p>
    <w:p>
      <w:pPr>
        <w:spacing w:after="0" w:line="16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www.clinicaltrials.gov, within specified timeframes. Failure to do so can result in enforcement actions and adverse publicity.</w:t>
      </w:r>
    </w:p>
    <w:p>
      <w:pPr>
        <w:spacing w:after="0" w:line="17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developmental and preclinical programs. If these third parties do not successfully carry out their contractual duties, meet expected deadlines, or conduct our preclinical studies or clinical trials in accordance with regulatory requirements or our stated protocols, if these parties are adversely impacted by macroeconomic or other factors limiting or materially affecting their ability to carry out their contractual duties, if they need to be replaced or if the quality or accuracy of the data they obtain is compromised due to the failure to adhere to our protocols, regulatory requirements or for other reasons, our preclinical studies and clinical trials may be repeated, extended, delayed, or terminated; we may not be able to obtain, or may be delayed in obtaining, marketing approvals for CNTY-101 and our other product candidates; we may not be able to, or may be delayed in our efforts to, successfully commercialize CNTY-101 or our other product candidates; or we or they may be subject to regulatory enforcement actions. As a result, our results of operations and the commercial prospects for CNTY-101 and our other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and prospects may be materially harmed.</w:t>
      </w:r>
    </w:p>
    <w:p>
      <w:pPr>
        <w:spacing w:after="0" w:line="18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178" w:lineRule="exact"/>
        <w:rPr>
          <w:sz w:val="20"/>
          <w:szCs w:val="20"/>
          <w:color w:val="auto"/>
        </w:rPr>
      </w:pPr>
    </w:p>
    <w:p>
      <w:pPr>
        <w:ind w:left="60" w:right="199"/>
        <w:spacing w:after="0" w:line="256"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our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indications may not yield any commercially viable products. If we do not accurately evaluate the commercial potential or target market for a particular product candidate, we may relinquish valuable rights, including intellectual property rights, to that product candidate through collaboration, licensing, or other royalty arrangements in cases in which it would have been more advantageous for us to retain sole development and commercialization rights.</w:t>
      </w:r>
    </w:p>
    <w:p>
      <w:pPr>
        <w:spacing w:after="0" w:line="178" w:lineRule="exact"/>
        <w:rPr>
          <w:sz w:val="20"/>
          <w:szCs w:val="20"/>
          <w:color w:val="auto"/>
        </w:rPr>
      </w:pPr>
    </w:p>
    <w:p>
      <w:pPr>
        <w:jc w:val="both"/>
        <w:ind w:left="60" w:right="139"/>
        <w:spacing w:after="0" w:line="256" w:lineRule="auto"/>
        <w:rPr>
          <w:sz w:val="20"/>
          <w:szCs w:val="20"/>
          <w:color w:val="auto"/>
        </w:rPr>
      </w:pPr>
      <w:r>
        <w:rPr>
          <w:rFonts w:ascii="Arial" w:cs="Arial" w:eastAsia="Arial" w:hAnsi="Arial"/>
          <w:sz w:val="18"/>
          <w:szCs w:val="18"/>
          <w:b w:val="1"/>
          <w:bCs w:val="1"/>
          <w:i w:val="1"/>
          <w:iCs w:val="1"/>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59"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Our business strategy includes leveraging our strategic partnership with FUJIFILM Cellular Dynamics Inc., or FCDI, and may include additional future partnerships for product development, product commercialization, manufacturing or other strategic objectives. As a result, we may in the future determine to collaborate with additional companies for development and potential commercialization of one or more therapeutic products. At the current time however, we cannot predict what form such a strategic collaboration might take. We are likely to face significant competition in seeking appropriate strategic collaborators, and strategic collaborations can be complicated and time-consuming to negotiate and document.</w:t>
      </w:r>
    </w:p>
    <w:p>
      <w:pPr>
        <w:spacing w:after="0" w:line="185" w:lineRule="exact"/>
        <w:rPr>
          <w:sz w:val="20"/>
          <w:szCs w:val="20"/>
          <w:color w:val="auto"/>
        </w:rPr>
      </w:pPr>
    </w:p>
    <w:p>
      <w:pPr>
        <w:ind w:left="60" w:right="299"/>
        <w:spacing w:after="0" w:line="237" w:lineRule="auto"/>
        <w:rPr>
          <w:sz w:val="20"/>
          <w:szCs w:val="20"/>
          <w:color w:val="auto"/>
        </w:rPr>
      </w:pPr>
      <w:r>
        <w:rPr>
          <w:rFonts w:ascii="Arial" w:cs="Arial" w:eastAsia="Arial" w:hAnsi="Arial"/>
          <w:sz w:val="18"/>
          <w:szCs w:val="18"/>
          <w:color w:val="auto"/>
        </w:rPr>
        <w:t>We may not be able to negotiate strategic collaborations on acceptable terms, if at all.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one or more of our other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18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174"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expenditure of substantial operational, financial and management resources;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dilutive issuances of our securities;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actual or contingent liabilities; and</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expiration of the arrangement, which would delay the development and may increase the cost of developing our product candidates.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42" w:lineRule="auto"/>
        <w:rPr>
          <w:sz w:val="20"/>
          <w:szCs w:val="20"/>
          <w:color w:val="auto"/>
        </w:rPr>
      </w:pPr>
      <w:r>
        <w:rPr>
          <w:rFonts w:ascii="Arial" w:cs="Arial" w:eastAsia="Arial" w:hAnsi="Arial"/>
          <w:sz w:val="18"/>
          <w:szCs w:val="18"/>
          <w:color w:val="auto"/>
        </w:rPr>
        <w:t>Strategic partners may also delay clinical trials, experience financial difficulties, provide insufficient funding, terminate a clinical trial, or abandon a product candidate, which could negatively impact our development efforts.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179"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Annual Report on Form 10-K also apply to the activities of our program collaborators. Additionally, subject to its contractual obligations to us, if one of our collaborators is involved in a business combination, the collaborator may deemphasize or terminate the development or commercialization of any product candidate licensed to it by us. If our collaborator terminates its agreement with us, it may find it more difficult to attract new collaborators.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214" w:lineRule="exact"/>
        <w:rPr>
          <w:sz w:val="20"/>
          <w:szCs w:val="20"/>
          <w:color w:val="auto"/>
        </w:rPr>
      </w:pPr>
    </w:p>
    <w:p>
      <w:pPr>
        <w:ind w:left="60" w:right="79"/>
        <w:spacing w:after="0" w:line="256" w:lineRule="auto"/>
        <w:rPr>
          <w:sz w:val="20"/>
          <w:szCs w:val="20"/>
          <w:color w:val="auto"/>
        </w:rPr>
      </w:pPr>
      <w:r>
        <w:rPr>
          <w:rFonts w:ascii="Arial" w:cs="Arial" w:eastAsia="Arial" w:hAnsi="Arial"/>
          <w:sz w:val="18"/>
          <w:szCs w:val="18"/>
          <w:b w:val="1"/>
          <w:bCs w:val="1"/>
          <w:i w:val="1"/>
          <w:iCs w:val="1"/>
          <w:color w:val="auto"/>
        </w:rPr>
        <w:t>The manufacture and distribution of our iPSC-derived cell product candidates is complex and subject to a multitude of risks. These risks could substantially increase our costs and limit the clinical and commercial supply of our product candidates.</w:t>
      </w:r>
    </w:p>
    <w:p>
      <w:pPr>
        <w:spacing w:after="0" w:line="15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manufacture and supply of our product candidates involve novel processes that are more complex than those required for most drugs, biologics and other cellular immunotherapies and, accordingly, present significant challenges and are subject to multiple risks. These complex processes include reprogramming human somatic cells to obtain iPSCs, genetically engineering these iPSCs, and differentiating the iPSCs to obtain the desired product candidate. As a result of the complexities in manufacturing biologics and distributing cell therapies, the cost to manufacture and distribute biologics and cell therapies in general, and our cell product candidates in particular, is generally higher than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180"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We are still developing optimized and reproducible manufacturing processes for clinical and commercial-scale manufacturing of our product candidates, and none of our manufacturing processes have been validated for commercial production of our product candidates. In addition, we are still optimizing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16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may make changes as we continue to develop and refine the manufacturing and distribution processes for our product candidates for clinical trials and commercialization, and we cannot be sure that even minor changes in these processes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119"/>
        <w:spacing w:after="0" w:line="245" w:lineRule="auto"/>
        <w:rPr>
          <w:sz w:val="20"/>
          <w:szCs w:val="20"/>
          <w:color w:val="auto"/>
        </w:rPr>
      </w:pPr>
      <w:r>
        <w:rPr>
          <w:rFonts w:ascii="Arial" w:cs="Arial" w:eastAsia="Arial" w:hAnsi="Arial"/>
          <w:sz w:val="18"/>
          <w:szCs w:val="18"/>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17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Manufacturing our product candidates requires many reagents and other specialty materials and equipment, some of which are manufactured or supplied by small companies with limited resources and experience to support commercial biologics production. To date, we and our clinical cell processing facilities and CMOs have purchased equipment, materials, and disposables, such as automated cell washing devices, automated cell warming units, commercially available media, and cell transfer and wash sets, used for the manufacture of our existing product candidates from third-party suppliers. Some of these suppliers may not have the capacity to support commercial products manufactured under 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 party for the supply of certain required components, including our pharmacologic modulators and components for our cell processing media. As a result macroeconomic factors, the business and operations of our suppliers may be disrupted or delayed, and we in turn may experience disruptions or delays in our supply chain. An inability to continue to source product from any of these suppliers, which could be due to the impacts of global pandemics, macroeconomic factors, recent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182" w:lineRule="exact"/>
        <w:rPr>
          <w:sz w:val="20"/>
          <w:szCs w:val="20"/>
          <w:color w:val="auto"/>
        </w:rPr>
      </w:pPr>
    </w:p>
    <w:p>
      <w:pPr>
        <w:ind w:left="60" w:right="399"/>
        <w:spacing w:after="0" w:line="256" w:lineRule="auto"/>
        <w:rPr>
          <w:sz w:val="20"/>
          <w:szCs w:val="20"/>
          <w:color w:val="auto"/>
        </w:rPr>
      </w:pPr>
      <w:r>
        <w:rPr>
          <w:rFonts w:ascii="Arial" w:cs="Arial" w:eastAsia="Arial" w:hAnsi="Arial"/>
          <w:sz w:val="18"/>
          <w:szCs w:val="18"/>
          <w:b w:val="1"/>
          <w:bCs w:val="1"/>
          <w:i w:val="1"/>
          <w:iCs w:val="1"/>
          <w:color w:val="auto"/>
        </w:rPr>
        <w:t>We rely on third parties for the manufacture of some of our product candidates for development, although we now operate our own manufacturing facility for the production of certain of our product candidates.</w:t>
      </w:r>
    </w:p>
    <w:p>
      <w:pPr>
        <w:spacing w:after="0" w:line="15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are now operating our own manufacturing facility but still rely on FCDI for the manufacture of some of our product candidates and CMOs for the manufacture of related raw materials for clinical and preclinical development. It is uncertain whether we will be able to utilize our own manufacturing facilities for commercial manufacturing of our products and therefore, we may need to rely on third parties for commercial manufacturing if any of our product candidates receive marketing approval. We have partnered with FCDI for the manufacture and supply of some of our product candidates for future clinical development, as well as to establish commercial supplies of some of our product candidates, if approved. If either of our Manufacturing Agreement or Master Collaboration Agreement with FCDI terminates, and if we need to enter into alternative arrangements, our product development activities could be delayed and our business, financial condition, results of operations, and prospects may be materially harmed. We completed construction of our own 53,000 square foot GMP manufacturing facility in Branchburg, New Jersey as well as the fit-out and qualifications for the facility in 2022 and the facility is operational.</w:t>
      </w:r>
    </w:p>
    <w:p>
      <w:pPr>
        <w:spacing w:after="0" w:line="18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facilities used by us, FCDI, and any other manufacturers with which we may collaborate must be approved by the FDA pursuant to inspections that will be conducted after we submit a BLA to the FDA. For manufacturing facilities in which we do not operate, we do not control the manufacturing process of, and are completely dependent on, CMOs for compliance with cGMP requirements for the manufacture of biologic products. If these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CMOs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CMO,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188" w:lineRule="exact"/>
        <w:rPr>
          <w:sz w:val="20"/>
          <w:szCs w:val="20"/>
          <w:color w:val="auto"/>
        </w:rPr>
      </w:pPr>
    </w:p>
    <w:p>
      <w:pPr>
        <w:ind w:left="60" w:right="419"/>
        <w:spacing w:after="0" w:line="301" w:lineRule="auto"/>
        <w:rPr>
          <w:sz w:val="20"/>
          <w:szCs w:val="20"/>
          <w:color w:val="auto"/>
        </w:rPr>
      </w:pPr>
      <w:r>
        <w:rPr>
          <w:rFonts w:ascii="Arial" w:cs="Arial" w:eastAsia="Arial" w:hAnsi="Arial"/>
          <w:sz w:val="17"/>
          <w:szCs w:val="17"/>
          <w:color w:val="auto"/>
        </w:rPr>
        <w:t>Our or a CMO’s failure to execute on our manufacturing requirements, to do so on commercially reasonable terms and comply with cGMP could adversely affect our business in a number of ways, including:</w:t>
      </w:r>
    </w:p>
    <w:p>
      <w:pPr>
        <w:spacing w:after="0" w:line="131" w:lineRule="exact"/>
        <w:rPr>
          <w:sz w:val="20"/>
          <w:szCs w:val="20"/>
          <w:color w:val="auto"/>
        </w:rPr>
      </w:pPr>
    </w:p>
    <w:p>
      <w:pPr>
        <w:ind w:left="720" w:right="559" w:hanging="319"/>
        <w:spacing w:after="0" w:line="270"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an inability to initiate or continue clinical trials of CNTY-101 or our other product candidates under development;</w:t>
      </w:r>
    </w:p>
    <w:p>
      <w:pPr>
        <w:spacing w:after="0" w:line="154" w:lineRule="exact"/>
        <w:rPr>
          <w:rFonts w:ascii="Times New Roman" w:cs="Times New Roman" w:eastAsia="Times New Roman" w:hAnsi="Times New Roman"/>
          <w:sz w:val="18"/>
          <w:szCs w:val="18"/>
          <w:color w:val="auto"/>
        </w:rPr>
      </w:pPr>
    </w:p>
    <w:p>
      <w:pPr>
        <w:ind w:left="720" w:right="979" w:hanging="319"/>
        <w:spacing w:after="0" w:line="270"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delay in submitting regulatory applications, or receiving marketing approvals, for our product candidates;</w:t>
      </w:r>
    </w:p>
    <w:p>
      <w:pPr>
        <w:spacing w:after="0" w:line="154" w:lineRule="exact"/>
        <w:rPr>
          <w:rFonts w:ascii="Times New Roman" w:cs="Times New Roman" w:eastAsia="Times New Roman" w:hAnsi="Times New Roman"/>
          <w:sz w:val="18"/>
          <w:szCs w:val="18"/>
          <w:color w:val="auto"/>
        </w:rPr>
      </w:pPr>
    </w:p>
    <w:p>
      <w:pPr>
        <w:ind w:left="720" w:right="139" w:hanging="319"/>
        <w:spacing w:after="0" w:line="270"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224" w:lineRule="exact"/>
        <w:rPr>
          <w:rFonts w:ascii="Times New Roman" w:cs="Times New Roman" w:eastAsia="Times New Roman" w:hAnsi="Times New Roman"/>
          <w:sz w:val="18"/>
          <w:szCs w:val="18"/>
          <w:color w:val="auto"/>
        </w:rPr>
      </w:pPr>
    </w:p>
    <w:p>
      <w:pPr>
        <w:ind w:left="720" w:right="339" w:hanging="319"/>
        <w:spacing w:after="0" w:line="270" w:lineRule="auto"/>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in the event of approval to market and commercialize CNTY-101 or our other product candidates, an inability to meet commercial demands for CNTY-101 or our other product candidates.</w:t>
      </w:r>
    </w:p>
    <w:p>
      <w:pPr>
        <w:spacing w:after="0" w:line="154"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Any performance failure on the part of us or our existing or future CMOs could delay clinical development or marketing approval, and any related remedial measures may be costly or time-consuming to implement. If our current CMOs cannot perform as agreed or if we face manufacturing issues at our own GMP manufacturing facility in Branchburg, New Jersey, we may be required to replace such manufacturers and we may be unable to replace them on a timely basis or at all.</w:t>
      </w:r>
    </w:p>
    <w:p>
      <w:pPr>
        <w:spacing w:after="0" w:line="176"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Our current and anticipated future dependence upon CMOs for the manufacture of our product candidates or products may adversely affect our future profit margins and our ability to commercialize any products that receive marketing approval on a timely and competitive basis.</w:t>
      </w:r>
    </w:p>
    <w:p>
      <w:pPr>
        <w:spacing w:after="0" w:line="171" w:lineRule="exact"/>
        <w:rPr>
          <w:sz w:val="20"/>
          <w:szCs w:val="20"/>
          <w:color w:val="auto"/>
        </w:rPr>
      </w:pPr>
    </w:p>
    <w:p>
      <w:pPr>
        <w:ind w:left="60" w:right="539"/>
        <w:spacing w:after="0" w:line="278" w:lineRule="auto"/>
        <w:rPr>
          <w:sz w:val="20"/>
          <w:szCs w:val="20"/>
          <w:color w:val="auto"/>
        </w:rPr>
      </w:pPr>
      <w:r>
        <w:rPr>
          <w:rFonts w:ascii="Arial" w:cs="Arial" w:eastAsia="Arial" w:hAnsi="Arial"/>
          <w:sz w:val="18"/>
          <w:szCs w:val="18"/>
          <w:b w:val="1"/>
          <w:bCs w:val="1"/>
          <w:i w:val="1"/>
          <w:iCs w:val="1"/>
          <w:color w:val="auto"/>
        </w:rPr>
        <w:t>Delays in commissioning and receiving regulatory approvals for our manufacturing facilities could delay our development plans and thereby limit our ability to generate revenues.</w:t>
      </w:r>
    </w:p>
    <w:p>
      <w:pPr>
        <w:spacing w:after="0" w:line="139"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We believe that internal cGMP manufacturing is important to facilitate clinical product supply, lower the risk of manufacturing disruptions, and enable more cost-effective manufacturing. We believe our Branchburg, New Jersey facility will allow us to supply certain of our product candidates needed for our early-stage clinical trials and preclinical studies. The operation and maintenance, and regulatory approvals for such facilities, require substantial capital and technical expertise and any delay could limit our development activities and our opportunities for growth, or negatively impact our financial results.</w:t>
      </w:r>
    </w:p>
    <w:p>
      <w:pPr>
        <w:spacing w:after="0" w:line="17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materially adversely affect our business, financial condition, results of operations, and growth prospects.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also may encounter problems with the following:</w:t>
      </w:r>
    </w:p>
    <w:p>
      <w:pPr>
        <w:spacing w:after="0" w:line="212" w:lineRule="exact"/>
        <w:rPr>
          <w:sz w:val="20"/>
          <w:szCs w:val="20"/>
          <w:color w:val="auto"/>
        </w:rPr>
      </w:pPr>
    </w:p>
    <w:p>
      <w:pPr>
        <w:ind w:left="720" w:right="259" w:hanging="319"/>
        <w:spacing w:after="0" w:line="270" w:lineRule="auto"/>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complying with regulations regarding donor traceability, manufacturing, release of product candidates and other requirements from regulatory authorities outside the United States;</w:t>
      </w:r>
    </w:p>
    <w:p>
      <w:pPr>
        <w:spacing w:after="0" w:line="154" w:lineRule="exact"/>
        <w:rPr>
          <w:rFonts w:ascii="Times New Roman" w:cs="Times New Roman" w:eastAsia="Times New Roman" w:hAnsi="Times New Roman"/>
          <w:sz w:val="18"/>
          <w:szCs w:val="18"/>
          <w:color w:val="auto"/>
        </w:rPr>
      </w:pPr>
    </w:p>
    <w:p>
      <w:pPr>
        <w:ind w:left="720" w:right="179" w:hanging="319"/>
        <w:spacing w:after="0" w:line="270" w:lineRule="auto"/>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achieving adequate or clinical-grade materials that meet regulatory agency standards or specifications with consistent and acceptable production yield and costs;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bacterial, fungal, or viral contamination in our manufacturing facility; and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shortages of qualified personnel, raw materials, or key contractors.</w:t>
      </w:r>
    </w:p>
    <w:p>
      <w:pPr>
        <w:spacing w:after="0" w:line="224"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162" w:lineRule="exact"/>
        <w:rPr>
          <w:sz w:val="20"/>
          <w:szCs w:val="20"/>
          <w:color w:val="auto"/>
        </w:rPr>
      </w:pPr>
    </w:p>
    <w:p>
      <w:pPr>
        <w:ind w:left="60" w:right="799"/>
        <w:spacing w:after="0" w:line="278" w:lineRule="auto"/>
        <w:rPr>
          <w:sz w:val="20"/>
          <w:szCs w:val="20"/>
          <w:color w:val="auto"/>
        </w:rPr>
      </w:pPr>
      <w:r>
        <w:rPr>
          <w:rFonts w:ascii="Arial" w:cs="Arial" w:eastAsia="Arial" w:hAnsi="Arial"/>
          <w:sz w:val="18"/>
          <w:szCs w:val="18"/>
          <w:b w:val="1"/>
          <w:bCs w:val="1"/>
          <w:i w:val="1"/>
          <w:iCs w:val="1"/>
          <w:color w:val="auto"/>
        </w:rPr>
        <w:t>We cryogenically store our CAR-iNK and CAR-iT cells and master and working cell banks of the engineered iPSC cells at both our own manufacturing facility and at third-party facilities</w:t>
      </w:r>
    </w:p>
    <w:p>
      <w:pPr>
        <w:spacing w:after="0" w:line="13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CAR-iNK and CAR-iT cells and the master and working cell banks of the engineered iPSC cells are stored in freezers at both third-party biorepositories and in our freezers at our manufacturing facility. If these materials are damaged at either or both our or these third-party facilities, including by the loss or malfunction of these freezers or our back-up power systems, as well as by damage from fire, power loss or other natural disasters, we may need to establish replacement CAR-iNK and CAR-iT cells and master and working cell banks of the engineered iPSC cells, which would impact clinical supply and delay patient treatment. If we are unable to establish replacement materials, we could incur significant additional expenses and liability to patients whose treatment is delayed, and our business could suffer.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14" w:lineRule="exact"/>
        <w:rPr>
          <w:sz w:val="20"/>
          <w:szCs w:val="20"/>
          <w:color w:val="auto"/>
        </w:rPr>
      </w:pPr>
    </w:p>
    <w:p>
      <w:pPr>
        <w:ind w:left="60" w:right="119"/>
        <w:spacing w:after="0" w:line="256" w:lineRule="auto"/>
        <w:rPr>
          <w:sz w:val="20"/>
          <w:szCs w:val="20"/>
          <w:color w:val="auto"/>
        </w:rPr>
      </w:pPr>
      <w:r>
        <w:rPr>
          <w:rFonts w:ascii="Arial" w:cs="Arial" w:eastAsia="Arial" w:hAnsi="Arial"/>
          <w:sz w:val="18"/>
          <w:szCs w:val="18"/>
          <w:b w:val="1"/>
          <w:bCs w:val="1"/>
          <w:i w:val="1"/>
          <w:iCs w:val="1"/>
          <w:color w:val="auto"/>
        </w:rPr>
        <w:t>If we are unable to successfully commercialize CNTY-101 or any of our other product candidates for which we receive regulatory approval, or experience significant delays in doing so, our business will be materially harmed.</w:t>
      </w:r>
    </w:p>
    <w:p>
      <w:pPr>
        <w:spacing w:after="0" w:line="159"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If we are successful in obtaining marketing approval from applicable regulatory authorities for CNTY-101 or any of our other product candidates, our ability to generate revenues from such product candidates will depend on our success in:</w:t>
      </w:r>
    </w:p>
    <w:p>
      <w:pPr>
        <w:spacing w:after="0" w:line="169"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commercial sales of our product candidates, whether alone or in collaboration with others;</w:t>
      </w:r>
    </w:p>
    <w:p>
      <w:pPr>
        <w:spacing w:after="0" w:line="224" w:lineRule="exact"/>
        <w:rPr>
          <w:rFonts w:ascii="Times New Roman" w:cs="Times New Roman" w:eastAsia="Times New Roman" w:hAnsi="Times New Roman"/>
          <w:sz w:val="18"/>
          <w:szCs w:val="18"/>
          <w:color w:val="auto"/>
        </w:rPr>
      </w:pPr>
    </w:p>
    <w:p>
      <w:pPr>
        <w:ind w:left="720" w:right="259" w:hanging="319"/>
        <w:spacing w:after="0" w:line="252"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receiving an approved label with claims that are necessary or desirable for successful marketing, and that does not contain safety or other limitations that would impede our ability to market our product candidates;</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creating market demand for our product candidates through marketing, sales, and promotion activities;</w:t>
      </w:r>
    </w:p>
    <w:p>
      <w:pPr>
        <w:spacing w:after="0" w:line="224" w:lineRule="exact"/>
        <w:rPr>
          <w:rFonts w:ascii="Times New Roman" w:cs="Times New Roman" w:eastAsia="Times New Roman" w:hAnsi="Times New Roman"/>
          <w:sz w:val="18"/>
          <w:szCs w:val="18"/>
          <w:color w:val="auto"/>
        </w:rPr>
      </w:pPr>
    </w:p>
    <w:p>
      <w:pPr>
        <w:ind w:left="720" w:right="65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hiring, training, and deploying a sales force or contracting with third parties to commercialize our product candidates;</w:t>
      </w:r>
    </w:p>
    <w:p>
      <w:pPr>
        <w:spacing w:after="0" w:line="154"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either on our own or through third parties, product candidates in sufficient quantities and at acceptable quality and cost to meet commercial demand at launch and thereafter;</w:t>
      </w:r>
    </w:p>
    <w:p>
      <w:pPr>
        <w:spacing w:after="0" w:line="154" w:lineRule="exact"/>
        <w:rPr>
          <w:rFonts w:ascii="Times New Roman" w:cs="Times New Roman" w:eastAsia="Times New Roman" w:hAnsi="Times New Roman"/>
          <w:sz w:val="18"/>
          <w:szCs w:val="18"/>
          <w:color w:val="auto"/>
        </w:rPr>
      </w:pPr>
    </w:p>
    <w:p>
      <w:pPr>
        <w:ind w:left="720" w:right="83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agreements with wholesalers, distributors, and group purchasing organizations on commercially reasonable terms;</w:t>
      </w:r>
    </w:p>
    <w:p>
      <w:pPr>
        <w:spacing w:after="0" w:line="154"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creating partnerships with, or offering licenses to, third parties to promote and sell product candidates in foreign markets where we receive marketing approval;</w:t>
      </w:r>
    </w:p>
    <w:p>
      <w:pPr>
        <w:spacing w:after="0" w:line="154" w:lineRule="exact"/>
        <w:rPr>
          <w:rFonts w:ascii="Times New Roman" w:cs="Times New Roman" w:eastAsia="Times New Roman" w:hAnsi="Times New Roman"/>
          <w:sz w:val="18"/>
          <w:szCs w:val="18"/>
          <w:color w:val="auto"/>
        </w:rPr>
      </w:pPr>
    </w:p>
    <w:p>
      <w:pPr>
        <w:ind w:left="720" w:right="51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protecting, and enforcing patent and trade secret protection and regulatory exclusivity for our product candidates;</w:t>
      </w:r>
    </w:p>
    <w:p>
      <w:pPr>
        <w:spacing w:after="0" w:line="154" w:lineRule="exact"/>
        <w:rPr>
          <w:rFonts w:ascii="Times New Roman" w:cs="Times New Roman" w:eastAsia="Times New Roman" w:hAnsi="Times New Roman"/>
          <w:sz w:val="18"/>
          <w:szCs w:val="18"/>
          <w:color w:val="auto"/>
        </w:rPr>
      </w:pPr>
    </w:p>
    <w:p>
      <w:pPr>
        <w:ind w:left="720" w:right="17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achieving market acceptance of our product candidates by patients, the medical community, and third-party payors;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achieving appropriate reimbursement for our product candidates, if approved;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competing with other therapies; and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an acceptable tolerability profile of our product candidates following launch.</w:t>
      </w:r>
    </w:p>
    <w:p>
      <w:pPr>
        <w:spacing w:after="0" w:line="224"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To the extent we are not able to do any of the foregoing, our business, financial condition, results of operations, and prospects will be materially harmed.</w:t>
      </w:r>
    </w:p>
    <w:p>
      <w:pPr>
        <w:spacing w:after="0" w:line="156" w:lineRule="exact"/>
        <w:rPr>
          <w:sz w:val="20"/>
          <w:szCs w:val="20"/>
          <w:color w:val="auto"/>
        </w:rPr>
      </w:pPr>
    </w:p>
    <w:p>
      <w:pPr>
        <w:ind w:left="60" w:right="279"/>
        <w:spacing w:after="0" w:line="256"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5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biopharmaceutical and pharmaceutical industries are characterized by rapid innovation, intense and dynamic competition and a strong emphasis on proprietary and novel products and product candidates. While we believe that our technology, scientific knowledge, and experience in the field of cellular immunotherapy provide us with competitive advantages, we face potential competition from many different sources, including major pharmaceutical, specialty pharmaceutical and biopharmaceutical companies, academic institutions, governmental agencies, and public and private research institutions, as well as standard-of-care treatments, and new products undergoing development and combinations of existing and new therapies. Any product candidates that we successfully develop and commercialize will compete with existing therapies and new therapies, including combinations thereof, that may become available in the future. We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are developing off-the-shelf cell therapies by differentiating engineered iPSC into NK-, T-, or other immune cells for the treatment of various cancers and autoimmune diseases. While we believe our genetically engineered immune effector cell therapies derived from iPSC are highly differentiated, a number of companies are currently focused on the development of cellular immunotherapies for the treatment of cancer and autoimmune diseases. In addition, because reprogramming technology and gene editing technology are available on a non-exclusive basis, the number of companies developing iPSC-derived products and products using gene-editing technology is expected to increase, which will increase competitive pressure on us. Moreover, the reprogramming technology licensed to us from FCDI and the gene-editing technology licensed to us from Inscripta, Inc. are each licensed to us on a non-exclusive basis, and therefore third parties may obtain licenses to the same technology to compete with us.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47" w:lineRule="auto"/>
        <w:rPr>
          <w:sz w:val="20"/>
          <w:szCs w:val="20"/>
          <w:color w:val="auto"/>
        </w:rPr>
      </w:pPr>
      <w:r>
        <w:rPr>
          <w:rFonts w:ascii="Arial" w:cs="Arial" w:eastAsia="Arial" w:hAnsi="Arial"/>
          <w:sz w:val="18"/>
          <w:szCs w:val="18"/>
          <w:color w:val="auto"/>
        </w:rPr>
        <w:t>Large pharmaceutical companies that have commercialized or are developing immunotherapies to treat cancer include but are not limited to AstraZeneca, Bristol-Myers Squibb, Gilead Sciences, Merck, Novartis, Pfizer, and Roche. Some of these companies, such as Bristol-Myers Squibb, Novartis, and Roche, are also developing cell therapy therapies for autoimmune diseases.</w:t>
      </w:r>
    </w:p>
    <w:p>
      <w:pPr>
        <w:spacing w:after="0" w:line="174"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Companies that compete with us directly on the level of the development of product candidates targeting B-cell lymphomas include but are not limited to Gilead Sciences, Novartis, and Bristol-Myers Squibb, among others. Companies developing Nectin-4 targeted agents include but are not limited to Pfizer, Astellas, and Bicycle Therapeutics.</w:t>
      </w:r>
    </w:p>
    <w:p>
      <w:pPr>
        <w:spacing w:after="0" w:line="174" w:lineRule="exact"/>
        <w:rPr>
          <w:sz w:val="20"/>
          <w:szCs w:val="20"/>
          <w:color w:val="auto"/>
        </w:rPr>
      </w:pPr>
    </w:p>
    <w:p>
      <w:pPr>
        <w:ind w:left="60" w:right="119"/>
        <w:spacing w:after="0" w:line="261" w:lineRule="auto"/>
        <w:rPr>
          <w:sz w:val="20"/>
          <w:szCs w:val="20"/>
          <w:color w:val="auto"/>
        </w:rPr>
      </w:pPr>
      <w:r>
        <w:rPr>
          <w:rFonts w:ascii="Arial" w:cs="Arial" w:eastAsia="Arial" w:hAnsi="Arial"/>
          <w:sz w:val="17"/>
          <w:szCs w:val="17"/>
          <w:color w:val="auto"/>
        </w:rPr>
        <w:t>Other emerging biopharmaceutical companies which can potentially develop competing cell therapy candidates to treat both cancer and autoimmune diseases include but are not limited to Adicet Bio, Allogene Therapeutics, Artiva Biotherapeutics, Caribou Biosciences, CRIPSR Therapeutics, Fate Therapeutics, Nkarta Therapeutics, and Sana Biotechnology. Furthermore, companies pursuing the development of cell therapies in autoimmune diseases include but are not limited to Cabaletta Bio, Cartesian Therapeutics, and Kyverna Therapeutics..</w:t>
      </w:r>
    </w:p>
    <w:p>
      <w:pPr>
        <w:spacing w:after="0" w:line="16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91" w:lineRule="exact"/>
        <w:rPr>
          <w:sz w:val="20"/>
          <w:szCs w:val="20"/>
          <w:color w:val="auto"/>
        </w:rPr>
      </w:pPr>
    </w:p>
    <w:p>
      <w:pPr>
        <w:ind w:left="60" w:right="359"/>
        <w:spacing w:after="0" w:line="278" w:lineRule="auto"/>
        <w:rPr>
          <w:sz w:val="20"/>
          <w:szCs w:val="20"/>
          <w:color w:val="auto"/>
        </w:rPr>
      </w:pPr>
      <w:r>
        <w:rPr>
          <w:rFonts w:ascii="Arial" w:cs="Arial" w:eastAsia="Arial" w:hAnsi="Arial"/>
          <w:sz w:val="18"/>
          <w:szCs w:val="18"/>
          <w:b w:val="1"/>
          <w:bCs w:val="1"/>
          <w:i w:val="1"/>
          <w:iCs w:val="1"/>
          <w:color w:val="auto"/>
        </w:rPr>
        <w:t>We expect to face uncertainty regarding the pricing of our existing product candidates and any other product candidates that we may develop, and for which we may receive approval.</w:t>
      </w:r>
    </w:p>
    <w:p>
      <w:pPr>
        <w:spacing w:after="0" w:line="13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Due to the novel nature of our product candidates, we face significant uncertainty as to the pricing of any such products for which we may receive marketing approval. While we anticipate that pricing for any product candidates that we develop will be relatively high due to their anticipated use in the prevention or treatment of life-threatening diseases where therapeutic options are limited, the biopharmaceutical industry has recently experienced significant pricing pressures, including in the area of orphan drug products.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183"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addition, we expect to experience pricing pressures in connection with the pricing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199"/>
        <w:spacing w:after="0" w:line="256"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new products could limit our product revenues.</w:t>
      </w:r>
    </w:p>
    <w:p>
      <w:pPr>
        <w:spacing w:after="0" w:line="15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Our ability to commercialize any of our product candidates successfully will depend in part on the extent to which reimbursement for these products and related treatments will be available from government health administration authorities, private health insurers, and other organizations. In the United States, the principal decisions about reimbursement for new therapies are typically made by Centers for Medicare and Medicaid Services, or CMS, an agency within the United States Department of Health and Human Services. CMS decides whether and to what extent a new therapy will be covered and reimbursed under Medicare, and private payors tend to follow CMS determinations to a substantial degree. The availability and extent of reimbursement by governmental and private payors is essential for most patients to be able to afford expensive treatments, such as cellular immunotherapy. There is significant uncertainty related to the insurance coverage and reimbursement of newly approved products by government and third-party payors. In particular, there is no body of established practices and precedents for reimbursement of cellular immunotherapies, and it is difficult to predict what the regulatory authority or private payor will decide with respect to reimbursement levels for novel products such as ours. Our products may not qualify for coverage or direct reimbursement, or may be subject to limited reimbursement. If reimbursement or insurance coverage is not available, or is available only to limited levels, we may not be able to successfully commercialize our product candidates, if approved. Even if coverage is provided, the approved reimbursement amount may not be sufficient to allow us to establish or maintain pricing to generate income. For additional information on coverage and reimbursement, see the section entitled “Business—Government Regulation—Healthcare Reform.”</w:t>
      </w:r>
    </w:p>
    <w:p>
      <w:pPr>
        <w:spacing w:after="0" w:line="18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reimbursement agencies in foreign jurisdictions may be more conservative than those in the United States. Accordingly, in markets outside the United States, the reimbursement for our product candidates, if approved,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18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Even if we obtain regulatory and marketing approval for a product candidate, our product candidates will remain subject to regulatory oversight.</w:t>
      </w:r>
    </w:p>
    <w:p>
      <w:pPr>
        <w:spacing w:after="0" w:line="15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Even if we receive marketing and regulatory approval for CNTY-101 or any of our other product candidates, regulatory authorities may still impose significant restrictions on the indicated uses or marketing or impose ongoing requirements for potentially costly post-approval studies. CNTY-101 and our other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biologic. Any regulatory approvals that we receive for CNTY-101 or our other product candidates may also be subject to a risk evaluation and mitigation strategy, or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is obligated to monitor and report adverse events and any failure of a product to meet the specifications in the BLA. The holder of an approved BLA also must submit new or supplemental applications and obtain FDA approval for certain changes to the approved product, product labeling, or manufacturing process. Advertising and promotional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materials must comply with FDA rules and are subject to FDA review, in addition to other potentially applicable federal and state laws.</w:t>
      </w:r>
    </w:p>
    <w:p>
      <w:pPr>
        <w:spacing w:after="0" w:line="154"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If we or our contractors fail to comply with applicable regulatory requirements following approval, if granted, of</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CNTY-101 or our other product candidates, a regulatory authority may:</w:t>
      </w:r>
    </w:p>
    <w:p>
      <w:pPr>
        <w:spacing w:after="0" w:line="194" w:lineRule="exact"/>
        <w:rPr>
          <w:sz w:val="20"/>
          <w:szCs w:val="20"/>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issue a warning letter, untitled letter, or Form 483, asserting that we are in violation of the law;</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request voluntary product recalls;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suspend or withdraw regulatory approval;</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suspend any ongoing clinical trials;</w:t>
      </w:r>
    </w:p>
    <w:p>
      <w:pPr>
        <w:spacing w:after="0" w:line="224" w:lineRule="exact"/>
        <w:rPr>
          <w:rFonts w:ascii="Times New Roman" w:cs="Times New Roman" w:eastAsia="Times New Roman" w:hAnsi="Times New Roman"/>
          <w:sz w:val="18"/>
          <w:szCs w:val="18"/>
          <w:color w:val="auto"/>
        </w:rPr>
      </w:pPr>
    </w:p>
    <w:p>
      <w:pPr>
        <w:ind w:left="720" w:right="439" w:hanging="319"/>
        <w:spacing w:after="0" w:line="270" w:lineRule="auto"/>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approve a pending BLA or comparable foreign marketing application (or any supplements thereto);</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restrict the marketing or manufacturing of the product;</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permit the import or export of product candidates; or</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4"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CNTY-101 or our other product candidates, if approved, and adversely affect our business, financial condition, results of operations, and prospects.</w:t>
      </w:r>
    </w:p>
    <w:p>
      <w:pPr>
        <w:spacing w:after="0" w:line="176" w:lineRule="exact"/>
        <w:rPr>
          <w:sz w:val="20"/>
          <w:szCs w:val="20"/>
          <w:color w:val="auto"/>
        </w:rPr>
      </w:pPr>
    </w:p>
    <w:p>
      <w:pPr>
        <w:ind w:left="60" w:right="679"/>
        <w:spacing w:after="0" w:line="278" w:lineRule="auto"/>
        <w:rPr>
          <w:sz w:val="20"/>
          <w:szCs w:val="20"/>
          <w:color w:val="auto"/>
        </w:rPr>
      </w:pPr>
      <w:r>
        <w:rPr>
          <w:rFonts w:ascii="Arial" w:cs="Arial" w:eastAsia="Arial" w:hAnsi="Arial"/>
          <w:sz w:val="18"/>
          <w:szCs w:val="18"/>
          <w:b w:val="1"/>
          <w:bCs w:val="1"/>
          <w:i w:val="1"/>
          <w:iCs w:val="1"/>
          <w:color w:val="auto"/>
        </w:rPr>
        <w:t>Even if we receive marketing approval for CNTY-101 or our other product candidates, we may not achieve broad market acceptance.</w:t>
      </w:r>
    </w:p>
    <w:p>
      <w:pPr>
        <w:spacing w:after="0" w:line="139"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commercial success of CNTY-101 or our other product candidates, if developed and approved for marketing by the FDA or comparable foreign regulatory authority, will depend upon the awareness and acceptance of CNTY-101 or such other product candidate among the medical community, including physicians, patients, advocacy groups, and healthcare payors. Market acceptance of our product candidates, if approved, will depend on a number of factors, including, among others: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224"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warnings contained in the labeling approved for our product candidates by the FDA or comparable foreign regulatory authority, such as a “black box” warning;</w:t>
      </w:r>
    </w:p>
    <w:p>
      <w:pPr>
        <w:spacing w:after="0" w:line="154"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availability of alternative treatments, including any competitive therapies in development that could be approved or commercially launched prior to approval of our product candidates;</w:t>
      </w:r>
    </w:p>
    <w:p>
      <w:pPr>
        <w:spacing w:after="0" w:line="154" w:lineRule="exact"/>
        <w:rPr>
          <w:rFonts w:ascii="Times New Roman" w:cs="Times New Roman" w:eastAsia="Times New Roman" w:hAnsi="Times New Roman"/>
          <w:sz w:val="18"/>
          <w:szCs w:val="18"/>
          <w:color w:val="auto"/>
        </w:rPr>
      </w:pPr>
    </w:p>
    <w:p>
      <w:pPr>
        <w:ind w:left="720" w:right="99" w:hanging="319"/>
        <w:spacing w:after="0" w:line="270"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54" w:lineRule="exact"/>
        <w:rPr>
          <w:rFonts w:ascii="Times New Roman" w:cs="Times New Roman" w:eastAsia="Times New Roman" w:hAnsi="Times New Roman"/>
          <w:sz w:val="18"/>
          <w:szCs w:val="18"/>
          <w:color w:val="auto"/>
        </w:rPr>
      </w:pPr>
    </w:p>
    <w:p>
      <w:pPr>
        <w:ind w:left="720" w:right="559" w:hanging="319"/>
        <w:spacing w:after="0" w:line="270"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pricing;</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payor acceptance;</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future changes to the United States healthcare system;</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sales and marketing strategies; and</w:t>
      </w:r>
    </w:p>
    <w:p>
      <w:pPr>
        <w:spacing w:after="0" w:line="224" w:lineRule="exact"/>
        <w:rPr>
          <w:rFonts w:ascii="Times New Roman" w:cs="Times New Roman" w:eastAsia="Times New Roman" w:hAnsi="Times New Roman"/>
          <w:sz w:val="18"/>
          <w:szCs w:val="18"/>
          <w:color w:val="auto"/>
        </w:rPr>
      </w:pPr>
    </w:p>
    <w:p>
      <w:pPr>
        <w:ind w:left="720" w:right="279" w:hanging="319"/>
        <w:spacing w:after="0" w:line="252"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71"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If CNTY-101 or any of our other product candidates are approved but do not achieve an adequate level of acceptance by patients, advocacy groups, physicians and payors, we may not generate sufficient revenue to become or remain profitable and our business, financial condition, and results of operations could be materially adversely affected. Our efforts to educate the medical community and third-party payors about the benefits of CNTY-101 and our other product candidates may require significant resources and may never be successful.</w:t>
      </w:r>
    </w:p>
    <w:p>
      <w:pPr>
        <w:spacing w:after="0" w:line="168" w:lineRule="exact"/>
        <w:rPr>
          <w:sz w:val="20"/>
          <w:szCs w:val="20"/>
          <w:color w:val="auto"/>
        </w:rPr>
      </w:pPr>
    </w:p>
    <w:p>
      <w:pPr>
        <w:ind w:left="60" w:right="219"/>
        <w:spacing w:after="0" w:line="256" w:lineRule="auto"/>
        <w:rPr>
          <w:sz w:val="20"/>
          <w:szCs w:val="20"/>
          <w:color w:val="auto"/>
        </w:rPr>
      </w:pPr>
      <w:r>
        <w:rPr>
          <w:rFonts w:ascii="Arial" w:cs="Arial" w:eastAsia="Arial" w:hAnsi="Arial"/>
          <w:sz w:val="18"/>
          <w:szCs w:val="18"/>
          <w:b w:val="1"/>
          <w:bCs w:val="1"/>
          <w:i w:val="1"/>
          <w:iCs w:val="1"/>
          <w:color w:val="auto"/>
        </w:rPr>
        <w:t>Even if we receive marketing approval for CNTY-101 or our other product candidates in the United States, we may never receive regulatory approval to market CNTY-101 or our other product candidates outside of the United States.</w:t>
      </w:r>
    </w:p>
    <w:p>
      <w:pPr>
        <w:spacing w:after="0" w:line="15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order to market any product outside of the United States, we must establish and comply with the numerous and varying safety, efficacy, and other regulatory requirements of other jurisdictions, including potential additional clinical trials and/or preclinical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jurisdictions outside of the United States, products must receive pricing and reimbursement approval before the product can be commercialized. Obtaining this approval can result in substantial delays in bringing products to market in such jurisdictions.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jurisdictions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99"/>
        <w:spacing w:after="0" w:line="309" w:lineRule="auto"/>
        <w:rPr>
          <w:sz w:val="20"/>
          <w:szCs w:val="20"/>
          <w:color w:val="auto"/>
        </w:rPr>
      </w:pPr>
      <w:r>
        <w:rPr>
          <w:rFonts w:ascii="Arial" w:cs="Arial" w:eastAsia="Arial" w:hAnsi="Arial"/>
          <w:sz w:val="17"/>
          <w:szCs w:val="17"/>
          <w:b w:val="1"/>
          <w:bCs w:val="1"/>
          <w:i w:val="1"/>
          <w:iCs w:val="1"/>
          <w:color w:val="auto"/>
        </w:rPr>
        <w:t>We may be unable to establish effective marketing, sales and distribution capabilities or enter into agreements with third parties to market and sell CNTY-101 or our other product candidates, if approved.</w:t>
      </w:r>
    </w:p>
    <w:p>
      <w:pPr>
        <w:spacing w:after="0" w:line="11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currently do not have a commercial infrastructure for the marketing, sale, and distribution of CNTY-101, or our other product candidates. If CNTY-101 or our other product candidates receive marketing approval, we intend to commercialize such product candidates in the United States and potentially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FDA’s or comparable foreign regulatory authority’s requirements or for other reasons, we would incur these expenses prior to being able to realize any revenue from sales of CNTY-101 and our other product candidates. Even if we are able to effectively hire a sales force and develop a marketing and sales infrastructure, our sales force and marketing teams may not be successful in commercializing CNTY-101 or our other product candidates. This may be costly, and our investment would be lost if we cannot retain or reposition our sales and marketing personnel.</w:t>
      </w:r>
    </w:p>
    <w:p>
      <w:pPr>
        <w:spacing w:after="0" w:line="18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85"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biopharmaceutical and pharmaceutical companies to recruit, hire, train, manage, and retain marketing and sales personnel, which is expensive and time-consuming and could delay any product launch. Developing our sales capabilities may also divert resources and management attention away from product development.</w:t>
      </w:r>
    </w:p>
    <w:p>
      <w:pPr>
        <w:spacing w:after="0" w:line="18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In the event we are unable to develop a marketing and sales infrastructure, we may not be able to commercialize CNTY-101 or our other product candidates, if approved, in the United States or elsewhere, which could limit our ability to generate product revenues and materially harm our business, financial condition, results of operations, and prospects.</w:t>
      </w:r>
    </w:p>
    <w:p>
      <w:pPr>
        <w:spacing w:after="0" w:line="176" w:lineRule="exact"/>
        <w:rPr>
          <w:sz w:val="20"/>
          <w:szCs w:val="20"/>
          <w:color w:val="auto"/>
        </w:rPr>
      </w:pPr>
    </w:p>
    <w:p>
      <w:pPr>
        <w:ind w:left="60" w:right="219"/>
        <w:spacing w:after="0" w:line="309" w:lineRule="auto"/>
        <w:rPr>
          <w:sz w:val="20"/>
          <w:szCs w:val="20"/>
          <w:color w:val="auto"/>
        </w:rPr>
      </w:pPr>
      <w:r>
        <w:rPr>
          <w:rFonts w:ascii="Arial" w:cs="Arial" w:eastAsia="Arial" w:hAnsi="Arial"/>
          <w:sz w:val="17"/>
          <w:szCs w:val="17"/>
          <w:b w:val="1"/>
          <w:bCs w:val="1"/>
          <w:i w:val="1"/>
          <w:iCs w:val="1"/>
          <w:color w:val="auto"/>
        </w:rPr>
        <w:t>If the market opportunities for our product candidates for which we receive marketing approval are smaller than we believe they are, our revenue may be adversely affected, and our business may suffer.</w:t>
      </w:r>
    </w:p>
    <w:p>
      <w:pPr>
        <w:spacing w:after="0" w:line="11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focus our research and product development on differentiating engineered iPSC into NK-, T-, or other immune cells for the treatment of various cancers and autoimmune diseases. Our projections of both the number of people who have these cancers or autoimmune diseases, as well as the subset of people with these cancers or autoimmune diseases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such cancers.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our product candidates relative to such alternative treatments, acceptance by the medical community and patient access, drug and biologic pricing, and reimbursement. The number of patients in the United States and other major markets and elsewhere may turn out to be lower than expected, patients may not be otherwise amenable to treatment with our product candidates, for which we receive marketing approval, or new patients may become increasingly difficult to identify or gain access to, all of which would adversely affect our results of operations and our business.</w:t>
      </w:r>
    </w:p>
    <w:p>
      <w:pPr>
        <w:spacing w:after="0" w:line="181" w:lineRule="exact"/>
        <w:rPr>
          <w:sz w:val="20"/>
          <w:szCs w:val="20"/>
          <w:color w:val="auto"/>
        </w:rPr>
      </w:pPr>
    </w:p>
    <w:p>
      <w:pPr>
        <w:ind w:left="60" w:right="299"/>
        <w:spacing w:after="0" w:line="256"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69" w:lineRule="exact"/>
        <w:rPr>
          <w:sz w:val="20"/>
          <w:szCs w:val="20"/>
          <w:color w:val="auto"/>
        </w:rPr>
      </w:pPr>
    </w:p>
    <w:p>
      <w:pPr>
        <w:ind w:left="720" w:right="119" w:hanging="319"/>
        <w:spacing w:after="0" w:line="252"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CNTY-101 and our other product candidates, which may change from time to time;</w:t>
      </w:r>
    </w:p>
    <w:p>
      <w:pPr>
        <w:spacing w:after="0" w:line="170"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coverage and reimbursement policies with respect to CNTY-101 and our other product candidates, if approved, and potential future drugs or biologics that compete with our products;</w:t>
      </w:r>
    </w:p>
    <w:p>
      <w:pPr>
        <w:spacing w:after="0" w:line="154" w:lineRule="exact"/>
        <w:rPr>
          <w:rFonts w:ascii="Times New Roman" w:cs="Times New Roman" w:eastAsia="Times New Roman" w:hAnsi="Times New Roman"/>
          <w:sz w:val="18"/>
          <w:szCs w:val="18"/>
          <w:color w:val="auto"/>
        </w:rPr>
      </w:pPr>
    </w:p>
    <w:p>
      <w:pPr>
        <w:ind w:left="720" w:right="21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CNTY-101 and our other product candidates, which may vary depending on the quantity of production and the terms of our agreements with CMOs;</w:t>
      </w:r>
    </w:p>
    <w:p>
      <w:pPr>
        <w:spacing w:after="0" w:line="154"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or acquired our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demand for any approved products, which may vary significantly;</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future accounting pronouncements or changes in our accounting policies; and</w:t>
      </w:r>
    </w:p>
    <w:p>
      <w:pPr>
        <w:spacing w:after="0" w:line="224" w:lineRule="exact"/>
        <w:rPr>
          <w:rFonts w:ascii="Times New Roman" w:cs="Times New Roman" w:eastAsia="Times New Roman" w:hAnsi="Times New Roman"/>
          <w:sz w:val="18"/>
          <w:szCs w:val="18"/>
          <w:color w:val="auto"/>
        </w:rPr>
      </w:pPr>
    </w:p>
    <w:p>
      <w:pPr>
        <w:ind w:left="720" w:right="57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change in the competitive landscape of our industry, including consolidation among our competitors or partners.</w:t>
      </w:r>
    </w:p>
    <w:p>
      <w:pPr>
        <w:spacing w:after="0" w:line="154"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6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214" w:lineRule="exact"/>
        <w:rPr>
          <w:sz w:val="20"/>
          <w:szCs w:val="20"/>
          <w:color w:val="auto"/>
        </w:rPr>
      </w:pPr>
    </w:p>
    <w:p>
      <w:pPr>
        <w:ind w:left="60" w:right="119"/>
        <w:spacing w:after="0" w:line="256" w:lineRule="auto"/>
        <w:rPr>
          <w:sz w:val="20"/>
          <w:szCs w:val="20"/>
          <w:color w:val="auto"/>
        </w:rPr>
      </w:pPr>
      <w:r>
        <w:rPr>
          <w:rFonts w:ascii="Arial" w:cs="Arial" w:eastAsia="Arial" w:hAnsi="Arial"/>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59"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many of whom have been instrumental for us and have substantial experience with our iPSC-derived allogeneic cell therapy platforms, underlying technologies, and related product candidates. Given the specialized nature of our iPSC-derived allogeneic cell therapy platforms and the fact that ours is a novel and emerging field, there is an inherent scarcity of experienced personnel in this field. As we continue developing our product candidates in our pipeline, we will require personnel with medical, scientific, or technical qualifications specific to each program.</w:t>
      </w:r>
    </w:p>
    <w:p>
      <w:pPr>
        <w:spacing w:after="0" w:line="18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are highly dependent upon our senior management, particularly Brent Pfeiffenberger, Pharm.D., our Chief Executive Officer, as well as our senior scientists and other members of our executive team. The loss of services of any of these individuals could delay or prevent the successful development of our product pipeline, initiation or completion of our planned clinical trials, or the commercialization of CNTY-101 and our other product candidates.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8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research and development programs, clinical operations, and sales and marketing efforts depend on our ability to attract and retain highly skilled scientists, engineers, and sales professionals. The competition for qualified personnel in the biotechnology and pharmaceutical industries is intense,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182" w:lineRule="exact"/>
        <w:rPr>
          <w:sz w:val="20"/>
          <w:szCs w:val="20"/>
          <w:color w:val="auto"/>
        </w:rPr>
      </w:pPr>
    </w:p>
    <w:p>
      <w:pPr>
        <w:ind w:left="60" w:right="999"/>
        <w:spacing w:after="0" w:line="278" w:lineRule="auto"/>
        <w:rPr>
          <w:sz w:val="20"/>
          <w:szCs w:val="20"/>
          <w:color w:val="auto"/>
        </w:rPr>
      </w:pPr>
      <w:r>
        <w:rPr>
          <w:rFonts w:ascii="Arial" w:cs="Arial" w:eastAsia="Arial" w:hAnsi="Arial"/>
          <w:sz w:val="18"/>
          <w:szCs w:val="18"/>
          <w:b w:val="1"/>
          <w:bCs w:val="1"/>
          <w:i w:val="1"/>
          <w:iCs w:val="1"/>
          <w:color w:val="auto"/>
        </w:rPr>
        <w:t>We will need to increase the size and capabilities of our organization, and we may experience difficulties in managing our growth.</w:t>
      </w:r>
    </w:p>
    <w:p>
      <w:pPr>
        <w:spacing w:after="0" w:line="139" w:lineRule="exact"/>
        <w:rPr>
          <w:sz w:val="20"/>
          <w:szCs w:val="20"/>
          <w:color w:val="auto"/>
        </w:rPr>
      </w:pPr>
    </w:p>
    <w:p>
      <w:pPr>
        <w:ind w:left="60" w:right="199"/>
        <w:spacing w:after="0" w:line="266" w:lineRule="auto"/>
        <w:rPr>
          <w:sz w:val="20"/>
          <w:szCs w:val="20"/>
          <w:color w:val="auto"/>
        </w:rPr>
      </w:pPr>
      <w:r>
        <w:rPr>
          <w:rFonts w:ascii="Arial" w:cs="Arial" w:eastAsia="Arial" w:hAnsi="Arial"/>
          <w:sz w:val="17"/>
          <w:szCs w:val="17"/>
          <w:color w:val="auto"/>
        </w:rPr>
        <w:t>As of March 1, 2025, we had 150 employees and consultants and most of our employees are full-time. As our development and commercialization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159"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24"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managing our internal development efforts effectively, including additional clinical and FDA or other comparable authority review process for CNTY-101 and our other product candidates, while complying with our contractual obligations to contractors and other third parties; and</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Our future financial performance and our ability to commercialize CNTY-101 and our other product candidates, if approved,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we expect to incur additional costs in hiring, training, and retaining such additional personnel.</w:t>
      </w:r>
    </w:p>
    <w:p>
      <w:pPr>
        <w:spacing w:after="0" w:line="17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CNTY-101 and our other product candidates and, accordingly, may not achieve our research, development, and commercialization goals.</w:t>
      </w:r>
    </w:p>
    <w:p>
      <w:pPr>
        <w:spacing w:after="0" w:line="176" w:lineRule="exact"/>
        <w:rPr>
          <w:sz w:val="20"/>
          <w:szCs w:val="20"/>
          <w:color w:val="auto"/>
        </w:rPr>
      </w:pPr>
    </w:p>
    <w:p>
      <w:pPr>
        <w:ind w:left="60" w:right="219"/>
        <w:spacing w:after="0" w:line="256" w:lineRule="auto"/>
        <w:rPr>
          <w:sz w:val="20"/>
          <w:szCs w:val="20"/>
          <w:color w:val="auto"/>
        </w:rPr>
      </w:pPr>
      <w:r>
        <w:rPr>
          <w:rFonts w:ascii="Arial" w:cs="Arial" w:eastAsia="Arial" w:hAnsi="Arial"/>
          <w:sz w:val="18"/>
          <w:szCs w:val="18"/>
          <w:b w:val="1"/>
          <w:bCs w:val="1"/>
          <w:i w:val="1"/>
          <w:iCs w:val="1"/>
          <w:color w:val="auto"/>
        </w:rPr>
        <w:t>Any pandemic, epidemic, or outbreak of an infectious disease, may materially and adversely affect our business and our financial results and could cause a disruption to the development of our drug candidates.</w:t>
      </w:r>
    </w:p>
    <w:p>
      <w:pPr>
        <w:spacing w:after="0" w:line="159"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Public health crises, such as pandemics or similar outbreaks, could adversely impact our business. For example, we experienced modest delays in our discovery and development activities as a result of the COVID-19 pandemic, primarily due to temporary and partial shutdowns at certain of our CROs and academic institutions that have since resumed operations, and due to governmental responses to the pandemic. Any future pandemic, epidemic or outbreak of an infectious disease could have similar effects. Furthermore, economic recessions, increased inflation and/or interest rates, and any disruptions to our operations or workforce availability, including those brought on by the effects of a health epidemic may have a negative effect on our operating results. The foregoing could result in an adverse effect on our business, results of operations, financial condition and cash flows.</w:t>
      </w:r>
    </w:p>
    <w:p>
      <w:pPr>
        <w:spacing w:after="0" w:line="170" w:lineRule="exact"/>
        <w:rPr>
          <w:sz w:val="20"/>
          <w:szCs w:val="20"/>
          <w:color w:val="auto"/>
        </w:rPr>
      </w:pPr>
    </w:p>
    <w:p>
      <w:pPr>
        <w:ind w:left="60" w:right="139"/>
        <w:spacing w:after="0" w:line="261" w:lineRule="auto"/>
        <w:rPr>
          <w:sz w:val="20"/>
          <w:szCs w:val="20"/>
          <w:color w:val="auto"/>
        </w:rPr>
      </w:pPr>
      <w:r>
        <w:rPr>
          <w:rFonts w:ascii="Arial" w:cs="Arial" w:eastAsia="Arial" w:hAnsi="Arial"/>
          <w:sz w:val="17"/>
          <w:szCs w:val="17"/>
          <w:color w:val="auto"/>
        </w:rPr>
        <w:t>Potential disruptions to our preclinical and clinical development efforts related to future outbreaks or pandemics may include, but are not limited to, disruptions in our supply chain and our ability to procure the components for each of our product candidates for use in preclinical studies and clinical trials and enrolling patients in clinical trials. We are unable to predict if a future outbreak or pandemic could have similar or different impacts on our preclinical studies, clinical trials, business, financial condition, and results of operations.</w:t>
      </w:r>
    </w:p>
    <w:p>
      <w:pPr>
        <w:spacing w:after="0" w:line="168"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5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expose us to broadly applicable foreign, federal and state fraud and abuse, and other healthcare and privacy laws and regulations, including, without limitation, the federal Anti-Kickback Statute and the federal False Claims Act, or FCA, which may constrain the business or financial arrangements and relationships through which such companies conduct research, sell, market and distribute pharmaceutical products.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For additional information on coverage and reimbursement, see the section entitled “Business—Government Regulation—Healthcare laws and regulations.”</w:t>
      </w:r>
    </w:p>
    <w:p>
      <w:pPr>
        <w:spacing w:after="0" w:line="180" w:lineRule="exact"/>
        <w:rPr>
          <w:sz w:val="20"/>
          <w:szCs w:val="20"/>
          <w:color w:val="auto"/>
        </w:rPr>
      </w:pPr>
    </w:p>
    <w:p>
      <w:pPr>
        <w:ind w:left="60" w:right="379"/>
        <w:spacing w:after="0" w:line="266" w:lineRule="auto"/>
        <w:rPr>
          <w:sz w:val="20"/>
          <w:szCs w:val="20"/>
          <w:color w:val="auto"/>
        </w:rPr>
      </w:pPr>
      <w:r>
        <w:rPr>
          <w:rFonts w:ascii="Arial" w:cs="Arial" w:eastAsia="Arial" w:hAnsi="Arial"/>
          <w:sz w:val="17"/>
          <w:szCs w:val="17"/>
          <w:color w:val="auto"/>
        </w:rPr>
        <w:t>Ensuring that our internal operations and business arrangements with third parties comply with applicable healthcare laws and regulations involves substantial costs. It is possible that governmental authorities will conclude that our business practices, including any consulting and advisory board arrangements with physicians and other healthcare providers, do not comply with current or future statutes, regulations, agency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United States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190" w:lineRule="exact"/>
        <w:rPr>
          <w:sz w:val="20"/>
          <w:szCs w:val="20"/>
          <w:color w:val="auto"/>
        </w:rPr>
      </w:pPr>
    </w:p>
    <w:p>
      <w:pPr>
        <w:ind w:left="60" w:right="219"/>
        <w:spacing w:after="0" w:line="256" w:lineRule="auto"/>
        <w:rPr>
          <w:sz w:val="20"/>
          <w:szCs w:val="20"/>
          <w:color w:val="auto"/>
        </w:rPr>
      </w:pPr>
      <w:r>
        <w:rPr>
          <w:rFonts w:ascii="Arial" w:cs="Arial" w:eastAsia="Arial" w:hAnsi="Arial"/>
          <w:sz w:val="18"/>
          <w:szCs w:val="18"/>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5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products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For additional information on coverage and reimbursement, see the section entitled “Business – Government Regulation – Healthcare reform”.</w:t>
      </w:r>
    </w:p>
    <w:p>
      <w:pPr>
        <w:spacing w:after="0" w:line="183"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and maintain profitability of our product and product candidates, if approved.</w:t>
      </w:r>
    </w:p>
    <w:p>
      <w:pPr>
        <w:spacing w:after="0" w:line="17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CNTY-101 or any future product candidates may lose any marketing approval that may have been obtained and we may not achieve or sustain profitability, which would materially adversely affect our business, financial condition, and results of operations.</w:t>
      </w:r>
    </w:p>
    <w:p>
      <w:pPr>
        <w:spacing w:after="0" w:line="181" w:lineRule="exact"/>
        <w:rPr>
          <w:sz w:val="20"/>
          <w:szCs w:val="20"/>
          <w:color w:val="auto"/>
        </w:rPr>
      </w:pPr>
    </w:p>
    <w:p>
      <w:pPr>
        <w:ind w:left="60" w:right="79"/>
        <w:spacing w:after="0" w:line="27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139" w:lineRule="exact"/>
        <w:rPr>
          <w:sz w:val="20"/>
          <w:szCs w:val="20"/>
          <w:color w:val="auto"/>
        </w:rPr>
      </w:pPr>
    </w:p>
    <w:p>
      <w:pPr>
        <w:ind w:left="60" w:right="239"/>
        <w:spacing w:after="0" w:line="261" w:lineRule="auto"/>
        <w:rPr>
          <w:sz w:val="20"/>
          <w:szCs w:val="20"/>
          <w:color w:val="auto"/>
        </w:rPr>
      </w:pPr>
      <w:r>
        <w:rPr>
          <w:rFonts w:ascii="Arial" w:cs="Arial" w:eastAsia="Arial" w:hAnsi="Arial"/>
          <w:sz w:val="17"/>
          <w:szCs w:val="17"/>
          <w:color w:val="auto"/>
        </w:rPr>
        <w:t>We are required to maintain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in our Annual Reports on Form 10-K, as required by Section 404 of the Sarbanes-Oxley Act of 2002, or the Sarbanes-Oxley Act. This has required us to incur substantial additional professional fees and internal costs to expand our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accounting and finance functions and we have expended significant management efforts as compared to prior to our IPO, when we were not required to test our internal controls. 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If we are not able to comply with the requirements of Section 404 of the Sarbanes-Oxley Act in a timely manner, if our independent registered public accounting firm determines that we have a material weakness or a significant deficiency in our internal control over financial reporting, or we are unable to maintain proper and effective internal controls over financial reporting, we may not be able to produce timely and accurate financial statements. As a result, our investors could lose confidence in our reported financial information, the market price of our stock could decline, and we could be subject to sanctions or investigations by the SEC or other regulatory authorities.</w:t>
      </w:r>
    </w:p>
    <w:p>
      <w:pPr>
        <w:spacing w:after="0" w:line="18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believe that any internal controls and procedures, no matter how well-conceived and operated, can provide only reasonable, not absolute, assurance that the objectives of the control system are met. We may discover 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5"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may not be detected.</w:t>
      </w:r>
    </w:p>
    <w:p>
      <w:pPr>
        <w:spacing w:after="0" w:line="187" w:lineRule="exact"/>
        <w:rPr>
          <w:sz w:val="20"/>
          <w:szCs w:val="20"/>
          <w:color w:val="auto"/>
        </w:rPr>
      </w:pPr>
    </w:p>
    <w:p>
      <w:pPr>
        <w:ind w:left="60" w:right="299"/>
        <w:spacing w:after="0" w:line="256" w:lineRule="auto"/>
        <w:rPr>
          <w:sz w:val="20"/>
          <w:szCs w:val="20"/>
          <w:color w:val="auto"/>
        </w:rPr>
      </w:pPr>
      <w:r>
        <w:rPr>
          <w:rFonts w:ascii="Arial" w:cs="Arial" w:eastAsia="Arial" w:hAnsi="Arial"/>
          <w:sz w:val="18"/>
          <w:szCs w:val="18"/>
          <w:b w:val="1"/>
          <w:bCs w:val="1"/>
          <w:i w:val="1"/>
          <w:iCs w:val="1"/>
          <w:color w:val="auto"/>
        </w:rPr>
        <w:t>We, or our CMOs or suppliers, may use potent chemical agents and hazardous materials, and any claims relating to improper handling, storage or disposal of these materials could be time-consuming or costly.</w:t>
      </w:r>
    </w:p>
    <w:p>
      <w:pPr>
        <w:spacing w:after="0" w:line="159"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We, or our CMOs or suppliers, including FCDI, use biological materials, potent chemical agents and may use hazardous materials, including chemicals and biological agents and compounds that could be dangerous to human health and safety of the environment. The operations of our CMOs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w:t>
      </w:r>
    </w:p>
    <w:p>
      <w:pPr>
        <w:spacing w:after="0" w:line="185"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78" w:lineRule="exact"/>
        <w:rPr>
          <w:sz w:val="20"/>
          <w:szCs w:val="20"/>
          <w:color w:val="auto"/>
        </w:rPr>
      </w:pPr>
    </w:p>
    <w:p>
      <w:pPr>
        <w:ind w:left="60" w:right="619"/>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products.</w:t>
      </w:r>
    </w:p>
    <w:p>
      <w:pPr>
        <w:spacing w:after="0" w:line="139"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While we currently have no product candidates that have been approved for commercial sale, the future use of product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color w:val="auto"/>
        </w:rPr>
        <w:t>candidates by us in clinical trials, and the sale of any approved products in the future, may expose us to liability claims. For example, we may be sued if CNTY-101 and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68"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174" w:lineRule="exact"/>
        <w:rPr>
          <w:sz w:val="20"/>
          <w:szCs w:val="20"/>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our products;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costs to defend the related litigation;</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 diversion of management’s time and our resources;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trial participants or patients;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negative financial impact;</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exhaustion of any available insurance and our capital resources;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CNTY-101 or our other product candidates; and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stock price.</w:t>
      </w:r>
    </w:p>
    <w:p>
      <w:pPr>
        <w:spacing w:after="0" w:line="22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currently hold product liability coverage in an amount we consider reasonable. We may need to increase our insurance coverage as we expand our clinical trials or if we commence commercialization of CNTY-101 or our other product candidates. Insurance coverage is increasingly expensive. Our inability to obtain and retain sufficient product liability insurance at an acceptable cost to protect against potential product liability claims could prevent or inhibit the commercialization of CNTY-101 or our other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79"/>
        <w:spacing w:after="0" w:line="278" w:lineRule="auto"/>
        <w:rPr>
          <w:sz w:val="20"/>
          <w:szCs w:val="20"/>
          <w:color w:val="auto"/>
        </w:rPr>
      </w:pPr>
      <w:r>
        <w:rPr>
          <w:rFonts w:ascii="Arial" w:cs="Arial" w:eastAsia="Arial" w:hAnsi="Arial"/>
          <w:sz w:val="17"/>
          <w:szCs w:val="17"/>
          <w:b w:val="1"/>
          <w:bCs w:val="1"/>
          <w:i w:val="1"/>
          <w:iCs w:val="1"/>
          <w:color w:val="auto"/>
        </w:rPr>
        <w:t>We may be unable to adequately protect our or our vendors’ information systems from cyberattacks or other incidents, which could result in the disclosure of confidential or proprietary information, including personal data, damage our reputation, and subject us to significant financial and legal exposure.</w:t>
      </w:r>
    </w:p>
    <w:p>
      <w:pPr>
        <w:spacing w:after="0" w:line="14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 xml:space="preserve">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Despite our implementation of security measures, our internal computer systems, and those of our CROs, CMOs, information technology suppliers, and other contractors and consultants are vulnerable to damage from computer viruses, cyberattacks, and other unauthorized access, natural disasters, terrorism, war, and telecommunication and electrical failures, and sophisticated cyber-attacks, including the theft, fraud, and subsequent misuse of employee credentials, </w:t>
      </w:r>
      <w:r>
        <w:rPr>
          <w:rFonts w:ascii="Arial" w:cs="Arial" w:eastAsia="Arial" w:hAnsi="Arial"/>
          <w:sz w:val="18"/>
          <w:szCs w:val="18"/>
          <w:i w:val="1"/>
          <w:iCs w:val="1"/>
          <w:color w:val="auto"/>
        </w:rPr>
        <w:t>wrongful conduct by insider</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employees or vendors</w:t>
      </w:r>
      <w:r>
        <w:rPr>
          <w:rFonts w:ascii="Arial" w:cs="Arial" w:eastAsia="Arial" w:hAnsi="Arial"/>
          <w:sz w:val="18"/>
          <w:szCs w:val="18"/>
          <w:color w:val="auto"/>
        </w:rPr>
        <w:t>, denial-of-service attacks, ransomware attacks, business email compromises, computer</w:t>
      </w:r>
      <w:r>
        <w:rPr>
          <w:rFonts w:ascii="Arial" w:cs="Arial" w:eastAsia="Arial" w:hAnsi="Arial"/>
          <w:sz w:val="18"/>
          <w:szCs w:val="18"/>
          <w:i w:val="1"/>
          <w:iCs w:val="1"/>
          <w:color w:val="auto"/>
        </w:rPr>
        <w:t xml:space="preserve"> </w:t>
      </w:r>
      <w:r>
        <w:rPr>
          <w:rFonts w:ascii="Arial" w:cs="Arial" w:eastAsia="Arial" w:hAnsi="Arial"/>
          <w:sz w:val="18"/>
          <w:szCs w:val="18"/>
          <w:color w:val="auto"/>
        </w:rPr>
        <w:t>malware, malicious codes, viruses, breakdown, wrongful intrusions, data breaches, and social engineering (including phishing attacks). Additionally, our security measures or those of our vendors could be breached as a result of employee theft, exfiltration, misuse, malfeasance, or unintentional events. A successful cyberattack or other data breach could result in the theft or destruction of intellectual property, data, or other misappropriation of assets, or otherwise compromise our confidential or proprietary information and disrupt our operations. Cyberattacks could include wrongful conduct by hostile foreign governments, industrial espionage, wire fraud, and other forms of cyber fraud, the deployment of harmful malware, ransomware, denial-of-service, social engineering fraud, or other means to threaten data security, confidentiality, integrity and availability. A successful cyberattack or breach could cause serious negative consequences for us, including, without limitation, breach notification(s) and other disclosure requirements, the disruption of operations, the misappropriation of confidential business information, including financial information, trade secrets, financial loss, and the disclosure of corporate strategic plans. Although we devote resources to protect our information systems, we and our third-party vendors have from time-to-time experienced threats and security incidents that could affect our information or systems. We realize that cyberattacks are a threat, and there can be no assurance that our efforts will prevent information security incidents that would result in business, legal, financial, or reputational harm to us, or would have a material adverse effect on our results of operations and financial condition. Any failure to prevent or mitigate security incidents or improper access to, use of, or disclosure of our clinical data or patients’ personal data could result in significant liability under state (e.g., state breach notification laws), federal (e.g., HIPAA, as amended by HITECH), and international law (e.g., the EU and UK GDPR) and may cause a material adverse impact to our reputation, affect our ability to conduct new studies and potentially disrupt our business.</w:t>
      </w:r>
    </w:p>
    <w:p>
      <w:pPr>
        <w:spacing w:after="0" w:line="18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incidents or improper access to or disclosure of such information could have similarly adverse consequences for us. If we are unable to prevent or mitigate the impact of such security or data privacy incidents, we could be exposed to litigation and governmental investigations, which could lead to a potential disruption to our business.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178" w:lineRule="exact"/>
        <w:rPr>
          <w:sz w:val="20"/>
          <w:szCs w:val="20"/>
          <w:color w:val="auto"/>
        </w:rPr>
      </w:pPr>
    </w:p>
    <w:p>
      <w:pPr>
        <w:ind w:left="60" w:right="299"/>
        <w:spacing w:after="0" w:line="249"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16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or our collaborators collect, use, process, store and transfer certain personal and/or confidential information as part of our normal business operations. We are therefore subject to federal, state, and international laws and regulations governing the privacy and security of confidential information and personal data. In the United States, we are subject to numerous federal and state laws and regulations, including federal health information privacy laws, state data breach notification laws, state health information privacy laws, and federal and state consumer protection laws, governing the collection, use, disclosure, storage, transfer, protection, and disposal of health-related and other the personal and/or confidential information we and/or our collaborators utilize A failure or perceived failure to comply with these current or future federal, state, and international laws and regulations and industry standards relating to data privacy and security could lead to investigatory or regulatory action, private litigation or class actions that could result in exposure to civil or criminal penalties, monetary or statutory damages, attorney fee awards and/or exposure to adverse publicity that could negatively affect our operating results and business.</w:t>
      </w:r>
    </w:p>
    <w:p>
      <w:pPr>
        <w:spacing w:after="0" w:line="18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At the federal level, failing to take appropriate steps to keep consumers’ personal information secure may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Through executive and legislative action, the federal government has also taken steps to restrict data transactions involving certain sensitive data categories – including health data, genetic data, and biospecimens – with persons affiliated with China, Russia, and other countries of concern. In addition, certain state laws govern privacy and security of personal information.</w:t>
      </w:r>
    </w:p>
    <w:p>
      <w:pPr>
        <w:spacing w:after="0" w:line="18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Many state legislatures have adopted legislation that regulates how businesses operate online, including measures relating to privacy, data security, and cybersecurity incidents or data breaches, and laws in all 50 states require businesses to provide notice to customers whose personally identifiable information has been disclosed as a result of a data breach. Such laws are not consistent, and compliance in the event of a widespread security incident may be costly and could disrupt our operations. By way of example, the CCPA created individual privacy rights for California consumers and increases the privacy and security obligations of entities handling certain personal data. The CCPA requires covered companies to provide certain disclosures to consumers about its data collection, use and sharing practices, and to provide affected California residents with ways to opt-out of certain sales or transfers of personal information. The CCPA also provided for civil penalties for violations, as well as a private right of action for data breaches that is expected to increase data breach litigation. Additionally, the CCPA was amended by a California ballot initiative, the California Privacy Rights Act, or the CPRA, which became effective on January 1, 2023. The amendments introduced by the CPRA modified the CCPA significantly, including by imposing additional obligations on companies covered by the legislation, expanding consumers’ rights with respect to certain sensitive personal information, and creating a new state agency that is vested with authority to implement and enforce the CCPA. The effects of the CCPA (as modified by the CPRA) are potentially significant and may increase out potential exposure to regulatory enforcement and/or litigation potentially resulting in further uncertainty and requiring us to incur additional costs and expenses in an effort to comply.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Similar laws have been passed in numerous other states and several states have proposed new privacy laws which,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71"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There are also states that are specifically regulating health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are discussions in the U.S. Congress of new comprehensive federal data privacy laws to which we could become subject to, if enacted.</w:t>
      </w:r>
    </w:p>
    <w:p>
      <w:pPr>
        <w:spacing w:after="0" w:line="38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Foreign data protection laws, may also apply to health-related and other personal information belonging to individuals who reside outside of the United States. In Europe, data collection and use is governed by restrictive regulations, including, in relation to the European Union, the General Data Protection Regulation (EU) 2016/679, or the EU GDPR. Following the withdrawal of the United Kingdom from the European Union, or Brexit, the EU GDPR has been incorporated into the United Kingdom’s law, or UK GDPR. The EU GDPR and UK GDPR are wide-ranging in scope and impose numerous requirements on companies that process personal data, including, among other obligations and requirements: (i) strict requirements relating to processing certain categories of data (i.e. “sensitive information” or special category data) including health data, (ii) requirements relating to how an organization can obtain and rely upon consent obtained from individuals to process their personal data, (iii) obligations related to providing information to individuals regarding data processing activities,</w:t>
      </w:r>
    </w:p>
    <w:p>
      <w:pPr>
        <w:spacing w:after="0" w:line="8" w:lineRule="exact"/>
        <w:rPr>
          <w:sz w:val="20"/>
          <w:szCs w:val="20"/>
          <w:color w:val="auto"/>
        </w:rPr>
      </w:pPr>
    </w:p>
    <w:p>
      <w:pPr>
        <w:ind w:left="60" w:right="79" w:hanging="10"/>
        <w:spacing w:after="0" w:line="237" w:lineRule="auto"/>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responsibility to implement safeguards to protect the security and confidentiality of personal data, (v) requirements to provide notification to competent data protection authorities and/or individuals of personal data breaches, and (vi) taking certain measures when engaging third-party processors. The EU GDPR and UK GDPR also grant individuals certain data protection rights, subject to certain limitations, including the rights to request and access a copy of the personal data processed by an organization, to have inaccurate personal data rectified or completed if incomplete, to object to or restrict the processing of their personal data, and to request deletion of personal data.</w:t>
      </w:r>
    </w:p>
    <w:p>
      <w:pPr>
        <w:spacing w:after="0" w:line="17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EU GDPR and UK also regulate cross-border transfers of personal data. For example, the EU GDPR requires us to enter into an appropriate transfer mechanism and may require us to take additional steps to ensure an essentially equivalent level of data protection. These transfer mechanisms are subject to change, and implementing new or revised transfer mechanisms or ensuring an essentially equivalent protection may involve additional expense and potentially increased compliance risk. Such restrictions may increase our obligations in relation to carrying out international transfers of personal data and cause us to incur additional expense and increased regulatory liabilities. Despite Brexit, the EU GDPR and UK GDPR remain largely aligned. Currently, the most impactful point of divergence between the EU GDPR and the UK GDPR relates to the transfer mechanisms, as explained above. There may be further divergence in the future, including with regard to administrative burdens. The UK Government has introduced a Data Protection and Digital Information Bill to reform the UK data protection legal framework which failed in the UK legislative process</w:t>
      </w:r>
      <w:r>
        <w:rPr>
          <w:rFonts w:ascii="Arial" w:cs="Arial" w:eastAsia="Arial" w:hAnsi="Arial"/>
          <w:sz w:val="18"/>
          <w:szCs w:val="18"/>
          <w:b w:val="1"/>
          <w:bCs w:val="1"/>
          <w:color w:val="auto"/>
        </w:rPr>
        <w:t>.</w:t>
      </w:r>
      <w:r>
        <w:rPr>
          <w:rFonts w:ascii="Arial" w:cs="Arial" w:eastAsia="Arial" w:hAnsi="Arial"/>
          <w:sz w:val="18"/>
          <w:szCs w:val="18"/>
          <w:color w:val="auto"/>
        </w:rPr>
        <w:t xml:space="preserve"> A new Data (Use and Access) Bill (“UK Bill”) has been introduced into parliament. If passed, the final version of the UK Bill may have the effect of further altering the similarities between the UK and European Economic Area data protection regime and threaten the UK adequacy decision from the European Commission, or EC. Further, this may lead to additional compliance costs and could increase our overall risk and we will need to amend our processes and procedures to align with the new framework.</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Companies that must comply with the GDPR face increased compliance obligations and risk, including more robust regulatory enforcement of data protection requirements and potential fines for noncompliance of up to the greater of 4% of worldwide turnover of the noncompliant company in the preceding financial year or €20 million (under EU GDPR) or £17.5 million (under UK GDPR), as applicable. The EU GDPR and UK GDPR also confer a private right of action on data subjects and consumer associations to lodge complaints with supervisory authorities, seek judicial remedies, and obtain compensation for damages resulting from violations. The EU GDPR and UK GDPR increased our responsibility and liability in relation to personal data that we process where such processing is subject to such laws, and we may be required to put in place additional mechanisms to ensure compliance, including as implemented by individual countries. Compliance with the EU GDPR and UK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8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Compliance with U.S. federal and state laws and foreign data protection laws and regulations could require us to take on more onerous obligations in our contracts, restrict our ability to collect, use and disclose data, or in some cases, impact our ability to operate in certain jurisdictions. Failure or perceived failure by us or our collaborators to comply with United States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188" w:lineRule="exact"/>
        <w:rPr>
          <w:sz w:val="20"/>
          <w:szCs w:val="20"/>
          <w:color w:val="auto"/>
        </w:rPr>
      </w:pPr>
    </w:p>
    <w:p>
      <w:pPr>
        <w:ind w:left="60" w:right="139"/>
        <w:spacing w:after="0" w:line="256"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5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or biologic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9" w:lineRule="auto"/>
        <w:rPr>
          <w:sz w:val="20"/>
          <w:szCs w:val="20"/>
          <w:color w:val="auto"/>
        </w:rPr>
      </w:pPr>
      <w:r>
        <w:rPr>
          <w:rFonts w:ascii="Arial" w:cs="Arial" w:eastAsia="Arial" w:hAnsi="Arial"/>
          <w:sz w:val="17"/>
          <w:szCs w:val="17"/>
          <w:color w:val="auto"/>
        </w:rPr>
        <w:t>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67" w:lineRule="exact"/>
        <w:rPr>
          <w:sz w:val="20"/>
          <w:szCs w:val="20"/>
          <w:color w:val="auto"/>
        </w:rPr>
      </w:pPr>
    </w:p>
    <w:p>
      <w:pPr>
        <w:ind w:left="60" w:right="299"/>
        <w:spacing w:after="0" w:line="278" w:lineRule="auto"/>
        <w:rPr>
          <w:sz w:val="20"/>
          <w:szCs w:val="20"/>
          <w:color w:val="auto"/>
        </w:rPr>
      </w:pPr>
      <w:r>
        <w:rPr>
          <w:rFonts w:ascii="Arial" w:cs="Arial" w:eastAsia="Arial" w:hAnsi="Arial"/>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3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Issues in the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any of our vendors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21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Social media is increasingly being used to communicate about pharmaceutical companies’ clinical development activities, and we intend to utilize appropriate social media in connection with our development efforts. Additionally, patients may use social media channels to comment on their experience in an ongoing clinical trial or to report an alleged adverse event. If such disclosures occur in the future in connection with any of our sponsored clinical trials,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It is also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product candidates under an expanded access policy, our reputation may be negatively affected and our business may be harmed. There is also a risk of inappropriate disclosure of sensitive or confidential information or negative or inaccurate posts or comments about us on any social networking website. In addition, we may encounter attacks on social media regarding our company, management or our product candidates, and fraudsters could and have attempted to illegally use our name on social media platforms to defraud the public. If any of these events were to occur or we fail to comply with applicable regulations, we could incur liability, face regulatory actions or incur other harm to our business.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do not currently own issued patents relating to some of our product candidates.</w:t>
      </w:r>
    </w:p>
    <w:p>
      <w:pPr>
        <w:spacing w:after="0" w:line="210"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Given the early stage of development of our product candidates, our patent portfolio is similarly at a very early stage. If we do not obtain meaningful patent coverage for our product candidates, their respective components, formulations, combination therapies, methods used to manufacture them, and methods of treatment, competitors may be able to erode or negate any competitive advantage we may have, which would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likely harm our business and ability to achieve profitability. To establish our proprietary position, we have filed patent applications in the United States and internationally related to our products CNTY-101, CNTY-308, CNTY-361 and CNTY-107 and have filed non-provisional and provisional patent applications on other aspects of our technology. However, United States provisional patent applications are not eligible to become issued patents unless and until, among other things, we file a non-provisional patent application within 12 months of filing of one or more of our related provisional patent applications.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 protection with respect to our technology and any proprietary products and technology we develop, our business, financial condition, results of operations, and prospects could be materially harmed.</w:t>
      </w:r>
    </w:p>
    <w:p>
      <w:pPr>
        <w:spacing w:after="0" w:line="182" w:lineRule="exact"/>
        <w:rPr>
          <w:sz w:val="20"/>
          <w:szCs w:val="20"/>
          <w:color w:val="auto"/>
        </w:rPr>
      </w:pPr>
    </w:p>
    <w:p>
      <w:pPr>
        <w:ind w:left="60" w:right="199"/>
        <w:spacing w:after="0" w:line="278" w:lineRule="auto"/>
        <w:rPr>
          <w:sz w:val="20"/>
          <w:szCs w:val="20"/>
          <w:color w:val="auto"/>
        </w:rPr>
      </w:pPr>
      <w:r>
        <w:rPr>
          <w:rFonts w:ascii="Arial" w:cs="Arial" w:eastAsia="Arial" w:hAnsi="Arial"/>
          <w:sz w:val="18"/>
          <w:szCs w:val="18"/>
          <w:b w:val="1"/>
          <w:bCs w:val="1"/>
          <w:i w:val="1"/>
          <w:iCs w:val="1"/>
          <w:color w:val="auto"/>
        </w:rPr>
        <w:t>If any of our license agreements with FCDI are terminated, we could lose our rights to key components enabling our iPSC-derived allogeneic cell therapy platforms.</w:t>
      </w:r>
    </w:p>
    <w:p>
      <w:pPr>
        <w:spacing w:after="0" w:line="13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Our commercial success will depend in part on the maintenance of our license agreements. We are party to (i) an exclusive license with FCDI, pursuant to which we have received an exclusive license to certain patents and know-how related to the differentiation of iPSC cells into immune-effector cells in the field of cancer immunotherapeutics, or the Differentiation License, (ii) a non-exclusive license for the rights to certain patents and know-how related to the reprogramming of human somatic cells to iPSCs in the field of cancer immunotherapeutics, or the Reprogramming License, and (iii) a worldwide license agreement whereby FCDI will grant non-exclusive licenses to us for certain patent rights and know-how related to cell differentiation and reprogramming for the development and commercialization of iPSC-derived therapies for the treatment of autoimmune diseases, or the Autoimmune License, together with the Reprogramming License and the Differentiation License, the FCDI Licenses. A critical aspect to manufacturing our product candidates involves the reprogramming of certain cells into iPSCs and the differentiation of iPSCs into immune cells. We utilize technology licensed from FCDI to reprogram cells to become iPSCs and to differentiate the iPSCs to generate different immune cell types including NK cells and T cells. By utilizing this licensed technology, we are currently capable of achieving fully functional iNK cells from iPSCs in approximately 30 days.</w:t>
      </w:r>
    </w:p>
    <w:p>
      <w:pPr>
        <w:spacing w:after="0" w:line="189"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FCDI Licenses impose, and future license agreements may impose, various diligence, milestone payment, royalty, and other obligations on us. If we fail to comply with our obligations under the FCDI Licenses, our other license agreements, or any future license agreements with any party, or we are subject to a bankruptcy, the licensor may have the right to terminate the license, in which event we would not be able to develop products covered by such license.</w:t>
      </w:r>
    </w:p>
    <w:p>
      <w:pPr>
        <w:spacing w:after="0" w:line="1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If, for any reason, the FCDI Licenses or certain of our other license agreements are terminated or we otherwise lose the rights under such agreements, it would adversely affect our business. If we breach any material obligations under the FCDI Licenses or certain of our other license agreements, FCDI or the applicable licensor may have the right to terminate our license, which could result in us being unable to develop, manufacture, or sell our product candidates that incorporate the intellectual property subject to such license.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or at all.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579"/>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intellectual property rights in the future for the development of CNTY-101 and our other product candidates.</w:t>
      </w:r>
    </w:p>
    <w:p>
      <w:pPr>
        <w:spacing w:after="0" w:line="13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may in the future enter into additional license agreements with third parties for other intellectual property rights or assets to advance our research or allow commercialization of CNTY-101 and our other product candidates, and we cannot provide any assurances that third-party patents do not exist which might be enforced against CNTY-101 and our other product candidates in the absence of such a license. We may fail to obtain any of these licenses on commercially reasonable terms, if at all. Even if we are able to obtain a license, it may be non-exclusive or may not provide exclusive rights to use such intellectual property and technology in all relevant fields of use and in all territories, thereby giving our competitors access to the same technologies licensed to us. In that event, we may be required to expend significant time and resources to develop or license replacement technology, which may not be feasible on a technical or commercial basis.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8" w:lineRule="exact"/>
        <w:rPr>
          <w:sz w:val="20"/>
          <w:szCs w:val="20"/>
          <w:color w:val="auto"/>
        </w:rPr>
      </w:pPr>
    </w:p>
    <w:p>
      <w:pPr>
        <w:ind w:left="720" w:right="239" w:hanging="319"/>
        <w:spacing w:after="0" w:line="246"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 the resolution of which could narrow what we believe to be the scope of our rights to the relevant intellectual property or technology, or increase what we believe to be our financial or other obligations under the relevant agreement;</w:t>
      </w:r>
    </w:p>
    <w:p>
      <w:pPr>
        <w:spacing w:after="0" w:line="176" w:lineRule="exact"/>
        <w:rPr>
          <w:rFonts w:ascii="Times New Roman" w:cs="Times New Roman" w:eastAsia="Times New Roman" w:hAnsi="Times New Roman"/>
          <w:sz w:val="18"/>
          <w:szCs w:val="18"/>
          <w:color w:val="auto"/>
        </w:rPr>
      </w:pPr>
    </w:p>
    <w:p>
      <w:pPr>
        <w:ind w:left="720" w:right="299" w:hanging="319"/>
        <w:spacing w:after="0" w:line="270"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that is not subject to the licensing agreement;</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patents and other intellectual property rights to third parties;</w:t>
      </w:r>
    </w:p>
    <w:p>
      <w:pPr>
        <w:spacing w:after="0" w:line="224"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CNTY-101 and our other product candidates, and what activities satisfy those diligence obligations;</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transfer or assign the license; and</w:t>
      </w:r>
    </w:p>
    <w:p>
      <w:pPr>
        <w:spacing w:after="0" w:line="224"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ownership of inventions, know-how, and other intellectual property resulting from the joint creation or use of intellectual property by our licensors and us and our partners.</w:t>
      </w:r>
    </w:p>
    <w:p>
      <w:pPr>
        <w:spacing w:after="0" w:line="154"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16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agreements with respect to any licensed product, we may be required to pay a specified percentage of all revenue to be received in connection with such transaction.</w:t>
      </w:r>
    </w:p>
    <w:p>
      <w:pPr>
        <w:spacing w:after="0" w:line="17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Under one of the FCDI Licenses and certain other in-licenses under which we sublicense certain rights related to our technology, we rely on FCDI and our other sub-licensors to comply with their obligations under their upstream license agreements where we may have no relationship with the original licensor of such rights. If our sub-licensors fail to comply with their obligations under their upstream license agreements, and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the upstream license agreements are consequently terminated, such termination may result in the termination of our sublicenses and loss of such rights.</w:t>
      </w:r>
    </w:p>
    <w:p>
      <w:pPr>
        <w:spacing w:after="0" w:line="156" w:lineRule="exact"/>
        <w:rPr>
          <w:sz w:val="20"/>
          <w:szCs w:val="20"/>
          <w:color w:val="auto"/>
        </w:rPr>
      </w:pPr>
    </w:p>
    <w:p>
      <w:pPr>
        <w:ind w:left="60" w:right="339"/>
        <w:spacing w:after="0" w:line="278" w:lineRule="auto"/>
        <w:rPr>
          <w:sz w:val="20"/>
          <w:szCs w:val="20"/>
          <w:color w:val="auto"/>
        </w:rPr>
      </w:pPr>
      <w:r>
        <w:rPr>
          <w:rFonts w:ascii="Arial" w:cs="Arial" w:eastAsia="Arial" w:hAnsi="Arial"/>
          <w:sz w:val="18"/>
          <w:szCs w:val="18"/>
          <w:b w:val="1"/>
          <w:bCs w:val="1"/>
          <w:i w:val="1"/>
          <w:iCs w:val="1"/>
          <w:color w:val="auto"/>
        </w:rPr>
        <w:t>Our success depends on our ability to obtain, maintain, protect, and enforce our intellectual property and our proprietary technologies.</w:t>
      </w:r>
    </w:p>
    <w:p>
      <w:pPr>
        <w:spacing w:after="0" w:line="13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commercial success depends in part on our ability to obtain, maintain, protect, and enforce our intellectual property and proprietary technologies, including patent protection and trade secret protection for CNTY-101 and our other product candidates, proprietary technologies and their uses as well as our ability to operate without infringing, misappropriating, or otherwise violating the intellectual property or proprietary rights of others. If we are unable to obtain, maintain, protect, or enforce our intellectual property rights or if our intellectual property rights are inadequate for our technology or our product candidates, our competitive position could be harmed, which could have a material adverse impact on our business, results of operations, financial conditions, and prospects. Although we have filed patent applications with respect to CNTY-101 and other aspects of our product technology, our patent portfolio is in an earlier stage of prosecution. We own few issued patents related to some of our product candidates. Our patent applications cannot be enforced against third parties practicing the technology claimed in such applications unless, and until, patents are issued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misappropriated, violated, designed around or invalidated by third parties. Even issued patents may later be found invalid or unenforceable or may be modified or revoked in proceedings instituted by third parties before various patent offices or in courts. The degree of future protection for our intellectual property and proprietary rights is uncertain. Only limited protection may be available and may not adequately obtain, maintain, protect, and enforce our rights or permit us to gain or keep any competitive advantage. These uncertainties and/or limitations in our ability to properly obtain, maintain, protect, and enforce the intellectual property rights relating to CNTY-101 and our other product candidates could have a material adverse effect on our financial condition and results of operations.</w:t>
      </w:r>
    </w:p>
    <w:p>
      <w:pPr>
        <w:spacing w:after="0" w:line="193"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cannot be certain that the claims in our pending patent applications will be considered patentable by the United States Patent and Trademark Office, or USPTO, courts in the United States or by the patent offices and courts in foreign countries, nor can we be certain that claims that may ultimately issue from our patent applications will not be found invalid or unenforceable if challenged. If we are unable to obtain or maintain patent protection with respect to our product candidates, our business, financial condition, results of operations, and prospects could be materially harmed.</w:t>
      </w:r>
    </w:p>
    <w:p>
      <w:pPr>
        <w:spacing w:after="0" w:line="179"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The patent application process is subject to numerous risks and uncertainties, and there can be no assurance that we or any of our potential future collaborators will be successful in protecting CNTY-101 and our other product candidates by obtaining and defending patents. These risks and uncertainties include the following:</w:t>
      </w:r>
    </w:p>
    <w:p>
      <w:pPr>
        <w:spacing w:after="0" w:line="152" w:lineRule="exact"/>
        <w:rPr>
          <w:sz w:val="20"/>
          <w:szCs w:val="20"/>
          <w:color w:val="auto"/>
        </w:rPr>
      </w:pPr>
    </w:p>
    <w:p>
      <w:pPr>
        <w:ind w:left="720" w:right="379" w:hanging="319"/>
        <w:spacing w:after="0" w:line="246"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patent applications may not result in any patents being issued;</w:t>
      </w:r>
    </w:p>
    <w:p>
      <w:pPr>
        <w:spacing w:after="0" w:line="224"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54" w:lineRule="exact"/>
        <w:rPr>
          <w:rFonts w:ascii="Times New Roman" w:cs="Times New Roman" w:eastAsia="Times New Roman" w:hAnsi="Times New Roman"/>
          <w:sz w:val="18"/>
          <w:szCs w:val="18"/>
          <w:color w:val="auto"/>
        </w:rPr>
      </w:pPr>
    </w:p>
    <w:p>
      <w:pPr>
        <w:ind w:left="720" w:right="119" w:hanging="319"/>
        <w:spacing w:after="0" w:line="246"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CNTY-101 and our other product candidates;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hanging="319"/>
        <w:spacing w:after="0" w:line="274" w:lineRule="auto"/>
        <w:tabs>
          <w:tab w:leader="none" w:pos="7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53" w:lineRule="exact"/>
        <w:rPr>
          <w:rFonts w:ascii="Times New Roman" w:cs="Times New Roman" w:eastAsia="Times New Roman" w:hAnsi="Times New Roman"/>
          <w:sz w:val="17"/>
          <w:szCs w:val="17"/>
          <w:color w:val="auto"/>
        </w:rPr>
      </w:pPr>
    </w:p>
    <w:p>
      <w:pPr>
        <w:jc w:val="both"/>
        <w:ind w:left="720" w:right="379" w:hanging="319"/>
        <w:spacing w:after="0" w:line="252"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171"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patent prosecution process is also expensive and time-consuming,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8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CMOs, consultants, advisors, and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licensed patents or pending patent applications, or that we were the first to file for patent protection of such inventions.</w:t>
      </w:r>
    </w:p>
    <w:p>
      <w:pPr>
        <w:spacing w:after="0" w:line="185" w:lineRule="exact"/>
        <w:rPr>
          <w:sz w:val="20"/>
          <w:szCs w:val="20"/>
          <w:color w:val="auto"/>
        </w:rPr>
      </w:pPr>
    </w:p>
    <w:p>
      <w:pPr>
        <w:ind w:left="60" w:right="259"/>
        <w:spacing w:after="0" w:line="256"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59"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product candidates.</w:t>
      </w:r>
    </w:p>
    <w:p>
      <w:pPr>
        <w:spacing w:after="0" w:line="17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CNTY-101 and our other product candidates will be protectable or remain protected by valid and enforceable patents. Our competitors or other third parties may be able to circumvent our patents by developing similar or alternative technologies or products in a non-infringing, misappropriating, or violating manner which could materially adversely affect our business, financial condition, results of operations and prospects.</w:t>
      </w:r>
    </w:p>
    <w:p>
      <w:pPr>
        <w:spacing w:after="0" w:line="180" w:lineRule="exact"/>
        <w:rPr>
          <w:sz w:val="20"/>
          <w:szCs w:val="20"/>
          <w:color w:val="auto"/>
        </w:rPr>
      </w:pPr>
    </w:p>
    <w:p>
      <w:pPr>
        <w:ind w:left="60" w:right="619"/>
        <w:spacing w:after="0" w:line="301"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not cover CNTY-101 and our other product candidates or may be challenged in the courts or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patent offices in the United States and abroad. We may be subject to a third-party pre-issuance submission of prior art to the USPTO, or become involved in opposition, derivation, revocation, reexamination, post-grant review, or PGR, and inter parties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 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CNTY-101 and our other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or our licensors’ ability to stop others from using or commercializing similar or identical technology and products, or limit the duration of the patent protection of CNTY-101 and our other product candidates. Such proceedings also may result in substantial costs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93" w:lineRule="exact"/>
        <w:rPr>
          <w:sz w:val="20"/>
          <w:szCs w:val="20"/>
          <w:color w:val="auto"/>
        </w:rPr>
      </w:pPr>
    </w:p>
    <w:p>
      <w:pPr>
        <w:ind w:left="60" w:right="119"/>
        <w:spacing w:after="0" w:line="278" w:lineRule="auto"/>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3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or our licensors or collaborators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our collaborators or our licensors, whether current or future, fail to establish, maintain, or protect such patents and other intellectual property rights, such rights may be reduced or eliminated. If our licensors or collaborators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8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intellectual property that we may need to operate our business. If any of our licensors or any of our future licensors or future collaborators fail to appropriately prosecute and maintain patent protection for patents covering CNTY-101 and our other product candidates, our ability to develop and commercialize those product candidates may be adversely affected and we may not be able to prevent competitors from making, using, and selling competing products.</w:t>
      </w:r>
    </w:p>
    <w:p>
      <w:pPr>
        <w:spacing w:after="0" w:line="176"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7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85"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 addition, the research resulting in certain of our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United States government also has the right to take title to these inventions if the applicable licensor fails to disclose the invention to the government or fails to file an application to register the intellectual property within specified time limits.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88"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CNTY-101 and our other product candidates.</w:t>
      </w:r>
    </w:p>
    <w:p>
      <w:pPr>
        <w:spacing w:after="0" w:line="181" w:lineRule="exact"/>
        <w:rPr>
          <w:sz w:val="20"/>
          <w:szCs w:val="20"/>
          <w:color w:val="auto"/>
        </w:rPr>
      </w:pPr>
    </w:p>
    <w:p>
      <w:pPr>
        <w:ind w:left="60" w:right="1019"/>
        <w:spacing w:after="0" w:line="278"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39" w:lineRule="exact"/>
        <w:rPr>
          <w:sz w:val="20"/>
          <w:szCs w:val="20"/>
          <w:color w:val="auto"/>
        </w:rPr>
      </w:pPr>
    </w:p>
    <w:p>
      <w:pPr>
        <w:jc w:val="both"/>
        <w:ind w:left="60" w:right="539"/>
        <w:spacing w:after="0" w:line="25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9" w:lineRule="exact"/>
        <w:rPr>
          <w:sz w:val="20"/>
          <w:szCs w:val="20"/>
          <w:color w:val="auto"/>
        </w:rPr>
      </w:pPr>
    </w:p>
    <w:p>
      <w:pPr>
        <w:ind w:left="720" w:right="139" w:hanging="319"/>
        <w:spacing w:after="0" w:line="270" w:lineRule="auto"/>
        <w:tabs>
          <w:tab w:leader="none" w:pos="7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develop products that are similar to CNTY-101 and our other product candidates but that are not covered by the claims of the patents that we own or license;</w:t>
      </w:r>
    </w:p>
    <w:p>
      <w:pPr>
        <w:spacing w:after="0" w:line="154" w:lineRule="exact"/>
        <w:rPr>
          <w:rFonts w:ascii="Times New Roman" w:cs="Times New Roman" w:eastAsia="Times New Roman" w:hAnsi="Times New Roman"/>
          <w:sz w:val="18"/>
          <w:szCs w:val="18"/>
          <w:color w:val="auto"/>
        </w:rPr>
      </w:pPr>
    </w:p>
    <w:p>
      <w:pPr>
        <w:ind w:left="720" w:right="339" w:hanging="319"/>
        <w:spacing w:after="0" w:line="270" w:lineRule="auto"/>
        <w:tabs>
          <w:tab w:leader="none" w:pos="7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we or our licensors or predecessors might not have been the first to make the inventions covered by the issued patents or patent application that we own or license;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59" w:hanging="319"/>
        <w:spacing w:after="0" w:line="270" w:lineRule="auto"/>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we or our licensors or predecessors might not have been the first to file patent applications covering certain of our inventions;</w:t>
      </w:r>
    </w:p>
    <w:p>
      <w:pPr>
        <w:spacing w:after="0" w:line="154" w:lineRule="exact"/>
        <w:rPr>
          <w:rFonts w:ascii="Times New Roman" w:cs="Times New Roman" w:eastAsia="Times New Roman" w:hAnsi="Times New Roman"/>
          <w:sz w:val="18"/>
          <w:szCs w:val="18"/>
          <w:color w:val="auto"/>
        </w:rPr>
      </w:pPr>
    </w:p>
    <w:p>
      <w:pPr>
        <w:ind w:left="720" w:right="199" w:hanging="319"/>
        <w:spacing w:after="0" w:line="270" w:lineRule="auto"/>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24" w:lineRule="exact"/>
        <w:rPr>
          <w:rFonts w:ascii="Times New Roman" w:cs="Times New Roman" w:eastAsia="Times New Roman" w:hAnsi="Times New Roman"/>
          <w:sz w:val="18"/>
          <w:szCs w:val="18"/>
          <w:color w:val="auto"/>
        </w:rPr>
      </w:pPr>
    </w:p>
    <w:p>
      <w:pPr>
        <w:ind w:left="720" w:right="759" w:hanging="319"/>
        <w:spacing w:after="0" w:line="270" w:lineRule="auto"/>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54" w:lineRule="exact"/>
        <w:rPr>
          <w:rFonts w:ascii="Times New Roman" w:cs="Times New Roman" w:eastAsia="Times New Roman" w:hAnsi="Times New Roman"/>
          <w:sz w:val="18"/>
          <w:szCs w:val="18"/>
          <w:color w:val="auto"/>
        </w:rPr>
      </w:pPr>
    </w:p>
    <w:p>
      <w:pPr>
        <w:jc w:val="both"/>
        <w:ind w:left="720" w:right="159" w:hanging="319"/>
        <w:spacing w:after="0" w:line="252" w:lineRule="auto"/>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others may have an adverse effect on our business.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14" w:lineRule="exact"/>
        <w:rPr>
          <w:sz w:val="20"/>
          <w:szCs w:val="20"/>
          <w:color w:val="auto"/>
        </w:rPr>
      </w:pPr>
    </w:p>
    <w:p>
      <w:pPr>
        <w:ind w:left="60" w:right="519"/>
        <w:spacing w:after="0" w:line="245"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violate their intellectual property or proprietary rights may result in liability for damages or prevent or delay our development and commercialization efforts.</w:t>
      </w:r>
    </w:p>
    <w:p>
      <w:pPr>
        <w:spacing w:after="0" w:line="17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 of the patents, intellectual property, or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other intellectual property or proprietary rights that could limit our ability to make, use, sell, offer for sale, or import CNTY-101 or our other product candidates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United States and foreign issued patents and pending patent applications exist in the fields in which we are developing product candidates, including patents and patent applications held by our competitors. There may be third-party patents or patent applications with claims to materials, formulations, methods of manufacture, or methods for treatment related to the use or manufacture of CNTY-101 and our other product candidates.</w:t>
      </w:r>
    </w:p>
    <w:p>
      <w:pPr>
        <w:spacing w:after="0" w:line="18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As the biopharmaceutical industry expands and more patents are issued, the risk increases that CNTY-101 and our other product candidates may be subject to claims of infringement, misappropriation, or other violation of the patent rights of third parties. Because patent applications are maintained as confidential for a certain period of time, until the relevant application is published we may be unaware of third-party patents that may be infringed by commercialization of CNTY-101 and our other product candidates, and we cannot be certain that we were the first to file a patent application related to CNTY-101 and our other product candidates. Moreover, because patent applications can take many years to issue, there may be currently pending patent applications that may later result in issued patents that CNTY-101 and our other product candidates may infringe. In addition, identification of third-party patent rights that may be relevant to our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misappropriates, or otherwise violates these patents. Any claims asserted by third parties would be time-consuming and could:</w:t>
      </w:r>
    </w:p>
    <w:p>
      <w:pPr>
        <w:spacing w:after="0" w:line="174" w:lineRule="exact"/>
        <w:rPr>
          <w:sz w:val="20"/>
          <w:szCs w:val="20"/>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costly litigation that may cause negative publicity;</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divert the time and attention of our technical personnel and management;</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cause development delays;</w:t>
      </w:r>
    </w:p>
    <w:p>
      <w:pPr>
        <w:spacing w:after="0" w:line="224" w:lineRule="exact"/>
        <w:rPr>
          <w:rFonts w:ascii="Times New Roman" w:cs="Times New Roman" w:eastAsia="Times New Roman" w:hAnsi="Times New Roman"/>
          <w:sz w:val="18"/>
          <w:szCs w:val="18"/>
          <w:color w:val="auto"/>
        </w:rPr>
      </w:pPr>
    </w:p>
    <w:p>
      <w:pPr>
        <w:ind w:left="720" w:right="159" w:hanging="319"/>
        <w:spacing w:after="0" w:line="270" w:lineRule="auto"/>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commercializing CNTY-101 and our other product candidates until the asserted patent expires or is held finally invalid or not infringed in a court of law;</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subject us to significant liability to third parties; or</w:t>
      </w:r>
    </w:p>
    <w:p>
      <w:pPr>
        <w:spacing w:after="0" w:line="224" w:lineRule="exact"/>
        <w:rPr>
          <w:rFonts w:ascii="Times New Roman" w:cs="Times New Roman" w:eastAsia="Times New Roman" w:hAnsi="Times New Roman"/>
          <w:sz w:val="18"/>
          <w:szCs w:val="18"/>
          <w:color w:val="auto"/>
        </w:rPr>
      </w:pPr>
    </w:p>
    <w:p>
      <w:pPr>
        <w:ind w:left="720" w:right="339" w:hanging="319"/>
        <w:spacing w:after="0" w:line="252" w:lineRule="auto"/>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71"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Third parties may hold intellectual property or proprietary rights that could prevent CNTY-101 and our other product candidates from being marketed. Any patent-related legal action against us claiming damages and seeking to enjoin activities relating to CNTY-101 and our other product candidates or processes could subject us to potential liability for damages, including treble damages if we were determined to willfully infringe, and require us to obtain a license to manufacture or develop CNTY-101 and our other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CNTY-101 and our other product candidates or processes to avoid infringement, if necessary. Accordingly, an adverse determination in a judicial or administrative proceeding, or the failure to obtain necessary licenses, could prevent us from developing and commercializing CNTY-101 and our other product candidates, which could harm our business, financial condition, and operating results.</w:t>
      </w:r>
    </w:p>
    <w:p>
      <w:pPr>
        <w:spacing w:after="0" w:line="188"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85"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5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field of gene-editing, especially in the area of CRISPR technology, is still in its infancy, and no such products have reached the market. Further, the ownership of intellectual property rights relating to CRISPR technology is not fully established. Accordingly, we may not be able to secure all the necessary rights to practice the technology.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intellectual property and proprietary rights in the future. 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biopharmaceutical and pharmaceutical industries are characterized by extensive litigation regarding patents and other intellectual property rights relating to CRISPR. For example, certain patents are currently subject to Interference Proceedings before the USPTO and Opposition Proceedings before the European Patent Office, or EPO. It is uncertain when and how the USPTO, as well as the EPO, will decide in the various proceedings, and the decisions of the respective patent offices may significantly affect the scope or may deny the validity of the respective patents involved in these proceedings. We may in the future become party to, or threatened with, adversarial proceedings or litigation regarding intellectual property rights with respect to CRISPR technology and any product candidates we may develop. Third parties may assert infringement claims against us based on existing patents or patents that may be granted in the future, regardless of their merit. If we are unable to prove that these patents are invalid or unenforceable or not infringed and we are not able to obtain or maintain a license on commercially reasonable terms, or at all, such third parties could potentially assert infringement claims against us, which could have a material adverse effect on the conduct of our business. If we are found to infringe, misappropriate, or violate such third-party patents, we and our partners may be required to pay damages, cease commercialization of the infringing technology, including our use of gene-editing technology, or obtain a license from such third parties, which may not be available on commercially reasonable terms or at all.</w:t>
      </w:r>
    </w:p>
    <w:p>
      <w:pPr>
        <w:spacing w:after="0" w:line="19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We may be involved in lawsuits to protect or enforce our patents or the patents of our licensors, which could be expensive, time-consuming, and unsuccessful. Further, our issued patents could be found invalid or unenforceable if challenged in court.</w:t>
      </w:r>
    </w:p>
    <w:p>
      <w:pPr>
        <w:spacing w:after="0" w:line="16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Competitors may infringe, misappropriate, or violate our intellectual property rights or those of our licensors. To prevent infringement, misappropriation, violation, or unauthorized use, we and/or our licensors may be required to file claims, which can be expensive and time-consuming.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CNTY-101 and our other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 or non-enablement. Grounds for an unenforceability assertion could include an allegation that someone connected with prosecution of the patent withheld relevant information from the USPTO or made a misleading statement during prosecution.</w:t>
      </w:r>
    </w:p>
    <w:p>
      <w:pPr>
        <w:spacing w:after="0" w:line="183"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licensors is threatened, it could dissuade companies from collaborating with us to license, develop, or commercialize current or future product candidates. Such a loss of patent protection would have a material adverse impact on our business.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addition, we may in the future choose to challenge the patentability of claims in a third-party’s patent by requesting that the USPTO review the patent claims in re-examination, post-grant review, inter parties review, interference proceedings, derivation proceedings, and equivalent proceedings in foreign jurisdictions (e.g., opposition proceedings). We have challenged and may in the future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we may be exposed to litigation by the third party alleging that the relevant patent may be infringed by our product candidates.</w:t>
      </w:r>
    </w:p>
    <w:p>
      <w:pPr>
        <w:spacing w:after="0" w:line="18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compromise our ability to compete in the marketplace.</w:t>
      </w:r>
    </w:p>
    <w:p>
      <w:pPr>
        <w:spacing w:after="0" w:line="183"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79"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54" w:lineRule="exact"/>
        <w:rPr>
          <w:sz w:val="20"/>
          <w:szCs w:val="20"/>
          <w:color w:val="auto"/>
        </w:rPr>
      </w:pPr>
    </w:p>
    <w:p>
      <w:pPr>
        <w:ind w:left="60" w:right="259"/>
        <w:spacing w:after="0" w:line="278" w:lineRule="auto"/>
        <w:rPr>
          <w:sz w:val="20"/>
          <w:szCs w:val="20"/>
          <w:color w:val="auto"/>
        </w:rPr>
      </w:pPr>
      <w:r>
        <w:rPr>
          <w:rFonts w:ascii="Arial" w:cs="Arial" w:eastAsia="Arial" w:hAnsi="Arial"/>
          <w:sz w:val="18"/>
          <w:szCs w:val="18"/>
          <w:b w:val="1"/>
          <w:bCs w:val="1"/>
          <w:i w:val="1"/>
          <w:iCs w:val="1"/>
          <w:color w:val="auto"/>
        </w:rPr>
        <w:t>Changes in United States patent law, or laws in other countries, could diminish the value of patents in general, thereby impairing our ability to protect CNTY-101 and our other product candidates.</w:t>
      </w:r>
    </w:p>
    <w:p>
      <w:pPr>
        <w:spacing w:after="0" w:line="13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3" w:lineRule="exact"/>
        <w:rPr>
          <w:sz w:val="20"/>
          <w:szCs w:val="20"/>
          <w:color w:val="auto"/>
        </w:rPr>
      </w:pPr>
    </w:p>
    <w:p>
      <w:pPr>
        <w:ind w:left="60" w:right="59"/>
        <w:spacing w:after="0" w:line="257" w:lineRule="auto"/>
        <w:rPr>
          <w:sz w:val="20"/>
          <w:szCs w:val="20"/>
          <w:color w:val="auto"/>
        </w:rPr>
      </w:pPr>
      <w:r>
        <w:rPr>
          <w:rFonts w:ascii="Arial" w:cs="Arial" w:eastAsia="Arial" w:hAnsi="Arial"/>
          <w:sz w:val="17"/>
          <w:szCs w:val="17"/>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United States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719"/>
        <w:spacing w:after="0" w:line="278"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3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or our licensors fail in defending any such claims, in addition to paying monetary damages, we may lose valuable intellectual property rights, such as exclusive ownership of, or the exclusive right to use, our owned or in-licensed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or of a diminished scope.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 interference proceeding or other similar priority or inventorship disputes, it could result in substantial costs and be a distraction to management and other employees. Such an outcome could have a material adverse effect on our business. Even if we are successful in defending against such claims, litigation could result in substantial costs and distraction to management and other employees.</w:t>
      </w:r>
    </w:p>
    <w:p>
      <w:pPr>
        <w:spacing w:after="0" w:line="18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2" w:lineRule="exact"/>
        <w:rPr>
          <w:sz w:val="20"/>
          <w:szCs w:val="20"/>
          <w:color w:val="auto"/>
        </w:rPr>
      </w:pPr>
    </w:p>
    <w:p>
      <w:pPr>
        <w:ind w:left="60" w:right="99"/>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CNTY-101 and our other product candidates for an adequate amount of time.</w:t>
      </w:r>
    </w:p>
    <w:p>
      <w:pPr>
        <w:spacing w:after="0" w:line="139"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CNTY-101 and our other product candidates are obtained, once the patent life has expired, we may be open to competition from competitive products. Given the amount of time required for the development, testing, and regulatory review of product candidates, patents protecting CNTY-101 and our other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70" w:lineRule="exact"/>
        <w:rPr>
          <w:sz w:val="20"/>
          <w:szCs w:val="20"/>
          <w:color w:val="auto"/>
        </w:rPr>
      </w:pPr>
    </w:p>
    <w:p>
      <w:pPr>
        <w:ind w:left="60" w:right="139"/>
        <w:spacing w:after="0" w:line="278" w:lineRule="auto"/>
        <w:rPr>
          <w:sz w:val="20"/>
          <w:szCs w:val="20"/>
          <w:color w:val="auto"/>
        </w:rPr>
      </w:pPr>
      <w:r>
        <w:rPr>
          <w:rFonts w:ascii="Arial" w:cs="Arial" w:eastAsia="Arial" w:hAnsi="Arial"/>
          <w:sz w:val="18"/>
          <w:szCs w:val="18"/>
          <w:b w:val="1"/>
          <w:bCs w:val="1"/>
          <w:i w:val="1"/>
          <w:iCs w:val="1"/>
          <w:color w:val="auto"/>
        </w:rPr>
        <w:t>If we do not obtain patent term extension for CNTY-101 and our other product candidates, our business may be materially harmed.</w:t>
      </w:r>
    </w:p>
    <w:p>
      <w:pPr>
        <w:spacing w:after="0" w:line="13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Depending upon the timing, duration, and specifics of FDA marketing approval of CNTY-101 and our other product candidates, one or more of our United States patents may be eligible for limited patent term restoration under the Drug Price Competition and Patent Term Restoration Action of 1984, or Hatch-Waxman Act. The Hatch-Waxman Act permits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years from the date of product approval, only one patent may be extended,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prior to expiration of relevant patents or otherwise failing to exercise due diligence during the testing phase or regulatory review process, failing to apply within applicable deadlines or failing to satisfy applicable requirements. Moreover, the applicable time period or the scope of patent protection afforded could be less than we request. In addition, we may be reliant on third-party licensors and collaborators in applying for such patent term extensions and we may not be able to obtain their cooperation.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1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Although we have licenses to issued patents and pending patent applications in the United States and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intellectual property and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319"/>
        <w:spacing w:after="0" w:line="24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6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any patents we ultimately obtain and/or applications we file.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In some cases, we are also dependent on our licensors to take the necessary action to comply with these requirements with respect to our licensed intellectual property.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have a material adverse effect on our business.</w:t>
      </w:r>
    </w:p>
    <w:p>
      <w:pPr>
        <w:spacing w:after="0" w:line="182" w:lineRule="exact"/>
        <w:rPr>
          <w:sz w:val="20"/>
          <w:szCs w:val="20"/>
          <w:color w:val="auto"/>
        </w:rPr>
      </w:pPr>
    </w:p>
    <w:p>
      <w:pPr>
        <w:ind w:left="60" w:right="739"/>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Trade secrets and know-how can be difficult to protect.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0" w:lineRule="exact"/>
        <w:rPr>
          <w:sz w:val="20"/>
          <w:szCs w:val="20"/>
          <w:color w:val="auto"/>
        </w:rPr>
      </w:pPr>
    </w:p>
    <w:p>
      <w:pPr>
        <w:ind w:left="60" w:right="139"/>
        <w:spacing w:after="0" w:line="254" w:lineRule="auto"/>
        <w:rPr>
          <w:sz w:val="20"/>
          <w:szCs w:val="20"/>
          <w:color w:val="auto"/>
        </w:rPr>
      </w:pPr>
      <w:r>
        <w:rPr>
          <w:rFonts w:ascii="Arial" w:cs="Arial" w:eastAsia="Arial" w:hAnsi="Arial"/>
          <w:sz w:val="17"/>
          <w:szCs w:val="17"/>
          <w:color w:val="auto"/>
        </w:rPr>
        <w:t>Because we currently rely on other third parties to manufacture our product candidates and to perform quality testing, we must, at times, share our proprietary technology and confidential information, including trade secrets, with them. We seek to protect our proprietary technology and other trade secrets, in part, by entering into confidentiality agreements, consulting agreements, or other similar agreements with our advisors, employees, consultants, and other third parties prior to beginning research or disclosing proprietary information and other trade secrets. These agreements typically limit the rights of the third parties to use or disclose our confidential information, proprietary information, and other trade secrets.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w:t>
      </w:r>
    </w:p>
    <w:p>
      <w:pPr>
        <w:spacing w:after="0" w:line="17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5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CNTY-101 and our other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14" w:lineRule="exact"/>
        <w:rPr>
          <w:sz w:val="20"/>
          <w:szCs w:val="20"/>
          <w:color w:val="auto"/>
        </w:rPr>
      </w:pPr>
    </w:p>
    <w:p>
      <w:pPr>
        <w:ind w:left="60" w:right="379"/>
        <w:spacing w:after="0" w:line="278"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highly volatile, and purchasers of our common stock could incur substantial losses.</w:t>
      </w:r>
    </w:p>
    <w:p>
      <w:pPr>
        <w:spacing w:after="0" w:line="13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Our stock price has been volatile since our initial public offering. The stock market in general and the market for stock of biopharmaceutical companies in particular have experienced extreme volatility that has often been unrelated to the operating performance of particular companies. The market price for our common stock may be influenced by those factors discussed in this “Risk factors” section and many others, including:</w:t>
      </w:r>
    </w:p>
    <w:p>
      <w:pPr>
        <w:spacing w:after="0" w:line="174" w:lineRule="exact"/>
        <w:rPr>
          <w:sz w:val="20"/>
          <w:szCs w:val="20"/>
          <w:color w:val="auto"/>
        </w:rPr>
      </w:pPr>
    </w:p>
    <w:p>
      <w:pPr>
        <w:jc w:val="both"/>
        <w:ind w:left="720" w:right="539" w:hanging="319"/>
        <w:spacing w:after="0" w:line="270" w:lineRule="auto"/>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commencement, enrollment, or results of our current and future preclinical studies and clinical trials, and the results of trials of our competitors or those of other companies in our market sector;</w:t>
      </w:r>
    </w:p>
    <w:p>
      <w:pPr>
        <w:spacing w:after="0" w:line="154" w:lineRule="exact"/>
        <w:rPr>
          <w:rFonts w:ascii="Times New Roman" w:cs="Times New Roman" w:eastAsia="Times New Roman" w:hAnsi="Times New Roman"/>
          <w:sz w:val="18"/>
          <w:szCs w:val="18"/>
          <w:color w:val="auto"/>
        </w:rPr>
      </w:pPr>
    </w:p>
    <w:p>
      <w:pPr>
        <w:ind w:left="720" w:right="579" w:hanging="319"/>
        <w:spacing w:after="0" w:line="270" w:lineRule="auto"/>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approval of our product candidates, or limitations to specific label indications or patient populations for its use, or changes or delays in the regulatory review process;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foreign countries;</w:t>
      </w:r>
    </w:p>
    <w:p>
      <w:pPr>
        <w:spacing w:after="0" w:line="224" w:lineRule="exact"/>
        <w:rPr>
          <w:rFonts w:ascii="Times New Roman" w:cs="Times New Roman" w:eastAsia="Times New Roman" w:hAnsi="Times New Roman"/>
          <w:sz w:val="18"/>
          <w:szCs w:val="18"/>
          <w:color w:val="auto"/>
        </w:rPr>
      </w:pPr>
    </w:p>
    <w:p>
      <w:pPr>
        <w:ind w:left="720" w:right="399" w:hanging="319"/>
        <w:spacing w:after="0" w:line="270" w:lineRule="auto"/>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 especially in light of current reforms to the United States healthcare system;</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or failure of our efforts to acquire, license, or develop additional product candidates;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innovations or new products developed by us or our competitors;</w:t>
      </w:r>
    </w:p>
    <w:p>
      <w:pPr>
        <w:spacing w:after="0" w:line="224" w:lineRule="exact"/>
        <w:rPr>
          <w:rFonts w:ascii="Times New Roman" w:cs="Times New Roman" w:eastAsia="Times New Roman" w:hAnsi="Times New Roman"/>
          <w:sz w:val="18"/>
          <w:szCs w:val="18"/>
          <w:color w:val="auto"/>
        </w:rPr>
      </w:pPr>
    </w:p>
    <w:p>
      <w:pPr>
        <w:ind w:left="720" w:right="739" w:hanging="319"/>
        <w:spacing w:after="0" w:line="270" w:lineRule="auto"/>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supply, or distribution delays or shortages;</w:t>
      </w:r>
    </w:p>
    <w:p>
      <w:pPr>
        <w:spacing w:after="0" w:line="224" w:lineRule="exact"/>
        <w:rPr>
          <w:rFonts w:ascii="Times New Roman" w:cs="Times New Roman" w:eastAsia="Times New Roman" w:hAnsi="Times New Roman"/>
          <w:sz w:val="18"/>
          <w:szCs w:val="18"/>
          <w:color w:val="auto"/>
        </w:rPr>
      </w:pPr>
    </w:p>
    <w:p>
      <w:pPr>
        <w:ind w:left="720" w:right="1179" w:hanging="319"/>
        <w:spacing w:after="0" w:line="270" w:lineRule="auto"/>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any changes to our relationship with FCDI, any manufacturers, suppliers, licensors, future collaborators, or other strategic partners;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achievement of expected product sales and profitability;</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59" w:hanging="319"/>
        <w:spacing w:after="0" w:line="270" w:lineRule="auto"/>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trading volume of our common stock;</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an inability to obtain additional funding;</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stock by insiders and stockholders;</w:t>
      </w:r>
    </w:p>
    <w:p>
      <w:pPr>
        <w:spacing w:after="0" w:line="224" w:lineRule="exact"/>
        <w:rPr>
          <w:rFonts w:ascii="Times New Roman" w:cs="Times New Roman" w:eastAsia="Times New Roman" w:hAnsi="Times New Roman"/>
          <w:sz w:val="18"/>
          <w:szCs w:val="18"/>
          <w:color w:val="auto"/>
        </w:rPr>
      </w:pPr>
    </w:p>
    <w:p>
      <w:pPr>
        <w:ind w:left="720" w:right="639" w:hanging="319"/>
        <w:spacing w:after="0" w:line="270" w:lineRule="auto"/>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or other events or factors, many of which are beyond our control;</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key personnel; and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intellectual property, product liability, or other litigation against us.</w:t>
      </w:r>
    </w:p>
    <w:p>
      <w:pPr>
        <w:spacing w:after="0" w:line="224"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76" w:lineRule="exact"/>
        <w:rPr>
          <w:sz w:val="20"/>
          <w:szCs w:val="20"/>
          <w:color w:val="auto"/>
        </w:rPr>
      </w:pPr>
    </w:p>
    <w:p>
      <w:pPr>
        <w:ind w:left="60" w:right="339"/>
        <w:spacing w:after="0" w:line="256"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59"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81" w:lineRule="exact"/>
        <w:rPr>
          <w:sz w:val="20"/>
          <w:szCs w:val="20"/>
          <w:color w:val="auto"/>
        </w:rPr>
      </w:pPr>
    </w:p>
    <w:p>
      <w:pPr>
        <w:ind w:left="60" w:right="79"/>
        <w:spacing w:after="0" w:line="27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139"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Sales of a substantial number of shares of our common stock by our existing stockholders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74" w:lineRule="exact"/>
        <w:rPr>
          <w:sz w:val="20"/>
          <w:szCs w:val="20"/>
          <w:color w:val="auto"/>
        </w:rPr>
      </w:pPr>
    </w:p>
    <w:p>
      <w:pPr>
        <w:ind w:left="60" w:right="419"/>
        <w:spacing w:after="0" w:line="257" w:lineRule="auto"/>
        <w:rPr>
          <w:sz w:val="20"/>
          <w:szCs w:val="20"/>
          <w:color w:val="auto"/>
        </w:rPr>
      </w:pPr>
      <w:r>
        <w:rPr>
          <w:rFonts w:ascii="Arial" w:cs="Arial" w:eastAsia="Arial" w:hAnsi="Arial"/>
          <w:sz w:val="18"/>
          <w:szCs w:val="18"/>
          <w:b w:val="1"/>
          <w:bCs w:val="1"/>
          <w:color w:val="auto"/>
        </w:rPr>
        <w:t>Our executive officers, directors, principal stockholders, and affiliates have the ability to exercise significant control over our company, which will limit your ability to influence corporate matters and could delay or prevent a change in corporate control</w:t>
      </w:r>
      <w:r>
        <w:rPr>
          <w:rFonts w:ascii="Arial" w:cs="Arial" w:eastAsia="Arial" w:hAnsi="Arial"/>
          <w:sz w:val="18"/>
          <w:szCs w:val="18"/>
          <w:color w:val="auto"/>
        </w:rPr>
        <w:t>.</w:t>
      </w:r>
    </w:p>
    <w:p>
      <w:pPr>
        <w:spacing w:after="0" w:line="159"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As of December 31, 2024, the existing holdings of our executive officers, directors and affiliates, represented beneficial ownership, in the aggregate, of approximately 1.47% of our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your interests.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and the concentration of voting power among these stockholders may have an adverse effect on the price of our common stock. In addition, this concentration of ownership might adversely affect the market price of our common stock by:</w:t>
      </w:r>
    </w:p>
    <w:p>
      <w:pPr>
        <w:spacing w:after="0" w:line="169" w:lineRule="exact"/>
        <w:rPr>
          <w:sz w:val="20"/>
          <w:szCs w:val="20"/>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delaying, deferring or preventing a change of control of us;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56" w:lineRule="exact"/>
        <w:rPr>
          <w:sz w:val="20"/>
          <w:szCs w:val="20"/>
          <w:color w:val="auto"/>
        </w:rPr>
      </w:pPr>
    </w:p>
    <w:p>
      <w:pPr>
        <w:jc w:val="both"/>
        <w:ind w:left="60" w:right="199"/>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5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are an emerging growth company, as defined in the Jumpstart Our Business Startups Act, or JOBS Act, and may remain an emerging growth company until December 31, 2026.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 reduced disclosure and other requirements that we may take advantage of include:</w:t>
      </w:r>
    </w:p>
    <w:p>
      <w:pPr>
        <w:spacing w:after="0" w:line="180" w:lineRule="exact"/>
        <w:rPr>
          <w:sz w:val="20"/>
          <w:szCs w:val="20"/>
          <w:color w:val="auto"/>
        </w:rPr>
      </w:pPr>
    </w:p>
    <w:p>
      <w:pPr>
        <w:ind w:left="720" w:right="299" w:hanging="319"/>
        <w:spacing w:after="0" w:line="270" w:lineRule="auto"/>
        <w:tabs>
          <w:tab w:leader="none" w:pos="7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reduced disclosure about our executive compensation arrangements;</w:t>
      </w:r>
    </w:p>
    <w:p>
      <w:pPr>
        <w:spacing w:after="0" w:line="224" w:lineRule="exact"/>
        <w:rPr>
          <w:rFonts w:ascii="Times New Roman" w:cs="Times New Roman" w:eastAsia="Times New Roman" w:hAnsi="Times New Roman"/>
          <w:sz w:val="18"/>
          <w:szCs w:val="18"/>
          <w:color w:val="auto"/>
        </w:rPr>
      </w:pPr>
    </w:p>
    <w:p>
      <w:pPr>
        <w:ind w:left="720" w:right="179" w:hanging="319"/>
        <w:spacing w:after="0" w:line="270" w:lineRule="auto"/>
        <w:tabs>
          <w:tab w:leader="none" w:pos="7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22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have taken advantage of reduced reporting burdens in this Annual Report on Form 10-K.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8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Reports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839"/>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3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became a public company in June 2021. As a public company, and particularly after we are no longer an emerging growth company or smaller reporting company, we have and will continue to incur significant legal, accounting, and other expenses that we did not incur as a private company. In addition, the Sarbanes-Oxley Act and rules subsequently implemented by the Securities and Exchange Commission, or the SEC, and The Nasdaq Stock Market LLC, or Nasdaq, impose various requirements on public companies, including establishment and maintenance of effective disclosure and financial controls and corporate governance practices. Our management and other personnel devote a substantial amount of time to comply with these requirements. Moreover, these rules and regulations increase our legal and financial compliance costs and make some activities more time-consuming and costly.</w:t>
      </w:r>
    </w:p>
    <w:p>
      <w:pPr>
        <w:spacing w:after="0" w:line="183"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We could be an emerging growth company for up to five years. To achieve compliance with Section 404 of the Sarbanes-Oxley Act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w:t>
      </w:r>
    </w:p>
    <w:p>
      <w:pPr>
        <w:spacing w:after="0" w:line="186" w:lineRule="exact"/>
        <w:rPr>
          <w:sz w:val="20"/>
          <w:szCs w:val="20"/>
          <w:color w:val="auto"/>
        </w:rPr>
      </w:pPr>
    </w:p>
    <w:p>
      <w:pPr>
        <w:ind w:left="60" w:right="199"/>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3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78" w:lineRule="exact"/>
        <w:rPr>
          <w:sz w:val="20"/>
          <w:szCs w:val="20"/>
          <w:color w:val="auto"/>
        </w:rPr>
      </w:pPr>
    </w:p>
    <w:p>
      <w:pPr>
        <w:ind w:left="60" w:right="399"/>
        <w:spacing w:after="0" w:line="256"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discourage another company from acquiring us and may prevent attempts by our stockholders to replace or remove our current management.</w:t>
      </w:r>
    </w:p>
    <w:p>
      <w:pPr>
        <w:spacing w:after="0" w:line="159"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Provisions in our second amended and restated certificate of incorporation and our second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259" w:hanging="319"/>
        <w:spacing w:after="0" w:line="246" w:lineRule="auto"/>
        <w:tabs>
          <w:tab w:leader="none" w:pos="7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6" w:lineRule="exact"/>
        <w:rPr>
          <w:rFonts w:ascii="Times New Roman" w:cs="Times New Roman" w:eastAsia="Times New Roman" w:hAnsi="Times New Roman"/>
          <w:sz w:val="18"/>
          <w:szCs w:val="18"/>
          <w:color w:val="auto"/>
        </w:rPr>
      </w:pPr>
    </w:p>
    <w:p>
      <w:pPr>
        <w:ind w:left="720" w:right="559" w:hanging="319"/>
        <w:spacing w:after="0" w:line="252" w:lineRule="auto"/>
        <w:tabs>
          <w:tab w:leader="none" w:pos="7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170"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our stockholders may not act by written consent, which forces stockholder action to be taken at an annual or special meeting of our stockholders;</w:t>
      </w:r>
    </w:p>
    <w:p>
      <w:pPr>
        <w:spacing w:after="0" w:line="154" w:lineRule="exact"/>
        <w:rPr>
          <w:rFonts w:ascii="Times New Roman" w:cs="Times New Roman" w:eastAsia="Times New Roman" w:hAnsi="Times New Roman"/>
          <w:sz w:val="18"/>
          <w:szCs w:val="18"/>
          <w:color w:val="auto"/>
        </w:rPr>
      </w:pPr>
    </w:p>
    <w:p>
      <w:pPr>
        <w:ind w:left="720" w:right="139" w:hanging="319"/>
        <w:spacing w:after="0" w:line="252" w:lineRule="auto"/>
        <w:tabs>
          <w:tab w:leader="none" w:pos="7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 special meeting of stockholders may be called only by the chair of our board of directors, our chief executive officer, or a majority of our board of directors, which may delay the ability of our stockholders to force consideration of a proposal or to take action, including the removal of directors;</w:t>
      </w:r>
    </w:p>
    <w:p>
      <w:pPr>
        <w:spacing w:after="0" w:line="170" w:lineRule="exact"/>
        <w:rPr>
          <w:rFonts w:ascii="Times New Roman" w:cs="Times New Roman" w:eastAsia="Times New Roman" w:hAnsi="Times New Roman"/>
          <w:sz w:val="18"/>
          <w:szCs w:val="18"/>
          <w:color w:val="auto"/>
        </w:rPr>
      </w:pPr>
    </w:p>
    <w:p>
      <w:pPr>
        <w:ind w:left="720" w:right="119" w:hanging="319"/>
        <w:spacing w:after="0" w:line="270" w:lineRule="auto"/>
        <w:tabs>
          <w:tab w:leader="none" w:pos="7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our second amended and restated certificate of incorporation prohibits cumulative voting in the election of directors, which limits the ability of minority stockholders to elect director candidates;</w:t>
      </w:r>
    </w:p>
    <w:p>
      <w:pPr>
        <w:spacing w:after="0" w:line="154" w:lineRule="exact"/>
        <w:rPr>
          <w:rFonts w:ascii="Times New Roman" w:cs="Times New Roman" w:eastAsia="Times New Roman" w:hAnsi="Times New Roman"/>
          <w:sz w:val="18"/>
          <w:szCs w:val="18"/>
          <w:color w:val="auto"/>
        </w:rPr>
      </w:pPr>
    </w:p>
    <w:p>
      <w:pPr>
        <w:ind w:left="720" w:right="139" w:hanging="319"/>
        <w:spacing w:after="0" w:line="270" w:lineRule="auto"/>
        <w:tabs>
          <w:tab w:leader="none" w:pos="7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our board of directors may alter certain provisions of our second amended and restated bylaws without obtaining stockholder approval;</w:t>
      </w:r>
    </w:p>
    <w:p>
      <w:pPr>
        <w:spacing w:after="0" w:line="154" w:lineRule="exact"/>
        <w:rPr>
          <w:rFonts w:ascii="Times New Roman" w:cs="Times New Roman" w:eastAsia="Times New Roman" w:hAnsi="Times New Roman"/>
          <w:sz w:val="18"/>
          <w:szCs w:val="18"/>
          <w:color w:val="auto"/>
        </w:rPr>
      </w:pPr>
    </w:p>
    <w:p>
      <w:pPr>
        <w:ind w:left="720" w:right="319" w:hanging="319"/>
        <w:spacing w:after="0" w:line="252" w:lineRule="auto"/>
        <w:tabs>
          <w:tab w:leader="none" w:pos="7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the holders of at least two-thirds of the outstanding shares of our capital stock is required to adopt, amend, or repeal our second amended and restated bylaws, unless such action is recommended by our board of directors at an annual or special meeting of shareholders;</w:t>
      </w:r>
    </w:p>
    <w:p>
      <w:pPr>
        <w:spacing w:after="0" w:line="170" w:lineRule="exact"/>
        <w:rPr>
          <w:rFonts w:ascii="Times New Roman" w:cs="Times New Roman" w:eastAsia="Times New Roman" w:hAnsi="Times New Roman"/>
          <w:sz w:val="18"/>
          <w:szCs w:val="18"/>
          <w:color w:val="auto"/>
        </w:rPr>
      </w:pPr>
    </w:p>
    <w:p>
      <w:pPr>
        <w:ind w:left="720" w:right="319" w:hanging="319"/>
        <w:spacing w:after="0" w:line="243" w:lineRule="auto"/>
        <w:tabs>
          <w:tab w:leader="none" w:pos="7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the holders of at least two-thirds of the outstanding shares of our capital stock is required to adopt, amend, or repeal provisions in our second amended and restated certificate of incorporation relating to (i) the amendment of the second amended and restated certificate of incorporation or amendment of the second amended and restated bylaws, (ii) stockholder action, (iii) election and removal of directors, (iv) limitations on liability and (v) exclusive forum for proceedings;</w:t>
      </w:r>
    </w:p>
    <w:p>
      <w:pPr>
        <w:spacing w:after="0" w:line="179" w:lineRule="exact"/>
        <w:rPr>
          <w:rFonts w:ascii="Times New Roman" w:cs="Times New Roman" w:eastAsia="Times New Roman" w:hAnsi="Times New Roman"/>
          <w:sz w:val="18"/>
          <w:szCs w:val="18"/>
          <w:color w:val="auto"/>
        </w:rPr>
      </w:pPr>
    </w:p>
    <w:p>
      <w:pPr>
        <w:ind w:left="720" w:right="99" w:hanging="319"/>
        <w:spacing w:after="0" w:line="243" w:lineRule="auto"/>
        <w:tabs>
          <w:tab w:leader="none" w:pos="7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shares; and</w:t>
      </w:r>
    </w:p>
    <w:p>
      <w:pPr>
        <w:spacing w:after="0" w:line="179" w:lineRule="exact"/>
        <w:rPr>
          <w:rFonts w:ascii="Times New Roman" w:cs="Times New Roman" w:eastAsia="Times New Roman" w:hAnsi="Times New Roman"/>
          <w:sz w:val="18"/>
          <w:szCs w:val="18"/>
          <w:color w:val="auto"/>
        </w:rPr>
      </w:pPr>
    </w:p>
    <w:p>
      <w:pPr>
        <w:jc w:val="both"/>
        <w:ind w:left="720" w:right="399" w:hanging="319"/>
        <w:spacing w:after="0" w:line="252" w:lineRule="auto"/>
        <w:tabs>
          <w:tab w:leader="none" w:pos="7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71"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239"/>
        <w:spacing w:after="0" w:line="249"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and second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second amended and restated certificate of incorporation and second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Exchange Act of 1934, as amended, or the Exchange Act. Furthermore, our amended and restated certificate of incorporation provides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biopharmaceutical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1C. CYBERSECURITY</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210"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At Century Therapeutics, we recognize the importance of information security practices designed to protect the confidentiality, integrity, and availability of Company information. We have implemented a cybersecurity program in accordance with our risk profile and business that is informed by recognized industry standards and frameworks, and incorporates elements of the same, including elements of the National Institute of Standards and Technology Cybersecurity Framework (“NIST CSF”).</w:t>
      </w:r>
    </w:p>
    <w:p>
      <w:pPr>
        <w:spacing w:after="0" w:line="17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cybersecurity risk management program includes multiple components, including information security maturity assessments, penetration testing, and vulnerability assessments, that are conducted periodically by both internal and external resources. We also conduct employee training and leverage third-party security tools, including but not limited to access controls, threat monitoring, and endpoint protection and response. We maintain a security operations center operated by a third party that collects cybersecurity threat data from multiple internal and external sources and determines if activity is potentially suspicious or malicious. We are in the process of developing and implementing additional cybersecurity policies and procedures.</w:t>
      </w:r>
    </w:p>
    <w:p>
      <w:pPr>
        <w:spacing w:after="0" w:line="185"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We take a risk-based approach to the evaluation of third-party vendors, and apply mitigations and processes based on the nature of the data accessed by the vendor. Currently, we review System and Organization Controls (“SOC”) reports from vendors who have access to financial reporting information, and we are in the process of developing additional vendor risk management policies and procedures.</w:t>
      </w:r>
    </w:p>
    <w:p>
      <w:pPr>
        <w:spacing w:after="0" w:line="17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experienced threats and security incidents that could affect our information or systems. For more information, please see Section 1A. Risk Factors.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210"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Our Director of Cybersecurity is responsible for the strategic leadership and direction of the Company’s information security organization. The individual currently serving as the Director of Cybersecurity has over twenty years of experience working in information technology. The Director of Cybersecurity receives cybersecurity alerts from the Company’s third-party security operations center, and provides periodic updates to the Head of Information Technology who informs the Company’s executive committee, which includes the Company’s Chief Executive Officer, Chief Operating Officer and, Chief Financial Officer.</w:t>
      </w:r>
    </w:p>
    <w:p>
      <w:pPr>
        <w:spacing w:after="0" w:line="179"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Beginning last year, the Director of Cybersecurity also provides updates to the Audit Committee of the board of directors approximately on a quarterly basis. The Audit Committee, pursuant to its charter, reviews significant existing and emerging cybersecurity risks, including material cybersecurity incidents if any, the impact on the Company and its stockholders of any significant cybersecurity incident and any disclosure obligations arising from any such incidents.</w:t>
      </w:r>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ind w:left="60" w:right="739"/>
        <w:spacing w:after="0" w:line="275" w:lineRule="auto"/>
        <w:rPr>
          <w:sz w:val="20"/>
          <w:szCs w:val="20"/>
          <w:color w:val="auto"/>
        </w:rPr>
      </w:pPr>
      <w:r>
        <w:rPr>
          <w:rFonts w:ascii="Arial" w:cs="Arial" w:eastAsia="Arial" w:hAnsi="Arial"/>
          <w:sz w:val="17"/>
          <w:szCs w:val="17"/>
          <w:color w:val="auto"/>
        </w:rPr>
        <w:t>Our principal executive offices are located in Philadelphia, Pennsylvania. We operate in three office and laboratory spaces in Philadelphia pursuant to leases that expire in December 2025, October 2031 and March 2034. Additionally, we lease office space in Seattle, Washington pursuant to a lease expiring in</w:t>
      </w:r>
    </w:p>
    <w:p>
      <w:pPr>
        <w:sectPr>
          <w:pgSz w:w="11900" w:h="16838" w:orient="portrait"/>
          <w:cols w:equalWidth="0" w:num="1">
            <w:col w:w="9019"/>
          </w:cols>
          <w:pgMar w:left="1440" w:top="512" w:right="1440"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September 2030. We also have a 53,000 square foot cell therapy manufacturing facility in Branchburg, New Jersey pursuant to a lease expiring in February 2037. We believe that our current facilities are adequate to meet our ongoing needs.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60" w:right="399"/>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publicly traded on the Nasdaq Global Market under the symbol “IPSC.”</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February 28, 2025, we had approximately 128 record holders of our common stock.</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185"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We have never declared or paid any dividends on our capital or common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1"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Information about our equity compensation plans is incorporated herein by reference to Part III, Item 12 of this Annual Report on Form 10-K.</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1" w:lineRule="exact"/>
        <w:rPr>
          <w:sz w:val="20"/>
          <w:szCs w:val="20"/>
          <w:color w:val="auto"/>
        </w:rPr>
      </w:pPr>
    </w:p>
    <w:p>
      <w:pPr>
        <w:ind w:left="60" w:right="759"/>
        <w:spacing w:after="0" w:line="271" w:lineRule="auto"/>
        <w:rPr>
          <w:sz w:val="20"/>
          <w:szCs w:val="20"/>
          <w:color w:val="auto"/>
        </w:rPr>
      </w:pPr>
      <w:r>
        <w:rPr>
          <w:rFonts w:ascii="Arial" w:cs="Arial" w:eastAsia="Arial" w:hAnsi="Arial"/>
          <w:sz w:val="18"/>
          <w:szCs w:val="18"/>
          <w:color w:val="auto"/>
        </w:rPr>
        <w:t>There were no sales of unregistered securities during the year ended December 31, 2024 that were not previously reported on a Current Report on Form 8-K.</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1"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4"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included elsewhere in this Annual Report on Form 10-K and our audited consolidated financial statements and the related notes thereto.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“Cautionary Note Regarding Forward-Looking Statements” and “Risk Factors” in this Annual Report on Form 10-K. You should review the disclosure under the heading “Risk Factors” herein for a discussion of important factors that could cause our actual results to differ materially from those anticipated in these forward-looking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are a clinical-stage biotechnology company harnessing the power of allogeneic pluripotent stem cell therapies to develop potentially curative cell therapy products for autoimmune diseases and cancer. Our natural killer, or NK, T, and beta cell programs are allogeneic, meaning they are derived from healthy donors for use in any patient, rather than being sourced from an individual for their own specific use, as is the case with autologous T cells. As a result, we believe such “off-the-shelf" therapies have the potential to overcome the limitations of first-generation cell therapies by providing readily available treatments more quickly, reliably, at greater scale, and to a broader patient population. What we believe further sets us apart from other allogeneic approaches is our focus on induced pluripotent stem cells, or iPSCs, which possess the unique ability to self-renew indefinitely and differentiate into any cell type, enabling virtually unlimited genetic editing, consistent reproducibility, and scalable manufacturing. We have created a comprehensive, genetically engineered allogeneic cell therapy platform that includes:</w:t>
      </w:r>
    </w:p>
    <w:p>
      <w:pPr>
        <w:spacing w:after="0" w:line="172" w:lineRule="exact"/>
        <w:rPr>
          <w:sz w:val="20"/>
          <w:szCs w:val="20"/>
          <w:color w:val="auto"/>
        </w:rPr>
      </w:pPr>
    </w:p>
    <w:p>
      <w:pPr>
        <w:ind w:left="1040" w:right="79" w:hanging="639"/>
        <w:spacing w:after="0" w:line="270" w:lineRule="auto"/>
        <w:tabs>
          <w:tab w:leader="none" w:pos="104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Industry-leading iPSCs and differentiation know-how to generate immune effector cells from iPSCs, or iPSC-derived cells;</w:t>
      </w:r>
    </w:p>
    <w:p>
      <w:pPr>
        <w:spacing w:after="0" w:line="140" w:lineRule="exact"/>
        <w:rPr>
          <w:rFonts w:ascii="Times New Roman" w:cs="Times New Roman" w:eastAsia="Times New Roman" w:hAnsi="Times New Roman"/>
          <w:sz w:val="18"/>
          <w:szCs w:val="18"/>
          <w:color w:val="auto"/>
        </w:rPr>
      </w:pPr>
    </w:p>
    <w:p>
      <w:pPr>
        <w:ind w:left="1040" w:right="399" w:hanging="639"/>
        <w:spacing w:after="0" w:line="252" w:lineRule="auto"/>
        <w:tabs>
          <w:tab w:leader="none" w:pos="104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Clustered regularly interspaced short palindromic repeats, or CRISPR mediated precision gene editing that allows us to incorporate multiple transgenes and disrupt target genes intended to optimize cell product performance;</w:t>
      </w:r>
    </w:p>
    <w:p>
      <w:pPr>
        <w:spacing w:after="0" w:line="157" w:lineRule="exact"/>
        <w:rPr>
          <w:rFonts w:ascii="Times New Roman" w:cs="Times New Roman" w:eastAsia="Times New Roman" w:hAnsi="Times New Roman"/>
          <w:sz w:val="18"/>
          <w:szCs w:val="18"/>
          <w:color w:val="auto"/>
        </w:rPr>
      </w:pPr>
    </w:p>
    <w:p>
      <w:pPr>
        <w:ind w:left="1040" w:right="559" w:hanging="639"/>
        <w:spacing w:after="0" w:line="270" w:lineRule="auto"/>
        <w:tabs>
          <w:tab w:leader="none" w:pos="104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Sophisticated protein engineering capabilities to develop proprietary next generation chimeric antigen receptors, or CARs;</w:t>
      </w:r>
    </w:p>
    <w:p>
      <w:pPr>
        <w:spacing w:after="0" w:line="140" w:lineRule="exact"/>
        <w:rPr>
          <w:rFonts w:ascii="Times New Roman" w:cs="Times New Roman" w:eastAsia="Times New Roman" w:hAnsi="Times New Roman"/>
          <w:sz w:val="18"/>
          <w:szCs w:val="18"/>
          <w:color w:val="auto"/>
        </w:rPr>
      </w:pPr>
    </w:p>
    <w:p>
      <w:pPr>
        <w:ind w:left="1040" w:right="179" w:hanging="639"/>
        <w:spacing w:after="0" w:line="270" w:lineRule="auto"/>
        <w:tabs>
          <w:tab w:leader="none" w:pos="104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Our proprietary Allo-Evasion™ technology intended to prevent rejection of our cell products by the host immune system, enabling the potential for persistence and re-dosing of therapy; and</w:t>
      </w:r>
    </w:p>
    <w:p>
      <w:pPr>
        <w:spacing w:after="0" w:line="140" w:lineRule="exact"/>
        <w:rPr>
          <w:rFonts w:ascii="Times New Roman" w:cs="Times New Roman" w:eastAsia="Times New Roman" w:hAnsi="Times New Roman"/>
          <w:sz w:val="18"/>
          <w:szCs w:val="18"/>
          <w:color w:val="auto"/>
        </w:rPr>
      </w:pPr>
    </w:p>
    <w:p>
      <w:pPr>
        <w:ind w:left="1040" w:right="439" w:hanging="639"/>
        <w:spacing w:after="0" w:line="270" w:lineRule="auto"/>
        <w:tabs>
          <w:tab w:leader="none" w:pos="104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Cutting-edge manufacturing capabilities intended to drive scale advantages and reduce cost of goods sold, or COGs, while minimizing product development and supply risk.</w:t>
      </w:r>
    </w:p>
    <w:p>
      <w:pPr>
        <w:spacing w:after="0" w:line="141"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 xml:space="preserve">We are leveraging our expertise in cellular reprogramming, differentiation, genetic engineering, and manufacturing to develop therapies with the potential to provide enhanced clinical outcomes compared to existing cell therapy technologies and available therapeutic options. We are unique in the breadth of immune effector cell types we can generate from iPSCs, including iPSC-derived natural killer cells, or iNK cells, iPSC-derived </w:t>
      </w:r>
      <w:r>
        <w:rPr>
          <w:rFonts w:ascii="Times New Roman" w:cs="Times New Roman" w:eastAsia="Times New Roman" w:hAnsi="Times New Roman"/>
          <w:sz w:val="18"/>
          <w:szCs w:val="18"/>
          <w:color w:val="auto"/>
        </w:rPr>
        <w:t>gd</w:t>
      </w:r>
      <w:r>
        <w:rPr>
          <w:rFonts w:ascii="Arial" w:cs="Arial" w:eastAsia="Arial" w:hAnsi="Arial"/>
          <w:sz w:val="18"/>
          <w:szCs w:val="18"/>
          <w:color w:val="auto"/>
        </w:rPr>
        <w:t xml:space="preserve"> T cells, or </w:t>
      </w:r>
      <w:r>
        <w:rPr>
          <w:rFonts w:ascii="Times New Roman" w:cs="Times New Roman" w:eastAsia="Times New Roman" w:hAnsi="Times New Roman"/>
          <w:sz w:val="18"/>
          <w:szCs w:val="18"/>
          <w:color w:val="auto"/>
        </w:rPr>
        <w:t>gd</w:t>
      </w:r>
      <w:r>
        <w:rPr>
          <w:rFonts w:ascii="Arial" w:cs="Arial" w:eastAsia="Arial" w:hAnsi="Arial"/>
          <w:sz w:val="18"/>
          <w:szCs w:val="18"/>
          <w:color w:val="auto"/>
        </w:rPr>
        <w:t xml:space="preserve"> IT cells and iPSC-derived CD4+ and CD8+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T cells, or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iT cells, and iPSC-derived </w:t>
      </w:r>
      <w:r>
        <w:rPr>
          <w:rFonts w:ascii="Times New Roman" w:cs="Times New Roman" w:eastAsia="Times New Roman" w:hAnsi="Times New Roman"/>
          <w:sz w:val="18"/>
          <w:szCs w:val="18"/>
          <w:color w:val="auto"/>
        </w:rPr>
        <w:t>b</w:t>
      </w:r>
      <w:r>
        <w:rPr>
          <w:rFonts w:ascii="Arial" w:cs="Arial" w:eastAsia="Arial" w:hAnsi="Arial"/>
          <w:sz w:val="18"/>
          <w:szCs w:val="18"/>
          <w:color w:val="auto"/>
        </w:rPr>
        <w:t xml:space="preserve"> cells. We believe this capability enables optimal matching of cell characteristics to indication, ensuring we target the right cell for the right indication. Further, we have developed a feeder-free, scalable process that recapitulates normal T cell development in a dish, allowing for what we believe to be the industry-first presentation of iPSC-derived CD4+ and CD8+ CAR-T cells that demonstrate αβ-like T cell function.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Our lead product candidate, CNTY-101, is a CAR-iNK cell therapy with six precision gene edits currently being tested in a Phase 1 clinical trial for patients with B-cell mediated autoimmune diseases. In March 2025, we announced that we have discontinued CNTY-101 evaluation in a Phase 1 clinical trial for patients with lymphoma for strategic reasons. While we remain encouraged by tolerability and clinical activity of CNTY-101 in late-stage R/R NHL, emerging data from ELiPSE-1 did not meet our threshold to be considered transformational in this patient population.</w:t>
      </w:r>
    </w:p>
    <w:p>
      <w:pPr>
        <w:spacing w:after="0" w:line="368"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In March 2025, we also announced a re-prioritized pre-clinical pipeline intended to further leverage the unique capabilities and technologies we have towards transformative treatments holding strong commercial potential to treat serious diseases with high unmet need. Accordingly, in addition to our clinical stage programs, we will be focusing on three core pre-clinical programs built on our industry leading iT cell platform. We believe these programs have significant potential for differentiation in their respective categories.</w:t>
      </w:r>
    </w:p>
    <w:p>
      <w:pPr>
        <w:spacing w:after="0" w:line="176" w:lineRule="exact"/>
        <w:rPr>
          <w:sz w:val="20"/>
          <w:szCs w:val="20"/>
          <w:color w:val="auto"/>
        </w:rPr>
      </w:pPr>
    </w:p>
    <w:p>
      <w:pPr>
        <w:ind w:left="720" w:right="219" w:hanging="319"/>
        <w:spacing w:after="0" w:line="252" w:lineRule="auto"/>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CNTY-308: A CD19-targeted CAR-iT cell therapy engineered with Allo-Evasion™ 5.0 demonstrating preclinical efficacy comparable to autologous CD19 CAR-T cells. It is being developed primarily for B-cell mediated autoimmune diseases and malignancies.</w:t>
      </w:r>
    </w:p>
    <w:p>
      <w:pPr>
        <w:spacing w:after="0" w:line="170" w:lineRule="exact"/>
        <w:rPr>
          <w:rFonts w:ascii="Times New Roman" w:cs="Times New Roman" w:eastAsia="Times New Roman" w:hAnsi="Times New Roman"/>
          <w:sz w:val="18"/>
          <w:szCs w:val="18"/>
          <w:color w:val="auto"/>
        </w:rPr>
      </w:pPr>
    </w:p>
    <w:p>
      <w:pPr>
        <w:jc w:val="both"/>
        <w:ind w:left="720" w:right="139" w:hanging="319"/>
        <w:spacing w:after="0" w:line="252" w:lineRule="auto"/>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CNTY-341: A CD19/CD22 dual-targeted CAR-iT cell therapy engineered with Allo-Evasion™ 5.0 which pairs dual targeting and primary T-cell-like functionality in an allogeneic cell with the goal of providing a differentiated therapy for B cell malignancies.</w:t>
      </w:r>
    </w:p>
    <w:p>
      <w:pPr>
        <w:spacing w:after="0" w:line="170" w:lineRule="exact"/>
        <w:rPr>
          <w:rFonts w:ascii="Times New Roman" w:cs="Times New Roman" w:eastAsia="Times New Roman" w:hAnsi="Times New Roman"/>
          <w:sz w:val="18"/>
          <w:szCs w:val="18"/>
          <w:color w:val="auto"/>
        </w:rPr>
      </w:pPr>
    </w:p>
    <w:p>
      <w:pPr>
        <w:jc w:val="both"/>
        <w:ind w:left="720" w:right="179" w:hanging="319"/>
        <w:spacing w:after="0" w:line="252" w:lineRule="auto"/>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Our first solid tumor CAR iT program exploiting Nectin-4 CAR and other validated targets, engineered with Allo-Evasion™ 5.0 and additional engineering aimed at overcoming the key barriers to success in solid tumors.</w:t>
      </w:r>
    </w:p>
    <w:p>
      <w:pPr>
        <w:spacing w:after="0" w:line="170" w:lineRule="exact"/>
        <w:rPr>
          <w:rFonts w:ascii="Times New Roman" w:cs="Times New Roman" w:eastAsia="Times New Roman" w:hAnsi="Times New Roman"/>
          <w:sz w:val="18"/>
          <w:szCs w:val="18"/>
          <w:color w:val="auto"/>
        </w:rPr>
      </w:pPr>
    </w:p>
    <w:p>
      <w:pPr>
        <w:ind w:left="720" w:right="959" w:hanging="319"/>
        <w:spacing w:after="0" w:line="252" w:lineRule="auto"/>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We are also selectively expanding to non-immune effector cells where we believe there are opportunities to potentially accelerate in high-impact therapeutic areas where we believe our technology and capabilities can provide meaningful differentiation.</w:t>
      </w:r>
    </w:p>
    <w:p>
      <w:pPr>
        <w:spacing w:after="0" w:line="171" w:lineRule="exact"/>
        <w:rPr>
          <w:sz w:val="20"/>
          <w:szCs w:val="20"/>
          <w:color w:val="auto"/>
        </w:rPr>
      </w:pPr>
    </w:p>
    <w:p>
      <w:pPr>
        <w:ind w:left="60" w:right="479"/>
        <w:spacing w:after="0" w:line="244" w:lineRule="auto"/>
        <w:rPr>
          <w:sz w:val="20"/>
          <w:szCs w:val="20"/>
          <w:color w:val="auto"/>
        </w:rPr>
      </w:pPr>
      <w:r>
        <w:rPr>
          <w:rFonts w:ascii="Arial" w:cs="Arial" w:eastAsia="Arial" w:hAnsi="Arial"/>
          <w:sz w:val="18"/>
          <w:szCs w:val="18"/>
          <w:color w:val="auto"/>
        </w:rPr>
        <w:t>Our vision is to become a premier, fully integrated biotechnology company by developing and ultimately commercializing off-the-shelf allogeneic cell therapies that dramatically and positively transform the lives of patients suffering from life-threatening autoimmune diseases and cancers. To achieve our vision, we have assembled a world-class team with decades of collective experience in cell therapy and drug development, manufacturing, and commercialization.</w:t>
      </w:r>
    </w:p>
    <w:p>
      <w:pPr>
        <w:spacing w:after="0" w:line="163"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Based on our current business plans, we believe our cash, cash equivalents and investments as of December 31, 2024, will be sufficient for us to fund our operating expenses and capital expenditures requirements into the fourth quarter of 2026.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152" w:lineRule="exact"/>
        <w:rPr>
          <w:sz w:val="20"/>
          <w:szCs w:val="20"/>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our iPSC cell therapy platforms;</w:t>
      </w:r>
    </w:p>
    <w:p>
      <w:pPr>
        <w:spacing w:after="0" w:line="183" w:lineRule="exact"/>
        <w:rPr>
          <w:rFonts w:ascii="Times New Roman" w:cs="Times New Roman" w:eastAsia="Times New Roman" w:hAnsi="Times New Roman"/>
          <w:sz w:val="18"/>
          <w:szCs w:val="18"/>
          <w:color w:val="auto"/>
        </w:rPr>
      </w:pPr>
    </w:p>
    <w:p>
      <w:pPr>
        <w:ind w:left="720" w:right="199" w:hanging="319"/>
        <w:spacing w:after="0" w:line="270" w:lineRule="auto"/>
        <w:tabs>
          <w:tab w:leader="none" w:pos="7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progress clinical development of CNTY-101 and continue preclinical development of our other product candidates;</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additional product candidates;</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expand and validate our own clinical-scale current good manufacturing practices, or cGMP, facilities;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7" w:name="page118"/>
    <w:bookmarkEnd w:id="1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incur costs associated with operating as a public company;</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83" w:lineRule="exact"/>
        <w:rPr>
          <w:rFonts w:ascii="Times New Roman" w:cs="Times New Roman" w:eastAsia="Times New Roman" w:hAnsi="Times New Roman"/>
          <w:sz w:val="18"/>
          <w:szCs w:val="18"/>
          <w:color w:val="auto"/>
        </w:rPr>
      </w:pPr>
    </w:p>
    <w:p>
      <w:pPr>
        <w:ind w:left="720" w:right="499" w:hanging="319"/>
        <w:spacing w:after="0" w:line="252" w:lineRule="auto"/>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associated with operating as a public company, which will require us to add operational, financial and management information systems and personnel, including personnel to support our drug development and any future commercialization efforts; and</w:t>
      </w:r>
    </w:p>
    <w:p>
      <w:pPr>
        <w:spacing w:after="0" w:line="14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8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are also investing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 CNTY-101, and our other product candidates. Until such time, if ever, as we can generate significant product revenue, we expect to finance our operations with our existing cash and cash equivalents, investments, any future equity or debt financings, and upfront and milestone and royalty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210" w:lineRule="exact"/>
        <w:rPr>
          <w:sz w:val="20"/>
          <w:szCs w:val="20"/>
          <w:color w:val="auto"/>
        </w:rPr>
      </w:pPr>
    </w:p>
    <w:p>
      <w:pPr>
        <w:ind w:left="60" w:right="419"/>
        <w:spacing w:after="0" w:line="244" w:lineRule="auto"/>
        <w:rPr>
          <w:sz w:val="20"/>
          <w:szCs w:val="20"/>
          <w:color w:val="auto"/>
        </w:rPr>
      </w:pPr>
      <w:r>
        <w:rPr>
          <w:rFonts w:ascii="Arial" w:cs="Arial" w:eastAsia="Arial" w:hAnsi="Arial"/>
          <w:sz w:val="18"/>
          <w:szCs w:val="18"/>
          <w:color w:val="auto"/>
        </w:rPr>
        <w:t>On January 7, 2022, we entered into a Research, Collaboration and License Agreement with Bristol-Myers Squibb Company to collaborate on the research, development and commercialization of induced pluripotent stem cell derived, engineered natural killer cell and/or gamma delta T cell programs for hematologic malignancies, initially focused on acute myeloid leukemia, and multiple myeloma, or the Collaboration Agreement.</w:t>
      </w:r>
    </w:p>
    <w:p>
      <w:pPr>
        <w:spacing w:after="0" w:line="163"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 million and purchased 2,160,760 shares of our common stock at a price per share of $23.14, for an aggregate purchase price of $50.0 million.</w:t>
      </w:r>
    </w:p>
    <w:p>
      <w:pPr>
        <w:spacing w:after="0" w:line="15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Following an internal corporate portfolio prioritization process, Bristol-Myers Squibb notified the Company on December 12, 2024 that it would be terminating the Collaboration Agreement in its entirety without cause. The termination was effective as of March 12, 2025.</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210"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8" w:name="page119"/>
    <w:bookmarkEnd w:id="1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and macrophages derived from human iPSC. In consideration for the Differentiation License, FCDI received 2,980,803 shares of common stock in connection with the Reorganization.</w:t>
      </w:r>
    </w:p>
    <w:p>
      <w:pPr>
        <w:spacing w:after="0" w:line="15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Also on September 18, 2018, we entered into the non-exclusive license, or the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In connection with the Reprogramming License, we entered into a collaboration agreement, or the FCDI Collaboration Agreement, with FCDI pursuant to which we agreed to fund research and development work at FCDI pursuant to a research plan.</w:t>
      </w:r>
    </w:p>
    <w:p>
      <w:pPr>
        <w:spacing w:after="0" w:line="180"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spacing w:after="0" w:line="17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January 7, 2022, we and FCDI entered into a letter agreement, or the Letter Agreement, which amends each of the FCDI agreements as further discussed in Note 16 to our consolidated financial statements. Pursuant to the Letter Agreement, and in consideration for amending the FCDI Agreements, we agreed to pay to FCDI (i) an upfront payment of $10 million,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8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On September 22, 2023, we and FCDI entered into a worldwide license agreement whereby FCDI will grant non-exclusive licenses to us for certain patent rights and know-how related to cell differentiation and reprogramming for the development and commercialization of iPSC-derived therapies for the treatment of inflammatory and autoimmune diseases, or Autoimmune License. Under the terms of the Autoimmune License, FCDI will be eligible to receive certain development and regulatory milestone payments as well as low single digit royalties related to products developed in connection with the Autoimmune License. In addition, on September 22, 2023, we and FCDI amended the Reprogramming License, Differentiation License and the Collaboration Agreement to expand our existing license related to the development and commercialization of iPSC-derived cancer immunotherapeutic to also include inflammatory and autoimmune diseases. In connection with the entry into the Autoimmune License and the amendments to the Reprogramming License and Differentiation License, we recorded an upfront payment in the amount of $4.0 million which is included as In-process research and development in the consolidated statements of operations and comprehensive loss for the year ended December 31, 2023. In addition, we paid FCDI a $ 1.0 million milestone fee pursuant to the Autoimmune License for filing of the IND for SLE for CNTY-101 in 2023. There were no payments related to the Autoimmune License in 2024.</w:t>
      </w:r>
    </w:p>
    <w:p>
      <w:pPr>
        <w:spacing w:after="0" w:line="17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During the years ended December 31, 2024 and 2023, we made payments of $7.4 million and $5.2 million and incurred research and development expenses of $6.3 million and $0.0 million, in-process research and development expenses of $0.0 million and $5.0 million and legal fees of $0.1 million and $0.2 million, respectively, related to the FCDI agreements. The legal fees are recorded within general and administrative expenses in the consolidated statements of operations and comprehensive loss.</w:t>
      </w:r>
    </w:p>
    <w:p>
      <w:pPr>
        <w:spacing w:after="0" w:line="176"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From inception of the FCDI Collaboration Agreement through December 31, 2024, we incurred $42.7 million of expenses under the FCDI Collaboration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9" w:name="page120"/>
    <w:bookmarkEnd w:id="1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iCell and Distributed Bio</w:t>
      </w:r>
    </w:p>
    <w:p>
      <w:pPr>
        <w:spacing w:after="0" w:line="210"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We also have entered into a sublicense agreement with iCell Inc. and a master services agreement with Distributed Bio, Inc. See note 10 to our consolidated financial statements.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were generated through our collaboration, option and license agreement with Bristol-Myers Squibb, which was terminated, effective as of March 12, 2025. We recognize revenue over the expected performance period under this agreement. We expect that our revenue for the next several years will be derived primarily from this agreement and any any collaborations that we may enter into in the future. To date, we have not received any royalties under any of our existing collaboration agreements.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10"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To date, research and development expenses have related primarily to the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76"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59"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6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 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83"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0" w:name="page121"/>
    <w:bookmarkEnd w:id="1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facility costs not otherwise included in research and development expenses. Legal fees include those related to corporate and patent matters.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In-process research and development</w:t>
      </w:r>
    </w:p>
    <w:p>
      <w:pPr>
        <w:spacing w:after="0" w:line="210" w:lineRule="exact"/>
        <w:rPr>
          <w:sz w:val="20"/>
          <w:szCs w:val="20"/>
          <w:color w:val="auto"/>
        </w:rPr>
      </w:pPr>
    </w:p>
    <w:p>
      <w:pPr>
        <w:ind w:left="60" w:right="699"/>
        <w:spacing w:after="0" w:line="271" w:lineRule="auto"/>
        <w:rPr>
          <w:sz w:val="20"/>
          <w:szCs w:val="20"/>
          <w:color w:val="auto"/>
        </w:rPr>
      </w:pPr>
      <w:r>
        <w:rPr>
          <w:rFonts w:ascii="Arial" w:cs="Arial" w:eastAsia="Arial" w:hAnsi="Arial"/>
          <w:sz w:val="18"/>
          <w:szCs w:val="18"/>
          <w:color w:val="auto"/>
        </w:rPr>
        <w:t>We incurred $5.0 million in license fees to FCDI in 2023 for the Autoimmune License. There were no in-process research and development fees incurred in 2024.</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of long-lived assets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reviewed our property and equipment related assets for impairment by comparing the carrying values of the assets with their estimated future undiscounted cash flows. An impairment charge was calculated as the difference between asset carrying values and fair value of discounted cash flows, indicative fair market quotes received are considered level three fair value estimates. We incurred $16.4 million in impairment during the year ended December 31, 2023. There were no impairment charges incurred in 2024.</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of goodwill</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reviewed our goodwill for impairment by comparing the fair value of a reporting unit less its carrying value. We performed our annual impairment test as of December 31, 2024. We performed a quantiative assessment of our single reporting unit and determined that the fair value is less than carrying value. Based on the quantitative test performed, we incurred a $4.3 million impairment during the year ended December 31, 2024, which represented the entire goodwill balance.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jc w:val="both"/>
        <w:ind w:left="60" w:right="99"/>
        <w:spacing w:after="0" w:line="275" w:lineRule="auto"/>
        <w:rPr>
          <w:sz w:val="20"/>
          <w:szCs w:val="20"/>
          <w:color w:val="auto"/>
        </w:rPr>
      </w:pPr>
      <w:r>
        <w:rPr>
          <w:rFonts w:ascii="Arial" w:cs="Arial" w:eastAsia="Arial" w:hAnsi="Arial"/>
          <w:sz w:val="17"/>
          <w:szCs w:val="17"/>
          <w:color w:val="212529"/>
        </w:rPr>
        <w:t>Interest expense relates to interest incurred on the September 14, 2020 $10.0 million Term Loan Agreement we entered into with Hercules Capital, Inc., as well as amortization of the related deferred financing cost. The loan was repaid in full in May 2023. See Note 8 to our consolidated financial statements for additional information.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consists of interest earned on our cash, cash equivalents and investment balances.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10"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Due to historical losses, we maintain a full valuation allowance against the unrealizable portion of our deferred tax assets. For the year ended December 31, 2024, we recorded $1.8 million in provisions for income taxes in the accompanying consolidated financial statements. The main drivers of the tax provision during the year ended December 31, 2024 are the 2023 federal and state provision-to-return adjustments and state tax revaluation of the deferred tax liability for the Clade IPR&amp;D intangible.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1" w:name="page122"/>
    <w:bookmarkEnd w:id="1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years ended December 31, 2024 and 2023</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3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Year Ended</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Year Ended</w:t>
            </w: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2024</w:t>
            </w:r>
          </w:p>
        </w:tc>
        <w:tc>
          <w:tcPr>
            <w:tcW w:w="16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2023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23"/>
        </w:trPr>
        <w:tc>
          <w:tcPr>
            <w:tcW w:w="4360" w:type="dxa"/>
            <w:vAlign w:val="bottom"/>
            <w:vMerge w:val="restart"/>
          </w:tcPr>
          <w:p>
            <w:pPr>
              <w:spacing w:after="0"/>
              <w:rPr>
                <w:sz w:val="20"/>
                <w:szCs w:val="20"/>
                <w:color w:val="auto"/>
              </w:rPr>
            </w:pPr>
            <w:r>
              <w:rPr>
                <w:rFonts w:ascii="Arial" w:cs="Arial" w:eastAsia="Arial" w:hAnsi="Arial"/>
                <w:sz w:val="18"/>
                <w:szCs w:val="18"/>
                <w:color w:val="auto"/>
              </w:rPr>
              <w:t>Collaboration revenue</w:t>
            </w:r>
          </w:p>
        </w:tc>
        <w:tc>
          <w:tcPr>
            <w:tcW w:w="92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6,589</w:t>
            </w:r>
          </w:p>
        </w:tc>
        <w:tc>
          <w:tcPr>
            <w:tcW w:w="160" w:type="dxa"/>
            <w:vAlign w:val="bottom"/>
          </w:tcPr>
          <w:p>
            <w:pPr>
              <w:spacing w:after="0"/>
              <w:rPr>
                <w:sz w:val="10"/>
                <w:szCs w:val="10"/>
                <w:color w:val="auto"/>
              </w:rPr>
            </w:pPr>
          </w:p>
        </w:tc>
        <w:tc>
          <w:tcPr>
            <w:tcW w:w="1280" w:type="dxa"/>
            <w:vAlign w:val="bottom"/>
            <w:gridSpan w:val="2"/>
          </w:tcPr>
          <w:p>
            <w:pPr>
              <w:spacing w:after="0" w:line="123"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0"/>
                <w:szCs w:val="10"/>
                <w:color w:val="auto"/>
              </w:rPr>
            </w:pPr>
          </w:p>
        </w:tc>
        <w:tc>
          <w:tcPr>
            <w:tcW w:w="180" w:type="dxa"/>
            <w:vAlign w:val="bottom"/>
            <w:gridSpan w:val="2"/>
            <w:vMerge w:val="restart"/>
          </w:tcPr>
          <w:p>
            <w:pPr>
              <w:jc w:val="right"/>
              <w:ind w:right="7"/>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107,244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92,710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14,534</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33,155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34,706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03"/>
        </w:trPr>
        <w:tc>
          <w:tcPr>
            <w:tcW w:w="4360" w:type="dxa"/>
            <w:vAlign w:val="bottom"/>
          </w:tcPr>
          <w:p>
            <w:pPr>
              <w:ind w:left="120"/>
              <w:spacing w:after="0" w:line="202" w:lineRule="exact"/>
              <w:rPr>
                <w:sz w:val="20"/>
                <w:szCs w:val="20"/>
                <w:color w:val="auto"/>
              </w:rPr>
            </w:pPr>
            <w:r>
              <w:rPr>
                <w:rFonts w:ascii="Arial" w:cs="Arial" w:eastAsia="Arial" w:hAnsi="Arial"/>
                <w:sz w:val="18"/>
                <w:szCs w:val="18"/>
                <w:color w:val="auto"/>
              </w:rPr>
              <w:t>In-process research and development asset</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Impairment of long-lived assets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16,365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(16,365)</w:t>
            </w:r>
          </w:p>
        </w:tc>
        <w:tc>
          <w:tcPr>
            <w:tcW w:w="0" w:type="dxa"/>
            <w:vAlign w:val="bottom"/>
          </w:tcPr>
          <w:p>
            <w:pPr>
              <w:spacing w:after="0"/>
              <w:rPr>
                <w:sz w:val="1"/>
                <w:szCs w:val="1"/>
                <w:color w:val="auto"/>
              </w:rPr>
            </w:pPr>
          </w:p>
        </w:tc>
      </w:tr>
      <w:tr>
        <w:trPr>
          <w:trHeight w:val="203"/>
        </w:trPr>
        <w:tc>
          <w:tcPr>
            <w:tcW w:w="4360" w:type="dxa"/>
            <w:vAlign w:val="bottom"/>
          </w:tcPr>
          <w:p>
            <w:pPr>
              <w:ind w:left="120"/>
              <w:spacing w:after="0" w:line="202" w:lineRule="exact"/>
              <w:rPr>
                <w:sz w:val="20"/>
                <w:szCs w:val="20"/>
                <w:color w:val="auto"/>
              </w:rPr>
            </w:pPr>
            <w:r>
              <w:rPr>
                <w:rFonts w:ascii="Arial" w:cs="Arial" w:eastAsia="Arial" w:hAnsi="Arial"/>
                <w:sz w:val="18"/>
                <w:szCs w:val="18"/>
                <w:color w:val="auto"/>
              </w:rPr>
              <w:t>Impairment of goodwill</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4,327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144,726</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148,781</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36"/>
        </w:trPr>
        <w:tc>
          <w:tcPr>
            <w:tcW w:w="43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Loss from operations</w:t>
            </w:r>
          </w:p>
        </w:tc>
        <w:tc>
          <w:tcPr>
            <w:tcW w:w="7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(138,137)</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(146,546)</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8,409</w:t>
            </w:r>
          </w:p>
        </w:tc>
        <w:tc>
          <w:tcPr>
            <w:tcW w:w="0" w:type="dxa"/>
            <w:vAlign w:val="bottom"/>
          </w:tcPr>
          <w:p>
            <w:pPr>
              <w:spacing w:after="0"/>
              <w:rPr>
                <w:sz w:val="1"/>
                <w:szCs w:val="1"/>
                <w:color w:val="auto"/>
              </w:rPr>
            </w:pPr>
          </w:p>
        </w:tc>
      </w:tr>
      <w:tr>
        <w:trPr>
          <w:trHeight w:val="183"/>
        </w:trPr>
        <w:tc>
          <w:tcPr>
            <w:tcW w:w="43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Other income (expense):</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(540)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12,677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3"/>
        </w:trPr>
        <w:tc>
          <w:tcPr>
            <w:tcW w:w="4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net</w:t>
            </w:r>
          </w:p>
        </w:tc>
        <w:tc>
          <w:tcPr>
            <w:tcW w:w="7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7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13,361</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11,754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196"/>
        </w:trPr>
        <w:tc>
          <w:tcPr>
            <w:tcW w:w="4360" w:type="dxa"/>
            <w:vAlign w:val="bottom"/>
          </w:tcPr>
          <w:p>
            <w:pPr>
              <w:spacing w:after="0" w:line="196" w:lineRule="exact"/>
              <w:rPr>
                <w:sz w:val="20"/>
                <w:szCs w:val="20"/>
                <w:color w:val="auto"/>
              </w:rPr>
            </w:pPr>
            <w:r>
              <w:rPr>
                <w:rFonts w:ascii="Arial" w:cs="Arial" w:eastAsia="Arial" w:hAnsi="Arial"/>
                <w:sz w:val="18"/>
                <w:szCs w:val="18"/>
                <w:color w:val="auto"/>
              </w:rPr>
              <w:t>Loss before provision for income taxes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(124,776)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(134,792)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10,016</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7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(1,790)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436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(126,566)</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(136,673)</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10,107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year ended December 31, 2024 and 2023, we recognized revenue of $6.6 million and $2.2 million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under the Collaboration Agreement with Bristol-Myers Squibb, respectively. Revenue recognized under</w:t>
      </w:r>
    </w:p>
    <w:p>
      <w:pPr>
        <w:ind w:left="60"/>
        <w:spacing w:after="0" w:line="234" w:lineRule="auto"/>
        <w:rPr>
          <w:sz w:val="20"/>
          <w:szCs w:val="20"/>
          <w:color w:val="auto"/>
        </w:rPr>
      </w:pPr>
      <w:r>
        <w:rPr>
          <w:rFonts w:ascii="Arial" w:cs="Arial" w:eastAsia="Arial" w:hAnsi="Arial"/>
          <w:sz w:val="18"/>
          <w:szCs w:val="18"/>
          <w:color w:val="auto"/>
        </w:rPr>
        <w:t>Collaboration Agreement fluctuated based on the amount and timing of expenses incurred under the</w:t>
      </w:r>
    </w:p>
    <w:p>
      <w:pPr>
        <w:ind w:left="60"/>
        <w:spacing w:after="0" w:line="235" w:lineRule="auto"/>
        <w:rPr>
          <w:sz w:val="20"/>
          <w:szCs w:val="20"/>
          <w:color w:val="auto"/>
        </w:rPr>
      </w:pPr>
      <w:r>
        <w:rPr>
          <w:rFonts w:ascii="Arial" w:cs="Arial" w:eastAsia="Arial" w:hAnsi="Arial"/>
          <w:sz w:val="18"/>
          <w:szCs w:val="18"/>
          <w:color w:val="auto"/>
        </w:rPr>
        <w:t>agreement. See Notes 9 and 19 to our consolidated financial statements for additional information. The</w:t>
      </w:r>
    </w:p>
    <w:p>
      <w:pPr>
        <w:ind w:left="60"/>
        <w:spacing w:after="0" w:line="235" w:lineRule="auto"/>
        <w:rPr>
          <w:sz w:val="20"/>
          <w:szCs w:val="20"/>
          <w:color w:val="auto"/>
        </w:rPr>
      </w:pPr>
      <w:r>
        <w:rPr>
          <w:rFonts w:ascii="Arial" w:cs="Arial" w:eastAsia="Arial" w:hAnsi="Arial"/>
          <w:sz w:val="18"/>
          <w:szCs w:val="18"/>
          <w:color w:val="auto"/>
        </w:rPr>
        <w:t>Collaboration Agreement was terminated, effective as of March 12, 2025. As such, we expect to recognize</w:t>
      </w:r>
    </w:p>
    <w:p>
      <w:pPr>
        <w:ind w:left="60"/>
        <w:spacing w:after="0" w:line="235" w:lineRule="auto"/>
        <w:rPr>
          <w:sz w:val="20"/>
          <w:szCs w:val="20"/>
          <w:color w:val="auto"/>
        </w:rPr>
      </w:pPr>
      <w:r>
        <w:rPr>
          <w:rFonts w:ascii="Arial" w:cs="Arial" w:eastAsia="Arial" w:hAnsi="Arial"/>
          <w:sz w:val="18"/>
          <w:szCs w:val="18"/>
          <w:color w:val="auto"/>
        </w:rPr>
        <w:t>$109.2 million of collaboration for the quarter ended March 31, 2025, and thereafter our collaboration revenue is</w:t>
      </w:r>
    </w:p>
    <w:p>
      <w:pPr>
        <w:ind w:left="60"/>
        <w:spacing w:after="0" w:line="235" w:lineRule="auto"/>
        <w:rPr>
          <w:sz w:val="20"/>
          <w:szCs w:val="20"/>
          <w:color w:val="auto"/>
        </w:rPr>
      </w:pPr>
      <w:r>
        <w:rPr>
          <w:rFonts w:ascii="Arial" w:cs="Arial" w:eastAsia="Arial" w:hAnsi="Arial"/>
          <w:sz w:val="18"/>
          <w:szCs w:val="18"/>
          <w:color w:val="auto"/>
        </w:rPr>
        <w:t>expected to reduce significantly for the foreseeable future unless we enter into new collaborations or similar</w:t>
      </w:r>
    </w:p>
    <w:p>
      <w:pPr>
        <w:ind w:left="60"/>
        <w:spacing w:after="0"/>
        <w:rPr>
          <w:sz w:val="20"/>
          <w:szCs w:val="20"/>
          <w:color w:val="auto"/>
        </w:rPr>
      </w:pPr>
      <w:r>
        <w:rPr>
          <w:rFonts w:ascii="Arial" w:cs="Arial" w:eastAsia="Arial" w:hAnsi="Arial"/>
          <w:sz w:val="18"/>
          <w:szCs w:val="18"/>
          <w:color w:val="auto"/>
        </w:rPr>
        <w:t>arrangements, or obtain new sources of revenue.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6"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8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67"/>
              <w:spacing w:after="0"/>
              <w:rPr>
                <w:sz w:val="20"/>
                <w:szCs w:val="20"/>
                <w:color w:val="auto"/>
              </w:rPr>
            </w:pPr>
            <w:r>
              <w:rPr>
                <w:rFonts w:ascii="Arial" w:cs="Arial" w:eastAsia="Arial" w:hAnsi="Arial"/>
                <w:sz w:val="14"/>
                <w:szCs w:val="14"/>
                <w:color w:val="auto"/>
              </w:rPr>
              <w:t>Year Ended</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87"/>
              <w:spacing w:after="0"/>
              <w:rPr>
                <w:sz w:val="20"/>
                <w:szCs w:val="20"/>
                <w:color w:val="auto"/>
              </w:rPr>
            </w:pPr>
            <w:r>
              <w:rPr>
                <w:rFonts w:ascii="Arial" w:cs="Arial" w:eastAsia="Arial" w:hAnsi="Arial"/>
                <w:sz w:val="14"/>
                <w:szCs w:val="14"/>
                <w:color w:val="auto"/>
              </w:rPr>
              <w:t>Year Ended</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2540" w:type="dxa"/>
            <w:vAlign w:val="bottom"/>
            <w:gridSpan w:val="3"/>
          </w:tcPr>
          <w:p>
            <w:pPr>
              <w:ind w:left="1280"/>
              <w:spacing w:after="0"/>
              <w:rPr>
                <w:sz w:val="20"/>
                <w:szCs w:val="20"/>
                <w:color w:val="auto"/>
              </w:rPr>
            </w:pPr>
            <w:r>
              <w:rPr>
                <w:rFonts w:ascii="Arial" w:cs="Arial" w:eastAsia="Arial" w:hAnsi="Arial"/>
                <w:sz w:val="14"/>
                <w:szCs w:val="14"/>
                <w:color w:val="auto"/>
              </w:rPr>
              <w:t>December 31, 2024</w:t>
            </w:r>
          </w:p>
        </w:tc>
        <w:tc>
          <w:tcPr>
            <w:tcW w:w="2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December 31, 2023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Borders>
              <w:top w:val="single" w:sz="8" w:color="auto"/>
            </w:tcBorders>
            <w:gridSpan w:val="2"/>
          </w:tcPr>
          <w:p>
            <w:pPr>
              <w:jc w:val="right"/>
              <w:ind w:right="207"/>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Personnel and related costs</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42,398</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41,826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Facility and other allocated costs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20"/>
                <w:szCs w:val="20"/>
                <w:color w:val="auto"/>
              </w:rPr>
              <w:t>22,485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24,411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line="216" w:lineRule="exact"/>
              <w:rPr>
                <w:sz w:val="20"/>
                <w:szCs w:val="20"/>
                <w:color w:val="auto"/>
              </w:rPr>
            </w:pPr>
            <w:r>
              <w:rPr>
                <w:rFonts w:ascii="Arial" w:cs="Arial" w:eastAsia="Arial" w:hAnsi="Arial"/>
                <w:sz w:val="20"/>
                <w:szCs w:val="20"/>
                <w:color w:val="auto"/>
              </w:rPr>
              <w:t>(1,926)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laboratory</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30,655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23,816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11,706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2,657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9,049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107,244</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92,710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80" w:type="dxa"/>
            <w:vAlign w:val="bottom"/>
            <w:vMerge w:val="restart"/>
          </w:tcPr>
          <w:p>
            <w:pPr>
              <w:jc w:val="right"/>
              <w:ind w:right="436"/>
              <w:spacing w:after="0"/>
              <w:rPr>
                <w:sz w:val="20"/>
                <w:szCs w:val="20"/>
                <w:color w:val="auto"/>
              </w:rPr>
            </w:pPr>
            <w:r>
              <w:rPr>
                <w:rFonts w:ascii="Arial" w:cs="Arial" w:eastAsia="Arial" w:hAnsi="Arial"/>
                <w:sz w:val="18"/>
                <w:szCs w:val="18"/>
                <w:color w:val="auto"/>
              </w:rPr>
              <w:t>122</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8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22" w:name="page123"/>
    <w:bookmarkEnd w:id="1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Research and development expenses were $ 107.2 million and $92.7 million for the years ended December 31, 2024 and 2023, respectively. The increase of $14.5 million was primarily due to:</w:t>
      </w:r>
    </w:p>
    <w:p>
      <w:pPr>
        <w:spacing w:after="0" w:line="154" w:lineRule="exact"/>
        <w:rPr>
          <w:sz w:val="20"/>
          <w:szCs w:val="20"/>
          <w:color w:val="auto"/>
        </w:rPr>
      </w:pPr>
    </w:p>
    <w:p>
      <w:pPr>
        <w:ind w:left="720" w:right="379" w:hanging="319"/>
        <w:spacing w:after="0" w:line="270" w:lineRule="auto"/>
        <w:tabs>
          <w:tab w:leader="none" w:pos="7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research and laboratory costs of $6.8 million due to progression of the ELiPSE-1 trial and start-up costs relating to the CALiPSO-1 trial;</w:t>
      </w:r>
    </w:p>
    <w:p>
      <w:pPr>
        <w:spacing w:after="0" w:line="154" w:lineRule="exact"/>
        <w:rPr>
          <w:rFonts w:ascii="Times New Roman" w:cs="Times New Roman" w:eastAsia="Times New Roman" w:hAnsi="Times New Roman"/>
          <w:sz w:val="18"/>
          <w:szCs w:val="18"/>
          <w:color w:val="auto"/>
        </w:rPr>
      </w:pPr>
    </w:p>
    <w:p>
      <w:pPr>
        <w:ind w:left="720" w:right="679" w:hanging="319"/>
        <w:spacing w:after="0" w:line="270" w:lineRule="auto"/>
        <w:tabs>
          <w:tab w:leader="none" w:pos="7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other from collaboration costs of $7.9 million due to manufacturing our CNTY-101 product candidate performed under our collaboration with FCDI; and</w:t>
      </w:r>
    </w:p>
    <w:p>
      <w:pPr>
        <w:spacing w:after="0" w:line="154"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these increases were offset by a decrease of $1.9 million of facility and other allocated costs, including a decrease in rent expense of $1.3 million, and a decrease in facilities supplies and services of $1.7 million, offset by an increase in repairs and maintenance of $0.2 million, an increase in depreciation of $0.3 million, and an increase in common area maintenance and real estate taxes of $0.4 million.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0"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General and administrative expenses were $33.2 million and $34.7 million for the years ended December 31, 2024 and 2023, respectively. The decrease of $1.5 million was primarily due to a decrease in employee headcount during the 2024 fiscal year.</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96"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In-process research and development expenses were $0.0 million and $5.0 million for the years ended December 31, 2024 and 2023, respectively. In 2023, $4.0 million of our in-process research and development expense was a result of entering into a worldwide license agreement whereby FCDI granted non-exclusive licenses to us for certain patent rights and know-how related to cell differentiation and reprogramming for the development and commercialization of IPSC-derived therapies for treatment of autoimmune diseases, and $1.0 million related to a milestone fee paid pursuant to the Autoimmune License for filing the CNTY-101 IND for SLE.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on long-lived assets and goodwill</w:t>
      </w:r>
    </w:p>
    <w:p>
      <w:pPr>
        <w:spacing w:after="0" w:line="19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Impairment on long-lived assets were $ 0.0 million and $16.4 million for the year ended December 31, 2024 and 2023, respectively. In 2023, this was a result of consolidating our leased lab facilities in Philadelphia. We concluded we would exit multiple leases early and as a result we completed an impairment analysis of our asset group related to this lease along with the related property and equipment at this facility. We reviewed the asset group for impairment following Financial Accounting Standards Board’s Accounting Standards Codification, or ASC 360 for Property, Plant, and Equipment. We evaluated our long-lived assets for recoverability due to changes in circumstances that indicated that the carry amounts may not be recoverable.</w:t>
      </w:r>
    </w:p>
    <w:p>
      <w:pPr>
        <w:spacing w:after="0" w:line="171"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On December 31, 2024, the Company performed its annual impairment test of goodwill, and based on the result this test, we recorded a goodwill impairment charge of $4.3 million to write off goodwill. There was no similar expense associated with the impairment of goodwill for the year ended December 31, 2023.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ind w:left="60" w:right="439"/>
        <w:spacing w:after="0" w:line="253" w:lineRule="auto"/>
        <w:rPr>
          <w:sz w:val="20"/>
          <w:szCs w:val="20"/>
          <w:color w:val="auto"/>
        </w:rPr>
      </w:pPr>
      <w:r>
        <w:rPr>
          <w:rFonts w:ascii="Arial" w:cs="Arial" w:eastAsia="Arial" w:hAnsi="Arial"/>
          <w:sz w:val="18"/>
          <w:szCs w:val="18"/>
          <w:color w:val="auto"/>
        </w:rPr>
        <w:t>Interest expense was $0.0 million and $0.5 million for the years ended December 31, 2024 and 2023, respectively, which related to our Loan Agreement with Hercules. On May 1, 2023, we repaid the loan in its entirety and thus expect our interest expenses to decrease accordingly in subsequent periods.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3" w:name="page124"/>
    <w:bookmarkEnd w:id="1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3" w:lineRule="exact"/>
        <w:rPr>
          <w:sz w:val="20"/>
          <w:szCs w:val="20"/>
          <w:color w:val="auto"/>
        </w:rPr>
      </w:pPr>
    </w:p>
    <w:p>
      <w:pPr>
        <w:jc w:val="both"/>
        <w:ind w:left="60" w:right="819"/>
        <w:spacing w:after="0" w:line="301" w:lineRule="auto"/>
        <w:rPr>
          <w:sz w:val="20"/>
          <w:szCs w:val="20"/>
          <w:color w:val="auto"/>
        </w:rPr>
      </w:pPr>
      <w:r>
        <w:rPr>
          <w:rFonts w:ascii="Arial" w:cs="Arial" w:eastAsia="Arial" w:hAnsi="Arial"/>
          <w:sz w:val="17"/>
          <w:szCs w:val="17"/>
          <w:color w:val="auto"/>
        </w:rPr>
        <w:t>Interest income was $13.0 million and $12.7 million for the years ended December 31, 2024 and 2023, respectively, which related to interest earned on our cash, cash equivalents, and investment balances.</w:t>
      </w:r>
    </w:p>
    <w:p>
      <w:pPr>
        <w:spacing w:after="0" w:line="90" w:lineRule="exact"/>
        <w:rPr>
          <w:sz w:val="20"/>
          <w:szCs w:val="20"/>
          <w:color w:val="auto"/>
        </w:rPr>
      </w:pPr>
    </w:p>
    <w:p>
      <w:pPr>
        <w:ind w:left="60" w:right="4419"/>
        <w:spacing w:after="0" w:line="446"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ind w:left="60" w:right="199"/>
        <w:spacing w:after="0" w:line="239" w:lineRule="auto"/>
        <w:rPr>
          <w:sz w:val="20"/>
          <w:szCs w:val="20"/>
          <w:color w:val="auto"/>
        </w:rPr>
      </w:pPr>
      <w:r>
        <w:rPr>
          <w:rFonts w:ascii="Arial" w:cs="Arial" w:eastAsia="Arial" w:hAnsi="Arial"/>
          <w:sz w:val="18"/>
          <w:szCs w:val="18"/>
          <w:color w:val="auto"/>
        </w:rPr>
        <w:t>To date, we have funded our operations from public and private issuances and sales of our equity securities, debt financing and collaboration revenues. Since our inception, we have raised approximately $666 million in net proceeds from the sales of our equity securities. As of December 31, 2024, we had cash, and cash equivalents of $58.4 million and investments of $161.7 million. Based on our research and development plans, we believe our existing cash, cash equivalents and investments, will be sufficient to fund our operating expenses and capital expenditures requirements into the fourth quarter of 2026. Since our inception, we have incurred significant operating losses. We have not yet commercialized any products and we do not expect to generate revenue from sales of any product candidates for a number of years, if ever. We had an accumulated deficit of $782.3 million as of December 31, 2024.</w:t>
      </w:r>
    </w:p>
    <w:p>
      <w:pPr>
        <w:spacing w:after="0" w:line="18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In July 2022, we entered into a Sales Agreement, or the Sales Agreement, with Cowen and Company, LLC, or Cowen, under which we may offer and sell, from time to time in our sole discretion, shares of our common stock, having an aggregate offering price of up to $150 million through Cowen as sales agent. During the year ended December 31, 2024, 4,084,502 shares of common stock were issued and sold pursuant to the Sales Agreement at a weighted-average price of $4.50 per share, resulting in approximately $ 18.4 million in gross proceeds. During the fiscal year ended December 31, 2023, there were no sales made under the Sales Agreement.</w:t>
      </w:r>
    </w:p>
    <w:p>
      <w:pPr>
        <w:spacing w:after="0" w:line="171"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212529"/>
        </w:rPr>
        <w:t>In April 2024, we entered into a securities purchase agreement, or the Securities Purchase Agreement with certain institutional accredited investors, or the Investors, pursuant to which we issued and sold to the Investors in a private placement an aggregate of 15,873,011 shares of common stock at a price of $ 3.78 per share, or the Private Placement. We received aggregate gross proceeds from the Private Placement of approximately $60 million, before deducting placement agent fees and offering expenses.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funding requirements</w:t>
      </w:r>
    </w:p>
    <w:p>
      <w:pPr>
        <w:spacing w:after="0" w:line="16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720" w:right="239" w:hanging="319"/>
        <w:spacing w:after="0" w:line="270" w:lineRule="auto"/>
        <w:tabs>
          <w:tab w:leader="none" w:pos="7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54" w:lineRule="exact"/>
        <w:rPr>
          <w:rFonts w:ascii="Times New Roman" w:cs="Times New Roman" w:eastAsia="Times New Roman" w:hAnsi="Times New Roman"/>
          <w:sz w:val="18"/>
          <w:szCs w:val="18"/>
          <w:color w:val="auto"/>
        </w:rPr>
      </w:pPr>
    </w:p>
    <w:p>
      <w:pPr>
        <w:ind w:left="720" w:right="979" w:hanging="319"/>
        <w:spacing w:after="0" w:line="270" w:lineRule="auto"/>
        <w:tabs>
          <w:tab w:leader="none" w:pos="7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any of our current and future product candidates;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4" w:name="page125"/>
    <w:bookmarkEnd w:id="1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019" w:hanging="319"/>
        <w:spacing w:after="0" w:line="270" w:lineRule="auto"/>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right="299" w:hanging="319"/>
        <w:spacing w:after="0" w:line="270" w:lineRule="auto"/>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54" w:lineRule="exact"/>
        <w:rPr>
          <w:rFonts w:ascii="Times New Roman" w:cs="Times New Roman" w:eastAsia="Times New Roman" w:hAnsi="Times New Roman"/>
          <w:sz w:val="18"/>
          <w:szCs w:val="18"/>
          <w:color w:val="auto"/>
        </w:rPr>
      </w:pPr>
    </w:p>
    <w:p>
      <w:pPr>
        <w:ind w:left="720" w:right="99" w:hanging="319"/>
        <w:spacing w:after="0" w:line="246" w:lineRule="auto"/>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176" w:lineRule="exact"/>
        <w:rPr>
          <w:rFonts w:ascii="Times New Roman" w:cs="Times New Roman" w:eastAsia="Times New Roman" w:hAnsi="Times New Roman"/>
          <w:sz w:val="18"/>
          <w:szCs w:val="18"/>
          <w:color w:val="auto"/>
        </w:rPr>
      </w:pPr>
    </w:p>
    <w:p>
      <w:pPr>
        <w:ind w:left="720" w:right="179" w:hanging="319"/>
        <w:spacing w:after="0" w:line="252" w:lineRule="auto"/>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70" w:lineRule="exact"/>
        <w:rPr>
          <w:rFonts w:ascii="Times New Roman" w:cs="Times New Roman" w:eastAsia="Times New Roman" w:hAnsi="Times New Roman"/>
          <w:sz w:val="18"/>
          <w:szCs w:val="18"/>
          <w:color w:val="auto"/>
        </w:rPr>
      </w:pPr>
    </w:p>
    <w:p>
      <w:pPr>
        <w:ind w:left="720" w:right="439" w:hanging="319"/>
        <w:spacing w:after="0" w:line="270" w:lineRule="auto"/>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costs of operating as a public company;</w:t>
      </w:r>
    </w:p>
    <w:p>
      <w:pPr>
        <w:spacing w:after="0" w:line="224" w:lineRule="exact"/>
        <w:rPr>
          <w:rFonts w:ascii="Times New Roman" w:cs="Times New Roman" w:eastAsia="Times New Roman" w:hAnsi="Times New Roman"/>
          <w:sz w:val="18"/>
          <w:szCs w:val="18"/>
          <w:color w:val="auto"/>
        </w:rPr>
      </w:pPr>
    </w:p>
    <w:p>
      <w:pPr>
        <w:ind w:left="720" w:right="439" w:hanging="319"/>
        <w:spacing w:after="0" w:line="270" w:lineRule="auto"/>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 and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22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effects of pandemics, inflationary pressures, disruptions of financial institutions,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5" w:name="page126"/>
    <w:bookmarkEnd w:id="1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378"/>
              <w:spacing w:after="0"/>
              <w:rPr>
                <w:sz w:val="20"/>
                <w:szCs w:val="20"/>
                <w:color w:val="auto"/>
              </w:rPr>
            </w:pPr>
            <w:r>
              <w:rPr>
                <w:rFonts w:ascii="Arial" w:cs="Arial" w:eastAsia="Arial" w:hAnsi="Arial"/>
                <w:sz w:val="14"/>
                <w:szCs w:val="14"/>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296"/>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December 31, 2024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gridSpan w:val="4"/>
          </w:tcPr>
          <w:p>
            <w:pPr>
              <w:jc w:val="right"/>
              <w:ind w:right="1116"/>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Operating activities</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(110,135)</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(88,348)</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61,132</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74,563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164"/>
        </w:trPr>
        <w:tc>
          <w:tcPr>
            <w:tcW w:w="538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Net increase (decrease) in cash, cash equivalents, and restricted</w:t>
            </w:r>
          </w:p>
        </w:tc>
        <w:tc>
          <w:tcPr>
            <w:tcW w:w="3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11,910</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(36,941)</w:t>
            </w:r>
          </w:p>
        </w:tc>
        <w:tc>
          <w:tcPr>
            <w:tcW w:w="0" w:type="dxa"/>
            <w:vAlign w:val="bottom"/>
          </w:tcPr>
          <w:p>
            <w:pPr>
              <w:spacing w:after="0"/>
              <w:rPr>
                <w:sz w:val="1"/>
                <w:szCs w:val="1"/>
                <w:color w:val="auto"/>
              </w:rPr>
            </w:pPr>
          </w:p>
        </w:tc>
      </w:tr>
      <w:tr>
        <w:trPr>
          <w:trHeight w:val="208"/>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60" w:type="dxa"/>
            <w:vAlign w:val="bottom"/>
            <w:gridSpan w:val="2"/>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Net cash used in operating activities was $110.1 million and $88.3 million for the years ended December 31, 2024 and 2023, respectively. Net cash used in operating activities during the year ended December 31, 2024 consisted primarily of a net loss of $126.6 million. The non-cash charges of $25.7 million consisted primarily of $13.3 million for depreciation, stock-based compensation expense of $12.7 million, and impairment of goodwill of $4.3 million. These charges were offset by amortization of marketable securities of $4.8 million and gain on contingent consideration liability of $1.4 million.</w:t>
      </w:r>
    </w:p>
    <w:p>
      <w:pPr>
        <w:spacing w:after="0" w:line="16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Net cash used in operating activities was $88.3 million for the year ended December 31, 2023. Net cash used in operating activities during the year ended December 31, 2023 consisted primarily of a net loss of $136.7 million. The non-cash charges of $38.9 million consisted primarily of $13.0 million for depreciation, stock-based compensation expense of $14.6 million, and impairment of long lived assets of $ 16.4 million. Changes in operating lease liability of $1.2 million, net were primarily driven by the receipt of $11.9 million of tenant reimbursement.</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10" w:lineRule="exact"/>
        <w:rPr>
          <w:sz w:val="20"/>
          <w:szCs w:val="20"/>
          <w:color w:val="auto"/>
        </w:rPr>
      </w:pPr>
    </w:p>
    <w:p>
      <w:pPr>
        <w:ind w:left="60" w:right="439"/>
        <w:spacing w:after="0" w:line="247" w:lineRule="auto"/>
        <w:rPr>
          <w:sz w:val="20"/>
          <w:szCs w:val="20"/>
          <w:color w:val="auto"/>
        </w:rPr>
      </w:pPr>
      <w:r>
        <w:rPr>
          <w:rFonts w:ascii="Arial" w:cs="Arial" w:eastAsia="Arial" w:hAnsi="Arial"/>
          <w:sz w:val="18"/>
          <w:szCs w:val="18"/>
          <w:color w:val="auto"/>
        </w:rPr>
        <w:t>Cash provided by investing activities was $47.5 million and $61.1 million for the years ended December 31, 2024 and 2023, respectively. Cash provided by investing activities for the year ended December 31, 2024 consisted primarily of the sale of fixed maturity securities of $176.8 million, which was partially offset by purchases of fixed maturity securities of $119.5 million and acquisition of Clade $9.6 million.</w:t>
      </w:r>
    </w:p>
    <w:p>
      <w:pPr>
        <w:spacing w:after="0" w:line="174"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Cash provided by investing activities was $61.1 million for the year ended December 31, 2023. Cash provided by investing activities for the year ended December 31, 2023 consisted primarily of the sale of fixed maturity securities of $283.9 million, which was partially offset by purchases of fixed maturity securities of $212.7 million and acquisition of property and equipment of $13.7 million.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1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 xml:space="preserve">Cash provided by (used in) financing activities was $74.6 million and ($9.7) million for the years ended December 31, 2024, and 2023, respectively. </w:t>
      </w:r>
      <w:r>
        <w:rPr>
          <w:rFonts w:ascii="Arial" w:cs="Arial" w:eastAsia="Arial" w:hAnsi="Arial"/>
          <w:sz w:val="18"/>
          <w:szCs w:val="18"/>
          <w:color w:val="212529"/>
        </w:rPr>
        <w:t>Cash provided by financing activities for the year ended</w:t>
      </w:r>
      <w:r>
        <w:rPr>
          <w:rFonts w:ascii="Arial" w:cs="Arial" w:eastAsia="Arial" w:hAnsi="Arial"/>
          <w:sz w:val="18"/>
          <w:szCs w:val="18"/>
          <w:color w:val="auto"/>
        </w:rPr>
        <w:t xml:space="preserve"> </w:t>
      </w:r>
      <w:r>
        <w:rPr>
          <w:rFonts w:ascii="Arial" w:cs="Arial" w:eastAsia="Arial" w:hAnsi="Arial"/>
          <w:sz w:val="18"/>
          <w:szCs w:val="18"/>
          <w:color w:val="212529"/>
        </w:rPr>
        <w:t>December 31, 2024 consisted of $17.8 million from proceeds from our at-the-market capital raise, $56.6 million from proceeds from our PIPE financing, and $0.1 million from issuance of our common stock from equity incentive plans pursuant to the exercise of employee stock options.</w:t>
      </w:r>
    </w:p>
    <w:p>
      <w:pPr>
        <w:spacing w:after="0" w:line="17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Cash (used in) financing activities was $9.7 million for the year ended December 31, 2023 consisted of $10.2 million for payments on long-term debt, partially offset by $0.5 million from issuance of our common stock from equity incentive plans pursuant to the exercise of employee stock options and purchases through the Employee Stock Purchase Plan, or ESPP.</w:t>
      </w:r>
    </w:p>
    <w:p>
      <w:pPr>
        <w:sectPr>
          <w:pgSz w:w="11900" w:h="16838" w:orient="portrait"/>
          <w:cols w:equalWidth="0" w:num="1">
            <w:col w:w="9019"/>
          </w:cols>
          <w:pgMar w:left="1440" w:top="512"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6" w:name="page127"/>
    <w:bookmarkEnd w:id="1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2"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The following table summarizes our significant contractual obligations and commitments as of December 31, 2024:</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6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Payments Due by Period</w:t>
            </w:r>
          </w:p>
        </w:tc>
      </w:tr>
      <w:tr>
        <w:trPr>
          <w:trHeight w:val="155"/>
        </w:trPr>
        <w:tc>
          <w:tcPr>
            <w:tcW w:w="2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 Year</w:t>
            </w:r>
          </w:p>
        </w:tc>
        <w:tc>
          <w:tcPr>
            <w:tcW w:w="102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1 to 3 Years</w:t>
            </w:r>
          </w:p>
        </w:tc>
        <w:tc>
          <w:tcPr>
            <w:tcW w:w="9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3 to 5 Years</w:t>
            </w:r>
          </w:p>
        </w:tc>
        <w:tc>
          <w:tcPr>
            <w:tcW w:w="130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color w:val="auto"/>
              </w:rPr>
              <w:t>More than 5 Years</w:t>
            </w:r>
          </w:p>
        </w:tc>
        <w:tc>
          <w:tcPr>
            <w:tcW w:w="100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color w:val="auto"/>
              </w:rPr>
              <w:t>Total</w:t>
            </w:r>
          </w:p>
        </w:tc>
      </w:tr>
      <w:tr>
        <w:trPr>
          <w:trHeight w:val="156"/>
        </w:trPr>
        <w:tc>
          <w:tcPr>
            <w:tcW w:w="26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398"/>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9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$ 9,766</w:t>
            </w:r>
          </w:p>
        </w:tc>
        <w:tc>
          <w:tcPr>
            <w:tcW w:w="1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$ 18,899</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$ 19,911</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$ 84,606</w:t>
            </w:r>
          </w:p>
        </w:tc>
      </w:tr>
    </w:tbl>
    <w:p>
      <w:pPr>
        <w:spacing w:after="0" w:line="184"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 xml:space="preserve">Other than as disclosed in the table above, the payment obligations under our license, collaboration, and acquisition and merger agreements as of December 31, 2024 are contingent upon future events such as our achievement of pre-specified development, regulatory, and commercial milestones, or royalties on net product sales. As of December 31, 2024, the timing and likelihood of achieving the milestones and success payments and generating future product sales are uncertain and therefore, any related payments are not included in the table above. </w:t>
      </w:r>
      <w:r>
        <w:rPr>
          <w:rFonts w:ascii="Arial" w:cs="Arial" w:eastAsia="Arial" w:hAnsi="Arial"/>
          <w:sz w:val="18"/>
          <w:szCs w:val="18"/>
          <w:color w:val="212529"/>
        </w:rPr>
        <w:t>We also enter into agreements in the normal course of business for sponsored research,</w:t>
      </w:r>
      <w:r>
        <w:rPr>
          <w:rFonts w:ascii="Arial" w:cs="Arial" w:eastAsia="Arial" w:hAnsi="Arial"/>
          <w:sz w:val="18"/>
          <w:szCs w:val="18"/>
          <w:color w:val="auto"/>
        </w:rPr>
        <w:t xml:space="preserve"> </w:t>
      </w:r>
      <w:r>
        <w:rPr>
          <w:rFonts w:ascii="Arial" w:cs="Arial" w:eastAsia="Arial" w:hAnsi="Arial"/>
          <w:sz w:val="18"/>
          <w:szCs w:val="18"/>
          <w:color w:val="212529"/>
        </w:rPr>
        <w:t>preclinical studies, contract manufacturing, and other services and products for operating purposes, which are generally cancelable upon written notice. These obligations and commitments are not included in the table above. See Note 10 “Commitments and contingencies” for additional information.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212529"/>
        </w:rPr>
        <w:t>We have commitments under operating leases for certain facilities used in our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12"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76" w:lineRule="exact"/>
        <w:rPr>
          <w:sz w:val="20"/>
          <w:szCs w:val="20"/>
          <w:color w:val="auto"/>
        </w:rPr>
      </w:pPr>
    </w:p>
    <w:p>
      <w:pPr>
        <w:ind w:left="720" w:right="299" w:hanging="319"/>
        <w:spacing w:after="0" w:line="270" w:lineRule="auto"/>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reduced disclosure about our executive compensation arrangements;</w:t>
      </w:r>
    </w:p>
    <w:p>
      <w:pPr>
        <w:spacing w:after="0" w:line="224" w:lineRule="exact"/>
        <w:rPr>
          <w:rFonts w:ascii="Times New Roman" w:cs="Times New Roman" w:eastAsia="Times New Roman" w:hAnsi="Times New Roman"/>
          <w:sz w:val="18"/>
          <w:szCs w:val="18"/>
          <w:color w:val="auto"/>
        </w:rPr>
      </w:pPr>
    </w:p>
    <w:p>
      <w:pPr>
        <w:ind w:left="720" w:right="359" w:hanging="319"/>
        <w:spacing w:after="0" w:line="252" w:lineRule="auto"/>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70" w:lineRule="exact"/>
        <w:rPr>
          <w:rFonts w:ascii="Times New Roman" w:cs="Times New Roman" w:eastAsia="Times New Roman" w:hAnsi="Times New Roman"/>
          <w:sz w:val="18"/>
          <w:szCs w:val="18"/>
          <w:color w:val="auto"/>
        </w:rPr>
      </w:pPr>
    </w:p>
    <w:p>
      <w:pPr>
        <w:ind w:left="720" w:right="179" w:hanging="319"/>
        <w:spacing w:after="0" w:line="270" w:lineRule="auto"/>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22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7" w:name="page128"/>
    <w:bookmarkEnd w:id="1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 million as of the last business day of the second fiscal quarter of such year or (iv) the date on which we have issued more than $1 billion in non-convertible debt securities during the prior three-year period.</w:t>
      </w:r>
    </w:p>
    <w:p>
      <w:pPr>
        <w:spacing w:after="0" w:line="18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audited consolidated financial statements are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0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recognize revenue in accordance with ASC Topic 606, Revenue from Contracts with Customers, or ASC</w:t>
      </w:r>
    </w:p>
    <w:p>
      <w:pPr>
        <w:spacing w:after="0" w:line="14" w:lineRule="exact"/>
        <w:rPr>
          <w:sz w:val="20"/>
          <w:szCs w:val="20"/>
          <w:color w:val="auto"/>
        </w:rPr>
      </w:pPr>
    </w:p>
    <w:p>
      <w:pPr>
        <w:ind w:left="60" w:right="239" w:hanging="10"/>
        <w:spacing w:after="0" w:line="248"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This standard applies to all contracts with customers. When an agreement falls under the scope of other standards, such as ASC Topic 808, Collaborative Arrangements, or ASC 808, we will apply the recognition, measurement, presentation, and disclosure guidance in ASC 606 to the performance obligations in the agreements if those performance obligations are with a customer. Revenue recognized by analogizing to ASC</w:t>
      </w:r>
    </w:p>
    <w:p>
      <w:pPr>
        <w:spacing w:after="0" w:line="2" w:lineRule="exact"/>
        <w:rPr>
          <w:rFonts w:ascii="Arial" w:cs="Arial" w:eastAsia="Arial" w:hAnsi="Arial"/>
          <w:sz w:val="17"/>
          <w:szCs w:val="17"/>
          <w:color w:val="auto"/>
        </w:rPr>
      </w:pPr>
    </w:p>
    <w:p>
      <w:pPr>
        <w:ind w:left="400" w:hanging="350"/>
        <w:spacing w:after="0"/>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 recorded as collaboration revenue on the statements of operations.</w:t>
      </w:r>
    </w:p>
    <w:p>
      <w:pPr>
        <w:spacing w:after="0" w:line="8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we perform the following steps: (i) identification of the promised goods or services in the contract; (ii) determination of whether the promised goods or services are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8" w:name="page129"/>
    <w:bookmarkEnd w:id="1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we satisfy each performance obligation.</w:t>
      </w:r>
    </w:p>
    <w:p>
      <w:pPr>
        <w:spacing w:after="0" w:line="6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 part of the accounting for these arrangements, we must use our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We also apply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78"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not determined to represent a material right, no transaction price is allocated to these options and we will account for these options at that time they are exercised. If the customer options are determined to represent a material right, the material right is recognized as a separate performance obligation at the outset of the arrangement.</w:t>
      </w:r>
    </w:p>
    <w:p>
      <w:pPr>
        <w:spacing w:after="0" w:line="72"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The obligations under our collaboration agreements may include research and development services to be performed by us for or on behalf of the customer. Amounts allocated to these performance obligations are recognized as we perform these obligations, and revenue is measures based on an inputs method of costs incurred to date of budgeted costs. Under certain circumstances, we may be reimbursed for certain expenses incurred under the research and development services.</w:t>
      </w:r>
    </w:p>
    <w:p>
      <w:pPr>
        <w:spacing w:after="0" w:line="6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we evaluate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us or the licensee,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record research and development costs in the periods in which they are incurred. We accrue for research and development costs based on the estimated services performed, but not yet invoiced, pursuant to contracts with research institutions or other service providers that conduct and manage preclinical studies and other research services on our behalf and record these costs in accrued and other current liabilities. We make judgments and estimates in determining the accrued liabilities balance at each reporting period. Payments made prior to the receipt of goods or services to be used in research and development are recorded as prepaid expenses until the goods or services are received.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9" w:name="page130"/>
    <w:bookmarkEnd w:id="1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Clinical trial costs are a component of research and development expenses. We expense costs for our clinical trial activities performed by third parties, including clinical research organizations and other service providers, as they are incurred, based upon estimates of the work completed over the life of the individual study in accordance with associated agreements. We use information it receives from internal personnel and outside service providers to estimate the clinical trial costs incurred.</w:t>
      </w:r>
    </w:p>
    <w:p>
      <w:pPr>
        <w:spacing w:after="0" w:line="176"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To date, we have not experienced any material differences between accrued costs and actual costs incurred. However, the status and timing of actual services performed may vary from our estimates, resulting in adjustments to expenses in future periods. Changes in these estimates that result in material changes to our accruals could materially affect our results of operations.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recognize compensation costs related to restricted stock awards, restricted stock shares, and stock options granted to employees and nonemployees based on the estimated fair value of the awards on the date of grant, and we recognize forfeitures as they occur. For restricted stock awards the fair value of our common stock is used to determine the resulting stock-based compensation expense. For stock options we estimate the grant date fair value, and the resulting stock-based compensation expense, using the Black-Scholes option pricing model. The fair value of the stock-based awards is recognized as an expense on a straight-line basis over the requisite service period, which is generally the vesting period.</w:t>
      </w:r>
    </w:p>
    <w:p>
      <w:pPr>
        <w:spacing w:after="0" w:line="185"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The Black-Scholes option pricing model requires the use of highly subjective assumptions to determine the fair value of stock-based awards. These assumptions include:</w:t>
      </w:r>
    </w:p>
    <w:p>
      <w:pPr>
        <w:spacing w:after="0" w:line="154" w:lineRule="exact"/>
        <w:rPr>
          <w:sz w:val="20"/>
          <w:szCs w:val="20"/>
          <w:color w:val="auto"/>
        </w:rPr>
      </w:pPr>
    </w:p>
    <w:p>
      <w:pPr>
        <w:ind w:left="720" w:right="179" w:hanging="319"/>
        <w:spacing w:after="0" w:line="238" w:lineRule="auto"/>
        <w:tabs>
          <w:tab w:leader="none" w:pos="72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Fair Value of Common Stock-After our IPO in June 2021, the fair value of stock-based awards was determined on the grant date using the closing price of our common stock. As there was no public market for our common stock before the IPO, the estimated fair value of our common stock was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Third-party valuations of our common stock were performed in accordance with the guidance outlined in the American Institute of Certified Public Accountants’ Accounting and Valuation Guide, Valuation of Privately-Held-Company Equity Securities Issued as Compensation.</w:t>
      </w:r>
    </w:p>
    <w:p>
      <w:pPr>
        <w:spacing w:after="0" w:line="187"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Expected Term—The expected term represents the period that the stock-based awards are expected to be outstanding. We use the simplified method to determine the expected term, which is based on the average of the time-to-vesting and the contractual life of the options.</w:t>
      </w:r>
    </w:p>
    <w:p>
      <w:pPr>
        <w:spacing w:after="0" w:line="170" w:lineRule="exact"/>
        <w:rPr>
          <w:rFonts w:ascii="Times New Roman" w:cs="Times New Roman" w:eastAsia="Times New Roman" w:hAnsi="Times New Roman"/>
          <w:sz w:val="18"/>
          <w:szCs w:val="18"/>
          <w:color w:val="auto"/>
        </w:rPr>
      </w:pPr>
    </w:p>
    <w:p>
      <w:pPr>
        <w:ind w:left="720" w:right="319" w:hanging="319"/>
        <w:spacing w:after="0" w:line="242" w:lineRule="auto"/>
        <w:tabs>
          <w:tab w:leader="none" w:pos="72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Expected Volatility—Due to lack of trading history for our common stock, the expected volatility is estimated based on the average historical volatilities of common stock of comparable publicly traded entities over a time period equal to the expected term of the stock option grants. The comparable companies are chosen based on their size, stage in the product development cycle, and area of specialty. Starting in June of 2023, we had sufficient historical information regarding stock trading history, and started to use our own stock volatility.</w:t>
      </w:r>
    </w:p>
    <w:p>
      <w:pPr>
        <w:spacing w:after="0" w:line="177" w:lineRule="exact"/>
        <w:rPr>
          <w:rFonts w:ascii="Times New Roman" w:cs="Times New Roman" w:eastAsia="Times New Roman" w:hAnsi="Times New Roman"/>
          <w:sz w:val="18"/>
          <w:szCs w:val="18"/>
          <w:color w:val="auto"/>
        </w:rPr>
      </w:pPr>
    </w:p>
    <w:p>
      <w:pPr>
        <w:jc w:val="both"/>
        <w:ind w:left="720" w:right="199" w:hanging="319"/>
        <w:spacing w:after="0" w:line="252" w:lineRule="auto"/>
        <w:tabs>
          <w:tab w:leader="none" w:pos="72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Risk-Free Interest Rate—The risk-free interest rate is based on the U.S. Treasury yield in effect at the time of grant for zero-coupon U.S. Treasury notes with maturities approximately equal to the expected term of the awards.</w:t>
      </w:r>
    </w:p>
    <w:p>
      <w:pPr>
        <w:spacing w:after="0" w:line="170"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Expected Dividend— We have never paid dividends on our common stock and have no plans to pay dividends on our common stock. Therefore, we used an expected dividend yield of zero.</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0" w:name="page131"/>
    <w:bookmarkEnd w:id="1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2"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and liquidity risk</w:t>
      </w:r>
    </w:p>
    <w:p>
      <w:pPr>
        <w:spacing w:after="0" w:line="21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had cash, cash equivalents, and restricted cash of $ 61.2 million as of December 31, 2024, which consisted of bank deposits and money market funds. We also had investments of $161.7 million as of December 31, 2024.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Instability</w:t>
      </w:r>
    </w:p>
    <w:p>
      <w:pPr>
        <w:spacing w:after="0" w:line="12"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Future disruptions of financial institutions where we bank or have credit arrangements, or disruptions of the financial service industry in general, could adversely affect our ability to access our cash and cash equivalents.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10"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Inflation generally affects us by increasing our cost of labor and laboratory consumables. We believe that inflation has not had a material effect on our financial statements.</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774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380" w:type="dxa"/>
            <w:vAlign w:val="bottom"/>
            <w:gridSpan w:val="6"/>
          </w:tcPr>
          <w:p>
            <w:pPr>
              <w:jc w:val="center"/>
              <w:ind w:right="1200"/>
              <w:spacing w:after="0"/>
              <w:rPr>
                <w:sz w:val="20"/>
                <w:szCs w:val="20"/>
                <w:color w:val="auto"/>
              </w:rPr>
            </w:pPr>
            <w:r>
              <w:rPr>
                <w:rFonts w:ascii="Arial" w:cs="Arial" w:eastAsia="Arial" w:hAnsi="Arial"/>
                <w:sz w:val="18"/>
                <w:szCs w:val="18"/>
                <w:b w:val="1"/>
                <w:bCs w:val="1"/>
                <w:color w:val="auto"/>
                <w:w w:val="99"/>
              </w:rPr>
              <w:t>CENTURY THERAPEUTICS, INC.</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380" w:type="dxa"/>
            <w:vAlign w:val="bottom"/>
            <w:gridSpan w:val="6"/>
          </w:tcPr>
          <w:p>
            <w:pPr>
              <w:jc w:val="center"/>
              <w:ind w:right="122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8"/>
            <w:vMerge w:val="restart"/>
          </w:tcPr>
          <w:p>
            <w:pPr>
              <w:spacing w:after="0"/>
              <w:rPr>
                <w:sz w:val="20"/>
                <w:szCs w:val="20"/>
                <w:color w:val="auto"/>
              </w:rPr>
            </w:pPr>
            <w:r>
              <w:rPr>
                <w:rFonts w:ascii="Arial" w:cs="Arial" w:eastAsia="Arial" w:hAnsi="Arial"/>
                <w:sz w:val="18"/>
                <w:szCs w:val="18"/>
                <w:color w:val="0000EE"/>
              </w:rPr>
              <w:t>Report of Ernst &amp; Young, LLP, Independent Registered Public Accounting Firm, Philadelphia,</w:t>
            </w:r>
          </w:p>
        </w:tc>
        <w:tc>
          <w:tcPr>
            <w:tcW w:w="1140" w:type="dxa"/>
            <w:vAlign w:val="bottom"/>
          </w:tcPr>
          <w:p>
            <w:pPr>
              <w:jc w:val="center"/>
              <w:ind w:left="27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7"/>
        </w:trPr>
        <w:tc>
          <w:tcPr>
            <w:tcW w:w="7740" w:type="dxa"/>
            <w:vAlign w:val="bottom"/>
            <w:gridSpan w:val="8"/>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 xml:space="preserve">Pennsylvania, </w:t>
            </w:r>
            <w:r>
              <w:rPr>
                <w:rFonts w:ascii="Arial" w:cs="Arial" w:eastAsia="Arial" w:hAnsi="Arial"/>
                <w:sz w:val="18"/>
                <w:szCs w:val="18"/>
                <w:color w:val="000000"/>
              </w:rPr>
              <w:t>(PCAOB ID:42)</w:t>
            </w:r>
          </w:p>
        </w:tc>
        <w:tc>
          <w:tcPr>
            <w:tcW w:w="380" w:type="dxa"/>
            <w:vAlign w:val="bottom"/>
          </w:tcPr>
          <w:p>
            <w:pPr>
              <w:spacing w:after="0"/>
              <w:rPr>
                <w:sz w:val="18"/>
                <w:szCs w:val="18"/>
                <w:color w:val="auto"/>
              </w:rPr>
            </w:pP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Consolidated Balance Sheets</w:t>
            </w:r>
          </w:p>
        </w:tc>
        <w:tc>
          <w:tcPr>
            <w:tcW w:w="5380" w:type="dxa"/>
            <w:vAlign w:val="bottom"/>
            <w:gridSpan w:val="6"/>
          </w:tcPr>
          <w:p>
            <w:pPr>
              <w:spacing w:after="0"/>
              <w:rPr>
                <w:sz w:val="18"/>
                <w:szCs w:val="18"/>
                <w:color w:val="auto"/>
              </w:rPr>
            </w:pP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10"/>
        </w:trPr>
        <w:tc>
          <w:tcPr>
            <w:tcW w:w="7740" w:type="dxa"/>
            <w:vAlign w:val="bottom"/>
            <w:gridSpan w:val="8"/>
          </w:tcPr>
          <w:p>
            <w:pPr>
              <w:spacing w:after="0"/>
              <w:rPr>
                <w:sz w:val="20"/>
                <w:szCs w:val="20"/>
                <w:color w:val="auto"/>
              </w:rPr>
            </w:pPr>
            <w:r>
              <w:rPr>
                <w:rFonts w:ascii="Arial" w:cs="Arial" w:eastAsia="Arial" w:hAnsi="Arial"/>
                <w:sz w:val="18"/>
                <w:szCs w:val="18"/>
                <w:color w:val="0000EE"/>
              </w:rPr>
              <w:t>Consolidated Statements of Operations and Comprehensive Loss</w:t>
            </w: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10"/>
        </w:trPr>
        <w:tc>
          <w:tcPr>
            <w:tcW w:w="5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Consolidated Statements of Changes in Stockholders’ Equity</w:t>
            </w:r>
          </w:p>
        </w:tc>
        <w:tc>
          <w:tcPr>
            <w:tcW w:w="2520" w:type="dxa"/>
            <w:vAlign w:val="bottom"/>
            <w:gridSpan w:val="2"/>
          </w:tcPr>
          <w:p>
            <w:pPr>
              <w:spacing w:after="0"/>
              <w:rPr>
                <w:sz w:val="18"/>
                <w:szCs w:val="18"/>
                <w:color w:val="auto"/>
              </w:rPr>
            </w:pP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210"/>
        </w:trPr>
        <w:tc>
          <w:tcPr>
            <w:tcW w:w="32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9"/>
              </w:rPr>
              <w:t>Consolidated Statements of Cash Flows</w:t>
            </w:r>
          </w:p>
        </w:tc>
        <w:tc>
          <w:tcPr>
            <w:tcW w:w="1640" w:type="dxa"/>
            <w:vAlign w:val="bottom"/>
            <w:tcBorders>
              <w:top w:val="single" w:sz="8" w:color="0000EE"/>
            </w:tcBorders>
            <w:gridSpan w:val="2"/>
          </w:tcPr>
          <w:p>
            <w:pPr>
              <w:spacing w:after="0"/>
              <w:rPr>
                <w:sz w:val="18"/>
                <w:szCs w:val="18"/>
                <w:color w:val="auto"/>
              </w:rPr>
            </w:pPr>
          </w:p>
        </w:tc>
        <w:tc>
          <w:tcPr>
            <w:tcW w:w="2900" w:type="dxa"/>
            <w:vAlign w:val="bottom"/>
            <w:gridSpan w:val="3"/>
          </w:tcPr>
          <w:p>
            <w:pPr>
              <w:spacing w:after="0"/>
              <w:rPr>
                <w:sz w:val="18"/>
                <w:szCs w:val="18"/>
                <w:color w:val="auto"/>
              </w:rPr>
            </w:pP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Notes to Consolidated Financial Statements</w:t>
            </w:r>
          </w:p>
        </w:tc>
        <w:tc>
          <w:tcPr>
            <w:tcW w:w="4240" w:type="dxa"/>
            <w:vAlign w:val="bottom"/>
            <w:gridSpan w:val="4"/>
          </w:tcPr>
          <w:p>
            <w:pPr>
              <w:spacing w:after="0"/>
              <w:rPr>
                <w:sz w:val="18"/>
                <w:szCs w:val="18"/>
                <w:color w:val="auto"/>
              </w:rPr>
            </w:pP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1" w:name="page132"/>
    <w:bookmarkEnd w:id="1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9"/>
          <w:szCs w:val="19"/>
          <w:color w:val="auto"/>
        </w:rPr>
        <w:t>To the Shareholders and the Board of Directors of Century Therapeutics, Inc.</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Opinion on the Financial Statements</w:t>
      </w:r>
    </w:p>
    <w:p>
      <w:pPr>
        <w:spacing w:after="0" w:line="21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9"/>
          <w:szCs w:val="19"/>
          <w:color w:val="auto"/>
        </w:rPr>
        <w:t>We have audited the accompanying consolidated balance sheets of Century Therapeutics, Inc. (the Company) as of December 31, 2024 and 2023, the related consolidated statements of operations and comprehensive loss, changes in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Basis for Opinion</w:t>
      </w:r>
    </w:p>
    <w:p>
      <w:pPr>
        <w:spacing w:after="0" w:line="214"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Ernst &amp; Young LLP</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color w:val="auto"/>
        </w:rPr>
        <w:t>We have served as the Company’s auditor since 2019.</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color w:val="auto"/>
        </w:rPr>
        <w:t>Philadelphia, Pennsylvania</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color w:val="auto"/>
        </w:rPr>
        <w:t>March 19, 2025</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2" w:name="page133"/>
    <w:bookmarkEnd w:id="1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BALANCE SHEETS</w:t>
      </w:r>
    </w:p>
    <w:p>
      <w:pPr>
        <w:jc w:val="center"/>
        <w:ind w:right="19"/>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90805</wp:posOffset>
            </wp:positionV>
            <wp:extent cx="56489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2"/>
          </w:tcPr>
          <w:p>
            <w:pPr>
              <w:ind w:left="460"/>
              <w:spacing w:after="0"/>
              <w:rPr>
                <w:sz w:val="20"/>
                <w:szCs w:val="20"/>
                <w:color w:val="auto"/>
              </w:rPr>
            </w:pPr>
            <w:r>
              <w:rPr>
                <w:rFonts w:ascii="Arial" w:cs="Arial" w:eastAsia="Arial" w:hAnsi="Arial"/>
                <w:sz w:val="13"/>
                <w:szCs w:val="13"/>
                <w:color w:val="auto"/>
              </w:rPr>
              <w:t>December 31, 2024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December 31, 2023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w:t>
            </w:r>
          </w:p>
        </w:tc>
        <w:tc>
          <w:tcPr>
            <w:tcW w:w="2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Current assets</w:t>
            </w: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ind w:left="100"/>
              <w:spacing w:after="0" w:line="135" w:lineRule="exact"/>
              <w:rPr>
                <w:sz w:val="20"/>
                <w:szCs w:val="20"/>
                <w:color w:val="auto"/>
              </w:rPr>
            </w:pPr>
            <w:r>
              <w:rPr>
                <w:rFonts w:ascii="Arial" w:cs="Arial" w:eastAsia="Arial" w:hAnsi="Arial"/>
                <w:sz w:val="13"/>
                <w:szCs w:val="13"/>
                <w:color w:val="auto"/>
              </w:rPr>
              <w:t>Cash and cash equivalents</w:t>
            </w:r>
          </w:p>
        </w:tc>
        <w:tc>
          <w:tcPr>
            <w:tcW w:w="2460" w:type="dxa"/>
            <w:vAlign w:val="bottom"/>
            <w:gridSpan w:val="2"/>
          </w:tcPr>
          <w:p>
            <w:pPr>
              <w:jc w:val="right"/>
              <w:ind w:right="108"/>
              <w:spacing w:after="0" w:line="135" w:lineRule="exact"/>
              <w:rPr>
                <w:sz w:val="20"/>
                <w:szCs w:val="20"/>
                <w:color w:val="auto"/>
              </w:rPr>
            </w:pPr>
            <w:r>
              <w:rPr>
                <w:rFonts w:ascii="Arial" w:cs="Arial" w:eastAsia="Arial" w:hAnsi="Arial"/>
                <w:sz w:val="13"/>
                <w:szCs w:val="13"/>
                <w:color w:val="auto"/>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58,441</w:t>
            </w:r>
          </w:p>
        </w:tc>
        <w:tc>
          <w:tcPr>
            <w:tcW w:w="280" w:type="dxa"/>
            <w:vAlign w:val="bottom"/>
          </w:tcPr>
          <w:p>
            <w:pPr>
              <w:spacing w:after="0"/>
              <w:rPr>
                <w:sz w:val="11"/>
                <w:szCs w:val="11"/>
                <w:color w:val="auto"/>
              </w:rPr>
            </w:pPr>
          </w:p>
        </w:tc>
        <w:tc>
          <w:tcPr>
            <w:tcW w:w="220" w:type="dxa"/>
            <w:vAlign w:val="bottom"/>
            <w:gridSpan w:val="2"/>
          </w:tcPr>
          <w:p>
            <w:pPr>
              <w:jc w:val="right"/>
              <w:ind w:right="88"/>
              <w:spacing w:after="0" w:line="135" w:lineRule="exact"/>
              <w:rPr>
                <w:sz w:val="20"/>
                <w:szCs w:val="20"/>
                <w:color w:val="auto"/>
              </w:rPr>
            </w:pPr>
            <w:r>
              <w:rPr>
                <w:rFonts w:ascii="Arial" w:cs="Arial" w:eastAsia="Arial" w:hAnsi="Arial"/>
                <w:sz w:val="13"/>
                <w:szCs w:val="13"/>
                <w:color w:val="auto"/>
                <w:w w:val="82"/>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47,324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Short-term investments</w:t>
            </w: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130,851</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125,414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2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4,759</w:t>
            </w:r>
          </w:p>
        </w:tc>
        <w:tc>
          <w:tcPr>
            <w:tcW w:w="2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4,256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Total current assets</w:t>
            </w: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194,051</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176,994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and equipment, net</w:t>
            </w: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62,141</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71,705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Operating lease right-of-use assets</w:t>
            </w: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28,706</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20,376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Restricted cash</w:t>
            </w: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2,772</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Long-term investments</w:t>
            </w: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30,818</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89,096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Intangible assets</w:t>
            </w: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34,200</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Security deposits and non-current assets</w:t>
            </w:r>
          </w:p>
        </w:tc>
        <w:tc>
          <w:tcPr>
            <w:tcW w:w="2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528</w:t>
            </w:r>
          </w:p>
        </w:tc>
        <w:tc>
          <w:tcPr>
            <w:tcW w:w="2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assets</w:t>
            </w:r>
          </w:p>
        </w:tc>
        <w:tc>
          <w:tcPr>
            <w:tcW w:w="2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1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353,216</w:t>
            </w:r>
          </w:p>
        </w:tc>
        <w:tc>
          <w:tcPr>
            <w:tcW w:w="2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360,691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7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Current liabilities</w:t>
            </w: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ind w:left="100"/>
              <w:spacing w:after="0" w:line="135" w:lineRule="exact"/>
              <w:rPr>
                <w:sz w:val="20"/>
                <w:szCs w:val="20"/>
                <w:color w:val="auto"/>
              </w:rPr>
            </w:pPr>
            <w:r>
              <w:rPr>
                <w:rFonts w:ascii="Arial" w:cs="Arial" w:eastAsia="Arial" w:hAnsi="Arial"/>
                <w:sz w:val="13"/>
                <w:szCs w:val="13"/>
                <w:color w:val="auto"/>
              </w:rPr>
              <w:t>Accounts payable</w:t>
            </w:r>
          </w:p>
        </w:tc>
        <w:tc>
          <w:tcPr>
            <w:tcW w:w="2460" w:type="dxa"/>
            <w:vAlign w:val="bottom"/>
            <w:gridSpan w:val="2"/>
          </w:tcPr>
          <w:p>
            <w:pPr>
              <w:jc w:val="right"/>
              <w:ind w:right="108"/>
              <w:spacing w:after="0" w:line="135" w:lineRule="exact"/>
              <w:rPr>
                <w:sz w:val="20"/>
                <w:szCs w:val="20"/>
                <w:color w:val="auto"/>
              </w:rPr>
            </w:pPr>
            <w:r>
              <w:rPr>
                <w:rFonts w:ascii="Arial" w:cs="Arial" w:eastAsia="Arial" w:hAnsi="Arial"/>
                <w:sz w:val="13"/>
                <w:szCs w:val="13"/>
                <w:color w:val="auto"/>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3,075</w:t>
            </w:r>
          </w:p>
        </w:tc>
        <w:tc>
          <w:tcPr>
            <w:tcW w:w="280" w:type="dxa"/>
            <w:vAlign w:val="bottom"/>
          </w:tcPr>
          <w:p>
            <w:pPr>
              <w:spacing w:after="0"/>
              <w:rPr>
                <w:sz w:val="11"/>
                <w:szCs w:val="11"/>
                <w:color w:val="auto"/>
              </w:rPr>
            </w:pPr>
          </w:p>
        </w:tc>
        <w:tc>
          <w:tcPr>
            <w:tcW w:w="220" w:type="dxa"/>
            <w:vAlign w:val="bottom"/>
            <w:gridSpan w:val="2"/>
          </w:tcPr>
          <w:p>
            <w:pPr>
              <w:jc w:val="right"/>
              <w:ind w:right="88"/>
              <w:spacing w:after="0" w:line="135" w:lineRule="exact"/>
              <w:rPr>
                <w:sz w:val="20"/>
                <w:szCs w:val="20"/>
                <w:color w:val="auto"/>
              </w:rPr>
            </w:pPr>
            <w:r>
              <w:rPr>
                <w:rFonts w:ascii="Arial" w:cs="Arial" w:eastAsia="Arial" w:hAnsi="Arial"/>
                <w:sz w:val="13"/>
                <w:szCs w:val="13"/>
                <w:color w:val="auto"/>
                <w:w w:val="82"/>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2,741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Accrued expenses and other liabilities</w:t>
            </w: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17,461</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ind w:left="100"/>
              <w:spacing w:after="0" w:line="135" w:lineRule="exact"/>
              <w:rPr>
                <w:sz w:val="20"/>
                <w:szCs w:val="20"/>
                <w:color w:val="auto"/>
              </w:rPr>
            </w:pPr>
            <w:r>
              <w:rPr>
                <w:rFonts w:ascii="Arial" w:cs="Arial" w:eastAsia="Arial" w:hAnsi="Arial"/>
                <w:sz w:val="13"/>
                <w:szCs w:val="13"/>
                <w:color w:val="auto"/>
              </w:rPr>
              <w:t>Deposit liability</w:t>
            </w: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82</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584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Deferred revenue, current</w:t>
            </w:r>
          </w:p>
        </w:tc>
        <w:tc>
          <w:tcPr>
            <w:tcW w:w="22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109,164</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4,372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20" w:type="dxa"/>
            <w:vAlign w:val="bottom"/>
          </w:tcPr>
          <w:p>
            <w:pPr>
              <w:spacing w:after="0" w:line="129" w:lineRule="exact"/>
              <w:rPr>
                <w:sz w:val="20"/>
                <w:szCs w:val="20"/>
                <w:color w:val="auto"/>
              </w:rPr>
            </w:pPr>
            <w:r>
              <w:rPr>
                <w:rFonts w:ascii="Arial" w:cs="Arial" w:eastAsia="Arial" w:hAnsi="Arial"/>
                <w:sz w:val="13"/>
                <w:szCs w:val="13"/>
                <w:color w:val="auto"/>
              </w:rPr>
              <w:t>Total current liabilities</w:t>
            </w: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129,782</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17,846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Operating lease liability, long term</w:t>
            </w: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48,960</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46,658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Deposit liability, non-current</w:t>
            </w: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Deferred revenue, non-current</w:t>
            </w: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111,381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Contingent consideration liability</w:t>
            </w: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8,738</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Deferred tax liability</w:t>
            </w:r>
          </w:p>
        </w:tc>
        <w:tc>
          <w:tcPr>
            <w:tcW w:w="2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4,374</w:t>
            </w:r>
          </w:p>
        </w:tc>
        <w:tc>
          <w:tcPr>
            <w:tcW w:w="2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7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b w:val="1"/>
                <w:bCs w:val="1"/>
                <w:color w:val="auto"/>
              </w:rPr>
              <w:t>Total liabilities</w:t>
            </w:r>
          </w:p>
        </w:tc>
        <w:tc>
          <w:tcPr>
            <w:tcW w:w="2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191,854</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175,941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2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Commitments and contingencies (Note 10)</w:t>
            </w: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Stockholders' equity:</w:t>
            </w: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80" w:type="dxa"/>
            <w:vAlign w:val="bottom"/>
            <w:gridSpan w:val="3"/>
          </w:tcPr>
          <w:p>
            <w:pPr>
              <w:spacing w:after="0" w:line="117" w:lineRule="exact"/>
              <w:rPr>
                <w:sz w:val="20"/>
                <w:szCs w:val="20"/>
                <w:color w:val="auto"/>
              </w:rPr>
            </w:pPr>
            <w:r>
              <w:rPr>
                <w:rFonts w:ascii="Arial" w:cs="Arial" w:eastAsia="Arial" w:hAnsi="Arial"/>
                <w:sz w:val="13"/>
                <w:szCs w:val="13"/>
                <w:color w:val="auto"/>
              </w:rPr>
              <w:t>Preferred stock, $ 0.0001 par value, 10,000,000 shares authorized and 0 shares</w:t>
            </w:r>
          </w:p>
        </w:tc>
        <w:tc>
          <w:tcPr>
            <w:tcW w:w="1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200" w:type="dxa"/>
            <w:vAlign w:val="bottom"/>
            <w:gridSpan w:val="4"/>
          </w:tcPr>
          <w:p>
            <w:pPr>
              <w:spacing w:after="0" w:line="135" w:lineRule="exact"/>
              <w:rPr>
                <w:sz w:val="20"/>
                <w:szCs w:val="20"/>
                <w:color w:val="auto"/>
              </w:rPr>
            </w:pPr>
            <w:r>
              <w:rPr>
                <w:rFonts w:ascii="Arial" w:cs="Arial" w:eastAsia="Arial" w:hAnsi="Arial"/>
                <w:sz w:val="13"/>
                <w:szCs w:val="13"/>
                <w:color w:val="auto"/>
              </w:rPr>
              <w:t>issued and outstanding at December 31, 2024 and December 31, 2023,</w:t>
            </w: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40" w:type="dxa"/>
            <w:vAlign w:val="bottom"/>
            <w:gridSpan w:val="2"/>
          </w:tcPr>
          <w:p>
            <w:pPr>
              <w:spacing w:after="0"/>
              <w:rPr>
                <w:sz w:val="20"/>
                <w:szCs w:val="20"/>
                <w:color w:val="auto"/>
              </w:rPr>
            </w:pPr>
            <w:r>
              <w:rPr>
                <w:rFonts w:ascii="Arial" w:cs="Arial" w:eastAsia="Arial" w:hAnsi="Arial"/>
                <w:sz w:val="13"/>
                <w:szCs w:val="13"/>
                <w:color w:val="auto"/>
              </w:rPr>
              <w:t>respectively</w:t>
            </w: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7"/>
              </w:rPr>
              <w:t>Common stock, $0.0001 par value, 300,000,000</w:t>
            </w:r>
          </w:p>
        </w:tc>
        <w:tc>
          <w:tcPr>
            <w:tcW w:w="2460" w:type="dxa"/>
            <w:vAlign w:val="bottom"/>
            <w:gridSpan w:val="2"/>
            <w:shd w:val="clear" w:color="auto" w:fill="CCEEFF"/>
          </w:tcPr>
          <w:p>
            <w:pPr>
              <w:jc w:val="right"/>
              <w:ind w:right="688"/>
              <w:spacing w:after="0" w:line="117" w:lineRule="exact"/>
              <w:rPr>
                <w:sz w:val="20"/>
                <w:szCs w:val="20"/>
                <w:color w:val="auto"/>
              </w:rPr>
            </w:pPr>
            <w:r>
              <w:rPr>
                <w:rFonts w:ascii="Arial" w:cs="Arial" w:eastAsia="Arial" w:hAnsi="Arial"/>
                <w:sz w:val="13"/>
                <w:szCs w:val="13"/>
                <w:color w:val="auto"/>
                <w:w w:val="96"/>
              </w:rPr>
              <w:t>shares authorized; 85,836,429</w:t>
            </w:r>
          </w:p>
        </w:tc>
        <w:tc>
          <w:tcPr>
            <w:tcW w:w="1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and 60,335,701 shares issued and outstanding at December 31, 2024 and</w:t>
            </w: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3"/>
                <w:szCs w:val="13"/>
                <w:color w:val="auto"/>
              </w:rPr>
              <w:t>December 31, 2023, respectively</w:t>
            </w:r>
          </w:p>
        </w:tc>
        <w:tc>
          <w:tcPr>
            <w:tcW w:w="2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Additional paid-in capital</w:t>
            </w: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943,366</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840,407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Accumulated deficit</w:t>
            </w: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(782,337)</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(655,771)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Accumulated other comprehensive Income</w:t>
            </w:r>
          </w:p>
        </w:tc>
        <w:tc>
          <w:tcPr>
            <w:tcW w:w="2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324</w:t>
            </w:r>
          </w:p>
        </w:tc>
        <w:tc>
          <w:tcPr>
            <w:tcW w:w="2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161,362</w:t>
            </w: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184,750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20" w:type="dxa"/>
            <w:vAlign w:val="bottom"/>
          </w:tcPr>
          <w:p>
            <w:pPr>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2460" w:type="dxa"/>
            <w:vAlign w:val="bottom"/>
            <w:gridSpan w:val="2"/>
          </w:tcPr>
          <w:p>
            <w:pPr>
              <w:jc w:val="right"/>
              <w:ind w:right="108"/>
              <w:spacing w:after="0" w:line="129" w:lineRule="exact"/>
              <w:rPr>
                <w:sz w:val="20"/>
                <w:szCs w:val="20"/>
                <w:color w:val="auto"/>
              </w:rPr>
            </w:pPr>
            <w:r>
              <w:rPr>
                <w:rFonts w:ascii="Arial" w:cs="Arial" w:eastAsia="Arial" w:hAnsi="Arial"/>
                <w:sz w:val="13"/>
                <w:szCs w:val="13"/>
                <w:b w:val="1"/>
                <w:bCs w:val="1"/>
                <w:color w:val="auto"/>
              </w:rPr>
              <w:t>$</w:t>
            </w:r>
          </w:p>
        </w:tc>
        <w:tc>
          <w:tcPr>
            <w:tcW w:w="16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353,216</w:t>
            </w:r>
          </w:p>
        </w:tc>
        <w:tc>
          <w:tcPr>
            <w:tcW w:w="280" w:type="dxa"/>
            <w:vAlign w:val="bottom"/>
          </w:tcPr>
          <w:p>
            <w:pPr>
              <w:spacing w:after="0"/>
              <w:rPr>
                <w:sz w:val="11"/>
                <w:szCs w:val="11"/>
                <w:color w:val="auto"/>
              </w:rPr>
            </w:pPr>
          </w:p>
        </w:tc>
        <w:tc>
          <w:tcPr>
            <w:tcW w:w="220" w:type="dxa"/>
            <w:vAlign w:val="bottom"/>
            <w:gridSpan w:val="2"/>
          </w:tcPr>
          <w:p>
            <w:pPr>
              <w:jc w:val="right"/>
              <w:ind w:right="88"/>
              <w:spacing w:after="0" w:line="129" w:lineRule="exact"/>
              <w:rPr>
                <w:sz w:val="20"/>
                <w:szCs w:val="20"/>
                <w:color w:val="auto"/>
              </w:rPr>
            </w:pPr>
            <w:r>
              <w:rPr>
                <w:rFonts w:ascii="Arial" w:cs="Arial" w:eastAsia="Arial" w:hAnsi="Arial"/>
                <w:sz w:val="13"/>
                <w:szCs w:val="13"/>
                <w:b w:val="1"/>
                <w:bCs w:val="1"/>
                <w:color w:val="auto"/>
                <w:w w:val="82"/>
              </w:rPr>
              <w:t>$</w:t>
            </w:r>
          </w:p>
        </w:tc>
        <w:tc>
          <w:tcPr>
            <w:tcW w:w="16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360,691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3" w:name="page134"/>
    <w:bookmarkEnd w:id="1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0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For the Year Ended</w:t>
            </w:r>
          </w:p>
        </w:tc>
        <w:tc>
          <w:tcPr>
            <w:tcW w:w="3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 Year Ended</w:t>
            </w:r>
          </w:p>
        </w:tc>
        <w:tc>
          <w:tcPr>
            <w:tcW w:w="160" w:type="dxa"/>
            <w:vAlign w:val="bottom"/>
            <w:tcBorders>
              <w:right w:val="single" w:sz="8" w:color="auto"/>
            </w:tcBorders>
          </w:tcPr>
          <w:p>
            <w:pPr>
              <w:spacing w:after="0"/>
              <w:rPr>
                <w:sz w:val="14"/>
                <w:szCs w:val="14"/>
                <w:color w:val="auto"/>
              </w:rPr>
            </w:pPr>
          </w:p>
        </w:tc>
      </w:tr>
      <w:tr>
        <w:trPr>
          <w:trHeight w:val="171"/>
        </w:trPr>
        <w:tc>
          <w:tcPr>
            <w:tcW w:w="4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gridSpan w:val="2"/>
          </w:tcPr>
          <w:p>
            <w:pPr>
              <w:jc w:val="right"/>
              <w:ind w:right="260"/>
              <w:spacing w:after="0"/>
              <w:rPr>
                <w:sz w:val="20"/>
                <w:szCs w:val="20"/>
                <w:color w:val="auto"/>
              </w:rPr>
            </w:pPr>
            <w:r>
              <w:rPr>
                <w:rFonts w:ascii="Arial" w:cs="Arial" w:eastAsia="Arial" w:hAnsi="Arial"/>
                <w:sz w:val="14"/>
                <w:szCs w:val="14"/>
                <w:color w:val="auto"/>
              </w:rPr>
              <w:t>December 31, 2024</w:t>
            </w:r>
          </w:p>
        </w:tc>
        <w:tc>
          <w:tcPr>
            <w:tcW w:w="380" w:type="dxa"/>
            <w:vAlign w:val="bottom"/>
          </w:tcPr>
          <w:p>
            <w:pPr>
              <w:spacing w:after="0"/>
              <w:rPr>
                <w:sz w:val="14"/>
                <w:szCs w:val="14"/>
                <w:color w:val="auto"/>
              </w:rPr>
            </w:pPr>
          </w:p>
        </w:tc>
        <w:tc>
          <w:tcPr>
            <w:tcW w:w="17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December 31, 2023</w:t>
            </w:r>
          </w:p>
        </w:tc>
      </w:tr>
      <w:tr>
        <w:trPr>
          <w:trHeight w:val="155"/>
        </w:trPr>
        <w:tc>
          <w:tcPr>
            <w:tcW w:w="40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Collaboration revenue</w:t>
            </w:r>
          </w:p>
        </w:tc>
        <w:tc>
          <w:tcPr>
            <w:tcW w:w="6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6,589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2,235</w:t>
            </w:r>
          </w:p>
        </w:tc>
        <w:tc>
          <w:tcPr>
            <w:tcW w:w="160" w:type="dxa"/>
            <w:vAlign w:val="bottom"/>
            <w:tcBorders>
              <w:right w:val="single" w:sz="8" w:color="auto"/>
            </w:tcBorders>
            <w:shd w:val="clear" w:color="auto" w:fill="CCEEFF"/>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6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68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107,244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92,710</w:t>
            </w:r>
          </w:p>
        </w:tc>
        <w:tc>
          <w:tcPr>
            <w:tcW w:w="160" w:type="dxa"/>
            <w:vAlign w:val="bottom"/>
            <w:tcBorders>
              <w:right w:val="single" w:sz="8" w:color="auto"/>
            </w:tcBorders>
          </w:tcPr>
          <w:p>
            <w:pPr>
              <w:spacing w:after="0"/>
              <w:rPr>
                <w:sz w:val="17"/>
                <w:szCs w:val="17"/>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33,155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34,706</w:t>
            </w:r>
          </w:p>
        </w:tc>
        <w:tc>
          <w:tcPr>
            <w:tcW w:w="160" w:type="dxa"/>
            <w:vAlign w:val="bottom"/>
            <w:tcBorders>
              <w:right w:val="single" w:sz="8" w:color="auto"/>
            </w:tcBorders>
            <w:shd w:val="clear" w:color="auto" w:fill="CCEEFF"/>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In-process research and development</w:t>
            </w:r>
          </w:p>
        </w:tc>
        <w:tc>
          <w:tcPr>
            <w:tcW w:w="680" w:type="dxa"/>
            <w:vAlign w:val="bottom"/>
          </w:tcPr>
          <w:p>
            <w:pPr>
              <w:spacing w:after="0"/>
              <w:rPr>
                <w:sz w:val="17"/>
                <w:szCs w:val="17"/>
                <w:color w:val="auto"/>
              </w:rPr>
            </w:pPr>
          </w:p>
        </w:tc>
        <w:tc>
          <w:tcPr>
            <w:tcW w:w="2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160" w:type="dxa"/>
            <w:vAlign w:val="bottom"/>
            <w:tcBorders>
              <w:right w:val="single" w:sz="8" w:color="auto"/>
            </w:tcBorders>
          </w:tcPr>
          <w:p>
            <w:pPr>
              <w:spacing w:after="0"/>
              <w:rPr>
                <w:sz w:val="17"/>
                <w:szCs w:val="17"/>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long-lived assets</w:t>
            </w:r>
          </w:p>
        </w:tc>
        <w:tc>
          <w:tcPr>
            <w:tcW w:w="68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16,365</w:t>
            </w:r>
          </w:p>
        </w:tc>
        <w:tc>
          <w:tcPr>
            <w:tcW w:w="160" w:type="dxa"/>
            <w:vAlign w:val="bottom"/>
            <w:tcBorders>
              <w:right w:val="single" w:sz="8" w:color="auto"/>
            </w:tcBorders>
            <w:shd w:val="clear" w:color="auto" w:fill="CCEEFF"/>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Impairment of goodwill</w:t>
            </w:r>
          </w:p>
        </w:tc>
        <w:tc>
          <w:tcPr>
            <w:tcW w:w="68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4,327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Borders>
              <w:right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196"/>
        </w:trPr>
        <w:tc>
          <w:tcPr>
            <w:tcW w:w="400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1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144,726</w:t>
            </w: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148,781</w:t>
            </w: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r>
      <w:tr>
        <w:trPr>
          <w:trHeight w:val="196"/>
        </w:trPr>
        <w:tc>
          <w:tcPr>
            <w:tcW w:w="4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from operations</w:t>
            </w:r>
          </w:p>
        </w:tc>
        <w:tc>
          <w:tcPr>
            <w:tcW w:w="68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(138,137)</w:t>
            </w:r>
          </w:p>
        </w:tc>
        <w:tc>
          <w:tcPr>
            <w:tcW w:w="380" w:type="dxa"/>
            <w:vAlign w:val="bottom"/>
            <w:shd w:val="clear" w:color="auto" w:fill="CCEEFF"/>
          </w:tcPr>
          <w:p>
            <w:pPr>
              <w:spacing w:after="0"/>
              <w:rPr>
                <w:sz w:val="17"/>
                <w:szCs w:val="17"/>
                <w:color w:val="auto"/>
              </w:rPr>
            </w:pPr>
          </w:p>
        </w:tc>
        <w:tc>
          <w:tcPr>
            <w:tcW w:w="1760" w:type="dxa"/>
            <w:vAlign w:val="bottom"/>
            <w:tcBorders>
              <w:right w:val="single" w:sz="8" w:color="auto"/>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(146,546)</w:t>
            </w:r>
          </w:p>
        </w:tc>
      </w:tr>
      <w:tr>
        <w:trPr>
          <w:trHeight w:val="203"/>
        </w:trPr>
        <w:tc>
          <w:tcPr>
            <w:tcW w:w="4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60" w:type="dxa"/>
            <w:vAlign w:val="bottom"/>
            <w:tcBorders>
              <w:right w:val="single" w:sz="8" w:color="auto"/>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(540)</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13,007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12,677</w:t>
            </w:r>
          </w:p>
        </w:tc>
        <w:tc>
          <w:tcPr>
            <w:tcW w:w="160" w:type="dxa"/>
            <w:vAlign w:val="bottom"/>
            <w:tcBorders>
              <w:right w:val="single" w:sz="8" w:color="auto"/>
            </w:tcBorders>
          </w:tcPr>
          <w:p>
            <w:pPr>
              <w:spacing w:after="0"/>
              <w:rPr>
                <w:sz w:val="17"/>
                <w:szCs w:val="17"/>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60" w:type="dxa"/>
            <w:vAlign w:val="bottom"/>
            <w:tcBorders>
              <w:right w:val="single" w:sz="8" w:color="auto"/>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(383)</w:t>
            </w:r>
          </w:p>
        </w:tc>
      </w:tr>
      <w:tr>
        <w:trPr>
          <w:trHeight w:val="196"/>
        </w:trPr>
        <w:tc>
          <w:tcPr>
            <w:tcW w:w="400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Total other income</w:t>
            </w:r>
          </w:p>
        </w:tc>
        <w:tc>
          <w:tcPr>
            <w:tcW w:w="68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13,361</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11,754</w:t>
            </w:r>
          </w:p>
        </w:tc>
        <w:tc>
          <w:tcPr>
            <w:tcW w:w="160" w:type="dxa"/>
            <w:vAlign w:val="bottom"/>
            <w:tcBorders>
              <w:right w:val="single" w:sz="8" w:color="auto"/>
            </w:tcBorders>
          </w:tcPr>
          <w:p>
            <w:pPr>
              <w:spacing w:after="0"/>
              <w:rPr>
                <w:sz w:val="17"/>
                <w:szCs w:val="17"/>
                <w:color w:val="auto"/>
              </w:rPr>
            </w:pPr>
          </w:p>
        </w:tc>
      </w:tr>
      <w:tr>
        <w:trPr>
          <w:trHeight w:val="202"/>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before provision for income taxes</w:t>
            </w:r>
          </w:p>
        </w:tc>
        <w:tc>
          <w:tcPr>
            <w:tcW w:w="68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(124,776)</w:t>
            </w:r>
          </w:p>
        </w:tc>
        <w:tc>
          <w:tcPr>
            <w:tcW w:w="380" w:type="dxa"/>
            <w:vAlign w:val="bottom"/>
            <w:shd w:val="clear" w:color="auto" w:fill="CCEEFF"/>
          </w:tcPr>
          <w:p>
            <w:pPr>
              <w:spacing w:after="0"/>
              <w:rPr>
                <w:sz w:val="17"/>
                <w:szCs w:val="17"/>
                <w:color w:val="auto"/>
              </w:rPr>
            </w:pPr>
          </w:p>
        </w:tc>
        <w:tc>
          <w:tcPr>
            <w:tcW w:w="1760" w:type="dxa"/>
            <w:vAlign w:val="bottom"/>
            <w:tcBorders>
              <w:right w:val="single" w:sz="8" w:color="auto"/>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(134,792)</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680" w:type="dxa"/>
            <w:vAlign w:val="bottom"/>
          </w:tcPr>
          <w:p>
            <w:pPr>
              <w:spacing w:after="0"/>
              <w:rPr>
                <w:sz w:val="17"/>
                <w:szCs w:val="17"/>
                <w:color w:val="auto"/>
              </w:rPr>
            </w:pPr>
          </w:p>
        </w:tc>
        <w:tc>
          <w:tcPr>
            <w:tcW w:w="2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(1,790)</w:t>
            </w:r>
          </w:p>
        </w:tc>
        <w:tc>
          <w:tcPr>
            <w:tcW w:w="380" w:type="dxa"/>
            <w:vAlign w:val="bottom"/>
          </w:tcPr>
          <w:p>
            <w:pPr>
              <w:spacing w:after="0"/>
              <w:rPr>
                <w:sz w:val="17"/>
                <w:szCs w:val="17"/>
                <w:color w:val="auto"/>
              </w:rPr>
            </w:pPr>
          </w:p>
        </w:tc>
        <w:tc>
          <w:tcPr>
            <w:tcW w:w="1760" w:type="dxa"/>
            <w:vAlign w:val="bottom"/>
            <w:tcBorders>
              <w:right w:val="single" w:sz="8" w:color="auto"/>
            </w:tcBorders>
            <w:gridSpan w:val="2"/>
          </w:tcPr>
          <w:p>
            <w:pPr>
              <w:jc w:val="right"/>
              <w:ind w:right="160"/>
              <w:spacing w:after="0" w:line="202" w:lineRule="exact"/>
              <w:rPr>
                <w:sz w:val="20"/>
                <w:szCs w:val="20"/>
                <w:color w:val="auto"/>
              </w:rPr>
            </w:pPr>
            <w:r>
              <w:rPr>
                <w:rFonts w:ascii="Arial" w:cs="Arial" w:eastAsia="Arial" w:hAnsi="Arial"/>
                <w:sz w:val="18"/>
                <w:szCs w:val="18"/>
                <w:color w:val="auto"/>
              </w:rPr>
              <w:t>(1,881)</w:t>
            </w:r>
          </w:p>
        </w:tc>
      </w:tr>
      <w:tr>
        <w:trPr>
          <w:trHeight w:val="196"/>
        </w:trPr>
        <w:tc>
          <w:tcPr>
            <w:tcW w:w="4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680" w:type="dxa"/>
            <w:vAlign w:val="bottom"/>
            <w:tcBorders>
              <w:top w:val="single" w:sz="8" w:color="auto"/>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b w:val="1"/>
                <w:bCs w:val="1"/>
                <w:color w:val="auto"/>
                <w:w w:val="79"/>
              </w:rPr>
              <w:t>$</w:t>
            </w:r>
          </w:p>
        </w:tc>
        <w:tc>
          <w:tcPr>
            <w:tcW w:w="1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(126,566)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(136,673)</w:t>
            </w:r>
          </w:p>
        </w:tc>
        <w:tc>
          <w:tcPr>
            <w:tcW w:w="16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r>
      <w:tr>
        <w:trPr>
          <w:trHeight w:val="20"/>
        </w:trPr>
        <w:tc>
          <w:tcPr>
            <w:tcW w:w="4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183"/>
        </w:trPr>
        <w:tc>
          <w:tcPr>
            <w:tcW w:w="4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r>
      <w:tr>
        <w:trPr>
          <w:trHeight w:val="184"/>
        </w:trPr>
        <w:tc>
          <w:tcPr>
            <w:tcW w:w="40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loss per common share</w:t>
            </w:r>
          </w:p>
        </w:tc>
        <w:tc>
          <w:tcPr>
            <w:tcW w:w="6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r>
      <w:tr>
        <w:trPr>
          <w:trHeight w:val="221"/>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68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380" w:type="dxa"/>
            <w:vAlign w:val="bottom"/>
            <w:shd w:val="clear" w:color="auto" w:fill="CCEEFF"/>
          </w:tcPr>
          <w:p>
            <w:pPr>
              <w:spacing w:after="0"/>
              <w:rPr>
                <w:sz w:val="19"/>
                <w:szCs w:val="19"/>
                <w:color w:val="auto"/>
              </w:rPr>
            </w:pPr>
          </w:p>
        </w:tc>
        <w:tc>
          <w:tcPr>
            <w:tcW w:w="1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r>
      <w:tr>
        <w:trPr>
          <w:trHeight w:val="184"/>
        </w:trPr>
        <w:tc>
          <w:tcPr>
            <w:tcW w:w="4000" w:type="dxa"/>
            <w:vAlign w:val="bottom"/>
          </w:tcPr>
          <w:p>
            <w:pPr>
              <w:spacing w:after="0" w:line="183" w:lineRule="exact"/>
              <w:rPr>
                <w:sz w:val="20"/>
                <w:szCs w:val="20"/>
                <w:color w:val="auto"/>
              </w:rPr>
            </w:pPr>
            <w:r>
              <w:rPr>
                <w:rFonts w:ascii="Arial" w:cs="Arial" w:eastAsia="Arial" w:hAnsi="Arial"/>
                <w:sz w:val="18"/>
                <w:szCs w:val="18"/>
                <w:color w:val="auto"/>
              </w:rPr>
              <w:t>Weighted average common shares</w:t>
            </w:r>
          </w:p>
        </w:tc>
        <w:tc>
          <w:tcPr>
            <w:tcW w:w="6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outstanding</w:t>
            </w:r>
          </w:p>
        </w:tc>
        <w:tc>
          <w:tcPr>
            <w:tcW w:w="6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Basic and Diluted</w:t>
            </w:r>
          </w:p>
        </w:tc>
        <w:tc>
          <w:tcPr>
            <w:tcW w:w="6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78,648,958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59,314,389</w:t>
            </w:r>
          </w:p>
        </w:tc>
        <w:tc>
          <w:tcPr>
            <w:tcW w:w="160" w:type="dxa"/>
            <w:vAlign w:val="bottom"/>
            <w:tcBorders>
              <w:right w:val="single" w:sz="8" w:color="auto"/>
            </w:tcBorders>
          </w:tcPr>
          <w:p>
            <w:pPr>
              <w:spacing w:after="0"/>
              <w:rPr>
                <w:sz w:val="19"/>
                <w:szCs w:val="19"/>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6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r>
      <w:tr>
        <w:trPr>
          <w:trHeight w:val="203"/>
        </w:trPr>
        <w:tc>
          <w:tcPr>
            <w:tcW w:w="4000" w:type="dxa"/>
            <w:vAlign w:val="bottom"/>
          </w:tcPr>
          <w:p>
            <w:pPr>
              <w:ind w:left="100"/>
              <w:spacing w:after="0" w:line="202" w:lineRule="exact"/>
              <w:rPr>
                <w:sz w:val="20"/>
                <w:szCs w:val="20"/>
                <w:color w:val="auto"/>
              </w:rPr>
            </w:pPr>
            <w:r>
              <w:rPr>
                <w:rFonts w:ascii="Arial" w:cs="Arial" w:eastAsia="Arial" w:hAnsi="Arial"/>
                <w:sz w:val="18"/>
                <w:szCs w:val="18"/>
                <w:color w:val="auto"/>
              </w:rPr>
              <w:t>Net loss</w:t>
            </w:r>
          </w:p>
        </w:tc>
        <w:tc>
          <w:tcPr>
            <w:tcW w:w="680" w:type="dxa"/>
            <w:vAlign w:val="bottom"/>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2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(126,566)</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tcBorders>
              <w:right w:val="single" w:sz="8" w:color="auto"/>
            </w:tcBorders>
            <w:gridSpan w:val="2"/>
          </w:tcPr>
          <w:p>
            <w:pPr>
              <w:jc w:val="right"/>
              <w:ind w:right="160"/>
              <w:spacing w:after="0" w:line="202" w:lineRule="exact"/>
              <w:rPr>
                <w:sz w:val="20"/>
                <w:szCs w:val="20"/>
                <w:color w:val="auto"/>
              </w:rPr>
            </w:pPr>
            <w:r>
              <w:rPr>
                <w:rFonts w:ascii="Arial" w:cs="Arial" w:eastAsia="Arial" w:hAnsi="Arial"/>
                <w:sz w:val="18"/>
                <w:szCs w:val="18"/>
                <w:color w:val="auto"/>
              </w:rPr>
              <w:t>(136,673)</w:t>
            </w:r>
          </w:p>
        </w:tc>
      </w:tr>
      <w:tr>
        <w:trPr>
          <w:trHeight w:val="203"/>
        </w:trPr>
        <w:tc>
          <w:tcPr>
            <w:tcW w:w="40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Unrealized gain on investments</w:t>
            </w:r>
          </w:p>
        </w:tc>
        <w:tc>
          <w:tcPr>
            <w:tcW w:w="6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2,602</w:t>
            </w:r>
          </w:p>
        </w:tc>
        <w:tc>
          <w:tcPr>
            <w:tcW w:w="160" w:type="dxa"/>
            <w:vAlign w:val="bottom"/>
            <w:tcBorders>
              <w:right w:val="single" w:sz="8" w:color="auto"/>
            </w:tcBorders>
            <w:shd w:val="clear" w:color="auto" w:fill="CCEEFF"/>
          </w:tcPr>
          <w:p>
            <w:pPr>
              <w:spacing w:after="0"/>
              <w:rPr>
                <w:sz w:val="17"/>
                <w:szCs w:val="17"/>
                <w:color w:val="auto"/>
              </w:rPr>
            </w:pPr>
          </w:p>
        </w:tc>
      </w:tr>
      <w:tr>
        <w:trPr>
          <w:trHeight w:val="203"/>
        </w:trPr>
        <w:tc>
          <w:tcPr>
            <w:tcW w:w="400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translation (loss) gain</w:t>
            </w:r>
          </w:p>
        </w:tc>
        <w:tc>
          <w:tcPr>
            <w:tcW w:w="68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Borders>
              <w:right w:val="single" w:sz="8" w:color="auto"/>
            </w:tcBorders>
            <w:gridSpan w:val="2"/>
          </w:tcPr>
          <w:p>
            <w:pPr>
              <w:jc w:val="right"/>
              <w:ind w:right="160"/>
              <w:spacing w:after="0" w:line="202" w:lineRule="exact"/>
              <w:rPr>
                <w:sz w:val="20"/>
                <w:szCs w:val="20"/>
                <w:color w:val="auto"/>
              </w:rPr>
            </w:pPr>
            <w:r>
              <w:rPr>
                <w:rFonts w:ascii="Arial" w:cs="Arial" w:eastAsia="Arial" w:hAnsi="Arial"/>
                <w:sz w:val="18"/>
                <w:szCs w:val="18"/>
                <w:color w:val="auto"/>
              </w:rPr>
              <w:t>(32)</w:t>
            </w:r>
          </w:p>
        </w:tc>
      </w:tr>
      <w:tr>
        <w:trPr>
          <w:trHeight w:val="196"/>
        </w:trPr>
        <w:tc>
          <w:tcPr>
            <w:tcW w:w="4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loss</w:t>
            </w:r>
          </w:p>
        </w:tc>
        <w:tc>
          <w:tcPr>
            <w:tcW w:w="680" w:type="dxa"/>
            <w:vAlign w:val="bottom"/>
            <w:tcBorders>
              <w:top w:val="single" w:sz="8" w:color="auto"/>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(126,350)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(134,103)</w:t>
            </w:r>
          </w:p>
        </w:tc>
        <w:tc>
          <w:tcPr>
            <w:tcW w:w="16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r>
      <w:tr>
        <w:trPr>
          <w:trHeight w:val="20"/>
        </w:trPr>
        <w:tc>
          <w:tcPr>
            <w:tcW w:w="4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158750</wp:posOffset>
            </wp:positionV>
            <wp:extent cx="59836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25"/>
              <w:spacing w:after="0"/>
              <w:rPr>
                <w:sz w:val="20"/>
                <w:szCs w:val="20"/>
                <w:color w:val="auto"/>
              </w:rPr>
            </w:pPr>
            <w:r>
              <w:rPr>
                <w:rFonts w:ascii="Arial" w:cs="Arial" w:eastAsia="Arial" w:hAnsi="Arial"/>
                <w:sz w:val="14"/>
                <w:szCs w:val="14"/>
                <w:color w:val="auto"/>
              </w:rPr>
              <w:t>Total</w:t>
            </w: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8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124"/>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65"/>
              <w:spacing w:after="0"/>
              <w:rPr>
                <w:sz w:val="20"/>
                <w:szCs w:val="20"/>
                <w:color w:val="auto"/>
              </w:rPr>
            </w:pPr>
            <w:r>
              <w:rPr>
                <w:rFonts w:ascii="Arial" w:cs="Arial" w:eastAsia="Arial" w:hAnsi="Arial"/>
                <w:sz w:val="14"/>
                <w:szCs w:val="14"/>
                <w:color w:val="auto"/>
              </w:rPr>
              <w:t>Accumulated</w:t>
            </w:r>
          </w:p>
        </w:tc>
        <w:tc>
          <w:tcPr>
            <w:tcW w:w="1240" w:type="dxa"/>
            <w:vAlign w:val="bottom"/>
            <w:gridSpan w:val="4"/>
          </w:tcPr>
          <w:p>
            <w:pPr>
              <w:ind w:left="120"/>
              <w:spacing w:after="0"/>
              <w:rPr>
                <w:sz w:val="20"/>
                <w:szCs w:val="20"/>
                <w:color w:val="auto"/>
              </w:rPr>
            </w:pPr>
            <w:r>
              <w:rPr>
                <w:rFonts w:ascii="Arial" w:cs="Arial" w:eastAsia="Arial" w:hAnsi="Arial"/>
                <w:sz w:val="14"/>
                <w:szCs w:val="14"/>
                <w:color w:val="auto"/>
              </w:rPr>
              <w:t>Comprehensive</w:t>
            </w:r>
          </w:p>
        </w:tc>
        <w:tc>
          <w:tcPr>
            <w:tcW w:w="860" w:type="dxa"/>
            <w:vAlign w:val="bottom"/>
            <w:gridSpan w:val="3"/>
          </w:tcPr>
          <w:p>
            <w:pPr>
              <w:spacing w:after="0"/>
              <w:rPr>
                <w:sz w:val="20"/>
                <w:szCs w:val="20"/>
                <w:color w:val="auto"/>
              </w:rPr>
            </w:pPr>
            <w:r>
              <w:rPr>
                <w:rFonts w:ascii="Arial" w:cs="Arial" w:eastAsia="Arial" w:hAnsi="Arial"/>
                <w:sz w:val="14"/>
                <w:szCs w:val="14"/>
                <w:color w:val="auto"/>
                <w:w w:val="99"/>
              </w:rPr>
              <w:t>Stockholders’</w:t>
            </w:r>
          </w:p>
        </w:tc>
      </w:tr>
      <w:tr>
        <w:trPr>
          <w:trHeight w:val="156"/>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80" w:type="dxa"/>
            <w:vAlign w:val="bottom"/>
          </w:tcPr>
          <w:p>
            <w:pPr>
              <w:jc w:val="right"/>
              <w:ind w:right="5"/>
              <w:spacing w:after="0" w:line="155"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5"/>
              <w:spacing w:after="0" w:line="155" w:lineRule="exact"/>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24"/>
              <w:spacing w:after="0" w:line="155" w:lineRule="exact"/>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265"/>
              <w:spacing w:after="0" w:line="155" w:lineRule="exact"/>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55" w:lineRule="exact"/>
              <w:rPr>
                <w:sz w:val="20"/>
                <w:szCs w:val="20"/>
                <w:color w:val="auto"/>
              </w:rPr>
            </w:pPr>
            <w:r>
              <w:rPr>
                <w:rFonts w:ascii="Arial" w:cs="Arial" w:eastAsia="Arial" w:hAnsi="Arial"/>
                <w:sz w:val="14"/>
                <w:szCs w:val="14"/>
                <w:color w:val="auto"/>
              </w:rPr>
              <w:t>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85"/>
              <w:spacing w:after="0" w:line="155" w:lineRule="exact"/>
              <w:rPr>
                <w:sz w:val="20"/>
                <w:szCs w:val="20"/>
                <w:color w:val="auto"/>
              </w:rPr>
            </w:pPr>
            <w:r>
              <w:rPr>
                <w:rFonts w:ascii="Arial" w:cs="Arial" w:eastAsia="Arial" w:hAnsi="Arial"/>
                <w:sz w:val="14"/>
                <w:szCs w:val="14"/>
                <w:color w:val="auto"/>
              </w:rPr>
              <w:t>Equity</w:t>
            </w:r>
          </w:p>
        </w:tc>
      </w:tr>
      <w:tr>
        <w:trPr>
          <w:trHeight w:val="115"/>
        </w:trPr>
        <w:tc>
          <w:tcPr>
            <w:tcW w:w="20" w:type="dxa"/>
            <w:vAlign w:val="bottom"/>
          </w:tcPr>
          <w:p>
            <w:pPr>
              <w:spacing w:after="0"/>
              <w:rPr>
                <w:sz w:val="10"/>
                <w:szCs w:val="10"/>
                <w:color w:val="auto"/>
              </w:rPr>
            </w:pPr>
          </w:p>
        </w:tc>
        <w:tc>
          <w:tcPr>
            <w:tcW w:w="34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2022</w:t>
            </w:r>
          </w:p>
        </w:tc>
        <w:tc>
          <w:tcPr>
            <w:tcW w:w="8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58,473,660</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CEEFF"/>
          </w:tcPr>
          <w:p>
            <w:pPr>
              <w:jc w:val="right"/>
              <w:ind w:right="5"/>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824,292</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(519,098)</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(2,462)</w:t>
            </w: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shd w:val="clear" w:color="auto" w:fill="CCEEFF"/>
          </w:tcPr>
          <w:p>
            <w:pPr>
              <w:jc w:val="right"/>
              <w:ind w:right="5"/>
              <w:spacing w:after="0" w:line="115" w:lineRule="exact"/>
              <w:rPr>
                <w:sz w:val="20"/>
                <w:szCs w:val="20"/>
                <w:color w:val="auto"/>
              </w:rPr>
            </w:pPr>
            <w:r>
              <w:rPr>
                <w:rFonts w:ascii="Arial" w:cs="Arial" w:eastAsia="Arial" w:hAnsi="Arial"/>
                <w:sz w:val="11"/>
                <w:szCs w:val="11"/>
                <w:b w:val="1"/>
                <w:bCs w:val="1"/>
                <w:color w:val="auto"/>
              </w:rPr>
              <w:t>302,738</w:t>
            </w:r>
          </w:p>
        </w:tc>
      </w:tr>
      <w:tr>
        <w:trPr>
          <w:trHeight w:val="108"/>
        </w:trPr>
        <w:tc>
          <w:tcPr>
            <w:tcW w:w="20" w:type="dxa"/>
            <w:vAlign w:val="bottom"/>
          </w:tcPr>
          <w:p>
            <w:pPr>
              <w:spacing w:after="0"/>
              <w:rPr>
                <w:sz w:val="9"/>
                <w:szCs w:val="9"/>
                <w:color w:val="auto"/>
              </w:rPr>
            </w:pPr>
          </w:p>
        </w:tc>
        <w:tc>
          <w:tcPr>
            <w:tcW w:w="3460" w:type="dxa"/>
            <w:vAlign w:val="bottom"/>
          </w:tcPr>
          <w:p>
            <w:pPr>
              <w:spacing w:after="0" w:line="109" w:lineRule="exact"/>
              <w:rPr>
                <w:sz w:val="20"/>
                <w:szCs w:val="20"/>
                <w:color w:val="auto"/>
              </w:rPr>
            </w:pPr>
            <w:r>
              <w:rPr>
                <w:rFonts w:ascii="Arial" w:cs="Arial" w:eastAsia="Arial" w:hAnsi="Arial"/>
                <w:sz w:val="11"/>
                <w:szCs w:val="11"/>
                <w:color w:val="auto"/>
              </w:rPr>
              <w:t>Issuance of common stock upon the exercise of stock options and</w:t>
            </w: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5"/>
        </w:trPr>
        <w:tc>
          <w:tcPr>
            <w:tcW w:w="3480" w:type="dxa"/>
            <w:vAlign w:val="bottom"/>
            <w:gridSpan w:val="2"/>
          </w:tcPr>
          <w:p>
            <w:pPr>
              <w:spacing w:after="0"/>
              <w:rPr>
                <w:sz w:val="20"/>
                <w:szCs w:val="20"/>
                <w:color w:val="auto"/>
              </w:rPr>
            </w:pPr>
            <w:r>
              <w:rPr>
                <w:rFonts w:ascii="Arial" w:cs="Arial" w:eastAsia="Arial" w:hAnsi="Arial"/>
                <w:sz w:val="11"/>
                <w:szCs w:val="11"/>
                <w:color w:val="auto"/>
              </w:rPr>
              <w:t>2021 ESPP</w:t>
            </w:r>
          </w:p>
        </w:tc>
        <w:tc>
          <w:tcPr>
            <w:tcW w:w="880" w:type="dxa"/>
            <w:vAlign w:val="bottom"/>
          </w:tcPr>
          <w:p>
            <w:pPr>
              <w:jc w:val="right"/>
              <w:spacing w:after="0"/>
              <w:rPr>
                <w:sz w:val="20"/>
                <w:szCs w:val="20"/>
                <w:color w:val="auto"/>
              </w:rPr>
            </w:pPr>
            <w:r>
              <w:rPr>
                <w:rFonts w:ascii="Arial" w:cs="Arial" w:eastAsia="Arial" w:hAnsi="Arial"/>
                <w:sz w:val="11"/>
                <w:szCs w:val="11"/>
                <w:color w:val="auto"/>
              </w:rPr>
              <w:t>761,381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943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b w:val="1"/>
                <w:bCs w:val="1"/>
                <w:color w:val="auto"/>
              </w:rPr>
              <w:t>943</w:t>
            </w: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95,877</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b w:val="1"/>
                <w:bCs w:val="1"/>
                <w:color w:val="auto"/>
              </w:rPr>
              <w:t>—</w:t>
            </w:r>
          </w:p>
        </w:tc>
      </w:tr>
      <w:tr>
        <w:trPr>
          <w:trHeight w:val="122"/>
        </w:trPr>
        <w:tc>
          <w:tcPr>
            <w:tcW w:w="20" w:type="dxa"/>
            <w:vAlign w:val="bottom"/>
          </w:tcPr>
          <w:p>
            <w:pPr>
              <w:spacing w:after="0"/>
              <w:rPr>
                <w:sz w:val="10"/>
                <w:szCs w:val="10"/>
                <w:color w:val="auto"/>
              </w:rPr>
            </w:pPr>
          </w:p>
        </w:tc>
        <w:tc>
          <w:tcPr>
            <w:tcW w:w="346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351,521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943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5"/>
              <w:spacing w:after="0" w:line="122" w:lineRule="exact"/>
              <w:rPr>
                <w:sz w:val="20"/>
                <w:szCs w:val="20"/>
                <w:color w:val="auto"/>
              </w:rPr>
            </w:pPr>
            <w:r>
              <w:rPr>
                <w:rFonts w:ascii="Arial" w:cs="Arial" w:eastAsia="Arial" w:hAnsi="Arial"/>
                <w:sz w:val="11"/>
                <w:szCs w:val="11"/>
                <w:b w:val="1"/>
                <w:bCs w:val="1"/>
                <w:color w:val="auto"/>
              </w:rPr>
              <w:t>943</w:t>
            </w:r>
          </w:p>
        </w:tc>
      </w:tr>
      <w:tr>
        <w:trPr>
          <w:trHeight w:val="122"/>
        </w:trPr>
        <w:tc>
          <w:tcPr>
            <w:tcW w:w="20" w:type="dxa"/>
            <w:vAlign w:val="bottom"/>
          </w:tcPr>
          <w:p>
            <w:pPr>
              <w:spacing w:after="0"/>
              <w:rPr>
                <w:sz w:val="10"/>
                <w:szCs w:val="10"/>
                <w:color w:val="auto"/>
              </w:rPr>
            </w:pPr>
          </w:p>
        </w:tc>
        <w:tc>
          <w:tcPr>
            <w:tcW w:w="34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653,262</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(393)</w:t>
            </w:r>
          </w:p>
        </w:tc>
      </w:tr>
      <w:tr>
        <w:trPr>
          <w:trHeight w:val="122"/>
        </w:trPr>
        <w:tc>
          <w:tcPr>
            <w:tcW w:w="20" w:type="dxa"/>
            <w:vAlign w:val="bottom"/>
          </w:tcPr>
          <w:p>
            <w:pPr>
              <w:spacing w:after="0"/>
              <w:rPr>
                <w:sz w:val="10"/>
                <w:szCs w:val="10"/>
                <w:color w:val="auto"/>
              </w:rPr>
            </w:pPr>
          </w:p>
        </w:tc>
        <w:tc>
          <w:tcPr>
            <w:tcW w:w="3460" w:type="dxa"/>
            <w:vAlign w:val="bottom"/>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2,602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5"/>
              <w:spacing w:after="0" w:line="122" w:lineRule="exact"/>
              <w:rPr>
                <w:sz w:val="20"/>
                <w:szCs w:val="20"/>
                <w:color w:val="auto"/>
              </w:rPr>
            </w:pPr>
            <w:r>
              <w:rPr>
                <w:rFonts w:ascii="Arial" w:cs="Arial" w:eastAsia="Arial" w:hAnsi="Arial"/>
                <w:sz w:val="11"/>
                <w:szCs w:val="11"/>
                <w:b w:val="1"/>
                <w:bCs w:val="1"/>
                <w:color w:val="auto"/>
              </w:rPr>
              <w:t>2,602</w:t>
            </w:r>
          </w:p>
        </w:tc>
      </w:tr>
      <w:tr>
        <w:trPr>
          <w:trHeight w:val="122"/>
        </w:trPr>
        <w:tc>
          <w:tcPr>
            <w:tcW w:w="20" w:type="dxa"/>
            <w:vAlign w:val="bottom"/>
          </w:tcPr>
          <w:p>
            <w:pPr>
              <w:spacing w:after="0"/>
              <w:rPr>
                <w:sz w:val="10"/>
                <w:szCs w:val="10"/>
                <w:color w:val="auto"/>
              </w:rPr>
            </w:pPr>
          </w:p>
        </w:tc>
        <w:tc>
          <w:tcPr>
            <w:tcW w:w="34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(32)</w:t>
            </w:r>
          </w:p>
        </w:tc>
      </w:tr>
      <w:tr>
        <w:trPr>
          <w:trHeight w:val="121"/>
        </w:trPr>
        <w:tc>
          <w:tcPr>
            <w:tcW w:w="20" w:type="dxa"/>
            <w:vAlign w:val="bottom"/>
          </w:tcPr>
          <w:p>
            <w:pPr>
              <w:spacing w:after="0"/>
              <w:rPr>
                <w:sz w:val="10"/>
                <w:szCs w:val="10"/>
                <w:color w:val="auto"/>
              </w:rPr>
            </w:pPr>
          </w:p>
        </w:tc>
        <w:tc>
          <w:tcPr>
            <w:tcW w:w="346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14,622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5"/>
              <w:spacing w:after="0" w:line="122" w:lineRule="exact"/>
              <w:rPr>
                <w:sz w:val="20"/>
                <w:szCs w:val="20"/>
                <w:color w:val="auto"/>
              </w:rPr>
            </w:pPr>
            <w:r>
              <w:rPr>
                <w:rFonts w:ascii="Arial" w:cs="Arial" w:eastAsia="Arial" w:hAnsi="Arial"/>
                <w:sz w:val="11"/>
                <w:szCs w:val="11"/>
                <w:b w:val="1"/>
                <w:bCs w:val="1"/>
                <w:color w:val="auto"/>
              </w:rPr>
              <w:t>14,622</w:t>
            </w:r>
          </w:p>
        </w:tc>
      </w:tr>
      <w:tr>
        <w:trPr>
          <w:trHeight w:val="122"/>
        </w:trPr>
        <w:tc>
          <w:tcPr>
            <w:tcW w:w="20" w:type="dxa"/>
            <w:vAlign w:val="bottom"/>
          </w:tcPr>
          <w:p>
            <w:pPr>
              <w:spacing w:after="0"/>
              <w:rPr>
                <w:sz w:val="10"/>
                <w:szCs w:val="10"/>
                <w:color w:val="auto"/>
              </w:rPr>
            </w:pPr>
          </w:p>
        </w:tc>
        <w:tc>
          <w:tcPr>
            <w:tcW w:w="34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(136,673)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(136,673)</w:t>
            </w:r>
          </w:p>
        </w:tc>
      </w:tr>
      <w:tr>
        <w:trPr>
          <w:trHeight w:val="155"/>
        </w:trPr>
        <w:tc>
          <w:tcPr>
            <w:tcW w:w="20" w:type="dxa"/>
            <w:vAlign w:val="bottom"/>
          </w:tcPr>
          <w:p>
            <w:pPr>
              <w:spacing w:after="0"/>
              <w:rPr>
                <w:sz w:val="13"/>
                <w:szCs w:val="13"/>
                <w:color w:val="auto"/>
              </w:rPr>
            </w:pPr>
          </w:p>
        </w:tc>
        <w:tc>
          <w:tcPr>
            <w:tcW w:w="346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rPr>
              <w:t>Balance, December 31, 2023</w:t>
            </w:r>
          </w:p>
        </w:tc>
        <w:tc>
          <w:tcPr>
            <w:tcW w:w="8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60,335,701</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ind w:right="5"/>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840,407</w:t>
            </w: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(655,771)</w:t>
            </w: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108</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5"/>
              <w:spacing w:after="0" w:line="115" w:lineRule="exact"/>
              <w:rPr>
                <w:sz w:val="20"/>
                <w:szCs w:val="20"/>
                <w:color w:val="auto"/>
              </w:rPr>
            </w:pPr>
            <w:r>
              <w:rPr>
                <w:rFonts w:ascii="Arial" w:cs="Arial" w:eastAsia="Arial" w:hAnsi="Arial"/>
                <w:sz w:val="11"/>
                <w:szCs w:val="11"/>
                <w:b w:val="1"/>
                <w:bCs w:val="1"/>
                <w:color w:val="auto"/>
              </w:rPr>
              <w:t>184,750</w:t>
            </w:r>
          </w:p>
        </w:tc>
      </w:tr>
      <w:tr>
        <w:trPr>
          <w:trHeight w:val="62"/>
        </w:trPr>
        <w:tc>
          <w:tcPr>
            <w:tcW w:w="20" w:type="dxa"/>
            <w:vAlign w:val="bottom"/>
          </w:tcPr>
          <w:p>
            <w:pPr>
              <w:spacing w:after="0"/>
              <w:rPr>
                <w:sz w:val="5"/>
                <w:szCs w:val="5"/>
                <w:color w:val="auto"/>
              </w:rPr>
            </w:pPr>
          </w:p>
        </w:tc>
        <w:tc>
          <w:tcPr>
            <w:tcW w:w="3460" w:type="dxa"/>
            <w:vAlign w:val="bottom"/>
            <w:shd w:val="clear" w:color="auto" w:fill="CCEEFF"/>
          </w:tcPr>
          <w:p>
            <w:pPr>
              <w:spacing w:after="0" w:line="62" w:lineRule="exact"/>
              <w:rPr>
                <w:sz w:val="20"/>
                <w:szCs w:val="20"/>
                <w:color w:val="auto"/>
              </w:rPr>
            </w:pPr>
            <w:r>
              <w:rPr>
                <w:rFonts w:ascii="Arial" w:cs="Arial" w:eastAsia="Arial" w:hAnsi="Arial"/>
                <w:sz w:val="6"/>
                <w:szCs w:val="6"/>
                <w:color w:val="auto"/>
              </w:rPr>
              <w:t>Issuance of common stock upon the exercise of stock options and</w:t>
            </w: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1"/>
                <w:szCs w:val="11"/>
                <w:color w:val="auto"/>
              </w:rPr>
              <w:t>2021 ESPP</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635,471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773</w:t>
            </w:r>
          </w:p>
        </w:tc>
      </w:tr>
      <w:tr>
        <w:trPr>
          <w:trHeight w:val="122"/>
        </w:trPr>
        <w:tc>
          <w:tcPr>
            <w:tcW w:w="20" w:type="dxa"/>
            <w:vAlign w:val="bottom"/>
          </w:tcPr>
          <w:p>
            <w:pPr>
              <w:spacing w:after="0"/>
              <w:rPr>
                <w:sz w:val="10"/>
                <w:szCs w:val="10"/>
                <w:color w:val="auto"/>
              </w:rPr>
            </w:pPr>
          </w:p>
        </w:tc>
        <w:tc>
          <w:tcPr>
            <w:tcW w:w="3460" w:type="dxa"/>
            <w:vAlign w:val="bottom"/>
          </w:tcPr>
          <w:p>
            <w:pPr>
              <w:spacing w:after="0" w:line="122" w:lineRule="exact"/>
              <w:rPr>
                <w:sz w:val="20"/>
                <w:szCs w:val="20"/>
                <w:color w:val="auto"/>
              </w:rPr>
            </w:pPr>
            <w:r>
              <w:rPr>
                <w:rFonts w:ascii="Arial" w:cs="Arial" w:eastAsia="Arial" w:hAnsi="Arial"/>
                <w:sz w:val="11"/>
                <w:szCs w:val="11"/>
                <w:color w:val="auto"/>
              </w:rPr>
              <w:t>Vesting of restricted stock</w:t>
            </w: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24,734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5"/>
              <w:spacing w:after="0" w:line="122" w:lineRule="exact"/>
              <w:rPr>
                <w:sz w:val="20"/>
                <w:szCs w:val="20"/>
                <w:color w:val="auto"/>
              </w:rPr>
            </w:pPr>
            <w:r>
              <w:rPr>
                <w:rFonts w:ascii="Arial" w:cs="Arial" w:eastAsia="Arial" w:hAnsi="Arial"/>
                <w:sz w:val="11"/>
                <w:szCs w:val="11"/>
                <w:b w:val="1"/>
                <w:bCs w:val="1"/>
                <w:color w:val="auto"/>
              </w:rPr>
              <w:t>—</w:t>
            </w: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107,959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b w:val="1"/>
                <w:bCs w:val="1"/>
                <w:color w:val="auto"/>
              </w:rPr>
              <w:t>558</w:t>
            </w:r>
          </w:p>
        </w:tc>
      </w:tr>
      <w:tr>
        <w:trPr>
          <w:trHeight w:val="122"/>
        </w:trPr>
        <w:tc>
          <w:tcPr>
            <w:tcW w:w="20" w:type="dxa"/>
            <w:vAlign w:val="bottom"/>
          </w:tcPr>
          <w:p>
            <w:pPr>
              <w:spacing w:after="0"/>
              <w:rPr>
                <w:sz w:val="10"/>
                <w:szCs w:val="10"/>
                <w:color w:val="auto"/>
              </w:rPr>
            </w:pPr>
          </w:p>
        </w:tc>
        <w:tc>
          <w:tcPr>
            <w:tcW w:w="3460" w:type="dxa"/>
            <w:vAlign w:val="bottom"/>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1,033,315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(635)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(635)</w:t>
            </w:r>
          </w:p>
        </w:tc>
      </w:tr>
      <w:tr>
        <w:trPr>
          <w:trHeight w:val="108"/>
        </w:trPr>
        <w:tc>
          <w:tcPr>
            <w:tcW w:w="20" w:type="dxa"/>
            <w:vAlign w:val="bottom"/>
          </w:tcPr>
          <w:p>
            <w:pPr>
              <w:spacing w:after="0"/>
              <w:rPr>
                <w:sz w:val="9"/>
                <w:szCs w:val="9"/>
                <w:color w:val="auto"/>
              </w:rPr>
            </w:pPr>
          </w:p>
        </w:tc>
        <w:tc>
          <w:tcPr>
            <w:tcW w:w="346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 common stock in connection with the acquisition of Clade</w:t>
            </w: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1"/>
                <w:szCs w:val="11"/>
                <w:color w:val="auto"/>
              </w:rPr>
              <w:t>(Note 3)</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3,741,646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15,154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15,154</w:t>
            </w:r>
          </w:p>
        </w:tc>
      </w:tr>
      <w:tr>
        <w:trPr>
          <w:trHeight w:val="108"/>
        </w:trPr>
        <w:tc>
          <w:tcPr>
            <w:tcW w:w="20" w:type="dxa"/>
            <w:vAlign w:val="bottom"/>
          </w:tcPr>
          <w:p>
            <w:pPr>
              <w:spacing w:after="0"/>
              <w:rPr>
                <w:sz w:val="9"/>
                <w:szCs w:val="9"/>
                <w:color w:val="auto"/>
              </w:rPr>
            </w:pPr>
          </w:p>
        </w:tc>
        <w:tc>
          <w:tcPr>
            <w:tcW w:w="3460" w:type="dxa"/>
            <w:vAlign w:val="bottom"/>
          </w:tcPr>
          <w:p>
            <w:pPr>
              <w:spacing w:after="0" w:line="109" w:lineRule="exact"/>
              <w:rPr>
                <w:sz w:val="20"/>
                <w:szCs w:val="20"/>
                <w:color w:val="auto"/>
              </w:rPr>
            </w:pPr>
            <w:r>
              <w:rPr>
                <w:rFonts w:ascii="Arial" w:cs="Arial" w:eastAsia="Arial" w:hAnsi="Arial"/>
                <w:sz w:val="11"/>
                <w:szCs w:val="11"/>
                <w:color w:val="auto"/>
              </w:rPr>
              <w:t>Issuance of common stock via ATM, net of underwriting discounts and</w:t>
            </w: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5"/>
        </w:trPr>
        <w:tc>
          <w:tcPr>
            <w:tcW w:w="3480" w:type="dxa"/>
            <w:vAlign w:val="bottom"/>
            <w:gridSpan w:val="2"/>
          </w:tcPr>
          <w:p>
            <w:pPr>
              <w:spacing w:after="0"/>
              <w:rPr>
                <w:sz w:val="20"/>
                <w:szCs w:val="20"/>
                <w:color w:val="auto"/>
              </w:rPr>
            </w:pPr>
            <w:r>
              <w:rPr>
                <w:rFonts w:ascii="Arial" w:cs="Arial" w:eastAsia="Arial" w:hAnsi="Arial"/>
                <w:sz w:val="11"/>
                <w:szCs w:val="11"/>
                <w:color w:val="auto"/>
              </w:rPr>
              <w:t>commissions and other issuance costs</w:t>
            </w:r>
          </w:p>
        </w:tc>
        <w:tc>
          <w:tcPr>
            <w:tcW w:w="880" w:type="dxa"/>
            <w:vAlign w:val="bottom"/>
          </w:tcPr>
          <w:p>
            <w:pPr>
              <w:jc w:val="right"/>
              <w:spacing w:after="0"/>
              <w:rPr>
                <w:sz w:val="20"/>
                <w:szCs w:val="20"/>
                <w:color w:val="auto"/>
              </w:rPr>
            </w:pPr>
            <w:r>
              <w:rPr>
                <w:rFonts w:ascii="Arial" w:cs="Arial" w:eastAsia="Arial" w:hAnsi="Arial"/>
                <w:sz w:val="11"/>
                <w:szCs w:val="11"/>
                <w:color w:val="auto"/>
              </w:rPr>
              <w:t>4,084,502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17,829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b w:val="1"/>
                <w:bCs w:val="1"/>
                <w:color w:val="auto"/>
              </w:rPr>
              <w:t>17,829</w:t>
            </w:r>
          </w:p>
        </w:tc>
      </w:tr>
      <w:tr>
        <w:trPr>
          <w:trHeight w:val="108"/>
        </w:trPr>
        <w:tc>
          <w:tcPr>
            <w:tcW w:w="20" w:type="dxa"/>
            <w:vAlign w:val="bottom"/>
          </w:tcPr>
          <w:p>
            <w:pPr>
              <w:spacing w:after="0"/>
              <w:rPr>
                <w:sz w:val="9"/>
                <w:szCs w:val="9"/>
                <w:color w:val="auto"/>
              </w:rPr>
            </w:pPr>
          </w:p>
        </w:tc>
        <w:tc>
          <w:tcPr>
            <w:tcW w:w="346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 common stock via PIPE, net of underwriting discounts</w:t>
            </w: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1"/>
                <w:szCs w:val="11"/>
                <w:color w:val="auto"/>
              </w:rPr>
              <w:t>and commissions and other issuance costs</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15,873,101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56,593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56,595</w:t>
            </w:r>
          </w:p>
        </w:tc>
      </w:tr>
      <w:tr>
        <w:trPr>
          <w:trHeight w:val="122"/>
        </w:trPr>
        <w:tc>
          <w:tcPr>
            <w:tcW w:w="20" w:type="dxa"/>
            <w:vAlign w:val="bottom"/>
          </w:tcPr>
          <w:p>
            <w:pPr>
              <w:spacing w:after="0"/>
              <w:rPr>
                <w:sz w:val="10"/>
                <w:szCs w:val="10"/>
                <w:color w:val="auto"/>
              </w:rPr>
            </w:pPr>
          </w:p>
        </w:tc>
        <w:tc>
          <w:tcPr>
            <w:tcW w:w="3460" w:type="dxa"/>
            <w:vAlign w:val="bottom"/>
          </w:tcPr>
          <w:p>
            <w:pPr>
              <w:spacing w:after="0" w:line="122" w:lineRule="exact"/>
              <w:rPr>
                <w:sz w:val="20"/>
                <w:szCs w:val="20"/>
                <w:color w:val="auto"/>
              </w:rPr>
            </w:pPr>
            <w:r>
              <w:rPr>
                <w:rFonts w:ascii="Arial" w:cs="Arial" w:eastAsia="Arial" w:hAnsi="Arial"/>
                <w:sz w:val="11"/>
                <w:szCs w:val="11"/>
                <w:color w:val="auto"/>
              </w:rPr>
              <w:t>Unrealized gain on investments</w:t>
            </w: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153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5"/>
              <w:spacing w:after="0" w:line="122" w:lineRule="exact"/>
              <w:rPr>
                <w:sz w:val="20"/>
                <w:szCs w:val="20"/>
                <w:color w:val="auto"/>
              </w:rPr>
            </w:pPr>
            <w:r>
              <w:rPr>
                <w:rFonts w:ascii="Arial" w:cs="Arial" w:eastAsia="Arial" w:hAnsi="Arial"/>
                <w:sz w:val="11"/>
                <w:szCs w:val="11"/>
                <w:b w:val="1"/>
                <w:bCs w:val="1"/>
                <w:color w:val="auto"/>
              </w:rPr>
              <w:t>153</w:t>
            </w: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b w:val="1"/>
                <w:bCs w:val="1"/>
                <w:color w:val="auto"/>
              </w:rPr>
              <w:t>63</w:t>
            </w:r>
          </w:p>
        </w:tc>
      </w:tr>
      <w:tr>
        <w:trPr>
          <w:trHeight w:val="122"/>
        </w:trPr>
        <w:tc>
          <w:tcPr>
            <w:tcW w:w="20" w:type="dxa"/>
            <w:vAlign w:val="bottom"/>
          </w:tcPr>
          <w:p>
            <w:pPr>
              <w:spacing w:after="0"/>
              <w:rPr>
                <w:sz w:val="10"/>
                <w:szCs w:val="10"/>
                <w:color w:val="auto"/>
              </w:rPr>
            </w:pPr>
          </w:p>
        </w:tc>
        <w:tc>
          <w:tcPr>
            <w:tcW w:w="346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12,688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5"/>
              <w:spacing w:after="0" w:line="122" w:lineRule="exact"/>
              <w:rPr>
                <w:sz w:val="20"/>
                <w:szCs w:val="20"/>
                <w:color w:val="auto"/>
              </w:rPr>
            </w:pPr>
            <w:r>
              <w:rPr>
                <w:rFonts w:ascii="Arial" w:cs="Arial" w:eastAsia="Arial" w:hAnsi="Arial"/>
                <w:sz w:val="11"/>
                <w:szCs w:val="11"/>
                <w:b w:val="1"/>
                <w:bCs w:val="1"/>
                <w:color w:val="auto"/>
              </w:rPr>
              <w:t>12,688</w:t>
            </w: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(126,566)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(126,566)</w:t>
            </w:r>
          </w:p>
        </w:tc>
      </w:tr>
      <w:tr>
        <w:trPr>
          <w:trHeight w:val="115"/>
        </w:trPr>
        <w:tc>
          <w:tcPr>
            <w:tcW w:w="20" w:type="dxa"/>
            <w:vAlign w:val="bottom"/>
          </w:tcPr>
          <w:p>
            <w:pPr>
              <w:spacing w:after="0"/>
              <w:rPr>
                <w:sz w:val="10"/>
                <w:szCs w:val="10"/>
                <w:color w:val="auto"/>
              </w:rPr>
            </w:pPr>
          </w:p>
        </w:tc>
        <w:tc>
          <w:tcPr>
            <w:tcW w:w="3460" w:type="dxa"/>
            <w:vAlign w:val="bottom"/>
          </w:tcPr>
          <w:p>
            <w:pPr>
              <w:spacing w:after="0" w:line="115" w:lineRule="exact"/>
              <w:rPr>
                <w:sz w:val="20"/>
                <w:szCs w:val="20"/>
                <w:color w:val="auto"/>
              </w:rPr>
            </w:pPr>
            <w:r>
              <w:rPr>
                <w:rFonts w:ascii="Arial" w:cs="Arial" w:eastAsia="Arial" w:hAnsi="Arial"/>
                <w:sz w:val="11"/>
                <w:szCs w:val="11"/>
                <w:b w:val="1"/>
                <w:bCs w:val="1"/>
                <w:color w:val="auto"/>
              </w:rPr>
              <w:t>Balance, December 31, 2024</w:t>
            </w:r>
          </w:p>
        </w:tc>
        <w:tc>
          <w:tcPr>
            <w:tcW w:w="8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85,836,429</w:t>
            </w:r>
          </w:p>
        </w:tc>
        <w:tc>
          <w:tcPr>
            <w:tcW w:w="12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ind w:right="5"/>
              <w:spacing w:after="0" w:line="115" w:lineRule="exact"/>
              <w:rPr>
                <w:sz w:val="20"/>
                <w:szCs w:val="20"/>
                <w:color w:val="auto"/>
              </w:rPr>
            </w:pPr>
            <w:r>
              <w:rPr>
                <w:rFonts w:ascii="Arial" w:cs="Arial" w:eastAsia="Arial" w:hAnsi="Arial"/>
                <w:sz w:val="11"/>
                <w:szCs w:val="11"/>
                <w:b w:val="1"/>
                <w:bCs w:val="1"/>
                <w:color w:val="auto"/>
              </w:rPr>
              <w:t>9</w:t>
            </w: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943,366</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(782,337)</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324</w:t>
            </w: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5"/>
              <w:spacing w:after="0" w:line="115" w:lineRule="exact"/>
              <w:rPr>
                <w:sz w:val="20"/>
                <w:szCs w:val="20"/>
                <w:color w:val="auto"/>
              </w:rPr>
            </w:pPr>
            <w:r>
              <w:rPr>
                <w:rFonts w:ascii="Arial" w:cs="Arial" w:eastAsia="Arial" w:hAnsi="Arial"/>
                <w:sz w:val="11"/>
                <w:szCs w:val="11"/>
                <w:b w:val="1"/>
                <w:bCs w:val="1"/>
                <w:color w:val="auto"/>
              </w:rPr>
              <w:t>161,362</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598360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2" w:right="1239" w:bottom="1440" w:gutter="0" w:footer="0" w:header="0"/>
        </w:sectPr>
      </w:pPr>
    </w:p>
    <w:bookmarkStart w:id="135" w:name="page136"/>
    <w:bookmarkEnd w:id="1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25"/>
          <w:szCs w:val="25"/>
          <w:b w:val="1"/>
          <w:bCs w:val="1"/>
          <w:color w:val="auto"/>
        </w:rPr>
        <w:t>(In thousands)</w:t>
      </w:r>
    </w:p>
    <w:p>
      <w:pPr>
        <w:spacing w:after="0" w:line="1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color w:val="auto"/>
              </w:rPr>
              <w:t>Year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52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color w:val="auto"/>
              </w:rPr>
              <w:t>December 31, 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540"/>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143"/>
        </w:trPr>
        <w:tc>
          <w:tcPr>
            <w:tcW w:w="48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Arial" w:cs="Arial" w:eastAsia="Arial" w:hAnsi="Arial"/>
                <w:sz w:val="14"/>
                <w:szCs w:val="14"/>
                <w:color w:val="auto"/>
              </w:rPr>
              <w:t>Net loss</w:t>
            </w:r>
          </w:p>
        </w:tc>
        <w:tc>
          <w:tcPr>
            <w:tcW w:w="3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(126,566)</w:t>
            </w:r>
          </w:p>
        </w:tc>
        <w:tc>
          <w:tcPr>
            <w:tcW w:w="2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(136,673)</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Adjustments to reconcile net loss to net cash used in operating</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activities: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13,304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13,044</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deferred financing cost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00"/>
              <w:spacing w:after="0"/>
              <w:rPr>
                <w:sz w:val="20"/>
                <w:szCs w:val="20"/>
                <w:color w:val="auto"/>
              </w:rPr>
            </w:pPr>
            <w:r>
              <w:rPr>
                <w:rFonts w:ascii="Arial" w:cs="Arial" w:eastAsia="Arial" w:hAnsi="Arial"/>
                <w:sz w:val="14"/>
                <w:szCs w:val="14"/>
                <w:color w:val="auto"/>
              </w:rPr>
              <w:t>Non-cash operating lease (benefit)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(1,196)</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based compensation</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12,688</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14,622</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00"/>
              <w:spacing w:after="0"/>
              <w:rPr>
                <w:sz w:val="20"/>
                <w:szCs w:val="20"/>
                <w:color w:val="auto"/>
              </w:rPr>
            </w:pPr>
            <w:r>
              <w:rPr>
                <w:rFonts w:ascii="Arial" w:cs="Arial" w:eastAsia="Arial" w:hAnsi="Arial"/>
                <w:sz w:val="14"/>
                <w:szCs w:val="14"/>
                <w:color w:val="auto"/>
              </w:rPr>
              <w:t>Impairment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4,327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16,365</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investments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(4,812)</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00"/>
              <w:spacing w:after="0"/>
              <w:rPr>
                <w:sz w:val="20"/>
                <w:szCs w:val="20"/>
                <w:color w:val="auto"/>
              </w:rPr>
            </w:pPr>
            <w:r>
              <w:rPr>
                <w:rFonts w:ascii="Arial" w:cs="Arial" w:eastAsia="Arial" w:hAnsi="Arial"/>
                <w:sz w:val="14"/>
                <w:szCs w:val="14"/>
                <w:color w:val="auto"/>
              </w:rPr>
              <w:t>Change in fair value of contingent liabilities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(1,356)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Decrease in lease liability due to lease termination</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00"/>
              <w:spacing w:after="0"/>
              <w:rPr>
                <w:sz w:val="20"/>
                <w:szCs w:val="20"/>
                <w:color w:val="auto"/>
              </w:rPr>
            </w:pPr>
            <w:r>
              <w:rPr>
                <w:rFonts w:ascii="Arial" w:cs="Arial" w:eastAsia="Arial" w:hAnsi="Arial"/>
                <w:sz w:val="14"/>
                <w:szCs w:val="14"/>
                <w:color w:val="auto"/>
              </w:rPr>
              <w:t>Change in deferred tax liability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870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Change in operating assets and liabilities: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00"/>
              <w:spacing w:after="0"/>
              <w:rPr>
                <w:sz w:val="20"/>
                <w:szCs w:val="20"/>
                <w:color w:val="auto"/>
              </w:rPr>
            </w:pPr>
            <w:r>
              <w:rPr>
                <w:rFonts w:ascii="Arial" w:cs="Arial" w:eastAsia="Arial" w:hAnsi="Arial"/>
                <w:sz w:val="14"/>
                <w:szCs w:val="14"/>
                <w:color w:val="auto"/>
              </w:rPr>
              <w:t>Escrow deposit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220</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00"/>
              <w:spacing w:after="0"/>
              <w:rPr>
                <w:sz w:val="20"/>
                <w:szCs w:val="20"/>
                <w:color w:val="auto"/>
              </w:rPr>
            </w:pPr>
            <w:r>
              <w:rPr>
                <w:rFonts w:ascii="Arial" w:cs="Arial" w:eastAsia="Arial" w:hAnsi="Arial"/>
                <w:sz w:val="14"/>
                <w:szCs w:val="14"/>
                <w:color w:val="auto"/>
              </w:rPr>
              <w:t>Operating lease liability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(3,365)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13,819</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revenue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(6,589)</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(1,469)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(2,361)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Borders>
              <w:bottom w:val="single" w:sz="8" w:color="CCEEFF"/>
            </w:tcBorders>
          </w:tcPr>
          <w:p>
            <w:pPr>
              <w:ind w:left="300"/>
              <w:spacing w:after="0" w:line="155" w:lineRule="exact"/>
              <w:rPr>
                <w:sz w:val="20"/>
                <w:szCs w:val="20"/>
                <w:color w:val="auto"/>
              </w:rPr>
            </w:pPr>
            <w:r>
              <w:rPr>
                <w:rFonts w:ascii="Arial" w:cs="Arial" w:eastAsia="Arial" w:hAnsi="Arial"/>
                <w:sz w:val="14"/>
                <w:szCs w:val="14"/>
                <w:b w:val="1"/>
                <w:bCs w:val="1"/>
                <w:color w:val="auto"/>
              </w:rPr>
              <w:t>Net cash used in operating activities</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(110,135)</w:t>
            </w: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(88,348)</w:t>
            </w:r>
          </w:p>
        </w:tc>
        <w:tc>
          <w:tcPr>
            <w:tcW w:w="4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4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Acquisition of property and equipment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(13,736)</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Arial" w:cs="Arial" w:eastAsia="Arial" w:hAnsi="Arial"/>
                <w:sz w:val="14"/>
                <w:szCs w:val="14"/>
                <w:color w:val="auto"/>
              </w:rPr>
              <w:t>Acquisition of fixed maturity securities, available for sale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(119,548)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(209,034)</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Sale of fixed maturity securities, available for sale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176,792</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283,902</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Arial" w:cs="Arial" w:eastAsia="Arial" w:hAnsi="Arial"/>
                <w:sz w:val="14"/>
                <w:szCs w:val="14"/>
                <w:color w:val="auto"/>
              </w:rPr>
              <w:t>Acquisition of Clade Therapeutics, Inc., net of cash acquired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(9,608)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cash provided by investing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47,482</w:t>
            </w: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61,132</w:t>
            </w:r>
          </w:p>
        </w:tc>
        <w:tc>
          <w:tcPr>
            <w:tcW w:w="4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4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Proceeds from issuance of common stock and ESPP</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Arial" w:cs="Arial" w:eastAsia="Arial" w:hAnsi="Arial"/>
                <w:sz w:val="14"/>
                <w:szCs w:val="14"/>
                <w:color w:val="auto"/>
              </w:rPr>
              <w:t>Payments on long term debt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(10,241)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Proceeds from ATM, net of issuance costs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17,829</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Arial" w:cs="Arial" w:eastAsia="Arial" w:hAnsi="Arial"/>
                <w:sz w:val="14"/>
                <w:szCs w:val="14"/>
                <w:color w:val="auto"/>
              </w:rPr>
              <w:t>Proceeds from PIPE, net of issuance costs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56,593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Borders>
              <w:top w:val="single" w:sz="8" w:color="CCEEFF"/>
            </w:tcBorders>
            <w:shd w:val="clear" w:color="auto" w:fill="CCEEFF"/>
          </w:tcPr>
          <w:p>
            <w:pPr>
              <w:ind w:left="80"/>
              <w:spacing w:after="0" w:line="155"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74,563</w:t>
            </w: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(9,725)</w:t>
            </w:r>
          </w:p>
        </w:tc>
        <w:tc>
          <w:tcPr>
            <w:tcW w:w="4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b w:val="1"/>
                <w:bCs w:val="1"/>
                <w:color w:val="auto"/>
              </w:rPr>
              <w:t>Net increase (decrease) in cash, cash equivalents, and</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restricted cash</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11,910</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(36,941)</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49,303</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86,244</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61,213</w:t>
            </w:r>
          </w:p>
        </w:tc>
        <w:tc>
          <w:tcPr>
            <w:tcW w:w="2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49,303</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ind w:left="100"/>
              <w:spacing w:after="0"/>
              <w:rPr>
                <w:sz w:val="20"/>
                <w:szCs w:val="20"/>
                <w:color w:val="auto"/>
              </w:rPr>
            </w:pPr>
            <w:r>
              <w:rPr>
                <w:rFonts w:ascii="Arial" w:cs="Arial" w:eastAsia="Arial" w:hAnsi="Arial"/>
                <w:sz w:val="14"/>
                <w:szCs w:val="14"/>
                <w:color w:val="auto"/>
              </w:rPr>
              <w:t>Cash paid for interest</w:t>
            </w:r>
          </w:p>
        </w:tc>
        <w:tc>
          <w:tcPr>
            <w:tcW w:w="3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586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80" w:type="dxa"/>
            <w:vAlign w:val="bottom"/>
            <w:tcBorders>
              <w:top w:val="single" w:sz="8" w:color="CCEEFF"/>
              <w:bottom w:val="single" w:sz="8" w:color="CCEEFF"/>
            </w:tcBorders>
            <w:shd w:val="clear" w:color="auto" w:fill="CCEEFF"/>
          </w:tcPr>
          <w:p>
            <w:pPr>
              <w:ind w:left="100"/>
              <w:spacing w:after="0" w:line="143" w:lineRule="exact"/>
              <w:rPr>
                <w:sz w:val="20"/>
                <w:szCs w:val="20"/>
                <w:color w:val="auto"/>
              </w:rPr>
            </w:pPr>
            <w:r>
              <w:rPr>
                <w:rFonts w:ascii="Arial" w:cs="Arial" w:eastAsia="Arial" w:hAnsi="Arial"/>
                <w:sz w:val="14"/>
                <w:szCs w:val="14"/>
                <w:color w:val="auto"/>
              </w:rPr>
              <w:t>Cash paid for income tax</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501</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2,521</w:t>
            </w:r>
          </w:p>
        </w:tc>
        <w:tc>
          <w:tcPr>
            <w:tcW w:w="4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78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Supplemental disclosure of non-cash investing and financing</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activities: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ind w:left="80"/>
              <w:spacing w:after="0"/>
              <w:rPr>
                <w:sz w:val="20"/>
                <w:szCs w:val="20"/>
                <w:color w:val="auto"/>
              </w:rPr>
            </w:pPr>
            <w:r>
              <w:rPr>
                <w:rFonts w:ascii="Arial" w:cs="Arial" w:eastAsia="Arial" w:hAnsi="Arial"/>
                <w:sz w:val="14"/>
                <w:szCs w:val="14"/>
                <w:color w:val="auto"/>
              </w:rPr>
              <w:t>Stock issued in connection with the Acquisition</w:t>
            </w:r>
          </w:p>
        </w:tc>
        <w:tc>
          <w:tcPr>
            <w:tcW w:w="3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15,154</w:t>
            </w:r>
          </w:p>
        </w:tc>
        <w:tc>
          <w:tcPr>
            <w:tcW w:w="2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80" w:type="dxa"/>
            <w:vAlign w:val="bottom"/>
            <w:tcBorders>
              <w:top w:val="single" w:sz="8" w:color="CCEEFF"/>
              <w:bottom w:val="single" w:sz="8" w:color="CCEEFF"/>
            </w:tcBorders>
            <w:shd w:val="clear" w:color="auto" w:fill="CCEEFF"/>
          </w:tcPr>
          <w:p>
            <w:pPr>
              <w:ind w:left="80"/>
              <w:spacing w:after="0" w:line="143" w:lineRule="exact"/>
              <w:rPr>
                <w:sz w:val="20"/>
                <w:szCs w:val="20"/>
                <w:color w:val="auto"/>
              </w:rPr>
            </w:pPr>
            <w:r>
              <w:rPr>
                <w:rFonts w:ascii="Arial" w:cs="Arial" w:eastAsia="Arial" w:hAnsi="Arial"/>
                <w:sz w:val="14"/>
                <w:szCs w:val="14"/>
                <w:color w:val="auto"/>
              </w:rPr>
              <w:t>Purchase of property and equipment, accrued and unpaid</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352</w:t>
            </w:r>
          </w:p>
        </w:tc>
        <w:tc>
          <w:tcPr>
            <w:tcW w:w="4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80"/>
              <w:spacing w:after="0"/>
              <w:rPr>
                <w:sz w:val="20"/>
                <w:szCs w:val="20"/>
                <w:color w:val="auto"/>
              </w:rPr>
            </w:pPr>
            <w:r>
              <w:rPr>
                <w:rFonts w:ascii="Arial" w:cs="Arial" w:eastAsia="Arial" w:hAnsi="Arial"/>
                <w:sz w:val="14"/>
                <w:szCs w:val="14"/>
                <w:color w:val="auto"/>
              </w:rPr>
              <w:t>Landlord paid leasehold improvements</w:t>
            </w:r>
          </w:p>
        </w:tc>
        <w:tc>
          <w:tcPr>
            <w:tcW w:w="3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934</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-128905</wp:posOffset>
            </wp:positionV>
            <wp:extent cx="22459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6" w:name="page137"/>
    <w:bookmarkEnd w:id="1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CENTURY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1—Organization and description of the business</w:t>
      </w:r>
    </w:p>
    <w:p>
      <w:pPr>
        <w:spacing w:after="0" w:line="212"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Century Therapeutics, Inc. (the “Company”) is an innovative biotechnology company developing transformative allogeneic cell therapies to create products for the treatment of both solid tumor and hematological malignancies and autoimmune diseases with significant unmet medical need. Since inception, the Company has devoted substantially all of its time and efforts to performing research and development activities, building infrastructure and raising capital. The Company is incorporated in the state of Delaware.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210"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the Company’s subsidiaries, Century Therapeutics Canada ULC (“Century Canada”), Clade Therapeutics (“Clade”) and Gadeta B.V. (“Gadeta”). All intercompany balances and transactions have been eliminated in consolidation.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1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Since inception, the Company has incurred net losses and negative cash flows from operations. During the year ended December 31, 2024, the Company incurred a net loss of $126,566 and used $110,135 of cash from operations. Cash and cash equivalents and short and long-term investments were $220,110 at December 31, 2024. Management expects to incur additional losses in the future to fund its operations and conduct product research and preclinical and clinical development and recognizes the need to raise additional capital to fully implement its business plan. The Company believes it has adequate cash and financial resources to operate for at least the next 12 months from the date of issuance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7" w:name="page138"/>
    <w:bookmarkEnd w:id="1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2—Summary of significant accounting policies and basis of presentation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1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1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intangible assets acquired in business combinations,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December 31, 2024 and 2023, the Company has not experienced any losses on its deposits of cash and cash equivalents.</w:t>
      </w:r>
    </w:p>
    <w:p>
      <w:pPr>
        <w:spacing w:after="0" w:line="179"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76" w:lineRule="exact"/>
        <w:rPr>
          <w:sz w:val="20"/>
          <w:szCs w:val="20"/>
          <w:color w:val="auto"/>
        </w:rPr>
      </w:pPr>
    </w:p>
    <w:p>
      <w:pPr>
        <w:ind w:left="60" w:right="159"/>
        <w:spacing w:after="0" w:line="266" w:lineRule="auto"/>
        <w:rPr>
          <w:sz w:val="20"/>
          <w:szCs w:val="20"/>
          <w:color w:val="auto"/>
        </w:rPr>
      </w:pPr>
      <w:r>
        <w:rPr>
          <w:rFonts w:ascii="Arial" w:cs="Arial" w:eastAsia="Arial" w:hAnsi="Arial"/>
          <w:sz w:val="17"/>
          <w:szCs w:val="17"/>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10"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85"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8" w:name="page139"/>
    <w:bookmarkEnd w:id="1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54"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54"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10"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210"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As of December 31, 2024 and 2023, the Company had $2,772 and $1,979, respectively, in cash on deposit to secure certain lease commitments. Restricted cash is recorded separately in the Company’s consolidated balance sheets.</w:t>
      </w:r>
    </w:p>
    <w:p>
      <w:pPr>
        <w:spacing w:after="0" w:line="169"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180" w:type="dxa"/>
            <w:vAlign w:val="bottom"/>
            <w:tcBorders>
              <w:top w:val="single" w:sz="8" w:color="auto"/>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December 31, 2024</w:t>
            </w:r>
          </w:p>
        </w:tc>
        <w:tc>
          <w:tcPr>
            <w:tcW w:w="160" w:type="dxa"/>
            <w:vAlign w:val="bottom"/>
            <w:tcBorders>
              <w:top w:val="single" w:sz="8" w:color="auto"/>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December 31, 2023</w:t>
            </w: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58,441</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47,324</w:t>
            </w:r>
          </w:p>
        </w:tc>
      </w:tr>
      <w:tr>
        <w:trPr>
          <w:trHeight w:val="203"/>
        </w:trPr>
        <w:tc>
          <w:tcPr>
            <w:tcW w:w="61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2,772</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r>
      <w:tr>
        <w:trPr>
          <w:trHeight w:val="196"/>
        </w:trPr>
        <w:tc>
          <w:tcPr>
            <w:tcW w:w="61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restricted cash</w:t>
            </w:r>
          </w:p>
        </w:tc>
        <w:tc>
          <w:tcPr>
            <w:tcW w:w="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61,213</w:t>
            </w: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49,303</w:t>
            </w:r>
          </w:p>
        </w:tc>
      </w:tr>
      <w:tr>
        <w:trPr>
          <w:trHeight w:val="20"/>
        </w:trPr>
        <w:tc>
          <w:tcPr>
            <w:tcW w:w="6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210"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loss on the consolidate statements of operations and comprehensive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9" w:name="page140"/>
    <w:bookmarkEnd w:id="1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9"/>
        <w:spacing w:after="0" w:line="271" w:lineRule="auto"/>
        <w:rPr>
          <w:sz w:val="20"/>
          <w:szCs w:val="20"/>
          <w:color w:val="auto"/>
        </w:rPr>
      </w:pPr>
      <w:r>
        <w:rPr>
          <w:rFonts w:ascii="Arial" w:cs="Arial" w:eastAsia="Arial" w:hAnsi="Arial"/>
          <w:sz w:val="18"/>
          <w:szCs w:val="18"/>
          <w:color w:val="auto"/>
        </w:rPr>
        <w:t>the asset’s useful life or the remaining term of the lease. Computer software and equipment includes implementation costs for cloud-based software and network equipment.</w:t>
      </w:r>
    </w:p>
    <w:p>
      <w:pPr>
        <w:spacing w:after="0" w:line="154"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1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18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Black-Scholes requires inputs based on certain subjective assumptions, including (i) the expected stock price volatility, (ii) the expected term of the award, (iii) the risk-free interest rate and (iv) expected dividends. The historical volatility is calculated based on a period of time commensurate with expected term assumption.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10" w:lineRule="exact"/>
        <w:rPr>
          <w:sz w:val="20"/>
          <w:szCs w:val="20"/>
          <w:color w:val="auto"/>
        </w:rPr>
      </w:pPr>
    </w:p>
    <w:p>
      <w:pPr>
        <w:ind w:left="60" w:right="499"/>
        <w:spacing w:after="0" w:line="266" w:lineRule="auto"/>
        <w:rPr>
          <w:sz w:val="20"/>
          <w:szCs w:val="20"/>
          <w:color w:val="auto"/>
        </w:rPr>
      </w:pPr>
      <w:r>
        <w:rPr>
          <w:rFonts w:ascii="Arial" w:cs="Arial" w:eastAsia="Arial" w:hAnsi="Arial"/>
          <w:sz w:val="17"/>
          <w:szCs w:val="17"/>
          <w:color w:val="auto"/>
        </w:rPr>
        <w:t>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Derivatives and Hedging— Contracts in Entity’s Own Equity, as either derivative liabilities or as equity instruments depending on the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0" w:name="page141"/>
    <w:bookmarkEnd w:id="1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47" w:lineRule="auto"/>
        <w:rPr>
          <w:sz w:val="20"/>
          <w:szCs w:val="20"/>
          <w:color w:val="auto"/>
        </w:rPr>
      </w:pPr>
      <w:r>
        <w:rPr>
          <w:rFonts w:ascii="Arial" w:cs="Arial" w:eastAsia="Arial" w:hAnsi="Arial"/>
          <w:sz w:val="18"/>
          <w:szCs w:val="18"/>
          <w:color w:val="auto"/>
        </w:rPr>
        <w:t>specific terms of the warrant agreement. The Company’s warrants issued are in connection with its long-term debt and in connection with services provided by consultants, and are equity classified on the accompanying consolidated balance sheets. Equity classified warrants are accounted for at fair value on the issuance date, using Black Scholes, with no changes in fair value recognized after the issuance date.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The functional currency of Gadeta is the Euro. Assets and liabilities of Century Canada and Gadeta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183"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income (loss) within the Company’s consolidated balance sheets.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years ended December 31, 2024 and 2023.</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exercised options</w:t>
      </w:r>
    </w:p>
    <w:p>
      <w:pPr>
        <w:spacing w:after="0" w:line="21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allowed certain of its employees and its consultants to exercise options granted under the 2018 Plan (Note 15) prior to vesting and prior to its IPO.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stockholders’ equity until the awards vest. The deposits received are initially recorded in deposit liability. The liabilities are reclassified to common stock and additional paid-in-capital as the repurchase right lapses. At December 31, 2024 and 2023, there was $82 and $584, respectively, recorded in deposit liability related to shares held by employees and nonemployees that were subject to repurchase.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1" w:name="page142"/>
    <w:bookmarkEnd w:id="1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0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231F20"/>
              </w:rPr>
              <w:t>December 31, 2024</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December 31, 2023</w:t>
            </w: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shares legally outstanding</w:t>
            </w:r>
          </w:p>
        </w:tc>
        <w:tc>
          <w:tcPr>
            <w:tcW w:w="128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85,872,571</w:t>
            </w:r>
          </w:p>
        </w:tc>
        <w:tc>
          <w:tcPr>
            <w:tcW w:w="1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60,504,397</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Less: unvested early exercised shares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231F20"/>
              </w:rPr>
              <w:t>(11,321)</w:t>
            </w:r>
          </w:p>
        </w:tc>
        <w:tc>
          <w:tcPr>
            <w:tcW w:w="1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231F20"/>
              </w:rPr>
              <w:t>(119,280)</w:t>
            </w: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unvested restricted stock awards (Note 13)</w:t>
            </w: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(24,821)</w:t>
            </w:r>
          </w:p>
        </w:tc>
        <w:tc>
          <w:tcPr>
            <w:tcW w:w="16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(49,416)</w:t>
            </w:r>
          </w:p>
        </w:tc>
      </w:tr>
      <w:tr>
        <w:trPr>
          <w:trHeight w:val="196"/>
        </w:trPr>
        <w:tc>
          <w:tcPr>
            <w:tcW w:w="6060" w:type="dxa"/>
            <w:vAlign w:val="bottom"/>
          </w:tcPr>
          <w:p>
            <w:pPr>
              <w:spacing w:after="0" w:line="196" w:lineRule="exact"/>
              <w:rPr>
                <w:sz w:val="20"/>
                <w:szCs w:val="20"/>
                <w:color w:val="auto"/>
              </w:rPr>
            </w:pPr>
            <w:r>
              <w:rPr>
                <w:rFonts w:ascii="Arial" w:cs="Arial" w:eastAsia="Arial" w:hAnsi="Arial"/>
                <w:sz w:val="18"/>
                <w:szCs w:val="18"/>
                <w:color w:val="auto"/>
              </w:rPr>
              <w:t>Total shares issued and outstanding</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85,836,429</w:t>
            </w:r>
          </w:p>
        </w:tc>
        <w:tc>
          <w:tcPr>
            <w:tcW w:w="16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60,335,701</w:t>
            </w:r>
          </w:p>
        </w:tc>
      </w:tr>
      <w:tr>
        <w:trPr>
          <w:trHeight w:val="20"/>
        </w:trPr>
        <w:tc>
          <w:tcPr>
            <w:tcW w:w="60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Company recognizes deferred tax assets to the extent that the Company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the Company would be able to realize our deferred tax assets in the future in excess of their net recorded amount, the Company would make an adjustment to the deferred tax asset valuation allowance, which would reduce the provision for income taxes.</w:t>
      </w:r>
    </w:p>
    <w:p>
      <w:pPr>
        <w:spacing w:after="0" w:line="185"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176"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consolidated statement of operations. As of December 31, 2024, no accrued interest or penalties are included on the related tax liability line in the consolidated balance sheet.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210"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7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or ASC 606. This standard applies to all contracts with customers. When an agreement falls under the scope of other standards, such as ASC Topic 808, Collaborative Arrangements, or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2" w:name="page143"/>
    <w:bookmarkEnd w:id="1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w:t>
      </w:r>
    </w:p>
    <w:p>
      <w:pPr>
        <w:spacing w:after="0" w:line="183"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17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80"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The obligations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16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3" w:name="page144"/>
    <w:bookmarkEnd w:id="1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12529"/>
        </w:rPr>
        <w:t>Acquisition-Related Contingent Consideration</w:t>
      </w:r>
    </w:p>
    <w:p>
      <w:pPr>
        <w:spacing w:after="0" w:line="183"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Acquisition-related contingent consideration consist of our future obligation owed to shareholders of Clade and Gadeta and includes contingent milestone payments, earn-out obligation, and indemnification obligations. Acquisition-related contingent consideration was recorded on the acquisition date at the estimated fair value of the obligation, in accordance with the acquisition method of accounting. The fair value measurement is based on significant inputs that are unobservable in the market and thus represents a Level 3 fair value measurement. The fair value of the acquisition-related contingent consideration is remeasured each reporting period, with changes in fair value recorded in the consolidated statements of operations and comprehensive loss within general and administrative expense.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12529"/>
        </w:rPr>
        <w:t>Business Combinations</w:t>
      </w:r>
    </w:p>
    <w:p>
      <w:pPr>
        <w:spacing w:after="0" w:line="196" w:lineRule="exact"/>
        <w:rPr>
          <w:sz w:val="20"/>
          <w:szCs w:val="20"/>
          <w:color w:val="auto"/>
        </w:rPr>
      </w:pPr>
    </w:p>
    <w:p>
      <w:pPr>
        <w:jc w:val="both"/>
        <w:ind w:left="60" w:right="79"/>
        <w:spacing w:after="0" w:line="242" w:lineRule="auto"/>
        <w:rPr>
          <w:sz w:val="20"/>
          <w:szCs w:val="20"/>
          <w:color w:val="auto"/>
        </w:rPr>
      </w:pPr>
      <w:r>
        <w:rPr>
          <w:rFonts w:ascii="Arial" w:cs="Arial" w:eastAsia="Arial" w:hAnsi="Arial"/>
          <w:sz w:val="18"/>
          <w:szCs w:val="18"/>
          <w:color w:val="212529"/>
        </w:rPr>
        <w:t>The Company accounts for business combinations using the acquisition method of accounting in accordance with ASC 805, Business Combinations. Identifiable assets acquired and liabilities assumed are recorded at their acquisition date fair values. The excess of the fair value of purchase consideration over the fair values of the identifiable assets and liabilities is recorded as goodwill. Acquisition related costs are expensed as incurred. Upon acquisition, the accounts and results of operations are consolidated as of and subsequent to the acquisition date.</w:t>
      </w:r>
    </w:p>
    <w:p>
      <w:pPr>
        <w:spacing w:after="0" w:line="16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212529"/>
        </w:rPr>
        <w:t>When determining the fair values of assets acquired and liabilities assumed, management makes significant estimates and assumptions, especially with respect to intangible assets. The Company utilizes commonly accepted valuation techniques, such as the income approach in establishing the fair value of intangible assets. See “Note 3 – Business combination” for additional detail.</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12529"/>
        </w:rPr>
        <w:t>Goodwill and Intangible Assets</w:t>
      </w:r>
    </w:p>
    <w:p>
      <w:pPr>
        <w:spacing w:after="0" w:line="16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12529"/>
        </w:rPr>
        <w:t>Goodwill represents the excess of the purchase price over the net amount of identifiable assets acquired and liabilities assumed in a business combination measured at fair value. Goodwill is not amortized but is tested for impairment at least annually. The Company reviews goodwill for impairment annually in the fourth quarter and whenever events or changes in circumstances indicate that the fair value of a reporting unit may be less than its carrying amount “triggering events”. Triggering events may include a sustained period where the Company’s carrying value is in excess of its market capitalization or adverse changes in business climate. The Company first assesses qualitative factors to determine whether it is more likely than not that the fair value of its reporting unit is less than its carrying amount as a basis for determining whether it is necessary to perform the quantitative goodwill impairment test described in ASC Topic 350, Intangibles – Goodwill and Other. The more likely than not threshold is defined as having a likelihood of more than 50 percent. If, after assessing the totality of events or circumstances, the Company determines that it is not more likely than not that the fair value of a reporting unit is less than its carrying amount, then performing the quantitative goodwill impairment test is unnecessary and goodwill is considered to be unimpaired. However, if based on the qualitative assessment the Company concludes that it is more likely than not that the fair value of a reporting unit is less than its carrying amount, the Company will proceed with performing the quantitative goodwill impairment test. In performing the quantitative goodwill impairment test, the Company determines the fair value of its reporting unit and compares it to its carrying value. If the fair value of the reporting unit exceeds the carrying value of the net assets assigned to that unit, goodwill is not impaired. If the carrying value of the reporting unit exceeds its fair value, the Company records an impairment loss equal to the difference. For the year ended December 31, 2024, there was $4,327 in impairment related to goodwill.</w:t>
      </w:r>
    </w:p>
    <w:p>
      <w:pPr>
        <w:spacing w:after="0" w:line="168" w:lineRule="exact"/>
        <w:rPr>
          <w:sz w:val="20"/>
          <w:szCs w:val="20"/>
          <w:color w:val="auto"/>
        </w:rPr>
      </w:pPr>
    </w:p>
    <w:p>
      <w:pPr>
        <w:ind w:left="60" w:right="159"/>
        <w:spacing w:after="0"/>
        <w:rPr>
          <w:sz w:val="20"/>
          <w:szCs w:val="20"/>
          <w:color w:val="auto"/>
        </w:rPr>
      </w:pPr>
      <w:r>
        <w:rPr>
          <w:rFonts w:ascii="Arial" w:cs="Arial" w:eastAsia="Arial" w:hAnsi="Arial"/>
          <w:sz w:val="18"/>
          <w:szCs w:val="18"/>
          <w:color w:val="212529"/>
        </w:rPr>
        <w:t>Indefinite-lived intangibles are carried at the initially recorded fair value less any recognized impairment. Indefinite-lived intangibles are tested at least annually for impairment. Impairment assessments are conducted more frequently if certain conditions exist, including a change in the competitive landscape, any internal decisions to pursue new or different technology strategies, or a significant change in the marketplace, including changes in the size of the market for the Company’s products. In performing the impairment test, the Company estimates the fair value of the indefinite-lived intangible asset and compares it to the carrying value. If they carrying value exceeds the estimated fair value, the Company records an impairment loss for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4" w:name="page145"/>
    <w:bookmarkEnd w:id="1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59"/>
        <w:spacing w:after="0" w:line="271" w:lineRule="auto"/>
        <w:rPr>
          <w:sz w:val="20"/>
          <w:szCs w:val="20"/>
          <w:color w:val="auto"/>
        </w:rPr>
      </w:pPr>
      <w:r>
        <w:rPr>
          <w:rFonts w:ascii="Arial" w:cs="Arial" w:eastAsia="Arial" w:hAnsi="Arial"/>
          <w:sz w:val="18"/>
          <w:szCs w:val="18"/>
          <w:color w:val="212529"/>
        </w:rPr>
        <w:t>the difference. For the year ended December 31, 2024, there were no impairment charges. For further discussion of identified intangible assets, see “Note 3 – Business Combination”.</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0"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("ASU 2023-09")." ASU 2023-09 requires entities to provide additional information in their tax rate reconciliation and additional disclosures about income taxes paid by jurisdiction. ASU 2023-09 is effective for annual reporting periods beginning after December 15, 2024, with early adoption permitted. The guidance should be applied prospectively, but entities have the option to apply it retrospectively for each period presented. The company is evaluating the impact of adopting this new accounting guidance.</w:t>
      </w:r>
    </w:p>
    <w:p>
      <w:pPr>
        <w:spacing w:after="0" w:line="165" w:lineRule="exact"/>
        <w:rPr>
          <w:sz w:val="20"/>
          <w:szCs w:val="20"/>
          <w:color w:val="auto"/>
        </w:rPr>
      </w:pPr>
    </w:p>
    <w:p>
      <w:pPr>
        <w:ind w:left="60" w:right="119"/>
        <w:spacing w:after="0"/>
        <w:rPr>
          <w:sz w:val="20"/>
          <w:szCs w:val="20"/>
          <w:color w:val="auto"/>
        </w:rPr>
      </w:pPr>
      <w:r>
        <w:rPr>
          <w:rFonts w:ascii="Arial" w:cs="Arial" w:eastAsia="Arial" w:hAnsi="Arial"/>
          <w:sz w:val="18"/>
          <w:szCs w:val="18"/>
          <w:color w:val="212529"/>
        </w:rPr>
        <w:t xml:space="preserve">In November 2023, the FASB issued ASU-2023-07, </w:t>
      </w:r>
      <w:r>
        <w:rPr>
          <w:rFonts w:ascii="Arial" w:cs="Arial" w:eastAsia="Arial" w:hAnsi="Arial"/>
          <w:sz w:val="18"/>
          <w:szCs w:val="18"/>
          <w:i w:val="1"/>
          <w:iCs w:val="1"/>
          <w:color w:val="212529"/>
        </w:rPr>
        <w:t>Segment Reporting (Topic 280): Improvements to</w:t>
      </w:r>
      <w:r>
        <w:rPr>
          <w:rFonts w:ascii="Arial" w:cs="Arial" w:eastAsia="Arial" w:hAnsi="Arial"/>
          <w:sz w:val="18"/>
          <w:szCs w:val="18"/>
          <w:color w:val="212529"/>
        </w:rPr>
        <w:t xml:space="preserve"> </w:t>
      </w:r>
      <w:r>
        <w:rPr>
          <w:rFonts w:ascii="Arial" w:cs="Arial" w:eastAsia="Arial" w:hAnsi="Arial"/>
          <w:sz w:val="18"/>
          <w:szCs w:val="18"/>
          <w:i w:val="1"/>
          <w:iCs w:val="1"/>
          <w:color w:val="212529"/>
        </w:rPr>
        <w:t xml:space="preserve">Reportable Segment Disclosures, </w:t>
      </w:r>
      <w:r>
        <w:rPr>
          <w:rFonts w:ascii="Arial" w:cs="Arial" w:eastAsia="Arial" w:hAnsi="Arial"/>
          <w:sz w:val="18"/>
          <w:szCs w:val="18"/>
          <w:color w:val="212529"/>
        </w:rPr>
        <w:t>requiring public entities to disclose information about their reportable</w:t>
      </w:r>
      <w:r>
        <w:rPr>
          <w:rFonts w:ascii="Arial" w:cs="Arial" w:eastAsia="Arial" w:hAnsi="Arial"/>
          <w:sz w:val="18"/>
          <w:szCs w:val="18"/>
          <w:i w:val="1"/>
          <w:iCs w:val="1"/>
          <w:color w:val="212529"/>
        </w:rPr>
        <w:t xml:space="preserve"> </w:t>
      </w:r>
      <w:r>
        <w:rPr>
          <w:rFonts w:ascii="Arial" w:cs="Arial" w:eastAsia="Arial" w:hAnsi="Arial"/>
          <w:sz w:val="18"/>
          <w:szCs w:val="18"/>
          <w:color w:val="212529"/>
        </w:rPr>
        <w:t xml:space="preserve">segments’ significant expenses and other segment items on an interim and annual basis. Public entities with a single reportable segment are required to apply the disclosure requirement in ASU2023-07, as well as all existing segment disclosures and reconciliation requirements in ASC 280 on an interim and annual basis. The Company adopted ASU 2023-07 during the year ended December 31, 2024. See Note 19 </w:t>
      </w:r>
      <w:r>
        <w:rPr>
          <w:rFonts w:ascii="Arial" w:cs="Arial" w:eastAsia="Arial" w:hAnsi="Arial"/>
          <w:sz w:val="18"/>
          <w:szCs w:val="18"/>
          <w:i w:val="1"/>
          <w:iCs w:val="1"/>
          <w:color w:val="212529"/>
        </w:rPr>
        <w:t>Segment reporting</w:t>
      </w:r>
      <w:r>
        <w:rPr>
          <w:rFonts w:ascii="Arial" w:cs="Arial" w:eastAsia="Arial" w:hAnsi="Arial"/>
          <w:sz w:val="18"/>
          <w:szCs w:val="18"/>
          <w:color w:val="212529"/>
        </w:rPr>
        <w:t xml:space="preserve"> in the accompanying notes to the consolidated financial statements for further detail.</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3—Business combination</w:t>
      </w:r>
    </w:p>
    <w:p>
      <w:pPr>
        <w:spacing w:after="0" w:line="241"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212529"/>
        </w:rPr>
        <w:t>On April 11, 2024, the Company acquired Clade, a privately held biotechnology company focused on discovering and delivering engineerable, off-the-shelf, scalable, and consistent stem cell-based medicines, with a focus on iPSC-derived αβ T cells. The acquisition expanded the Company’s pipeline by</w:t>
      </w:r>
    </w:p>
    <w:p>
      <w:pPr>
        <w:spacing w:after="0" w:line="2" w:lineRule="exact"/>
        <w:rPr>
          <w:sz w:val="20"/>
          <w:szCs w:val="20"/>
          <w:color w:val="auto"/>
        </w:rPr>
      </w:pPr>
    </w:p>
    <w:p>
      <w:pPr>
        <w:jc w:val="both"/>
        <w:ind w:left="60" w:right="239"/>
        <w:spacing w:after="0"/>
        <w:rPr>
          <w:sz w:val="20"/>
          <w:szCs w:val="20"/>
          <w:color w:val="auto"/>
        </w:rPr>
      </w:pPr>
      <w:r>
        <w:rPr>
          <w:rFonts w:ascii="Arial" w:cs="Arial" w:eastAsia="Arial" w:hAnsi="Arial"/>
          <w:sz w:val="18"/>
          <w:szCs w:val="18"/>
          <w:color w:val="212529"/>
        </w:rPr>
        <w:t>incorporating three additional preclinical-stage programs from Clade’s αβ iT platform spanning across cancer and autoimmune diseases. The results of Clade’s operations have been included in the consolidated financial statements since that date. A total of 3,741,646 common shares were issued to the Clade stockholders on the date of close, which were valued based on the closing price of common stock on that date.</w:t>
      </w:r>
    </w:p>
    <w:p>
      <w:pPr>
        <w:spacing w:after="0" w:line="140"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212529"/>
        </w:rPr>
        <w:t>Contingent consideration was estimated at fair value on the date of the close and consists of both additional stock consideration (“Holdback Shares”) as well as a contingent milestone payment of $10,000 (“Clade Milestone”). The Holdback Shares total up to 793,687 shares of common stock consideration which will be issued and delivered to the sellers on the eighteen-month anniversary of the Closing Date, subject to potential reduction based on indemnification claims favoring the Company, if any. This contingent consideration was recorded at fair value as of the closing date, based on the closing stock price on that date, adjusted for a discount for lack of marketability, and totaled $2,600. Contingent consideration also includes the Clade Milestone, which consists of one potential clinical development milestone payment of $ 10,000, which may be paid in cash, shares, or a combination thereof, upon the achievement of the milestone. The fair value of this contingent consideration was estimated based on the probability of milestone achievement, and an estimated discount rate, and totaled $7,100.</w:t>
      </w:r>
    </w:p>
    <w:p>
      <w:pPr>
        <w:spacing w:after="0" w:line="145"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212529"/>
        </w:rPr>
        <w:t>The Company recognized $ 895 of acquisition-related costs during the year ended December 31, 2024, which were expensed as incurred in the consolidated statement of operations.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5" w:name="page146"/>
    <w:bookmarkEnd w:id="1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212529"/>
        </w:rPr>
        <w:t>The following table summarizes the provisional fair values of the assets acquired and liabilities assumed at the date of the acquisition:</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20"/>
                <w:szCs w:val="20"/>
                <w:color w:val="auto"/>
              </w:rPr>
              <w:t>Consideration transferred:</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Cash consideration</w:t>
            </w:r>
          </w:p>
        </w:tc>
        <w:tc>
          <w:tcPr>
            <w:tcW w:w="800" w:type="dxa"/>
            <w:vAlign w:val="bottom"/>
            <w:gridSpan w:val="2"/>
          </w:tcPr>
          <w:p>
            <w:pPr>
              <w:jc w:val="right"/>
              <w:ind w:right="581"/>
              <w:spacing w:after="0" w:line="216" w:lineRule="exact"/>
              <w:rPr>
                <w:sz w:val="20"/>
                <w:szCs w:val="20"/>
                <w:color w:val="auto"/>
              </w:rPr>
            </w:pPr>
            <w:r>
              <w:rPr>
                <w:rFonts w:ascii="Arial" w:cs="Arial" w:eastAsia="Arial" w:hAnsi="Arial"/>
                <w:sz w:val="20"/>
                <w:szCs w:val="20"/>
                <w:color w:val="auto"/>
                <w:w w:val="89"/>
              </w:rPr>
              <w:t>$</w:t>
            </w: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14,854</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Fair value of common stock (3,741,646 at closing price of $4.05)</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15,154</w:t>
            </w:r>
          </w:p>
        </w:tc>
      </w:tr>
      <w:tr>
        <w:trPr>
          <w:trHeight w:val="216"/>
        </w:trPr>
        <w:tc>
          <w:tcPr>
            <w:tcW w:w="6740" w:type="dxa"/>
            <w:vAlign w:val="bottom"/>
            <w:tcBorders>
              <w:bottom w:val="single" w:sz="8" w:color="CCEEFF"/>
            </w:tcBorders>
          </w:tcPr>
          <w:p>
            <w:pPr>
              <w:ind w:left="100"/>
              <w:spacing w:after="0" w:line="216" w:lineRule="exact"/>
              <w:rPr>
                <w:sz w:val="20"/>
                <w:szCs w:val="20"/>
                <w:color w:val="auto"/>
              </w:rPr>
            </w:pPr>
            <w:r>
              <w:rPr>
                <w:rFonts w:ascii="Arial" w:cs="Arial" w:eastAsia="Arial" w:hAnsi="Arial"/>
                <w:sz w:val="20"/>
                <w:szCs w:val="20"/>
                <w:color w:val="auto"/>
              </w:rPr>
              <w:t>Contingent consideration</w:t>
            </w: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9,722</w:t>
            </w:r>
          </w:p>
        </w:tc>
      </w:tr>
      <w:tr>
        <w:trPr>
          <w:trHeight w:val="209"/>
        </w:trPr>
        <w:tc>
          <w:tcPr>
            <w:tcW w:w="6740" w:type="dxa"/>
            <w:vAlign w:val="bottom"/>
            <w:tcBorders>
              <w:bottom w:val="single" w:sz="8" w:color="CCEEFF"/>
            </w:tcBorders>
            <w:shd w:val="clear" w:color="auto" w:fill="CCEEFF"/>
          </w:tcPr>
          <w:p>
            <w:pPr>
              <w:ind w:left="220"/>
              <w:spacing w:after="0" w:line="209" w:lineRule="exact"/>
              <w:rPr>
                <w:sz w:val="20"/>
                <w:szCs w:val="20"/>
                <w:color w:val="auto"/>
              </w:rPr>
            </w:pPr>
            <w:r>
              <w:rPr>
                <w:rFonts w:ascii="Arial" w:cs="Arial" w:eastAsia="Arial" w:hAnsi="Arial"/>
                <w:sz w:val="20"/>
                <w:szCs w:val="20"/>
                <w:color w:val="auto"/>
              </w:rPr>
              <w:t>Total consideration transferred</w:t>
            </w: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39,730</w:t>
            </w: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Assets acquired: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Cash and restricted cash</w:t>
            </w:r>
          </w:p>
        </w:tc>
        <w:tc>
          <w:tcPr>
            <w:tcW w:w="800" w:type="dxa"/>
            <w:vAlign w:val="bottom"/>
            <w:gridSpan w:val="2"/>
          </w:tcPr>
          <w:p>
            <w:pPr>
              <w:jc w:val="right"/>
              <w:ind w:right="581"/>
              <w:spacing w:after="0" w:line="216" w:lineRule="exact"/>
              <w:rPr>
                <w:sz w:val="20"/>
                <w:szCs w:val="20"/>
                <w:color w:val="auto"/>
              </w:rPr>
            </w:pPr>
            <w:r>
              <w:rPr>
                <w:rFonts w:ascii="Arial" w:cs="Arial" w:eastAsia="Arial" w:hAnsi="Arial"/>
                <w:sz w:val="20"/>
                <w:szCs w:val="20"/>
                <w:color w:val="auto"/>
                <w:w w:val="89"/>
              </w:rPr>
              <w:t>$</w:t>
            </w: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5,246</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Prepaid expenses and other assets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400</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Property and equipment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2,652</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Right-of-use operating lease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8,065</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In-process research and development ("IPR&amp;D")</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34,200</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Goodwill</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4,327</w:t>
            </w:r>
          </w:p>
        </w:tc>
      </w:tr>
      <w:tr>
        <w:trPr>
          <w:trHeight w:val="250"/>
        </w:trPr>
        <w:tc>
          <w:tcPr>
            <w:tcW w:w="6740" w:type="dxa"/>
            <w:vAlign w:val="bottom"/>
            <w:tcBorders>
              <w:bottom w:val="single" w:sz="8" w:color="CCEEFF"/>
            </w:tcBorders>
          </w:tcPr>
          <w:p>
            <w:pPr>
              <w:ind w:left="220"/>
              <w:spacing w:after="0" w:line="209" w:lineRule="exact"/>
              <w:rPr>
                <w:sz w:val="20"/>
                <w:szCs w:val="20"/>
                <w:color w:val="auto"/>
              </w:rPr>
            </w:pPr>
            <w:r>
              <w:rPr>
                <w:rFonts w:ascii="Arial" w:cs="Arial" w:eastAsia="Arial" w:hAnsi="Arial"/>
                <w:sz w:val="20"/>
                <w:szCs w:val="20"/>
                <w:color w:val="auto"/>
              </w:rPr>
              <w:t>Total assets acquired</w:t>
            </w:r>
          </w:p>
        </w:tc>
        <w:tc>
          <w:tcPr>
            <w:tcW w:w="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54,890</w:t>
            </w:r>
          </w:p>
        </w:tc>
      </w:tr>
      <w:tr>
        <w:trPr>
          <w:trHeight w:val="197"/>
        </w:trPr>
        <w:tc>
          <w:tcPr>
            <w:tcW w:w="6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Liabilities assumed:</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Accounts payable</w:t>
            </w:r>
          </w:p>
        </w:tc>
        <w:tc>
          <w:tcPr>
            <w:tcW w:w="800" w:type="dxa"/>
            <w:vAlign w:val="bottom"/>
            <w:gridSpan w:val="2"/>
            <w:shd w:val="clear" w:color="auto" w:fill="CCEEFF"/>
          </w:tcPr>
          <w:p>
            <w:pPr>
              <w:jc w:val="right"/>
              <w:ind w:right="581"/>
              <w:spacing w:after="0" w:line="216" w:lineRule="exact"/>
              <w:rPr>
                <w:sz w:val="20"/>
                <w:szCs w:val="20"/>
                <w:color w:val="auto"/>
              </w:rPr>
            </w:pPr>
            <w:r>
              <w:rPr>
                <w:rFonts w:ascii="Arial" w:cs="Arial" w:eastAsia="Arial" w:hAnsi="Arial"/>
                <w:sz w:val="20"/>
                <w:szCs w:val="20"/>
                <w:color w:val="auto"/>
                <w:w w:val="89"/>
              </w:rPr>
              <w:t>$</w:t>
            </w: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868</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Accrued expenses and other current liabilities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2,352</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Lease liabilities - operating lease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8,065</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Contingent consideration</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372</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Deferred tax liability</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3,503</w:t>
            </w:r>
          </w:p>
        </w:tc>
      </w:tr>
      <w:tr>
        <w:trPr>
          <w:trHeight w:val="210"/>
        </w:trPr>
        <w:tc>
          <w:tcPr>
            <w:tcW w:w="6740" w:type="dxa"/>
            <w:vAlign w:val="bottom"/>
            <w:tcBorders>
              <w:bottom w:val="single" w:sz="8" w:color="CCEEFF"/>
            </w:tcBorders>
          </w:tcPr>
          <w:p>
            <w:pPr>
              <w:ind w:left="220"/>
              <w:spacing w:after="0" w:line="209" w:lineRule="exact"/>
              <w:rPr>
                <w:sz w:val="20"/>
                <w:szCs w:val="20"/>
                <w:color w:val="auto"/>
              </w:rPr>
            </w:pPr>
            <w:r>
              <w:rPr>
                <w:rFonts w:ascii="Arial" w:cs="Arial" w:eastAsia="Arial" w:hAnsi="Arial"/>
                <w:sz w:val="20"/>
                <w:szCs w:val="20"/>
                <w:color w:val="auto"/>
              </w:rPr>
              <w:t>Total liabilities assumed</w:t>
            </w: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15,160</w:t>
            </w:r>
          </w:p>
        </w:tc>
      </w:tr>
      <w:tr>
        <w:trPr>
          <w:trHeight w:val="210"/>
        </w:trPr>
        <w:tc>
          <w:tcPr>
            <w:tcW w:w="6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r>
      <w:tr>
        <w:trPr>
          <w:trHeight w:val="210"/>
        </w:trPr>
        <w:tc>
          <w:tcPr>
            <w:tcW w:w="6740" w:type="dxa"/>
            <w:vAlign w:val="bottom"/>
          </w:tcPr>
          <w:p>
            <w:pPr>
              <w:ind w:left="100"/>
              <w:spacing w:after="0" w:line="209" w:lineRule="exact"/>
              <w:rPr>
                <w:sz w:val="20"/>
                <w:szCs w:val="20"/>
                <w:color w:val="auto"/>
              </w:rPr>
            </w:pPr>
            <w:r>
              <w:rPr>
                <w:rFonts w:ascii="Arial" w:cs="Arial" w:eastAsia="Arial" w:hAnsi="Arial"/>
                <w:sz w:val="20"/>
                <w:szCs w:val="20"/>
                <w:color w:val="auto"/>
              </w:rPr>
              <w:t>Net assets acquired</w:t>
            </w: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39,730</w:t>
            </w: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212529"/>
        </w:rPr>
        <w:t>As of December 31, 2024, the purchase price was final and changes from the preliminary purchase price were immaterial. The purchase price was allocated to the tangible assets and identifiable intangible assets acquired and liabilities assumed based on their acquisition date estimated fair values. The identifiable intangible assets consist of IPR&amp;D which were assigned fair values of $34,200. The fair value of the IPR&amp;D was estimated using the multi-period excess earnings method, which the Company estimates future cash flows attributable to the technology and applies a probability of success and a discount rate of 26.9%.</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color w:val="212529"/>
        </w:rPr>
        <w:t>These nonrecurring fair value measurements are Level 3 measurements within the fair value hierarchy.</w:t>
      </w:r>
    </w:p>
    <w:p>
      <w:pPr>
        <w:spacing w:after="0" w:line="171"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212529"/>
        </w:rPr>
        <w:t>Goodwill represents the excess of the purchase price over the net identifiable tangible and intangible assets acquired. The Company believes the goodwill related to the acquisition was attributable to the expected synergies and value of the assembled workforce as well as the collective experience of the management team with regards to its operations. The goodwill is not expected to be tax deductible.</w:t>
      </w:r>
    </w:p>
    <w:p>
      <w:pPr>
        <w:spacing w:after="0" w:line="147"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212529"/>
        </w:rPr>
        <w:t>Results for year ended December 31, 2024, included a net loss of $ 5,274 from Clade. The following table presents unaudited supplemental pro forma financial information as if the Clade acquisition had occurred on January 1, 2023.</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color w:val="auto"/>
              </w:rPr>
              <w:t>Year Ended</w:t>
            </w:r>
          </w:p>
        </w:tc>
        <w:tc>
          <w:tcPr>
            <w:tcW w:w="320" w:type="dxa"/>
            <w:vAlign w:val="bottom"/>
          </w:tcPr>
          <w:p>
            <w:pPr>
              <w:spacing w:after="0"/>
              <w:rPr>
                <w:sz w:val="16"/>
                <w:szCs w:val="16"/>
                <w:color w:val="auto"/>
              </w:rPr>
            </w:pPr>
          </w:p>
        </w:tc>
        <w:tc>
          <w:tcPr>
            <w:tcW w:w="2120" w:type="dxa"/>
            <w:vAlign w:val="bottom"/>
            <w:gridSpan w:val="3"/>
          </w:tcPr>
          <w:p>
            <w:pPr>
              <w:jc w:val="center"/>
              <w:ind w:right="400"/>
              <w:spacing w:after="0"/>
              <w:rPr>
                <w:sz w:val="20"/>
                <w:szCs w:val="20"/>
                <w:color w:val="auto"/>
              </w:rPr>
            </w:pPr>
            <w:r>
              <w:rPr>
                <w:rFonts w:ascii="Arial" w:cs="Arial" w:eastAsia="Arial" w:hAnsi="Arial"/>
                <w:sz w:val="14"/>
                <w:szCs w:val="14"/>
                <w:color w:val="auto"/>
              </w:rPr>
              <w:t>Year Ended</w:t>
            </w:r>
          </w:p>
        </w:tc>
      </w:tr>
      <w:tr>
        <w:trPr>
          <w:trHeight w:val="197"/>
        </w:trPr>
        <w:tc>
          <w:tcPr>
            <w:tcW w:w="4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color w:val="auto"/>
              </w:rPr>
              <w:t>December 31, 2024</w:t>
            </w:r>
          </w:p>
        </w:tc>
        <w:tc>
          <w:tcPr>
            <w:tcW w:w="320" w:type="dxa"/>
            <w:vAlign w:val="bottom"/>
          </w:tcPr>
          <w:p>
            <w:pPr>
              <w:spacing w:after="0"/>
              <w:rPr>
                <w:sz w:val="17"/>
                <w:szCs w:val="17"/>
                <w:color w:val="auto"/>
              </w:rPr>
            </w:pPr>
          </w:p>
        </w:tc>
        <w:tc>
          <w:tcPr>
            <w:tcW w:w="2120" w:type="dxa"/>
            <w:vAlign w:val="bottom"/>
            <w:gridSpan w:val="3"/>
          </w:tcPr>
          <w:p>
            <w:pPr>
              <w:jc w:val="center"/>
              <w:ind w:right="400"/>
              <w:spacing w:after="0"/>
              <w:rPr>
                <w:sz w:val="20"/>
                <w:szCs w:val="20"/>
                <w:color w:val="auto"/>
              </w:rPr>
            </w:pPr>
            <w:r>
              <w:rPr>
                <w:rFonts w:ascii="Arial" w:cs="Arial" w:eastAsia="Arial" w:hAnsi="Arial"/>
                <w:sz w:val="14"/>
                <w:szCs w:val="14"/>
                <w:color w:val="auto"/>
              </w:rPr>
              <w:t>December 31, 2023</w:t>
            </w:r>
          </w:p>
        </w:tc>
      </w:tr>
      <w:tr>
        <w:trPr>
          <w:trHeight w:val="210"/>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ind w:right="614"/>
              <w:spacing w:after="0" w:line="209" w:lineRule="exact"/>
              <w:rPr>
                <w:sz w:val="20"/>
                <w:szCs w:val="20"/>
                <w:color w:val="auto"/>
              </w:rPr>
            </w:pPr>
            <w:r>
              <w:rPr>
                <w:rFonts w:ascii="Arial" w:cs="Arial" w:eastAsia="Arial" w:hAnsi="Arial"/>
                <w:sz w:val="20"/>
                <w:szCs w:val="20"/>
                <w:color w:val="auto"/>
              </w:rPr>
              <w:t>6,589</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ind w:right="615"/>
              <w:spacing w:after="0" w:line="209" w:lineRule="exact"/>
              <w:rPr>
                <w:sz w:val="20"/>
                <w:szCs w:val="20"/>
                <w:color w:val="auto"/>
              </w:rPr>
            </w:pPr>
            <w:r>
              <w:rPr>
                <w:rFonts w:ascii="Arial" w:cs="Arial" w:eastAsia="Arial" w:hAnsi="Arial"/>
                <w:sz w:val="20"/>
                <w:szCs w:val="20"/>
                <w:color w:val="auto"/>
              </w:rPr>
              <w:t>2,235</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61"/>
        </w:trPr>
        <w:tc>
          <w:tcPr>
            <w:tcW w:w="4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2"/>
                <w:szCs w:val="22"/>
                <w:color w:val="auto"/>
              </w:rPr>
            </w:pPr>
          </w:p>
        </w:tc>
        <w:tc>
          <w:tcPr>
            <w:tcW w:w="1980" w:type="dxa"/>
            <w:vAlign w:val="bottom"/>
          </w:tcPr>
          <w:p>
            <w:pPr>
              <w:jc w:val="right"/>
              <w:ind w:right="454"/>
              <w:spacing w:after="0"/>
              <w:rPr>
                <w:sz w:val="20"/>
                <w:szCs w:val="20"/>
                <w:color w:val="auto"/>
              </w:rPr>
            </w:pPr>
            <w:r>
              <w:rPr>
                <w:rFonts w:ascii="Arial" w:cs="Arial" w:eastAsia="Arial" w:hAnsi="Arial"/>
                <w:sz w:val="20"/>
                <w:szCs w:val="20"/>
                <w:color w:val="auto"/>
              </w:rPr>
              <w:t>(137,112)</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0" w:type="dxa"/>
            <w:vAlign w:val="bottom"/>
          </w:tcPr>
          <w:p>
            <w:pPr>
              <w:jc w:val="right"/>
              <w:ind w:right="435"/>
              <w:spacing w:after="0"/>
              <w:rPr>
                <w:sz w:val="20"/>
                <w:szCs w:val="20"/>
                <w:color w:val="auto"/>
              </w:rPr>
            </w:pPr>
            <w:r>
              <w:rPr>
                <w:rFonts w:ascii="Arial" w:cs="Arial" w:eastAsia="Arial" w:hAnsi="Arial"/>
                <w:sz w:val="20"/>
                <w:szCs w:val="20"/>
                <w:color w:val="auto"/>
              </w:rPr>
              <w:t>(166,982)</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809"/>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jc w:val="right"/>
              <w:ind w:right="1574"/>
              <w:spacing w:after="0"/>
              <w:rPr>
                <w:sz w:val="20"/>
                <w:szCs w:val="20"/>
                <w:color w:val="auto"/>
              </w:rPr>
            </w:pPr>
            <w:r>
              <w:rPr>
                <w:rFonts w:ascii="Arial" w:cs="Arial" w:eastAsia="Arial" w:hAnsi="Arial"/>
                <w:sz w:val="18"/>
                <w:szCs w:val="18"/>
                <w:color w:val="auto"/>
                <w:w w:val="99"/>
              </w:rPr>
              <w:t>146</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3"/>
        </w:trPr>
        <w:tc>
          <w:tcPr>
            <w:tcW w:w="4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146" w:name="page147"/>
    <w:bookmarkEnd w:id="1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The pro forma financial information presented above has been prepared by combining the Company’s historical results and the historical results of Clade and adjusting those results to eliminate historical transaction costs and to reflect the effects of the acquisition as if they occurred on January 1, 2023. These results do not purport to be indicative of the results of operations which actually would have resulted had the acquisition occurred on the date indicated above, or that may result in the future, and do not reflect potential synergies or additional costs following the acquisition.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4—Financial instruments and fair value measurements</w:t>
      </w:r>
    </w:p>
    <w:p>
      <w:pPr>
        <w:spacing w:after="0" w:line="214"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2024, by level within the fair value hierarchy:</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8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Assets:</w:t>
            </w: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color w:val="auto"/>
              </w:rPr>
              <w:t>Level 1</w:t>
            </w:r>
          </w:p>
        </w:tc>
        <w:tc>
          <w:tcPr>
            <w:tcW w:w="2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color w:val="auto"/>
              </w:rPr>
              <w:t>Level 2</w:t>
            </w:r>
          </w:p>
        </w:tc>
        <w:tc>
          <w:tcPr>
            <w:tcW w:w="2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color w:val="auto"/>
              </w:rPr>
              <w:t>Level 3</w:t>
            </w:r>
          </w:p>
        </w:tc>
        <w:tc>
          <w:tcPr>
            <w:tcW w:w="2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28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04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50,884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50,884</w:t>
            </w:r>
          </w:p>
        </w:tc>
        <w:tc>
          <w:tcPr>
            <w:tcW w:w="0" w:type="dxa"/>
            <w:vAlign w:val="bottom"/>
          </w:tcPr>
          <w:p>
            <w:pPr>
              <w:spacing w:after="0"/>
              <w:rPr>
                <w:sz w:val="1"/>
                <w:szCs w:val="1"/>
                <w:color w:val="auto"/>
              </w:rPr>
            </w:pP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auto"/>
              </w:rPr>
              <w:t>U.S. Treasury</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29,994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29,994</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bonds</w:t>
            </w:r>
          </w:p>
        </w:tc>
        <w:tc>
          <w:tcPr>
            <w:tcW w:w="8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131,675</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131,675</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50,884</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161,669</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212,553</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Contingent consideration</w:t>
            </w:r>
          </w:p>
        </w:tc>
        <w:tc>
          <w:tcPr>
            <w:tcW w:w="8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8,738</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8,738</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2023, by level within the fair value hierarchy:</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6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color w:val="auto"/>
              </w:rPr>
              <w:t>Level 1</w:t>
            </w:r>
          </w:p>
        </w:tc>
        <w:tc>
          <w:tcPr>
            <w:tcW w:w="2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color w:val="auto"/>
              </w:rPr>
              <w:t>Level 2</w:t>
            </w: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2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color w:val="auto"/>
              </w:rPr>
              <w:t>Total</w:t>
            </w:r>
          </w:p>
        </w:tc>
      </w:tr>
      <w:tr>
        <w:trPr>
          <w:trHeight w:val="196"/>
        </w:trPr>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42,263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7"/>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42,263</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U.S. Treasury</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26,114</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26,114</w:t>
            </w: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188,396</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188,396</w:t>
            </w:r>
          </w:p>
        </w:tc>
      </w:tr>
      <w:tr>
        <w:trPr>
          <w:trHeight w:val="196"/>
        </w:trPr>
        <w:tc>
          <w:tcPr>
            <w:tcW w:w="36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42,263</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214,510</w:t>
            </w:r>
          </w:p>
        </w:tc>
        <w:tc>
          <w:tcPr>
            <w:tcW w:w="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79"/>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256,773</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There were no transfers between levels during the years ended December 31, 2024 and 2023. The Company uses the services of its investment manager, which uses widely accepted models for assumptions in valuing securities with inputs from major third-party data providers.</w:t>
      </w:r>
    </w:p>
    <w:p>
      <w:pPr>
        <w:spacing w:after="0" w:line="155"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40"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2024:</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1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820" w:type="dxa"/>
            <w:vAlign w:val="bottom"/>
            <w:gridSpan w:val="2"/>
          </w:tcPr>
          <w:p>
            <w:pPr>
              <w:jc w:val="right"/>
              <w:ind w:right="17"/>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120" w:type="dxa"/>
            <w:vAlign w:val="bottom"/>
          </w:tcPr>
          <w:p>
            <w:pPr>
              <w:spacing w:after="0"/>
              <w:rPr>
                <w:sz w:val="14"/>
                <w:szCs w:val="14"/>
                <w:color w:val="auto"/>
              </w:rPr>
            </w:pPr>
          </w:p>
        </w:tc>
        <w:tc>
          <w:tcPr>
            <w:tcW w:w="2840" w:type="dxa"/>
            <w:vAlign w:val="bottom"/>
            <w:gridSpan w:val="3"/>
          </w:tcPr>
          <w:p>
            <w:pPr>
              <w:ind w:left="1800"/>
              <w:spacing w:after="0"/>
              <w:rPr>
                <w:sz w:val="20"/>
                <w:szCs w:val="20"/>
                <w:color w:val="auto"/>
              </w:rPr>
            </w:pPr>
            <w:r>
              <w:rPr>
                <w:rFonts w:ascii="Arial" w:cs="Arial" w:eastAsia="Arial" w:hAnsi="Arial"/>
                <w:sz w:val="14"/>
                <w:szCs w:val="14"/>
                <w:color w:val="auto"/>
              </w:rPr>
              <w:t>Amortized Cost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 Treasury</w:t>
            </w:r>
          </w:p>
        </w:tc>
        <w:tc>
          <w:tcPr>
            <w:tcW w:w="18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29,898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29,994</w:t>
            </w:r>
          </w:p>
        </w:tc>
      </w:tr>
      <w:tr>
        <w:trPr>
          <w:trHeight w:val="203"/>
        </w:trPr>
        <w:tc>
          <w:tcPr>
            <w:tcW w:w="31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bonds</w:t>
            </w:r>
          </w:p>
        </w:tc>
        <w:tc>
          <w:tcPr>
            <w:tcW w:w="18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131,395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316</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131,675</w:t>
            </w:r>
          </w:p>
        </w:tc>
      </w:tr>
      <w:tr>
        <w:trPr>
          <w:trHeight w:val="196"/>
        </w:trPr>
        <w:tc>
          <w:tcPr>
            <w:tcW w:w="3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161,293</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161,669</w:t>
            </w:r>
          </w:p>
        </w:tc>
      </w:tr>
      <w:tr>
        <w:trPr>
          <w:trHeight w:val="20"/>
        </w:trPr>
        <w:tc>
          <w:tcPr>
            <w:tcW w:w="3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7" w:name="page148"/>
    <w:bookmarkEnd w:id="1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2023:</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16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7"/>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160" w:type="dxa"/>
            <w:vAlign w:val="bottom"/>
          </w:tcPr>
          <w:p>
            <w:pPr>
              <w:spacing w:after="0"/>
              <w:rPr>
                <w:sz w:val="14"/>
                <w:szCs w:val="14"/>
                <w:color w:val="auto"/>
              </w:rPr>
            </w:pPr>
          </w:p>
        </w:tc>
        <w:tc>
          <w:tcPr>
            <w:tcW w:w="2860" w:type="dxa"/>
            <w:vAlign w:val="bottom"/>
            <w:gridSpan w:val="3"/>
          </w:tcPr>
          <w:p>
            <w:pPr>
              <w:ind w:left="1820"/>
              <w:spacing w:after="0"/>
              <w:rPr>
                <w:sz w:val="20"/>
                <w:szCs w:val="20"/>
                <w:color w:val="auto"/>
              </w:rPr>
            </w:pPr>
            <w:r>
              <w:rPr>
                <w:rFonts w:ascii="Arial" w:cs="Arial" w:eastAsia="Arial" w:hAnsi="Arial"/>
                <w:sz w:val="14"/>
                <w:szCs w:val="14"/>
                <w:color w:val="auto"/>
              </w:rPr>
              <w:t>Amortized Cost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3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 Treasury</w:t>
            </w:r>
          </w:p>
        </w:tc>
        <w:tc>
          <w:tcPr>
            <w:tcW w:w="1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26,070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26,114</w:t>
            </w:r>
          </w:p>
        </w:tc>
      </w:tr>
      <w:tr>
        <w:trPr>
          <w:trHeight w:val="203"/>
        </w:trPr>
        <w:tc>
          <w:tcPr>
            <w:tcW w:w="31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bonds</w:t>
            </w:r>
          </w:p>
        </w:tc>
        <w:tc>
          <w:tcPr>
            <w:tcW w:w="18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188,219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188,396</w:t>
            </w:r>
          </w:p>
        </w:tc>
      </w:tr>
      <w:tr>
        <w:trPr>
          <w:trHeight w:val="196"/>
        </w:trPr>
        <w:tc>
          <w:tcPr>
            <w:tcW w:w="31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214,289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214,510</w:t>
            </w:r>
          </w:p>
        </w:tc>
      </w:tr>
      <w:tr>
        <w:trPr>
          <w:trHeight w:val="20"/>
        </w:trPr>
        <w:tc>
          <w:tcPr>
            <w:tcW w:w="3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maturities of the Company’s fixed maturity available-for-sale securities: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3840" w:type="dxa"/>
            <w:vAlign w:val="bottom"/>
            <w:tcBorders>
              <w:top w:val="single" w:sz="8" w:color="auto"/>
            </w:tcBorders>
          </w:tcPr>
          <w:p>
            <w:pPr>
              <w:spacing w:after="0"/>
              <w:rPr>
                <w:sz w:val="15"/>
                <w:szCs w:val="15"/>
                <w:color w:val="auto"/>
              </w:rPr>
            </w:pPr>
          </w:p>
        </w:tc>
        <w:tc>
          <w:tcPr>
            <w:tcW w:w="3580" w:type="dxa"/>
            <w:vAlign w:val="bottom"/>
            <w:tcBorders>
              <w:top w:val="single" w:sz="8" w:color="auto"/>
            </w:tcBorders>
            <w:gridSpan w:val="3"/>
          </w:tcPr>
          <w:p>
            <w:pPr>
              <w:ind w:left="2300"/>
              <w:spacing w:after="0"/>
              <w:rPr>
                <w:sz w:val="20"/>
                <w:szCs w:val="20"/>
                <w:color w:val="auto"/>
              </w:rPr>
            </w:pPr>
            <w:r>
              <w:rPr>
                <w:rFonts w:ascii="Arial" w:cs="Arial" w:eastAsia="Arial" w:hAnsi="Arial"/>
                <w:sz w:val="14"/>
                <w:szCs w:val="14"/>
                <w:color w:val="auto"/>
              </w:rPr>
              <w:t>December 31, 2024</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December 31, 2023</w:t>
            </w: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130,851</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125,414</w:t>
            </w:r>
          </w:p>
        </w:tc>
      </w:tr>
      <w:tr>
        <w:trPr>
          <w:trHeight w:val="203"/>
        </w:trPr>
        <w:tc>
          <w:tcPr>
            <w:tcW w:w="38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One to five years</w:t>
            </w:r>
          </w:p>
        </w:tc>
        <w:tc>
          <w:tcPr>
            <w:tcW w:w="23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30,818</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89,096</w:t>
            </w:r>
          </w:p>
        </w:tc>
      </w:tr>
      <w:tr>
        <w:trPr>
          <w:trHeight w:val="196"/>
        </w:trPr>
        <w:tc>
          <w:tcPr>
            <w:tcW w:w="38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161,669</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214,510</w:t>
            </w:r>
          </w:p>
        </w:tc>
      </w:tr>
    </w:tbl>
    <w:p>
      <w:pPr>
        <w:spacing w:after="0" w:line="18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6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of December 31, 2024 and December 31, 2023, the Company had 27 and 25 available-for-sale investment debt securities in an unrealized loss position without an allowance for credit losses, respectively. Unrealized losses on corporate debt have not been recognized into income because the issuers’ bonds are of high credit quality (rated BBB+ or higher) and the decline is fair value is largely due to market conditions and or changes in interest rates. Management does not intend to sell and it is likely that management will not be required to sell the securities prior to the anticipated recovery of their amortized cost basis. The issuers continue to make timely payments on the bonds. The fair value is expected to recover as the bond approaches maturity.</w:t>
      </w:r>
    </w:p>
    <w:p>
      <w:pPr>
        <w:spacing w:after="0" w:line="171" w:lineRule="exact"/>
        <w:rPr>
          <w:sz w:val="20"/>
          <w:szCs w:val="20"/>
          <w:color w:val="auto"/>
        </w:rPr>
      </w:pPr>
    </w:p>
    <w:p>
      <w:pPr>
        <w:ind w:left="60" w:right="579"/>
        <w:spacing w:after="0" w:line="253" w:lineRule="auto"/>
        <w:rPr>
          <w:sz w:val="20"/>
          <w:szCs w:val="20"/>
          <w:color w:val="auto"/>
        </w:rPr>
      </w:pPr>
      <w:r>
        <w:rPr>
          <w:rFonts w:ascii="Arial" w:cs="Arial" w:eastAsia="Arial" w:hAnsi="Arial"/>
          <w:sz w:val="18"/>
          <w:szCs w:val="18"/>
          <w:color w:val="auto"/>
        </w:rPr>
        <w:t>As of December 31, 2024 and December 31, 2023, accrued interest on available-for-sale investment debt securities totaling $ 1,254 and $1,570, respectively, is excluded from the estimate of credit losses and is included in prepaid expenses and other current assets.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rollforward of the components of the Company’s contingent liability (see Note 10 –</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Commitments and contingencies):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Gadeta</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20"/>
                <w:szCs w:val="20"/>
                <w:color w:val="auto"/>
              </w:rPr>
              <w:t>Holdback Shares</w:t>
            </w:r>
          </w:p>
        </w:tc>
        <w:tc>
          <w:tcPr>
            <w:tcW w:w="1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20"/>
                <w:szCs w:val="20"/>
                <w:color w:val="auto"/>
              </w:rPr>
              <w:t>Milestone</w:t>
            </w:r>
          </w:p>
        </w:tc>
        <w:tc>
          <w:tcPr>
            <w:tcW w:w="260" w:type="dxa"/>
            <w:vAlign w:val="bottom"/>
          </w:tcPr>
          <w:p>
            <w:pPr>
              <w:spacing w:after="0"/>
              <w:rPr>
                <w:sz w:val="20"/>
                <w:szCs w:val="20"/>
                <w:color w:val="auto"/>
              </w:rPr>
            </w:pPr>
          </w:p>
        </w:tc>
        <w:tc>
          <w:tcPr>
            <w:tcW w:w="880" w:type="dxa"/>
            <w:vAlign w:val="bottom"/>
            <w:gridSpan w:val="2"/>
          </w:tcPr>
          <w:p>
            <w:pPr>
              <w:ind w:left="180"/>
              <w:spacing w:after="0"/>
              <w:rPr>
                <w:sz w:val="20"/>
                <w:szCs w:val="20"/>
                <w:color w:val="auto"/>
              </w:rPr>
            </w:pPr>
            <w:r>
              <w:rPr>
                <w:rFonts w:ascii="Arial" w:cs="Arial" w:eastAsia="Arial" w:hAnsi="Arial"/>
                <w:sz w:val="20"/>
                <w:szCs w:val="20"/>
                <w:color w:val="auto"/>
              </w:rPr>
              <w:t>Total</w:t>
            </w:r>
          </w:p>
        </w:tc>
      </w:tr>
      <w:tr>
        <w:trPr>
          <w:trHeight w:val="210"/>
        </w:trPr>
        <w:tc>
          <w:tcPr>
            <w:tcW w:w="3260" w:type="dxa"/>
            <w:vAlign w:val="bottom"/>
            <w:tcBorders>
              <w:top w:val="single" w:sz="8" w:color="CCEEFF"/>
            </w:tcBorders>
            <w:shd w:val="clear" w:color="auto" w:fill="CCEEFF"/>
          </w:tcPr>
          <w:p>
            <w:pPr>
              <w:ind w:left="20"/>
              <w:spacing w:after="0" w:line="209" w:lineRule="exact"/>
              <w:rPr>
                <w:sz w:val="20"/>
                <w:szCs w:val="20"/>
                <w:color w:val="auto"/>
              </w:rPr>
            </w:pPr>
            <w:r>
              <w:rPr>
                <w:rFonts w:ascii="Arial" w:cs="Arial" w:eastAsia="Arial" w:hAnsi="Arial"/>
                <w:sz w:val="20"/>
                <w:szCs w:val="20"/>
                <w:color w:val="auto"/>
              </w:rPr>
              <w:t>Balance as of April 11, 2024</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372</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2,588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7,134</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10,094</w:t>
            </w:r>
          </w:p>
        </w:tc>
        <w:tc>
          <w:tcPr>
            <w:tcW w:w="20" w:type="dxa"/>
            <w:vAlign w:val="bottom"/>
          </w:tcPr>
          <w:p>
            <w:pPr>
              <w:spacing w:after="0"/>
              <w:rPr>
                <w:sz w:val="18"/>
                <w:szCs w:val="18"/>
                <w:color w:val="auto"/>
              </w:rPr>
            </w:pPr>
          </w:p>
        </w:tc>
      </w:tr>
      <w:tr>
        <w:trPr>
          <w:trHeight w:val="216"/>
        </w:trPr>
        <w:tc>
          <w:tcPr>
            <w:tcW w:w="3260" w:type="dxa"/>
            <w:vAlign w:val="bottom"/>
          </w:tcPr>
          <w:p>
            <w:pPr>
              <w:ind w:left="20"/>
              <w:spacing w:after="0" w:line="216" w:lineRule="exact"/>
              <w:rPr>
                <w:sz w:val="20"/>
                <w:szCs w:val="20"/>
                <w:color w:val="auto"/>
              </w:rPr>
            </w:pPr>
            <w:r>
              <w:rPr>
                <w:rFonts w:ascii="Arial" w:cs="Arial" w:eastAsia="Arial" w:hAnsi="Arial"/>
                <w:sz w:val="20"/>
                <w:szCs w:val="20"/>
                <w:color w:val="auto"/>
              </w:rPr>
              <w:t>Changes in fair value</w:t>
            </w:r>
          </w:p>
        </w:tc>
        <w:tc>
          <w:tcPr>
            <w:tcW w:w="22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Arial" w:cs="Arial" w:eastAsia="Arial" w:hAnsi="Arial"/>
                <w:sz w:val="20"/>
                <w:szCs w:val="20"/>
                <w:color w:val="auto"/>
              </w:rPr>
              <w:t>41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(1,963)</w:t>
            </w:r>
          </w:p>
        </w:tc>
        <w:tc>
          <w:tcPr>
            <w:tcW w:w="16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Arial" w:cs="Arial" w:eastAsia="Arial" w:hAnsi="Arial"/>
                <w:sz w:val="20"/>
                <w:szCs w:val="20"/>
                <w:color w:val="auto"/>
              </w:rPr>
              <w:t>566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Arial" w:cs="Arial" w:eastAsia="Arial" w:hAnsi="Arial"/>
                <w:sz w:val="20"/>
                <w:szCs w:val="20"/>
                <w:color w:val="auto"/>
              </w:rPr>
              <w:t>(1,356)</w:t>
            </w:r>
          </w:p>
        </w:tc>
        <w:tc>
          <w:tcPr>
            <w:tcW w:w="20" w:type="dxa"/>
            <w:vAlign w:val="bottom"/>
          </w:tcPr>
          <w:p>
            <w:pPr>
              <w:spacing w:after="0"/>
              <w:rPr>
                <w:sz w:val="18"/>
                <w:szCs w:val="18"/>
                <w:color w:val="auto"/>
              </w:rPr>
            </w:pPr>
          </w:p>
        </w:tc>
      </w:tr>
      <w:tr>
        <w:trPr>
          <w:trHeight w:val="210"/>
        </w:trPr>
        <w:tc>
          <w:tcPr>
            <w:tcW w:w="3260" w:type="dxa"/>
            <w:vAlign w:val="bottom"/>
            <w:tcBorders>
              <w:top w:val="single" w:sz="8" w:color="CCEEFF"/>
              <w:bottom w:val="single" w:sz="8" w:color="CCEEFF"/>
            </w:tcBorders>
            <w:shd w:val="clear" w:color="auto" w:fill="CCEEFF"/>
          </w:tcPr>
          <w:p>
            <w:pPr>
              <w:ind w:left="20"/>
              <w:spacing w:after="0" w:line="209" w:lineRule="exact"/>
              <w:rPr>
                <w:sz w:val="20"/>
                <w:szCs w:val="20"/>
                <w:color w:val="auto"/>
              </w:rPr>
            </w:pPr>
            <w:r>
              <w:rPr>
                <w:rFonts w:ascii="Arial" w:cs="Arial" w:eastAsia="Arial" w:hAnsi="Arial"/>
                <w:sz w:val="20"/>
                <w:szCs w:val="20"/>
                <w:color w:val="auto"/>
              </w:rPr>
              <w:t>Balance as of December 31, 2024</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413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625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7,700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8,738</w:t>
            </w:r>
          </w:p>
        </w:tc>
        <w:tc>
          <w:tcPr>
            <w:tcW w:w="20" w:type="dxa"/>
            <w:vAlign w:val="bottom"/>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5"/>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148</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3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148" w:name="page149"/>
    <w:bookmarkEnd w:id="1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table includes quantitative information about the significant unobservable inputs for the components of the Company’s contingent consideration liability as of the April 11, 2024 acquisition date and December 31, 2024.</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20"/>
                <w:szCs w:val="20"/>
                <w:color w:val="auto"/>
              </w:rPr>
              <w:t>April 11, 2024</w:t>
            </w:r>
          </w:p>
        </w:tc>
        <w:tc>
          <w:tcPr>
            <w:tcW w:w="300" w:type="dxa"/>
            <w:vAlign w:val="bottom"/>
          </w:tcPr>
          <w:p>
            <w:pPr>
              <w:spacing w:after="0"/>
              <w:rPr>
                <w:sz w:val="20"/>
                <w:szCs w:val="20"/>
                <w:color w:val="auto"/>
              </w:rPr>
            </w:pPr>
          </w:p>
        </w:tc>
        <w:tc>
          <w:tcPr>
            <w:tcW w:w="2200" w:type="dxa"/>
            <w:vAlign w:val="bottom"/>
            <w:gridSpan w:val="5"/>
          </w:tcPr>
          <w:p>
            <w:pPr>
              <w:jc w:val="right"/>
              <w:ind w:right="150"/>
              <w:spacing w:after="0"/>
              <w:rPr>
                <w:sz w:val="20"/>
                <w:szCs w:val="20"/>
                <w:color w:val="auto"/>
              </w:rPr>
            </w:pPr>
            <w:r>
              <w:rPr>
                <w:rFonts w:ascii="Arial" w:cs="Arial" w:eastAsia="Arial" w:hAnsi="Arial"/>
                <w:sz w:val="20"/>
                <w:szCs w:val="20"/>
                <w:color w:val="auto"/>
              </w:rPr>
              <w:t>December 31, 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Gadeta Earnout:</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line="216" w:lineRule="exact"/>
              <w:rPr>
                <w:sz w:val="20"/>
                <w:szCs w:val="20"/>
                <w:color w:val="auto"/>
              </w:rPr>
            </w:pPr>
            <w:r>
              <w:rPr>
                <w:rFonts w:ascii="Arial" w:cs="Arial" w:eastAsia="Arial" w:hAnsi="Arial"/>
                <w:sz w:val="20"/>
                <w:szCs w:val="20"/>
                <w:color w:val="auto"/>
              </w:rPr>
              <w:t>Probability adjusted value of payment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0" w:type="dxa"/>
            <w:vAlign w:val="bottom"/>
          </w:tcPr>
          <w:p>
            <w:pPr>
              <w:jc w:val="center"/>
              <w:ind w:right="6"/>
              <w:spacing w:after="0" w:line="216" w:lineRule="exact"/>
              <w:rPr>
                <w:sz w:val="20"/>
                <w:szCs w:val="20"/>
                <w:color w:val="auto"/>
              </w:rPr>
            </w:pPr>
            <w:r>
              <w:rPr>
                <w:rFonts w:ascii="Arial" w:cs="Arial" w:eastAsia="Arial" w:hAnsi="Arial"/>
                <w:sz w:val="20"/>
                <w:szCs w:val="20"/>
                <w:color w:val="auto"/>
                <w:w w:val="99"/>
              </w:rPr>
              <w:t>1,060</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80" w:type="dxa"/>
            <w:vAlign w:val="bottom"/>
            <w:gridSpan w:val="3"/>
          </w:tcPr>
          <w:p>
            <w:pPr>
              <w:jc w:val="center"/>
              <w:spacing w:after="0" w:line="216" w:lineRule="exact"/>
              <w:rPr>
                <w:sz w:val="20"/>
                <w:szCs w:val="20"/>
                <w:color w:val="auto"/>
              </w:rPr>
            </w:pPr>
            <w:r>
              <w:rPr>
                <w:rFonts w:ascii="Arial" w:cs="Arial" w:eastAsia="Arial" w:hAnsi="Arial"/>
                <w:sz w:val="20"/>
                <w:szCs w:val="20"/>
                <w:color w:val="auto"/>
                <w:w w:val="99"/>
              </w:rPr>
              <w:t>1,060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Discount rate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8"/>
              </w:rPr>
              <w:t>12.6%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spacing w:after="0" w:line="216" w:lineRule="exact"/>
              <w:rPr>
                <w:sz w:val="20"/>
                <w:szCs w:val="20"/>
                <w:color w:val="auto"/>
              </w:rPr>
            </w:pPr>
            <w:r>
              <w:rPr>
                <w:rFonts w:ascii="Arial" w:cs="Arial" w:eastAsia="Arial" w:hAnsi="Arial"/>
                <w:sz w:val="20"/>
                <w:szCs w:val="20"/>
                <w:color w:val="auto"/>
                <w:w w:val="98"/>
              </w:rPr>
              <w:t>12.4%</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line="216" w:lineRule="exact"/>
              <w:rPr>
                <w:sz w:val="20"/>
                <w:szCs w:val="20"/>
                <w:color w:val="auto"/>
              </w:rPr>
            </w:pPr>
            <w:r>
              <w:rPr>
                <w:rFonts w:ascii="Arial" w:cs="Arial" w:eastAsia="Arial" w:hAnsi="Arial"/>
                <w:sz w:val="20"/>
                <w:szCs w:val="20"/>
                <w:color w:val="auto"/>
              </w:rPr>
              <w:t>Discount period (years)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line="216" w:lineRule="exact"/>
              <w:rPr>
                <w:sz w:val="20"/>
                <w:szCs w:val="20"/>
                <w:color w:val="auto"/>
              </w:rPr>
            </w:pPr>
            <w:r>
              <w:rPr>
                <w:rFonts w:ascii="Arial" w:cs="Arial" w:eastAsia="Arial" w:hAnsi="Arial"/>
                <w:sz w:val="20"/>
                <w:szCs w:val="20"/>
                <w:color w:val="auto"/>
              </w:rPr>
              <w:t>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3"/>
          </w:tcPr>
          <w:p>
            <w:pPr>
              <w:jc w:val="center"/>
              <w:spacing w:after="0" w:line="216" w:lineRule="exact"/>
              <w:rPr>
                <w:sz w:val="20"/>
                <w:szCs w:val="20"/>
                <w:color w:val="auto"/>
              </w:rPr>
            </w:pPr>
            <w:r>
              <w:rPr>
                <w:rFonts w:ascii="Arial" w:cs="Arial" w:eastAsia="Arial" w:hAnsi="Arial"/>
                <w:sz w:val="20"/>
                <w:szCs w:val="20"/>
                <w:color w:val="auto"/>
                <w:w w:val="93"/>
              </w:rPr>
              <w:t>8.1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line="216" w:lineRule="exact"/>
              <w:rPr>
                <w:sz w:val="20"/>
                <w:szCs w:val="20"/>
                <w:color w:val="auto"/>
              </w:rPr>
            </w:pPr>
            <w:r>
              <w:rPr>
                <w:rFonts w:ascii="Arial" w:cs="Arial" w:eastAsia="Arial" w:hAnsi="Arial"/>
                <w:sz w:val="20"/>
                <w:szCs w:val="20"/>
                <w:color w:val="auto"/>
              </w:rPr>
              <w:t>Holdback Shares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Closing stock price on valuation date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6"/>
              <w:spacing w:after="0" w:line="216" w:lineRule="exact"/>
              <w:rPr>
                <w:sz w:val="20"/>
                <w:szCs w:val="20"/>
                <w:color w:val="auto"/>
              </w:rPr>
            </w:pPr>
            <w:r>
              <w:rPr>
                <w:rFonts w:ascii="Arial" w:cs="Arial" w:eastAsia="Arial" w:hAnsi="Arial"/>
                <w:sz w:val="20"/>
                <w:szCs w:val="20"/>
                <w:color w:val="auto"/>
                <w:w w:val="97"/>
              </w:rPr>
              <w:t>4.05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spacing w:after="0" w:line="216" w:lineRule="exact"/>
              <w:rPr>
                <w:sz w:val="20"/>
                <w:szCs w:val="20"/>
                <w:color w:val="auto"/>
              </w:rPr>
            </w:pPr>
            <w:r>
              <w:rPr>
                <w:rFonts w:ascii="Arial" w:cs="Arial" w:eastAsia="Arial" w:hAnsi="Arial"/>
                <w:sz w:val="20"/>
                <w:szCs w:val="20"/>
                <w:color w:val="auto"/>
                <w:w w:val="97"/>
              </w:rPr>
              <w:t>1.01</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line="216" w:lineRule="exact"/>
              <w:rPr>
                <w:sz w:val="20"/>
                <w:szCs w:val="20"/>
                <w:color w:val="auto"/>
              </w:rPr>
            </w:pPr>
            <w:r>
              <w:rPr>
                <w:rFonts w:ascii="Arial" w:cs="Arial" w:eastAsia="Arial" w:hAnsi="Arial"/>
                <w:sz w:val="20"/>
                <w:szCs w:val="20"/>
                <w:color w:val="auto"/>
              </w:rPr>
              <w:t>Discount for lack of marketability</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0" w:type="dxa"/>
            <w:vAlign w:val="bottom"/>
          </w:tcPr>
          <w:p>
            <w:pPr>
              <w:jc w:val="center"/>
              <w:spacing w:after="0" w:line="216" w:lineRule="exact"/>
              <w:rPr>
                <w:sz w:val="20"/>
                <w:szCs w:val="20"/>
                <w:color w:val="auto"/>
              </w:rPr>
            </w:pPr>
            <w:r>
              <w:rPr>
                <w:rFonts w:ascii="Arial" w:cs="Arial" w:eastAsia="Arial" w:hAnsi="Arial"/>
                <w:sz w:val="20"/>
                <w:szCs w:val="20"/>
                <w:color w:val="auto"/>
                <w:w w:val="99"/>
              </w:rPr>
              <w:t>(0.79)</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80" w:type="dxa"/>
            <w:vAlign w:val="bottom"/>
            <w:gridSpan w:val="3"/>
          </w:tcPr>
          <w:p>
            <w:pPr>
              <w:jc w:val="center"/>
              <w:spacing w:after="0" w:line="216" w:lineRule="exact"/>
              <w:rPr>
                <w:sz w:val="20"/>
                <w:szCs w:val="20"/>
                <w:color w:val="auto"/>
              </w:rPr>
            </w:pPr>
            <w:r>
              <w:rPr>
                <w:rFonts w:ascii="Arial" w:cs="Arial" w:eastAsia="Arial" w:hAnsi="Arial"/>
                <w:sz w:val="20"/>
                <w:szCs w:val="20"/>
                <w:color w:val="auto"/>
                <w:w w:val="99"/>
              </w:rPr>
              <w:t>(0.22)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line="216" w:lineRule="exact"/>
              <w:rPr>
                <w:sz w:val="20"/>
                <w:szCs w:val="20"/>
                <w:color w:val="auto"/>
              </w:rPr>
            </w:pPr>
            <w:r>
              <w:rPr>
                <w:rFonts w:ascii="Arial" w:cs="Arial" w:eastAsia="Arial" w:hAnsi="Arial"/>
                <w:sz w:val="20"/>
                <w:szCs w:val="20"/>
                <w:color w:val="auto"/>
              </w:rPr>
              <w:t>Clade Milestone: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Probability adjusted value of payments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6"/>
              <w:spacing w:after="0" w:line="216" w:lineRule="exact"/>
              <w:rPr>
                <w:sz w:val="20"/>
                <w:szCs w:val="20"/>
                <w:color w:val="auto"/>
              </w:rPr>
            </w:pPr>
            <w:r>
              <w:rPr>
                <w:rFonts w:ascii="Arial" w:cs="Arial" w:eastAsia="Arial" w:hAnsi="Arial"/>
                <w:sz w:val="20"/>
                <w:szCs w:val="20"/>
                <w:color w:val="auto"/>
                <w:w w:val="99"/>
              </w:rPr>
              <w:t>9,000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spacing w:after="0" w:line="216" w:lineRule="exact"/>
              <w:rPr>
                <w:sz w:val="20"/>
                <w:szCs w:val="20"/>
                <w:color w:val="auto"/>
              </w:rPr>
            </w:pPr>
            <w:r>
              <w:rPr>
                <w:rFonts w:ascii="Arial" w:cs="Arial" w:eastAsia="Arial" w:hAnsi="Arial"/>
                <w:sz w:val="20"/>
                <w:szCs w:val="20"/>
                <w:color w:val="auto"/>
                <w:w w:val="99"/>
              </w:rPr>
              <w:t>9,000</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line="216" w:lineRule="exact"/>
              <w:rPr>
                <w:sz w:val="20"/>
                <w:szCs w:val="20"/>
                <w:color w:val="auto"/>
              </w:rPr>
            </w:pPr>
            <w:r>
              <w:rPr>
                <w:rFonts w:ascii="Arial" w:cs="Arial" w:eastAsia="Arial" w:hAnsi="Arial"/>
                <w:sz w:val="20"/>
                <w:szCs w:val="20"/>
                <w:color w:val="auto"/>
              </w:rPr>
              <w:t>Discount rate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line="216" w:lineRule="exact"/>
              <w:rPr>
                <w:sz w:val="20"/>
                <w:szCs w:val="20"/>
                <w:color w:val="auto"/>
              </w:rPr>
            </w:pPr>
            <w:r>
              <w:rPr>
                <w:rFonts w:ascii="Arial" w:cs="Arial" w:eastAsia="Arial" w:hAnsi="Arial"/>
                <w:sz w:val="20"/>
                <w:szCs w:val="20"/>
                <w:color w:val="auto"/>
                <w:w w:val="98"/>
              </w:rPr>
              <w:t>10.6%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3"/>
          </w:tcPr>
          <w:p>
            <w:pPr>
              <w:jc w:val="center"/>
              <w:spacing w:after="0" w:line="216" w:lineRule="exact"/>
              <w:rPr>
                <w:sz w:val="20"/>
                <w:szCs w:val="20"/>
                <w:color w:val="auto"/>
              </w:rPr>
            </w:pPr>
            <w:r>
              <w:rPr>
                <w:rFonts w:ascii="Arial" w:cs="Arial" w:eastAsia="Arial" w:hAnsi="Arial"/>
                <w:sz w:val="20"/>
                <w:szCs w:val="20"/>
                <w:color w:val="auto"/>
                <w:w w:val="98"/>
              </w:rPr>
              <w:t>10.3%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Discount period (years)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rPr>
              <w:t>2.3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spacing w:after="0" w:line="216" w:lineRule="exact"/>
              <w:rPr>
                <w:sz w:val="20"/>
                <w:szCs w:val="20"/>
                <w:color w:val="auto"/>
              </w:rPr>
            </w:pPr>
            <w:r>
              <w:rPr>
                <w:rFonts w:ascii="Arial" w:cs="Arial" w:eastAsia="Arial" w:hAnsi="Arial"/>
                <w:sz w:val="20"/>
                <w:szCs w:val="20"/>
                <w:color w:val="auto"/>
                <w:w w:val="93"/>
              </w:rPr>
              <w:t>1.6</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6400" w:type="dxa"/>
            <w:vAlign w:val="bottom"/>
            <w:gridSpan w:val="6"/>
          </w:tcPr>
          <w:p>
            <w:pPr>
              <w:spacing w:after="0"/>
              <w:rPr>
                <w:sz w:val="20"/>
                <w:szCs w:val="20"/>
                <w:color w:val="auto"/>
              </w:rPr>
            </w:pPr>
            <w:r>
              <w:rPr>
                <w:rFonts w:ascii="Arial" w:cs="Arial" w:eastAsia="Arial" w:hAnsi="Arial"/>
                <w:sz w:val="22"/>
                <w:szCs w:val="22"/>
                <w:color w:val="auto"/>
              </w:rPr>
              <w:t>Note 5—Prepaid expenses and other current assets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400" w:type="dxa"/>
            <w:vAlign w:val="bottom"/>
            <w:gridSpan w:val="6"/>
          </w:tcPr>
          <w:p>
            <w:pPr>
              <w:spacing w:after="0"/>
              <w:rPr>
                <w:sz w:val="20"/>
                <w:szCs w:val="20"/>
                <w:color w:val="auto"/>
              </w:rPr>
            </w:pPr>
            <w:r>
              <w:rPr>
                <w:rFonts w:ascii="Arial" w:cs="Arial" w:eastAsia="Arial" w:hAnsi="Arial"/>
                <w:sz w:val="18"/>
                <w:szCs w:val="18"/>
                <w:color w:val="auto"/>
              </w:rPr>
              <w:t>The following is a summary of prepaid expenses and other current assets: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4"/>
          </w:tcPr>
          <w:p>
            <w:pPr>
              <w:ind w:left="1400"/>
              <w:spacing w:after="0"/>
              <w:rPr>
                <w:sz w:val="20"/>
                <w:szCs w:val="20"/>
                <w:color w:val="auto"/>
              </w:rPr>
            </w:pPr>
            <w:r>
              <w:rPr>
                <w:rFonts w:ascii="Arial" w:cs="Arial" w:eastAsia="Arial" w:hAnsi="Arial"/>
                <w:sz w:val="14"/>
                <w:szCs w:val="14"/>
                <w:color w:val="auto"/>
              </w:rPr>
              <w:t>December 31, 2024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340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Insurance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 licenses and other</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Prepaid clinical trial</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receivable</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Reimbursement receivable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Warranties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Accrued interest receivable</w:t>
            </w:r>
          </w:p>
        </w:tc>
        <w:tc>
          <w:tcPr>
            <w:tcW w:w="5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1,254</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4,759</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22"/>
                <w:szCs w:val="22"/>
                <w:color w:val="auto"/>
              </w:rPr>
              <w:t>Note 6—Property and equipment, net</w:t>
            </w: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780" w:type="dxa"/>
            <w:vAlign w:val="bottom"/>
            <w:gridSpan w:val="4"/>
          </w:tcPr>
          <w:p>
            <w:pPr>
              <w:spacing w:after="0"/>
              <w:rPr>
                <w:sz w:val="20"/>
                <w:szCs w:val="20"/>
                <w:color w:val="auto"/>
              </w:rPr>
            </w:pPr>
            <w:r>
              <w:rPr>
                <w:rFonts w:ascii="Arial" w:cs="Arial" w:eastAsia="Arial" w:hAnsi="Arial"/>
                <w:sz w:val="18"/>
                <w:szCs w:val="18"/>
                <w:color w:val="auto"/>
              </w:rPr>
              <w:t>The following is a summary of property and equipment, net:</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4"/>
          </w:tcPr>
          <w:p>
            <w:pPr>
              <w:ind w:left="1400"/>
              <w:spacing w:after="0"/>
              <w:rPr>
                <w:sz w:val="20"/>
                <w:szCs w:val="20"/>
                <w:color w:val="auto"/>
              </w:rPr>
            </w:pPr>
            <w:r>
              <w:rPr>
                <w:rFonts w:ascii="Arial" w:cs="Arial" w:eastAsia="Arial" w:hAnsi="Arial"/>
                <w:sz w:val="14"/>
                <w:szCs w:val="14"/>
                <w:color w:val="auto"/>
              </w:rPr>
              <w:t>December 31, 2024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32,385</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61,577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Computer software and equipment</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2,919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98,199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94,543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(36,058)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(22,838)</w:t>
            </w:r>
          </w:p>
        </w:tc>
        <w:tc>
          <w:tcPr>
            <w:tcW w:w="0" w:type="dxa"/>
            <w:vAlign w:val="bottom"/>
          </w:tcPr>
          <w:p>
            <w:pPr>
              <w:spacing w:after="0"/>
              <w:rPr>
                <w:sz w:val="1"/>
                <w:szCs w:val="1"/>
                <w:color w:val="auto"/>
              </w:rPr>
            </w:pPr>
          </w:p>
        </w:tc>
      </w:tr>
      <w:tr>
        <w:trPr>
          <w:trHeight w:val="196"/>
        </w:trPr>
        <w:tc>
          <w:tcPr>
            <w:tcW w:w="4180" w:type="dxa"/>
            <w:vAlign w:val="bottom"/>
            <w:gridSpan w:val="2"/>
          </w:tcPr>
          <w:p>
            <w:pPr>
              <w:spacing w:after="0" w:line="196" w:lineRule="exact"/>
              <w:rPr>
                <w:sz w:val="20"/>
                <w:szCs w:val="20"/>
                <w:color w:val="auto"/>
              </w:rPr>
            </w:pPr>
            <w:r>
              <w:rPr>
                <w:rFonts w:ascii="Arial" w:cs="Arial" w:eastAsia="Arial" w:hAnsi="Arial"/>
                <w:sz w:val="18"/>
                <w:szCs w:val="18"/>
                <w:color w:val="auto"/>
              </w:rPr>
              <w:t>Property and equipment, net</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62,141</w:t>
            </w:r>
          </w:p>
        </w:tc>
        <w:tc>
          <w:tcPr>
            <w:tcW w:w="160" w:type="dxa"/>
            <w:vAlign w:val="bottom"/>
            <w:gridSpan w:val="2"/>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71,705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639"/>
        <w:spacing w:after="0" w:line="247" w:lineRule="auto"/>
        <w:rPr>
          <w:sz w:val="20"/>
          <w:szCs w:val="20"/>
          <w:color w:val="auto"/>
        </w:rPr>
      </w:pPr>
      <w:r>
        <w:rPr>
          <w:rFonts w:ascii="Arial" w:cs="Arial" w:eastAsia="Arial" w:hAnsi="Arial"/>
          <w:sz w:val="18"/>
          <w:szCs w:val="18"/>
          <w:color w:val="auto"/>
        </w:rPr>
        <w:t>Depreciation expense was $13,304 and $13,044 for the years ended December 31, 2024 and 2023, respectively. The Company recognized $11,422 in impairment on property and equipment, net within the consolidated December 31, 2023 financial statements. See Note 18, Impairment of long-lived assets and goodwill”. There were no impairment charges during the year ended December 31, 2024.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9" w:name="page150"/>
    <w:bookmarkEnd w:id="1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7—Accrued expenses and other liabilities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820" w:type="dxa"/>
            <w:vAlign w:val="bottom"/>
            <w:gridSpan w:val="4"/>
          </w:tcPr>
          <w:p>
            <w:pPr>
              <w:ind w:left="1360"/>
              <w:spacing w:after="0"/>
              <w:rPr>
                <w:sz w:val="20"/>
                <w:szCs w:val="20"/>
                <w:color w:val="auto"/>
              </w:rPr>
            </w:pPr>
            <w:r>
              <w:rPr>
                <w:rFonts w:ascii="Arial" w:cs="Arial" w:eastAsia="Arial" w:hAnsi="Arial"/>
                <w:sz w:val="14"/>
                <w:szCs w:val="14"/>
                <w:color w:val="auto"/>
              </w:rPr>
              <w:t>December 31, 2024</w:t>
            </w:r>
          </w:p>
        </w:tc>
        <w:tc>
          <w:tcPr>
            <w:tcW w:w="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December 31, 2023</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Payroll and bonuses</w:t>
            </w:r>
          </w:p>
        </w:tc>
        <w:tc>
          <w:tcPr>
            <w:tcW w:w="1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7,703</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6,496</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Accrued clinical trial related costs</w:t>
            </w: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2,196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470</w:t>
            </w: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and legal fees</w:t>
            </w: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1,642</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Operating lease liability, current</w:t>
            </w: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r>
      <w:tr>
        <w:trPr>
          <w:trHeight w:val="196"/>
        </w:trPr>
        <w:tc>
          <w:tcPr>
            <w:tcW w:w="4780" w:type="dxa"/>
            <w:vAlign w:val="bottom"/>
          </w:tcPr>
          <w:p>
            <w:pPr>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1360" w:type="dxa"/>
            <w:vAlign w:val="bottom"/>
          </w:tcPr>
          <w:p>
            <w:pPr>
              <w:spacing w:after="0"/>
              <w:rPr>
                <w:sz w:val="17"/>
                <w:szCs w:val="17"/>
                <w:color w:val="auto"/>
              </w:rPr>
            </w:pPr>
          </w:p>
        </w:tc>
        <w:tc>
          <w:tcPr>
            <w:tcW w:w="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17,461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10,149</w:t>
            </w:r>
          </w:p>
        </w:tc>
      </w:tr>
      <w:tr>
        <w:trPr>
          <w:trHeight w:val="20"/>
        </w:trPr>
        <w:tc>
          <w:tcPr>
            <w:tcW w:w="4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8—Long-term debt</w:t>
      </w:r>
    </w:p>
    <w:p>
      <w:pPr>
        <w:spacing w:after="0" w:line="214"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On September 14, 2020, the Company entered into a $10,000 Term Loan Agreement (as amended, the “Loan Agreement”) with Hercules Capital, Inc. (“Hercules”). Pursuant to the terms of the Loan Agreement, the Company borrowed $10,000 (the “Tranche 1 Advance”) from the lenders at closing. The Company granted Hercules a lien on substantially all of the Company’s assets, excluding intellectual property.</w:t>
      </w:r>
    </w:p>
    <w:p>
      <w:pPr>
        <w:spacing w:after="0" w:line="17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On May 1, 2023, the Company prepaid the Loan Agreement in full. The total amount paid to Hercules in connection with the prepayment was $10,617, which included all outstanding principal, accrued and unpaid interest and end of term and prepayment charges (“the Payoff Amount”). The Payoff Amount included a prepayment charge of $100 (equal to 1.0% of the outstanding principal), and an end of term fee of $ 395, which was being recognized as interest expense and accreted over the term of the Loan Agreement using the effective interest method. Upon receipt by Hercules of the Payoff Amount on May 1, 2023, all obligations, covenants, debts and liabilities of the Company under the Loan Agreement were satisfied and discharged in full, and the Loan Agreement was terminated.</w:t>
      </w:r>
    </w:p>
    <w:p>
      <w:pPr>
        <w:spacing w:after="0" w:line="18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w:t>
      </w:r>
    </w:p>
    <w:p>
      <w:pPr>
        <w:spacing w:after="0" w:line="176"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company incurred interest expense of $540 under the Loan Agreement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 – Bristol-Myers Squibb Collaboration</w:t>
      </w:r>
    </w:p>
    <w:p>
      <w:pPr>
        <w:spacing w:after="0" w:line="214"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was within the scope of ASC 808, Collaborative Arrangements as both parties were active participants in the arrangement and are exposed to significant risks and rewards. While this arrangement was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0" w:name="page151"/>
    <w:bookmarkEnd w:id="1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Pursuant to the Collaboration Agreement, the Company and Bristol-Myers Squibb collaborated on two collaboration programs focused on acute myeloid leukemia (“AML”) and multiple myeloma (“MM”) (“Collaboration Programs”), and Bristol-Myers Squibb had the option to add up to two additional Collaboration Programs for an additional fee. The Company was responsible for generating Development Candidates for each Collaboration Program, and Bristol-Myers Squibb had the option to elect to exclusively license the Development Candidates for pre-clinical development, clinical development and commercialization on a worldwide basis (“License Option”).</w:t>
      </w:r>
    </w:p>
    <w:p>
      <w:pPr>
        <w:spacing w:after="0" w:line="185"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$100,000 and agreed to pay an exercise fee upon the exercise of the License Option (“Licensed Program” and product candidates developed under a Licensed Program, “Licensed Products”). For each Licensed Program, Bristol-Myers Squibb agreed to pay up to $235,000 in milestone payments upon the first achievement of certain development and regulatory milestones and agreed to pay up to $500,000 per Licensed Product in net sales-based milestone payments.</w:t>
      </w:r>
    </w:p>
    <w:p>
      <w:pPr>
        <w:spacing w:after="0" w:line="17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$23,187 in the aggregate (“Equity Premium”), and the remaining $26,813 was recorded as issuance of common stock in stockholders’ equity.</w:t>
      </w:r>
    </w:p>
    <w:p>
      <w:pPr>
        <w:spacing w:after="0" w:line="185"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auto"/>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represented distinct performance obligations for purposes of recognizing revenue and would have recognized revenue if the Company had fulfilled such performance obligations.</w:t>
      </w:r>
    </w:p>
    <w:p>
      <w:pPr>
        <w:spacing w:after="0" w:line="17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The Company determined that the upfront payment and equity premium constituted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was not within the Company’s control and was subject to certain research and development success and therefore carried significant uncertainty.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1" w:name="page152"/>
    <w:bookmarkEnd w:id="1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total transaction price of $123,187 was allocated to the performance obligations based on their estimated standalone selling price on January 7, 2022.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185" w:lineRule="exact"/>
        <w:rPr>
          <w:sz w:val="20"/>
          <w:szCs w:val="20"/>
          <w:color w:val="auto"/>
        </w:rPr>
      </w:pPr>
    </w:p>
    <w:p>
      <w:pPr>
        <w:ind w:left="720" w:right="219" w:hanging="319"/>
        <w:spacing w:after="0"/>
        <w:tabs>
          <w:tab w:leader="none" w:pos="72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services: The Company recognized the portion of the transaction price allocated to each of the research and development performance obligations as the research and 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183" w:lineRule="exact"/>
        <w:rPr>
          <w:rFonts w:ascii="Times New Roman" w:cs="Times New Roman" w:eastAsia="Times New Roman" w:hAnsi="Times New Roman"/>
          <w:sz w:val="18"/>
          <w:szCs w:val="18"/>
          <w:color w:val="auto"/>
        </w:rPr>
      </w:pPr>
    </w:p>
    <w:p>
      <w:pPr>
        <w:ind w:left="720" w:right="199" w:hanging="319"/>
        <w:spacing w:after="0" w:line="246" w:lineRule="auto"/>
        <w:tabs>
          <w:tab w:leader="none" w:pos="72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License option rights: The transaction price allocated to the license options rights, which were considered material rights to license and commercialize the underlying research and development target, were deferred Bristol-Myers Squibb would have elected to exercise or not exercise its option or when the option to exercise expired.</w:t>
      </w:r>
    </w:p>
    <w:p>
      <w:pPr>
        <w:spacing w:after="0" w:line="177"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Following an internal corporate portfolio prioritization process, Bristol-Myers Squibb notified the Company on December 12, 2024 that it would be terminating the Collaboration Agreement in its entirety without cause. The termination was effective on March 12, 2025. As a result of the notice of termination, the Company concluded that the research and development services being provided to Bristol-Myers Squibb are substantially complete as of December 31, 2024, and accordingly, the remaining transaction price allocated to that performance obligation was recorded in the fourth quarter of 2024. The remaining transaction price related to the license option rights is expected to be recognized in the first quarter of 2025 when the option right expires upon the termination of the Collaboration Agreement.</w:t>
      </w:r>
    </w:p>
    <w:p>
      <w:pPr>
        <w:spacing w:after="0" w:line="383"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auto"/>
        </w:rPr>
        <w:t>The following table summarizes the allocation of the total transaction price to the identified performance obligations under the arrangement, and the amount of the transaction price unsatisfied as of December 31, 2024:</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Performance obligations: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Option rights</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7"/>
          <w:szCs w:val="17"/>
          <w:color w:val="231F20"/>
        </w:rPr>
        <w:t>Research and development services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w:t>
      </w:r>
    </w:p>
    <w:p>
      <w:pPr>
        <w:spacing w:after="0" w:line="4" w:lineRule="exact"/>
        <w:rPr>
          <w:sz w:val="20"/>
          <w:szCs w:val="20"/>
          <w:color w:val="auto"/>
        </w:rPr>
      </w:pPr>
    </w:p>
    <w:p>
      <w:pPr>
        <w:ind w:left="160" w:right="400"/>
        <w:spacing w:after="0" w:line="247" w:lineRule="auto"/>
        <w:rPr>
          <w:sz w:val="20"/>
          <w:szCs w:val="20"/>
          <w:color w:val="auto"/>
        </w:rPr>
      </w:pPr>
      <w:r>
        <w:rPr>
          <w:rFonts w:ascii="Arial" w:cs="Arial" w:eastAsia="Arial" w:hAnsi="Arial"/>
          <w:sz w:val="18"/>
          <w:szCs w:val="18"/>
          <w:color w:val="231F20"/>
        </w:rPr>
        <w:t>Less current portion of deferred revenue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 long-term deferred revenue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4"/>
                <w:szCs w:val="14"/>
                <w:color w:val="231F20"/>
              </w:rPr>
              <w:t>Cumulative collaboration</w:t>
            </w:r>
          </w:p>
        </w:tc>
        <w:tc>
          <w:tcPr>
            <w:tcW w:w="180" w:type="dxa"/>
            <w:vAlign w:val="bottom"/>
          </w:tcPr>
          <w:p>
            <w:pPr>
              <w:spacing w:after="0"/>
              <w:rPr>
                <w:sz w:val="16"/>
                <w:szCs w:val="16"/>
                <w:color w:val="auto"/>
              </w:rPr>
            </w:pPr>
          </w:p>
        </w:tc>
        <w:tc>
          <w:tcPr>
            <w:tcW w:w="1700" w:type="dxa"/>
            <w:vAlign w:val="bottom"/>
          </w:tcPr>
          <w:p>
            <w:pPr>
              <w:jc w:val="right"/>
              <w:ind w:right="575"/>
              <w:spacing w:after="0"/>
              <w:rPr>
                <w:sz w:val="20"/>
                <w:szCs w:val="20"/>
                <w:color w:val="auto"/>
              </w:rPr>
            </w:pPr>
            <w:r>
              <w:rPr>
                <w:rFonts w:ascii="Arial" w:cs="Arial" w:eastAsia="Arial" w:hAnsi="Arial"/>
                <w:sz w:val="14"/>
                <w:szCs w:val="14"/>
                <w:color w:val="231F20"/>
              </w:rPr>
              <w:t>Deferred</w:t>
            </w:r>
          </w:p>
        </w:tc>
      </w:tr>
      <w:tr>
        <w:trPr>
          <w:trHeight w:val="220"/>
        </w:trPr>
        <w:tc>
          <w:tcPr>
            <w:tcW w:w="1440" w:type="dxa"/>
            <w:vAlign w:val="bottom"/>
            <w:gridSpan w:val="3"/>
          </w:tcPr>
          <w:p>
            <w:pPr>
              <w:ind w:left="80"/>
              <w:spacing w:after="0"/>
              <w:rPr>
                <w:sz w:val="20"/>
                <w:szCs w:val="20"/>
                <w:color w:val="auto"/>
              </w:rPr>
            </w:pPr>
            <w:r>
              <w:rPr>
                <w:rFonts w:ascii="Arial" w:cs="Arial" w:eastAsia="Arial" w:hAnsi="Arial"/>
                <w:sz w:val="14"/>
                <w:szCs w:val="14"/>
                <w:color w:val="231F20"/>
              </w:rPr>
              <w:t>Transaction price</w:t>
            </w:r>
          </w:p>
        </w:tc>
        <w:tc>
          <w:tcPr>
            <w:tcW w:w="140" w:type="dxa"/>
            <w:vAlign w:val="bottom"/>
          </w:tcPr>
          <w:p>
            <w:pPr>
              <w:spacing w:after="0"/>
              <w:rPr>
                <w:sz w:val="19"/>
                <w:szCs w:val="19"/>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4"/>
                <w:szCs w:val="14"/>
                <w:color w:val="231F20"/>
              </w:rPr>
              <w:t>revenue recognized</w:t>
            </w:r>
          </w:p>
        </w:tc>
        <w:tc>
          <w:tcPr>
            <w:tcW w:w="180" w:type="dxa"/>
            <w:vAlign w:val="bottom"/>
          </w:tcPr>
          <w:p>
            <w:pPr>
              <w:spacing w:after="0"/>
              <w:rPr>
                <w:sz w:val="19"/>
                <w:szCs w:val="19"/>
                <w:color w:val="auto"/>
              </w:rPr>
            </w:pPr>
          </w:p>
        </w:tc>
        <w:tc>
          <w:tcPr>
            <w:tcW w:w="1700" w:type="dxa"/>
            <w:vAlign w:val="bottom"/>
          </w:tcPr>
          <w:p>
            <w:pPr>
              <w:jc w:val="right"/>
              <w:ind w:right="175"/>
              <w:spacing w:after="0"/>
              <w:rPr>
                <w:sz w:val="20"/>
                <w:szCs w:val="20"/>
                <w:color w:val="auto"/>
              </w:rPr>
            </w:pPr>
            <w:r>
              <w:rPr>
                <w:rFonts w:ascii="Arial" w:cs="Arial" w:eastAsia="Arial" w:hAnsi="Arial"/>
                <w:sz w:val="14"/>
                <w:szCs w:val="14"/>
                <w:color w:val="231F20"/>
              </w:rPr>
              <w:t>collaboration revenue</w:t>
            </w:r>
          </w:p>
        </w:tc>
      </w:tr>
      <w:tr>
        <w:trPr>
          <w:trHeight w:val="195"/>
        </w:trPr>
        <w:tc>
          <w:tcPr>
            <w:tcW w:w="320" w:type="dxa"/>
            <w:vAlign w:val="bottom"/>
            <w:tcBorders>
              <w:top w:val="single" w:sz="8" w:color="auto"/>
            </w:tcBorders>
          </w:tcPr>
          <w:p>
            <w:pPr>
              <w:jc w:val="right"/>
              <w:ind w:right="136"/>
              <w:spacing w:after="0" w:line="195" w:lineRule="exact"/>
              <w:rPr>
                <w:sz w:val="20"/>
                <w:szCs w:val="20"/>
                <w:color w:val="auto"/>
              </w:rPr>
            </w:pPr>
            <w:r>
              <w:rPr>
                <w:rFonts w:ascii="Arial" w:cs="Arial" w:eastAsia="Arial" w:hAnsi="Arial"/>
                <w:sz w:val="18"/>
                <w:szCs w:val="18"/>
                <w:color w:val="231F20"/>
                <w:w w:val="79"/>
              </w:rPr>
              <w:t>$</w:t>
            </w:r>
          </w:p>
        </w:tc>
        <w:tc>
          <w:tcPr>
            <w:tcW w:w="9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99"/>
              </w:rPr>
              <w:t>$</w:t>
            </w:r>
          </w:p>
        </w:tc>
        <w:tc>
          <w:tcPr>
            <w:tcW w:w="18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79"/>
              </w:rPr>
              <w:t>$</w:t>
            </w:r>
          </w:p>
        </w:tc>
        <w:tc>
          <w:tcPr>
            <w:tcW w:w="1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r>
      <w:tr>
        <w:trPr>
          <w:trHeight w:val="234"/>
        </w:trPr>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(14,023)</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109,164</w:t>
            </w:r>
          </w:p>
        </w:tc>
      </w:tr>
      <w:tr>
        <w:trPr>
          <w:trHeight w:val="387"/>
        </w:trPr>
        <w:tc>
          <w:tcPr>
            <w:tcW w:w="3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(123,187)</w:t>
            </w:r>
          </w:p>
        </w:tc>
        <w:tc>
          <w:tcPr>
            <w:tcW w:w="1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(109,164)</w:t>
            </w:r>
          </w:p>
        </w:tc>
      </w:tr>
      <w:tr>
        <w:trPr>
          <w:trHeight w:val="210"/>
        </w:trPr>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231F20"/>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-856615</wp:posOffset>
            </wp:positionV>
            <wp:extent cx="564896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-574040</wp:posOffset>
            </wp:positionV>
            <wp:extent cx="564896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-170815</wp:posOffset>
            </wp:positionV>
            <wp:extent cx="564896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3060" w:space="400"/>
            <w:col w:w="5559"/>
          </w:cols>
          <w:pgMar w:left="1440" w:top="512" w:right="1440" w:bottom="1440" w:gutter="0" w:footer="0" w:header="0"/>
          <w:type w:val="continuous"/>
        </w:sectPr>
      </w:pPr>
    </w:p>
    <w:p>
      <w:pPr>
        <w:ind w:left="60"/>
        <w:spacing w:after="0"/>
        <w:rPr>
          <w:sz w:val="20"/>
          <w:szCs w:val="20"/>
          <w:color w:val="auto"/>
        </w:rPr>
      </w:pPr>
      <w:r>
        <w:rPr>
          <w:rFonts w:ascii="Arial" w:cs="Arial" w:eastAsia="Arial" w:hAnsi="Arial"/>
          <w:sz w:val="22"/>
          <w:szCs w:val="22"/>
          <w:color w:val="auto"/>
        </w:rPr>
        <w:t>Note 10—Commitments and contingencies</w:t>
      </w:r>
    </w:p>
    <w:p>
      <w:pPr>
        <w:spacing w:after="0" w:line="214"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52" w:name="page153"/>
    <w:bookmarkEnd w:id="1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21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179"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The Company had $65 within accounts payable as of December 31, 2024 and $62 within accrued liabilities as of December 31, 2023, in its consolidated balance sheets related to the Master Service Agreement. During the year ended December 31, 2024 and 2023, there were $65 and $62 in research and development expenses, respectively.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21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 receive payments of up to $4,250 in development and regulatory approval milestone payments. No milestones or royalties were due in 2024 or 2023.</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Clade Therapeutics</w:t>
      </w:r>
    </w:p>
    <w:p>
      <w:pPr>
        <w:spacing w:after="0" w:line="21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In connection with the acquisition of Clade Therapeutics, (Note 3 Business combination), the Company is subject to a contingent milestone payment to the shareholders of Clade. The milestone payment is $10,000 and is payable in cash, shares of Century, or a combination thereof, at the discretion of Century.</w:t>
      </w:r>
    </w:p>
    <w:p>
      <w:pPr>
        <w:spacing w:after="0" w:line="169" w:lineRule="exact"/>
        <w:rPr>
          <w:sz w:val="20"/>
          <w:szCs w:val="20"/>
          <w:color w:val="auto"/>
        </w:rPr>
      </w:pPr>
    </w:p>
    <w:p>
      <w:pPr>
        <w:ind w:left="60" w:right="139"/>
        <w:spacing w:after="0" w:line="261" w:lineRule="auto"/>
        <w:rPr>
          <w:sz w:val="20"/>
          <w:szCs w:val="20"/>
          <w:color w:val="auto"/>
        </w:rPr>
      </w:pPr>
      <w:r>
        <w:rPr>
          <w:rFonts w:ascii="Arial" w:cs="Arial" w:eastAsia="Arial" w:hAnsi="Arial"/>
          <w:sz w:val="17"/>
          <w:szCs w:val="17"/>
          <w:color w:val="auto"/>
        </w:rPr>
        <w:t>A total of 793,687 shares (“Holdback Shares”) representing approximately 10% of the aggregate consideration, were held back at the closing of the acquisition as recourse to satisfy certain indemnification obligations of the Clade shareholders under the Merger Agreement should they arise and, subject to any forfeiture of Holdback Shares as a result of indemnification claims made prior to the 18-month anniversary of the Closing, will be issued pursuant to the terms of the Merger Agreement following the 18-month anniversary of the Closing.</w:t>
      </w:r>
    </w:p>
    <w:p>
      <w:pPr>
        <w:spacing w:after="0" w:line="166" w:lineRule="exact"/>
        <w:rPr>
          <w:sz w:val="20"/>
          <w:szCs w:val="20"/>
          <w:color w:val="auto"/>
        </w:rPr>
      </w:pPr>
    </w:p>
    <w:p>
      <w:pPr>
        <w:ind w:left="60" w:right="719"/>
        <w:spacing w:after="0" w:line="247" w:lineRule="auto"/>
        <w:rPr>
          <w:sz w:val="20"/>
          <w:szCs w:val="20"/>
          <w:color w:val="auto"/>
        </w:rPr>
      </w:pPr>
      <w:r>
        <w:rPr>
          <w:rFonts w:ascii="Arial" w:cs="Arial" w:eastAsia="Arial" w:hAnsi="Arial"/>
          <w:sz w:val="18"/>
          <w:szCs w:val="18"/>
          <w:color w:val="auto"/>
        </w:rPr>
        <w:t>In connection with the acquisition of Clade, the Company also assumed an earn-out obligation (“Gadeta Milestone”) that is contingent on a clinical development milestone of a product that incorporates Gadeta intellectual property between the acquisition date and December 21, 2032. The total payments to the shareholders of Gadeta is upon the occurrence of such an event is $20,000.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11—Leases</w:t>
      </w:r>
    </w:p>
    <w:p>
      <w:pPr>
        <w:spacing w:after="0" w:line="214" w:lineRule="exact"/>
        <w:rPr>
          <w:sz w:val="20"/>
          <w:szCs w:val="20"/>
          <w:color w:val="auto"/>
        </w:rPr>
      </w:pPr>
    </w:p>
    <w:p>
      <w:pPr>
        <w:ind w:left="60" w:right="339"/>
        <w:spacing w:after="0" w:line="242"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$403 and $413 within security deposits and noncurrent assets in its consolidated balance sheets at December 31, 2024 and 2023, respectively. The Company’s leases have initial lease terms ranging from 5 to 16 years. Certain lease agreements contain provisions for future rent increases. Variable lease costs generally include common area maintenance and real estate taxes.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3" w:name="page154"/>
    <w:bookmarkEnd w:id="1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1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r>
      <w:tr>
        <w:trPr>
          <w:trHeight w:val="162"/>
        </w:trPr>
        <w:tc>
          <w:tcPr>
            <w:tcW w:w="3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Year Ended</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Year Ended</w:t>
            </w:r>
          </w:p>
        </w:tc>
      </w:tr>
      <w:tr>
        <w:trPr>
          <w:trHeight w:val="171"/>
        </w:trPr>
        <w:tc>
          <w:tcPr>
            <w:tcW w:w="31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2024</w:t>
            </w:r>
          </w:p>
        </w:tc>
        <w:tc>
          <w:tcPr>
            <w:tcW w:w="2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2023</w:t>
            </w:r>
          </w:p>
        </w:tc>
      </w:tr>
      <w:tr>
        <w:trPr>
          <w:trHeight w:val="196"/>
        </w:trPr>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expense:</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2"/>
        </w:trPr>
        <w:tc>
          <w:tcPr>
            <w:tcW w:w="3140" w:type="dxa"/>
            <w:vAlign w:val="bottom"/>
          </w:tcPr>
          <w:p>
            <w:pPr>
              <w:ind w:left="100"/>
              <w:spacing w:after="0" w:line="202" w:lineRule="exact"/>
              <w:rPr>
                <w:sz w:val="20"/>
                <w:szCs w:val="20"/>
                <w:color w:val="auto"/>
              </w:rPr>
            </w:pPr>
            <w:r>
              <w:rPr>
                <w:rFonts w:ascii="Arial" w:cs="Arial" w:eastAsia="Arial" w:hAnsi="Arial"/>
                <w:sz w:val="18"/>
                <w:szCs w:val="18"/>
                <w:color w:val="auto"/>
              </w:rPr>
              <w:t>Fixed lease cost</w:t>
            </w:r>
          </w:p>
        </w:tc>
        <w:tc>
          <w:tcPr>
            <w:tcW w:w="1120" w:type="dxa"/>
            <w:vAlign w:val="bottom"/>
            <w:gridSpan w:val="2"/>
          </w:tcPr>
          <w:p>
            <w:pPr>
              <w:jc w:val="right"/>
              <w:ind w:right="547"/>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6,791</w:t>
            </w:r>
          </w:p>
        </w:tc>
        <w:tc>
          <w:tcPr>
            <w:tcW w:w="84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5,755</w:t>
            </w:r>
          </w:p>
        </w:tc>
      </w:tr>
      <w:tr>
        <w:trPr>
          <w:trHeight w:val="203"/>
        </w:trPr>
        <w:tc>
          <w:tcPr>
            <w:tcW w:w="31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Variable lease cost</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2,598</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1,403</w:t>
            </w:r>
          </w:p>
        </w:tc>
      </w:tr>
      <w:tr>
        <w:trPr>
          <w:trHeight w:val="203"/>
        </w:trPr>
        <w:tc>
          <w:tcPr>
            <w:tcW w:w="31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Short term lease expense</w:t>
            </w:r>
          </w:p>
        </w:tc>
        <w:tc>
          <w:tcPr>
            <w:tcW w:w="4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906</w:t>
            </w:r>
          </w:p>
        </w:tc>
      </w:tr>
      <w:tr>
        <w:trPr>
          <w:trHeight w:val="196"/>
        </w:trPr>
        <w:tc>
          <w:tcPr>
            <w:tcW w:w="3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4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9,389</w:t>
            </w: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8,064</w:t>
            </w:r>
          </w:p>
        </w:tc>
      </w:tr>
      <w:tr>
        <w:trPr>
          <w:trHeight w:val="20"/>
        </w:trPr>
        <w:tc>
          <w:tcPr>
            <w:tcW w:w="3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154940</wp:posOffset>
            </wp:positionV>
            <wp:extent cx="56489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55" w:lineRule="exact"/>
        <w:rPr>
          <w:sz w:val="20"/>
          <w:szCs w:val="20"/>
          <w:color w:val="auto"/>
        </w:rPr>
      </w:pPr>
    </w:p>
    <w:tbl>
      <w:tblPr>
        <w:tblLayout w:type="fixed"/>
        <w:tblInd w:w="468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color w:val="auto"/>
              </w:rPr>
              <w:t>As of</w:t>
            </w:r>
          </w:p>
        </w:tc>
        <w:tc>
          <w:tcPr>
            <w:tcW w:w="1140" w:type="dxa"/>
            <w:vAlign w:val="bottom"/>
          </w:tcPr>
          <w:p>
            <w:pPr>
              <w:jc w:val="center"/>
              <w:spacing w:after="0"/>
              <w:rPr>
                <w:sz w:val="20"/>
                <w:szCs w:val="20"/>
                <w:color w:val="auto"/>
              </w:rPr>
            </w:pPr>
            <w:r>
              <w:rPr>
                <w:rFonts w:ascii="Arial" w:cs="Arial" w:eastAsia="Arial" w:hAnsi="Arial"/>
                <w:sz w:val="14"/>
                <w:szCs w:val="14"/>
                <w:color w:val="auto"/>
              </w:rPr>
              <w:t>As of</w:t>
            </w:r>
          </w:p>
        </w:tc>
      </w:tr>
      <w:tr>
        <w:trPr>
          <w:trHeight w:val="162"/>
        </w:trPr>
        <w:tc>
          <w:tcPr>
            <w:tcW w:w="188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color w:val="auto"/>
              </w:rPr>
              <w:t>December 31,</w:t>
            </w:r>
          </w:p>
        </w:tc>
        <w:tc>
          <w:tcPr>
            <w:tcW w:w="1140" w:type="dxa"/>
            <w:vAlign w:val="bottom"/>
          </w:tcPr>
          <w:p>
            <w:pPr>
              <w:jc w:val="center"/>
              <w:spacing w:after="0"/>
              <w:rPr>
                <w:sz w:val="20"/>
                <w:szCs w:val="20"/>
                <w:color w:val="auto"/>
              </w:rPr>
            </w:pPr>
            <w:r>
              <w:rPr>
                <w:rFonts w:ascii="Arial" w:cs="Arial" w:eastAsia="Arial" w:hAnsi="Arial"/>
                <w:sz w:val="14"/>
                <w:szCs w:val="14"/>
                <w:color w:val="auto"/>
              </w:rPr>
              <w:t>December 31,</w:t>
            </w:r>
          </w:p>
        </w:tc>
      </w:tr>
      <w:tr>
        <w:trPr>
          <w:trHeight w:val="171"/>
        </w:trPr>
        <w:tc>
          <w:tcPr>
            <w:tcW w:w="1880" w:type="dxa"/>
            <w:vAlign w:val="bottom"/>
          </w:tcPr>
          <w:p>
            <w:pPr>
              <w:spacing w:after="0"/>
              <w:rPr>
                <w:sz w:val="20"/>
                <w:szCs w:val="20"/>
                <w:color w:val="auto"/>
              </w:rPr>
            </w:pPr>
            <w:r>
              <w:rPr>
                <w:rFonts w:ascii="Arial" w:cs="Arial" w:eastAsia="Arial" w:hAnsi="Arial"/>
                <w:sz w:val="14"/>
                <w:szCs w:val="14"/>
                <w:color w:val="auto"/>
              </w:rPr>
              <w:t>Location in Balance Sheet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r>
    </w:tbl>
    <w:p>
      <w:pPr>
        <w:spacing w:after="0" w:line="139"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28,706</w:t>
            </w:r>
          </w:p>
        </w:tc>
        <w:tc>
          <w:tcPr>
            <w:tcW w:w="160" w:type="dxa"/>
            <w:vAlign w:val="bottom"/>
          </w:tcPr>
          <w:p>
            <w:pPr>
              <w:spacing w:after="0"/>
              <w:rPr>
                <w:sz w:val="17"/>
                <w:szCs w:val="17"/>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20,376</w:t>
            </w: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4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4,870</w:t>
            </w:r>
          </w:p>
        </w:tc>
        <w:tc>
          <w:tcPr>
            <w:tcW w:w="160" w:type="dxa"/>
            <w:vAlign w:val="bottom"/>
          </w:tcPr>
          <w:p>
            <w:pPr>
              <w:spacing w:after="0"/>
              <w:rPr>
                <w:sz w:val="17"/>
                <w:szCs w:val="17"/>
                <w:color w:val="auto"/>
              </w:rPr>
            </w:pPr>
          </w:p>
        </w:tc>
        <w:tc>
          <w:tcPr>
            <w:tcW w:w="320" w:type="dxa"/>
            <w:vAlign w:val="bottom"/>
            <w:gridSpan w:val="2"/>
          </w:tcPr>
          <w:p>
            <w:pPr>
              <w:jc w:val="right"/>
              <w:ind w:right="147"/>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r>
      <w:tr>
        <w:trPr>
          <w:trHeight w:val="221"/>
        </w:trPr>
        <w:tc>
          <w:tcPr>
            <w:tcW w:w="314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46,658</w:t>
            </w:r>
          </w:p>
        </w:tc>
      </w:tr>
      <w:tr>
        <w:trPr>
          <w:trHeight w:val="196"/>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53,830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48,171</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-2068195</wp:posOffset>
            </wp:positionH>
            <wp:positionV relativeFrom="paragraph">
              <wp:posOffset>-548005</wp:posOffset>
            </wp:positionV>
            <wp:extent cx="5648960"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-290830</wp:posOffset>
            </wp:positionV>
            <wp:extent cx="5648960"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120" w:space="200"/>
            <w:col w:w="5699"/>
          </w:cols>
          <w:pgMar w:left="1440" w:top="512"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220" w:type="dxa"/>
            <w:vAlign w:val="bottom"/>
            <w:tcBorders>
              <w:top w:val="single" w:sz="8" w:color="auto"/>
            </w:tcBorders>
          </w:tcPr>
          <w:p>
            <w:pPr>
              <w:spacing w:after="0"/>
              <w:rPr>
                <w:sz w:val="15"/>
                <w:szCs w:val="15"/>
                <w:color w:val="auto"/>
              </w:rPr>
            </w:pPr>
          </w:p>
        </w:tc>
        <w:tc>
          <w:tcPr>
            <w:tcW w:w="3520" w:type="dxa"/>
            <w:vAlign w:val="bottom"/>
            <w:tcBorders>
              <w:top w:val="single" w:sz="8" w:color="auto"/>
            </w:tcBorders>
            <w:gridSpan w:val="8"/>
          </w:tcPr>
          <w:p>
            <w:pPr>
              <w:spacing w:after="0"/>
              <w:rPr>
                <w:sz w:val="20"/>
                <w:szCs w:val="20"/>
                <w:color w:val="auto"/>
              </w:rPr>
            </w:pPr>
            <w:r>
              <w:rPr>
                <w:rFonts w:ascii="Arial" w:cs="Arial" w:eastAsia="Arial" w:hAnsi="Arial"/>
                <w:sz w:val="14"/>
                <w:szCs w:val="14"/>
                <w:color w:val="auto"/>
              </w:rPr>
              <w:t>As of December 31, 2024   As of December 31, 2023</w:t>
            </w:r>
          </w:p>
        </w:tc>
        <w:tc>
          <w:tcPr>
            <w:tcW w:w="160" w:type="dxa"/>
            <w:vAlign w:val="bottom"/>
            <w:gridSpan w:val="2"/>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1660" w:type="dxa"/>
            <w:vAlign w:val="bottom"/>
            <w:tcBorders>
              <w:top w:val="single" w:sz="8" w:color="auto"/>
            </w:tcBorders>
            <w:gridSpan w:val="3"/>
            <w:shd w:val="clear" w:color="auto" w:fill="CCEEFF"/>
          </w:tcPr>
          <w:p>
            <w:pPr>
              <w:ind w:left="840"/>
              <w:spacing w:after="0" w:line="196" w:lineRule="exact"/>
              <w:rPr>
                <w:sz w:val="20"/>
                <w:szCs w:val="20"/>
                <w:color w:val="auto"/>
              </w:rPr>
            </w:pPr>
            <w:r>
              <w:rPr>
                <w:rFonts w:ascii="Arial" w:cs="Arial" w:eastAsia="Arial" w:hAnsi="Arial"/>
                <w:sz w:val="18"/>
                <w:szCs w:val="18"/>
                <w:color w:val="auto"/>
              </w:rPr>
              <w:t>7.4 Years</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7.6 years</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10.4 %</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9.9 %</w:t>
            </w:r>
          </w:p>
        </w:tc>
      </w:tr>
      <w:tr>
        <w:trPr>
          <w:trHeight w:val="180"/>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gridSpan w:val="5"/>
          </w:tcPr>
          <w:p>
            <w:pPr>
              <w:spacing w:after="0"/>
              <w:rPr>
                <w:sz w:val="15"/>
                <w:szCs w:val="15"/>
                <w:color w:val="auto"/>
              </w:rPr>
            </w:pPr>
          </w:p>
        </w:tc>
        <w:tc>
          <w:tcPr>
            <w:tcW w:w="1340" w:type="dxa"/>
            <w:vAlign w:val="bottom"/>
            <w:gridSpan w:val="4"/>
          </w:tcPr>
          <w:p>
            <w:pPr>
              <w:spacing w:after="0"/>
              <w:rPr>
                <w:sz w:val="15"/>
                <w:szCs w:val="15"/>
                <w:color w:val="auto"/>
              </w:rPr>
            </w:pPr>
          </w:p>
        </w:tc>
      </w:tr>
      <w:tr>
        <w:trPr>
          <w:trHeight w:val="146"/>
        </w:trPr>
        <w:tc>
          <w:tcPr>
            <w:tcW w:w="20" w:type="dxa"/>
            <w:vAlign w:val="bottom"/>
            <w:tcBorders>
              <w:top w:val="single" w:sz="8" w:color="auto"/>
            </w:tcBorders>
          </w:tcPr>
          <w:p>
            <w:pPr>
              <w:spacing w:after="0"/>
              <w:rPr>
                <w:sz w:val="12"/>
                <w:szCs w:val="12"/>
                <w:color w:val="auto"/>
              </w:rPr>
            </w:pPr>
          </w:p>
        </w:tc>
        <w:tc>
          <w:tcPr>
            <w:tcW w:w="5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5"/>
          </w:tcPr>
          <w:p>
            <w:pPr>
              <w:spacing w:after="0" w:line="147" w:lineRule="exact"/>
              <w:rPr>
                <w:sz w:val="20"/>
                <w:szCs w:val="20"/>
                <w:color w:val="auto"/>
              </w:rPr>
            </w:pPr>
            <w:r>
              <w:rPr>
                <w:rFonts w:ascii="Arial" w:cs="Arial" w:eastAsia="Arial" w:hAnsi="Arial"/>
                <w:sz w:val="14"/>
                <w:szCs w:val="14"/>
                <w:color w:val="auto"/>
              </w:rPr>
              <w:t>For the Year Ended</w:t>
            </w:r>
          </w:p>
        </w:tc>
        <w:tc>
          <w:tcPr>
            <w:tcW w:w="1320" w:type="dxa"/>
            <w:vAlign w:val="bottom"/>
            <w:tcBorders>
              <w:top w:val="single" w:sz="8" w:color="auto"/>
            </w:tcBorders>
            <w:gridSpan w:val="3"/>
          </w:tcPr>
          <w:p>
            <w:pPr>
              <w:ind w:left="40"/>
              <w:spacing w:after="0" w:line="147" w:lineRule="exact"/>
              <w:rPr>
                <w:sz w:val="20"/>
                <w:szCs w:val="20"/>
                <w:color w:val="auto"/>
              </w:rPr>
            </w:pPr>
            <w:r>
              <w:rPr>
                <w:rFonts w:ascii="Arial" w:cs="Arial" w:eastAsia="Arial" w:hAnsi="Arial"/>
                <w:sz w:val="14"/>
                <w:szCs w:val="14"/>
                <w:color w:val="auto"/>
              </w:rPr>
              <w:t>For the Year Ended</w:t>
            </w:r>
          </w:p>
        </w:tc>
        <w:tc>
          <w:tcPr>
            <w:tcW w:w="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gridSpan w:val="5"/>
          </w:tcPr>
          <w:p>
            <w:pPr>
              <w:spacing w:after="0"/>
              <w:rPr>
                <w:sz w:val="20"/>
                <w:szCs w:val="20"/>
                <w:color w:val="auto"/>
              </w:rPr>
            </w:pPr>
            <w:r>
              <w:rPr>
                <w:rFonts w:ascii="Arial" w:cs="Arial" w:eastAsia="Arial" w:hAnsi="Arial"/>
                <w:sz w:val="14"/>
                <w:szCs w:val="14"/>
                <w:color w:val="auto"/>
              </w:rPr>
              <w:t>December 31, 2024</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December 31, 2023</w:t>
            </w:r>
          </w:p>
        </w:tc>
      </w:tr>
      <w:tr>
        <w:trPr>
          <w:trHeight w:val="196"/>
        </w:trPr>
        <w:tc>
          <w:tcPr>
            <w:tcW w:w="52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(3,365)</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right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13,819</w:t>
            </w:r>
          </w:p>
        </w:tc>
        <w:tc>
          <w:tcPr>
            <w:tcW w:w="20" w:type="dxa"/>
            <w:vAlign w:val="bottom"/>
          </w:tcPr>
          <w:p>
            <w:pPr>
              <w:spacing w:after="0"/>
              <w:rPr>
                <w:sz w:val="17"/>
                <w:szCs w:val="17"/>
                <w:color w:val="auto"/>
              </w:rPr>
            </w:pPr>
          </w:p>
        </w:tc>
      </w:tr>
    </w:tbl>
    <w:p>
      <w:pPr>
        <w:spacing w:after="0" w:line="400"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The following table reflects future minimum lease payments under noncancelable leases as of December 31, 2024:</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766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9,766</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9,327</w:t>
            </w: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9,573</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9,826</w:t>
            </w: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2029</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10,085</w:t>
            </w:r>
          </w:p>
        </w:tc>
      </w:tr>
      <w:tr>
        <w:trPr>
          <w:trHeight w:val="203"/>
        </w:trPr>
        <w:tc>
          <w:tcPr>
            <w:tcW w:w="7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36,029</w:t>
            </w: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84,606</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(26,632)</w:t>
            </w: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Tenant incentive receivable</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(4,144)</w:t>
            </w:r>
          </w:p>
        </w:tc>
      </w:tr>
      <w:tr>
        <w:trPr>
          <w:trHeight w:val="196"/>
        </w:trPr>
        <w:tc>
          <w:tcPr>
            <w:tcW w:w="76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53,830</w:t>
            </w: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During the year ended December 31, 2023, the Company recognized $4,943 in impairment on right-of-use assets. See Note 18, “Impairment on Long-Lived Assets”. There were no impairment charges during the year ended December 31, 2024.</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54" w:name="page155"/>
    <w:bookmarkEnd w:id="1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12—Income taxes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before provision for income taxes consisted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r>
      <w:tr>
        <w:trPr>
          <w:trHeight w:val="196"/>
        </w:trPr>
        <w:tc>
          <w:tcPr>
            <w:tcW w:w="6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r>
      <w:tr>
        <w:trPr>
          <w:trHeight w:val="183"/>
        </w:trPr>
        <w:tc>
          <w:tcPr>
            <w:tcW w:w="65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Domestic</w:t>
            </w:r>
          </w:p>
        </w:tc>
        <w:tc>
          <w:tcPr>
            <w:tcW w:w="2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(124,781)</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(135,003)</w:t>
            </w:r>
          </w:p>
        </w:tc>
      </w:tr>
      <w:tr>
        <w:trPr>
          <w:trHeight w:val="18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r>
      <w:tr>
        <w:trPr>
          <w:trHeight w:val="183"/>
        </w:trPr>
        <w:tc>
          <w:tcPr>
            <w:tcW w:w="65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Loss before provision for income taxes</w:t>
            </w:r>
          </w:p>
        </w:tc>
        <w:tc>
          <w:tcPr>
            <w:tcW w:w="2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(124,776)</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(134,792)</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the provision for income taxes is as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r>
      <w:tr>
        <w:trPr>
          <w:trHeight w:val="196"/>
        </w:trPr>
        <w:tc>
          <w:tcPr>
            <w:tcW w:w="6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r>
      <w:tr>
        <w:trPr>
          <w:trHeight w:val="20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expense: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89"/>
        </w:trPr>
        <w:tc>
          <w:tcPr>
            <w:tcW w:w="6500" w:type="dxa"/>
            <w:vAlign w:val="bottom"/>
          </w:tcPr>
          <w:p>
            <w:pPr>
              <w:ind w:left="120"/>
              <w:spacing w:after="0"/>
              <w:rPr>
                <w:sz w:val="20"/>
                <w:szCs w:val="20"/>
                <w:color w:val="auto"/>
              </w:rPr>
            </w:pPr>
            <w:r>
              <w:rPr>
                <w:rFonts w:ascii="Arial" w:cs="Arial" w:eastAsia="Arial" w:hAnsi="Arial"/>
                <w:sz w:val="16"/>
                <w:szCs w:val="16"/>
                <w:color w:val="auto"/>
              </w:rPr>
              <w:t>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400</w:t>
            </w:r>
          </w:p>
        </w:tc>
        <w:tc>
          <w:tcPr>
            <w:tcW w:w="20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418</w:t>
            </w: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r>
      <w:tr>
        <w:trPr>
          <w:trHeight w:val="216"/>
        </w:trPr>
        <w:tc>
          <w:tcPr>
            <w:tcW w:w="6500" w:type="dxa"/>
            <w:vAlign w:val="bottom"/>
          </w:tcPr>
          <w:p>
            <w:pPr>
              <w:ind w:left="120"/>
              <w:spacing w:after="0"/>
              <w:rPr>
                <w:sz w:val="20"/>
                <w:szCs w:val="20"/>
                <w:color w:val="auto"/>
              </w:rPr>
            </w:pPr>
            <w:r>
              <w:rPr>
                <w:rFonts w:ascii="Arial" w:cs="Arial" w:eastAsia="Arial" w:hAnsi="Arial"/>
                <w:sz w:val="16"/>
                <w:szCs w:val="16"/>
                <w:color w:val="auto"/>
              </w:rPr>
              <w:t>Foreign</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(185)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183"/>
        </w:trPr>
        <w:tc>
          <w:tcPr>
            <w:tcW w:w="650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current expense:</w:t>
            </w: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921</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1,884</w:t>
            </w:r>
          </w:p>
        </w:tc>
      </w:t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expense:</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9"/>
        </w:trPr>
        <w:tc>
          <w:tcPr>
            <w:tcW w:w="6500" w:type="dxa"/>
            <w:vAlign w:val="bottom"/>
          </w:tcPr>
          <w:p>
            <w:pPr>
              <w:ind w:left="120"/>
              <w:spacing w:after="0"/>
              <w:rPr>
                <w:sz w:val="20"/>
                <w:szCs w:val="20"/>
                <w:color w:val="auto"/>
              </w:rPr>
            </w:pPr>
            <w:r>
              <w:rPr>
                <w:rFonts w:ascii="Arial" w:cs="Arial" w:eastAsia="Arial" w:hAnsi="Arial"/>
                <w:sz w:val="16"/>
                <w:szCs w:val="16"/>
                <w:color w:val="auto"/>
              </w:rPr>
              <w:t>Federal</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00" w:type="dxa"/>
            <w:vAlign w:val="bottom"/>
          </w:tcPr>
          <w:p>
            <w:pPr>
              <w:ind w:left="120"/>
              <w:spacing w:after="0"/>
              <w:rPr>
                <w:sz w:val="20"/>
                <w:szCs w:val="20"/>
                <w:color w:val="auto"/>
              </w:rPr>
            </w:pPr>
            <w:r>
              <w:rPr>
                <w:rFonts w:ascii="Arial" w:cs="Arial" w:eastAsia="Arial" w:hAnsi="Arial"/>
                <w:sz w:val="16"/>
                <w:szCs w:val="16"/>
                <w:color w:val="auto"/>
              </w:rPr>
              <w:t>Foreign</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3"/>
        </w:trPr>
        <w:tc>
          <w:tcPr>
            <w:tcW w:w="650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deferred expense:</w:t>
            </w: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869</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w:t>
            </w:r>
          </w:p>
        </w:tc>
      </w:tr>
      <w:tr>
        <w:trPr>
          <w:trHeight w:val="216"/>
        </w:trPr>
        <w:tc>
          <w:tcPr>
            <w:tcW w:w="6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83"/>
        </w:trPr>
        <w:tc>
          <w:tcPr>
            <w:tcW w:w="65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income tax expense</w:t>
            </w:r>
          </w:p>
        </w:tc>
        <w:tc>
          <w:tcPr>
            <w:tcW w:w="2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1,790</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1,881</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A reconciliation of the Company's statutory income tax rate to the Company’s effective income tax rate is as follows: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r>
      <w:tr>
        <w:trPr>
          <w:trHeight w:val="196"/>
        </w:trPr>
        <w:tc>
          <w:tcPr>
            <w:tcW w:w="65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r>
      <w:tr>
        <w:trPr>
          <w:trHeight w:val="183"/>
        </w:trPr>
        <w:tc>
          <w:tcPr>
            <w:tcW w:w="65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Income at US statutory rate</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21.0%</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21.0%</w:t>
            </w:r>
          </w:p>
        </w:tc>
      </w:tr>
      <w:tr>
        <w:trPr>
          <w:trHeight w:val="189"/>
        </w:trPr>
        <w:tc>
          <w:tcPr>
            <w:tcW w:w="6500" w:type="dxa"/>
            <w:vAlign w:val="bottom"/>
          </w:tcPr>
          <w:p>
            <w:pPr>
              <w:ind w:left="20"/>
              <w:spacing w:after="0"/>
              <w:rPr>
                <w:sz w:val="20"/>
                <w:szCs w:val="20"/>
                <w:color w:val="auto"/>
              </w:rPr>
            </w:pPr>
            <w:r>
              <w:rPr>
                <w:rFonts w:ascii="Arial" w:cs="Arial" w:eastAsia="Arial" w:hAnsi="Arial"/>
                <w:sz w:val="16"/>
                <w:szCs w:val="16"/>
                <w:color w:val="auto"/>
              </w:rPr>
              <w:t>State taxes, net of federal benefit</w:t>
            </w: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Permanent differences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189"/>
        </w:trPr>
        <w:tc>
          <w:tcPr>
            <w:tcW w:w="6500" w:type="dxa"/>
            <w:vAlign w:val="bottom"/>
          </w:tcPr>
          <w:p>
            <w:pPr>
              <w:ind w:left="20"/>
              <w:spacing w:after="0"/>
              <w:rPr>
                <w:sz w:val="20"/>
                <w:szCs w:val="20"/>
                <w:color w:val="auto"/>
              </w:rPr>
            </w:pPr>
            <w:r>
              <w:rPr>
                <w:rFonts w:ascii="Arial" w:cs="Arial" w:eastAsia="Arial" w:hAnsi="Arial"/>
                <w:sz w:val="16"/>
                <w:szCs w:val="16"/>
                <w:color w:val="auto"/>
              </w:rPr>
              <w:t>Tax credits</w:t>
            </w: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law change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189"/>
        </w:trPr>
        <w:tc>
          <w:tcPr>
            <w:tcW w:w="6500" w:type="dxa"/>
            <w:vAlign w:val="bottom"/>
          </w:tcPr>
          <w:p>
            <w:pPr>
              <w:ind w:left="20"/>
              <w:spacing w:after="0"/>
              <w:rPr>
                <w:sz w:val="20"/>
                <w:szCs w:val="20"/>
                <w:color w:val="auto"/>
              </w:rPr>
            </w:pPr>
            <w:r>
              <w:rPr>
                <w:rFonts w:ascii="Arial" w:cs="Arial" w:eastAsia="Arial" w:hAnsi="Arial"/>
                <w:sz w:val="16"/>
                <w:szCs w:val="16"/>
                <w:color w:val="auto"/>
              </w:rPr>
              <w:t>Clade acquisition</w:t>
            </w:r>
          </w:p>
        </w:tc>
        <w:tc>
          <w:tcPr>
            <w:tcW w:w="1100" w:type="dxa"/>
            <w:vAlign w:val="bottom"/>
          </w:tcPr>
          <w:p>
            <w:pPr>
              <w:jc w:val="right"/>
              <w:spacing w:after="0"/>
              <w:rPr>
                <w:sz w:val="20"/>
                <w:szCs w:val="20"/>
                <w:color w:val="auto"/>
              </w:rPr>
            </w:pPr>
            <w:r>
              <w:rPr>
                <w:rFonts w:ascii="Arial" w:cs="Arial" w:eastAsia="Arial" w:hAnsi="Arial"/>
                <w:sz w:val="16"/>
                <w:szCs w:val="16"/>
                <w:color w:val="auto"/>
              </w:rPr>
              <w:t>0.0%</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rate differential</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189"/>
        </w:trPr>
        <w:tc>
          <w:tcPr>
            <w:tcW w:w="6500" w:type="dxa"/>
            <w:vAlign w:val="bottom"/>
          </w:tcPr>
          <w:p>
            <w:pPr>
              <w:ind w:left="20"/>
              <w:spacing w:after="0"/>
              <w:rPr>
                <w:sz w:val="20"/>
                <w:szCs w:val="20"/>
                <w:color w:val="auto"/>
              </w:rPr>
            </w:pPr>
            <w:r>
              <w:rPr>
                <w:rFonts w:ascii="Arial" w:cs="Arial" w:eastAsia="Arial" w:hAnsi="Arial"/>
                <w:sz w:val="16"/>
                <w:szCs w:val="16"/>
                <w:color w:val="auto"/>
              </w:rPr>
              <w:t>Valuation allowance</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(26.2)%</w:t>
            </w:r>
          </w:p>
        </w:tc>
        <w:tc>
          <w:tcPr>
            <w:tcW w:w="110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(0.6)%</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183"/>
        </w:trPr>
        <w:tc>
          <w:tcPr>
            <w:tcW w:w="650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w:t>
            </w:r>
          </w:p>
        </w:tc>
        <w:tc>
          <w:tcPr>
            <w:tcW w:w="20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w:t>
            </w:r>
          </w:p>
        </w:tc>
      </w:tr>
      <w:tr>
        <w:trPr>
          <w:trHeight w:val="20"/>
        </w:trPr>
        <w:tc>
          <w:tcPr>
            <w:tcW w:w="6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5" w:name="page156"/>
    <w:bookmarkEnd w:id="1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deferred income tax liability balance related to the following:</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r>
      <w:tr>
        <w:trPr>
          <w:trHeight w:val="196"/>
        </w:trPr>
        <w:tc>
          <w:tcPr>
            <w:tcW w:w="446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89"/>
        </w:trPr>
        <w:tc>
          <w:tcPr>
            <w:tcW w:w="4460" w:type="dxa"/>
            <w:vAlign w:val="bottom"/>
          </w:tcPr>
          <w:p>
            <w:pPr>
              <w:ind w:left="100"/>
              <w:spacing w:after="0"/>
              <w:rPr>
                <w:sz w:val="20"/>
                <w:szCs w:val="20"/>
                <w:color w:val="auto"/>
              </w:rPr>
            </w:pPr>
            <w:r>
              <w:rPr>
                <w:rFonts w:ascii="Arial" w:cs="Arial" w:eastAsia="Arial" w:hAnsi="Arial"/>
                <w:sz w:val="16"/>
                <w:szCs w:val="16"/>
                <w:color w:val="auto"/>
              </w:rPr>
              <w:t>Net operating loss carryforwards</w:t>
            </w:r>
          </w:p>
        </w:tc>
        <w:tc>
          <w:tcPr>
            <w:tcW w:w="22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61,112</w:t>
            </w:r>
          </w:p>
        </w:tc>
        <w:tc>
          <w:tcPr>
            <w:tcW w:w="4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31,092</w:t>
            </w: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Lease liability</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11,273</w:t>
            </w:r>
          </w:p>
        </w:tc>
      </w:tr>
      <w:tr>
        <w:trPr>
          <w:trHeight w:val="216"/>
        </w:trPr>
        <w:tc>
          <w:tcPr>
            <w:tcW w:w="4460" w:type="dxa"/>
            <w:vAlign w:val="bottom"/>
          </w:tcPr>
          <w:p>
            <w:pPr>
              <w:ind w:left="100"/>
              <w:spacing w:after="0"/>
              <w:rPr>
                <w:sz w:val="20"/>
                <w:szCs w:val="20"/>
                <w:color w:val="auto"/>
              </w:rPr>
            </w:pPr>
            <w:r>
              <w:rPr>
                <w:rFonts w:ascii="Arial" w:cs="Arial" w:eastAsia="Arial" w:hAnsi="Arial"/>
                <w:sz w:val="16"/>
                <w:szCs w:val="16"/>
                <w:color w:val="auto"/>
              </w:rPr>
              <w:t>Accrued expenses &amp; other</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revenue</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36,013</w:t>
            </w:r>
          </w:p>
        </w:tc>
      </w:tr>
      <w:tr>
        <w:trPr>
          <w:trHeight w:val="216"/>
        </w:trPr>
        <w:tc>
          <w:tcPr>
            <w:tcW w:w="4460" w:type="dxa"/>
            <w:vAlign w:val="bottom"/>
          </w:tcPr>
          <w:p>
            <w:pPr>
              <w:ind w:left="100"/>
              <w:spacing w:after="0"/>
              <w:rPr>
                <w:sz w:val="20"/>
                <w:szCs w:val="20"/>
                <w:color w:val="auto"/>
              </w:rPr>
            </w:pPr>
            <w:r>
              <w:rPr>
                <w:rFonts w:ascii="Arial" w:cs="Arial" w:eastAsia="Arial" w:hAnsi="Arial"/>
                <w:sz w:val="16"/>
                <w:szCs w:val="16"/>
                <w:color w:val="auto"/>
              </w:rPr>
              <w:t>Credits</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11,596</w:t>
            </w: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Capitalized R&amp;D expenses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36,861</w:t>
            </w:r>
          </w:p>
        </w:tc>
      </w:tr>
      <w:tr>
        <w:trPr>
          <w:trHeight w:val="216"/>
        </w:trPr>
        <w:tc>
          <w:tcPr>
            <w:tcW w:w="4460" w:type="dxa"/>
            <w:vAlign w:val="bottom"/>
          </w:tcPr>
          <w:p>
            <w:pPr>
              <w:ind w:left="100"/>
              <w:spacing w:after="0"/>
              <w:rPr>
                <w:sz w:val="20"/>
                <w:szCs w:val="20"/>
                <w:color w:val="auto"/>
              </w:rPr>
            </w:pPr>
            <w:r>
              <w:rPr>
                <w:rFonts w:ascii="Arial" w:cs="Arial" w:eastAsia="Arial" w:hAnsi="Arial"/>
                <w:sz w:val="16"/>
                <w:szCs w:val="16"/>
                <w:color w:val="auto"/>
              </w:rPr>
              <w:t>Stock based compensation</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7,031</w:t>
            </w:r>
          </w:p>
        </w:tc>
      </w:tr>
      <w:tr>
        <w:trPr>
          <w:trHeight w:val="189"/>
        </w:trPr>
        <w:tc>
          <w:tcPr>
            <w:tcW w:w="4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Amortization</w:t>
            </w:r>
          </w:p>
        </w:tc>
        <w:tc>
          <w:tcPr>
            <w:tcW w:w="20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5,016</w:t>
            </w: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3,974</w:t>
            </w:r>
          </w:p>
        </w:tc>
      </w:tr>
      <w:tr>
        <w:trPr>
          <w:trHeight w:val="183"/>
        </w:trPr>
        <w:tc>
          <w:tcPr>
            <w:tcW w:w="446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Total deferred tax assets</w:t>
            </w:r>
          </w:p>
        </w:tc>
        <w:tc>
          <w:tcPr>
            <w:tcW w:w="2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208,724</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137,840</w:t>
            </w:r>
          </w:p>
        </w:tc>
      </w:tr>
      <w:tr>
        <w:trPr>
          <w:trHeight w:val="183"/>
        </w:trPr>
        <w:tc>
          <w:tcPr>
            <w:tcW w:w="44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Valuation allowance</w:t>
            </w:r>
          </w:p>
        </w:tc>
        <w:tc>
          <w:tcPr>
            <w:tcW w:w="20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(192,229)</w:t>
            </w:r>
          </w:p>
        </w:tc>
        <w:tc>
          <w:tcPr>
            <w:tcW w:w="2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(127,452)</w:t>
            </w:r>
          </w:p>
        </w:tc>
      </w:tr>
      <w:tr>
        <w:trPr>
          <w:trHeight w:val="183"/>
        </w:trPr>
        <w:tc>
          <w:tcPr>
            <w:tcW w:w="446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Net deferred tax assets</w:t>
            </w:r>
          </w:p>
        </w:tc>
        <w:tc>
          <w:tcPr>
            <w:tcW w:w="2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16,495</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10,388</w:t>
            </w:r>
          </w:p>
        </w:tc>
      </w:tr>
      <w:tr>
        <w:trPr>
          <w:trHeight w:val="183"/>
        </w:trPr>
        <w:tc>
          <w:tcPr>
            <w:tcW w:w="44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Deferred tax liability</w:t>
            </w:r>
          </w:p>
        </w:tc>
        <w:tc>
          <w:tcPr>
            <w:tcW w:w="2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9"/>
        </w:trPr>
        <w:tc>
          <w:tcPr>
            <w:tcW w:w="4460" w:type="dxa"/>
            <w:vAlign w:val="bottom"/>
          </w:tcPr>
          <w:p>
            <w:pPr>
              <w:ind w:left="100"/>
              <w:spacing w:after="0"/>
              <w:rPr>
                <w:sz w:val="20"/>
                <w:szCs w:val="20"/>
                <w:color w:val="auto"/>
              </w:rPr>
            </w:pPr>
            <w:r>
              <w:rPr>
                <w:rFonts w:ascii="Arial" w:cs="Arial" w:eastAsia="Arial" w:hAnsi="Arial"/>
                <w:sz w:val="16"/>
                <w:szCs w:val="16"/>
                <w:color w:val="auto"/>
              </w:rPr>
              <w:t>Depreciation</w:t>
            </w: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(2,247)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(3,988)</w:t>
            </w:r>
          </w:p>
        </w:tc>
      </w:tr>
      <w:tr>
        <w:trPr>
          <w:trHeight w:val="189"/>
        </w:trPr>
        <w:tc>
          <w:tcPr>
            <w:tcW w:w="4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Right-of-use asset</w:t>
            </w:r>
          </w:p>
        </w:tc>
        <w:tc>
          <w:tcPr>
            <w:tcW w:w="2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(6,332)</w:t>
            </w:r>
          </w:p>
        </w:tc>
      </w:tr>
      <w:tr>
        <w:trPr>
          <w:trHeight w:val="189"/>
        </w:trPr>
        <w:tc>
          <w:tcPr>
            <w:tcW w:w="4460" w:type="dxa"/>
            <w:vAlign w:val="bottom"/>
          </w:tcPr>
          <w:p>
            <w:pPr>
              <w:ind w:left="100"/>
              <w:spacing w:after="0"/>
              <w:rPr>
                <w:sz w:val="20"/>
                <w:szCs w:val="20"/>
                <w:color w:val="auto"/>
              </w:rPr>
            </w:pPr>
            <w:r>
              <w:rPr>
                <w:rFonts w:ascii="Arial" w:cs="Arial" w:eastAsia="Arial" w:hAnsi="Arial"/>
                <w:sz w:val="16"/>
                <w:szCs w:val="16"/>
                <w:color w:val="auto"/>
              </w:rPr>
              <w:t>Intangible assets</w:t>
            </w: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(10,119)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unrealized losses</w:t>
            </w:r>
          </w:p>
        </w:tc>
        <w:tc>
          <w:tcPr>
            <w:tcW w:w="2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183"/>
        </w:trPr>
        <w:tc>
          <w:tcPr>
            <w:tcW w:w="446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Total deferred tax liabilities</w:t>
            </w:r>
          </w:p>
        </w:tc>
        <w:tc>
          <w:tcPr>
            <w:tcW w:w="2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(20,869)</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(10,388)</w:t>
            </w:r>
          </w:p>
        </w:tc>
      </w:tr>
      <w:tr>
        <w:trPr>
          <w:trHeight w:val="183"/>
        </w:trPr>
        <w:tc>
          <w:tcPr>
            <w:tcW w:w="4460" w:type="dxa"/>
            <w:vAlign w:val="bottom"/>
            <w:tcBorders>
              <w:bottom w:val="single" w:sz="8" w:color="CCEEFF"/>
            </w:tcBorders>
            <w:shd w:val="clear" w:color="auto" w:fill="CCEEFF"/>
          </w:tcPr>
          <w:p>
            <w:pPr>
              <w:ind w:left="220"/>
              <w:spacing w:after="0" w:line="183" w:lineRule="exact"/>
              <w:rPr>
                <w:sz w:val="20"/>
                <w:szCs w:val="20"/>
                <w:color w:val="auto"/>
              </w:rPr>
            </w:pPr>
            <w:r>
              <w:rPr>
                <w:rFonts w:ascii="Arial" w:cs="Arial" w:eastAsia="Arial" w:hAnsi="Arial"/>
                <w:sz w:val="16"/>
                <w:szCs w:val="16"/>
                <w:color w:val="auto"/>
              </w:rPr>
              <w:t>Net deferred tax liability</w:t>
            </w:r>
          </w:p>
        </w:tc>
        <w:tc>
          <w:tcPr>
            <w:tcW w:w="20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(4,374)</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4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As of December 31, 2024, the Company recorded income tax expense of $1,790, which includes a tax benefit of $186 related to its income tax obligations of its Canada operations.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2024, the Company had an indefinite-lived federal net operating loss carryforward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$163,780. As of December 31, 2024, the Company has state and local net operating loss carryforwards of</w:t>
      </w:r>
    </w:p>
    <w:p>
      <w:pPr>
        <w:ind w:left="60"/>
        <w:spacing w:after="0" w:line="234" w:lineRule="auto"/>
        <w:rPr>
          <w:sz w:val="20"/>
          <w:szCs w:val="20"/>
          <w:color w:val="auto"/>
        </w:rPr>
      </w:pPr>
      <w:r>
        <w:rPr>
          <w:rFonts w:ascii="Arial" w:cs="Arial" w:eastAsia="Arial" w:hAnsi="Arial"/>
          <w:sz w:val="18"/>
          <w:szCs w:val="18"/>
          <w:color w:val="auto"/>
        </w:rPr>
        <w:t>$181,742 and $109,132, respectively. The state net operating loss carryforwards begin to expire in 2040, while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local net operating loss carryforwards begin to expire in 2042.</w:t>
      </w:r>
    </w:p>
    <w:p>
      <w:pPr>
        <w:spacing w:after="0" w:line="194"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As of December 31, 2024, the Company also has federal tax credits of $17,293 and $1,576 of state tax credits, which begin to expire in 2040, and 2041, respectively.</w:t>
      </w:r>
    </w:p>
    <w:p>
      <w:pPr>
        <w:spacing w:after="0" w:line="15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Future realization of the tax benefits of existing temporary differences and net operating loss carryforwards ultimately depends on the existence of sufficient taxable income within the carryforward period. As of December 31, 2024 and 2023,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as of December 31, 2024 and 2023 against the unrealizable portion of its deferred tax assets.</w:t>
      </w:r>
    </w:p>
    <w:p>
      <w:pPr>
        <w:spacing w:after="0" w:line="18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We have not completed a study to assess whether an “ownership change” has occurred or whether there have been multiple ownership changes since we became a “loss corporation” as defined in Section 382. Future changes in our stock ownership, which may be outside of our control, may trigger an “ownership change.” In addition, future equity offerings or acquisitions that have equity as a component of the purchase price could result in an “ownership change.” If an “ownership change” has occurred or does occur in the future, utilization of the NOL carryforwards or other tax attributes may be limited, which could potentially result in increased future tax liability to us.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6" w:name="page157"/>
    <w:bookmarkEnd w:id="1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Tax Cuts and Jobs Act (TCJA) resulted in significant changes to the treatment of research and developmental (R&amp;D) expenditures under Section 174 of the IRC. For tax years beginning after December 31, 2021, taxpayers are required to capitalize and amortize all R&amp;D expenditures that are paid or incurred in connection with their trade or business. Specifically, costs for U.S.-based R&amp;D activities must be amortized over five years and costs for foreign R&amp;D activities must be amortized over 15 years—both using a midyear convention. As of December 31, 2024, the Company capitalized a substantial amount of R&amp;D expenditures primarily related to research and development activities performed in the US.</w:t>
      </w:r>
    </w:p>
    <w:p>
      <w:pPr>
        <w:spacing w:after="0" w:line="18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laws and regulations for both federal taxes and the many states in which we operate or do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7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We record uncertain tax positions as liabilities in accordance with ASC 740 and adjust these liabilities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 As of December 31, 2024 and 2023 we have not recorded any uncertain tax positions in our financial statements.</w:t>
      </w:r>
    </w:p>
    <w:p>
      <w:pPr>
        <w:spacing w:after="0" w:line="179"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color w:val="auto"/>
        </w:rPr>
        <w:t>We recognize interest and penalties related to unrecognized tax benefits on the income tax expense line in the accompanying consolidated statement of operations. As of December 31, 2024 and 2023, no accrued interest or penalties are included on the related tax liability line in the consolidated balance sheet.</w:t>
      </w:r>
    </w:p>
    <w:p>
      <w:pPr>
        <w:spacing w:after="0" w:line="169"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years are still open under statute from December 31, 2021, to the present. The resolution of tax matters is not expected to have a material effect on the Company's consolidated financial statements.</w:t>
      </w:r>
    </w:p>
    <w:p>
      <w:pPr>
        <w:spacing w:after="0" w:line="200" w:lineRule="exact"/>
        <w:rPr>
          <w:sz w:val="20"/>
          <w:szCs w:val="20"/>
          <w:color w:val="auto"/>
        </w:rPr>
      </w:pPr>
    </w:p>
    <w:p>
      <w:pPr>
        <w:spacing w:after="0" w:line="3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13—Basic and diluted net loss per common share</w:t>
      </w:r>
    </w:p>
    <w:p>
      <w:pPr>
        <w:spacing w:after="0" w:line="21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Company’s potentially dilutive securities, which include RSUs, restricted stock, warrants, early exercised stock options and stock options to purchase shares of the Company’s common stock, have been excluded from the computation of dilutive net loss per share as the effect would be antidilutive. Therefore, the weighted-average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years ended December 31, 2024 and 2023 because including them would have had an anti-dilutive effect.</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3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color w:val="auto"/>
              </w:rPr>
              <w:t>Year Ended</w:t>
            </w: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Year Ended</w:t>
            </w:r>
          </w:p>
        </w:tc>
        <w:tc>
          <w:tcPr>
            <w:tcW w:w="2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December 31,</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rPr>
              <w:t>December 31,</w:t>
            </w:r>
          </w:p>
        </w:tc>
      </w:tr>
      <w:tr>
        <w:trPr>
          <w:trHeight w:val="171"/>
        </w:trPr>
        <w:tc>
          <w:tcPr>
            <w:tcW w:w="4300" w:type="dxa"/>
            <w:vAlign w:val="bottom"/>
          </w:tcPr>
          <w:p>
            <w:pPr>
              <w:spacing w:after="0"/>
              <w:rPr>
                <w:sz w:val="14"/>
                <w:szCs w:val="14"/>
                <w:color w:val="auto"/>
              </w:rPr>
            </w:pPr>
          </w:p>
        </w:tc>
        <w:tc>
          <w:tcPr>
            <w:tcW w:w="3220" w:type="dxa"/>
            <w:vAlign w:val="bottom"/>
            <w:gridSpan w:val="2"/>
          </w:tcPr>
          <w:p>
            <w:pPr>
              <w:jc w:val="center"/>
              <w:ind w:left="1933"/>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2023</w:t>
            </w:r>
          </w:p>
        </w:tc>
        <w:tc>
          <w:tcPr>
            <w:tcW w:w="20" w:type="dxa"/>
            <w:vAlign w:val="bottom"/>
          </w:tcPr>
          <w:p>
            <w:pPr>
              <w:spacing w:after="0"/>
              <w:rPr>
                <w:sz w:val="14"/>
                <w:szCs w:val="14"/>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20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5,310,229</w:t>
            </w:r>
          </w:p>
        </w:tc>
        <w:tc>
          <w:tcPr>
            <w:tcW w:w="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8,714,660</w:t>
            </w:r>
          </w:p>
        </w:tc>
        <w:tc>
          <w:tcPr>
            <w:tcW w:w="20" w:type="dxa"/>
            <w:vAlign w:val="bottom"/>
          </w:tcPr>
          <w:p>
            <w:pPr>
              <w:spacing w:after="0"/>
              <w:rPr>
                <w:sz w:val="17"/>
                <w:szCs w:val="17"/>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w w:val="99"/>
              </w:rPr>
              <w:t>Early exercised stock options subject to future vesting</w:t>
            </w:r>
          </w:p>
        </w:tc>
        <w:tc>
          <w:tcPr>
            <w:tcW w:w="3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11,321</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119,280</w:t>
            </w:r>
          </w:p>
        </w:tc>
        <w:tc>
          <w:tcPr>
            <w:tcW w:w="20" w:type="dxa"/>
            <w:vAlign w:val="bottom"/>
          </w:tcPr>
          <w:p>
            <w:pPr>
              <w:spacing w:after="0"/>
              <w:rPr>
                <w:sz w:val="17"/>
                <w:szCs w:val="17"/>
                <w:color w:val="auto"/>
              </w:rPr>
            </w:pPr>
          </w:p>
        </w:tc>
      </w:tr>
      <w:tr>
        <w:trPr>
          <w:trHeight w:val="202"/>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awards subject to future vesting</w:t>
            </w:r>
          </w:p>
        </w:tc>
        <w:tc>
          <w:tcPr>
            <w:tcW w:w="3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24,821</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49,416</w:t>
            </w:r>
          </w:p>
        </w:tc>
        <w:tc>
          <w:tcPr>
            <w:tcW w:w="20" w:type="dxa"/>
            <w:vAlign w:val="bottom"/>
          </w:tcPr>
          <w:p>
            <w:pPr>
              <w:spacing w:after="0"/>
              <w:rPr>
                <w:sz w:val="17"/>
                <w:szCs w:val="17"/>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Unvested restricted stock units</w:t>
            </w:r>
          </w:p>
        </w:tc>
        <w:tc>
          <w:tcPr>
            <w:tcW w:w="3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2,852,909</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3,721,471</w:t>
            </w:r>
          </w:p>
        </w:tc>
        <w:tc>
          <w:tcPr>
            <w:tcW w:w="20" w:type="dxa"/>
            <w:vAlign w:val="bottom"/>
          </w:tcPr>
          <w:p>
            <w:pPr>
              <w:spacing w:after="0"/>
              <w:rPr>
                <w:sz w:val="17"/>
                <w:szCs w:val="17"/>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3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c>
          <w:tcPr>
            <w:tcW w:w="20" w:type="dxa"/>
            <w:vAlign w:val="bottom"/>
          </w:tcPr>
          <w:p>
            <w:pPr>
              <w:spacing w:after="0"/>
              <w:rPr>
                <w:sz w:val="17"/>
                <w:szCs w:val="17"/>
                <w:color w:val="auto"/>
              </w:rPr>
            </w:pPr>
          </w:p>
        </w:tc>
      </w:tr>
      <w:tr>
        <w:trPr>
          <w:trHeight w:val="196"/>
        </w:trPr>
        <w:tc>
          <w:tcPr>
            <w:tcW w:w="43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0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8,231,289</w:t>
            </w:r>
          </w:p>
        </w:tc>
        <w:tc>
          <w:tcPr>
            <w:tcW w:w="1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12,636,836</w:t>
            </w:r>
          </w:p>
        </w:tc>
        <w:tc>
          <w:tcPr>
            <w:tcW w:w="20" w:type="dxa"/>
            <w:vAlign w:val="bottom"/>
          </w:tcPr>
          <w:p>
            <w:pPr>
              <w:spacing w:after="0"/>
              <w:rPr>
                <w:sz w:val="17"/>
                <w:szCs w:val="17"/>
                <w:color w:val="auto"/>
              </w:rPr>
            </w:pPr>
          </w:p>
        </w:tc>
      </w:tr>
      <w:tr>
        <w:trPr>
          <w:trHeight w:val="659"/>
        </w:trPr>
        <w:tc>
          <w:tcPr>
            <w:tcW w:w="4300" w:type="dxa"/>
            <w:vAlign w:val="bottom"/>
          </w:tcPr>
          <w:p>
            <w:pPr>
              <w:spacing w:after="0"/>
              <w:rPr>
                <w:sz w:val="24"/>
                <w:szCs w:val="24"/>
                <w:color w:val="auto"/>
              </w:rPr>
            </w:pPr>
          </w:p>
        </w:tc>
        <w:tc>
          <w:tcPr>
            <w:tcW w:w="2020" w:type="dxa"/>
            <w:vAlign w:val="bottom"/>
          </w:tcPr>
          <w:p>
            <w:pPr>
              <w:jc w:val="right"/>
              <w:ind w:right="1613"/>
              <w:spacing w:after="0"/>
              <w:rPr>
                <w:sz w:val="20"/>
                <w:szCs w:val="20"/>
                <w:color w:val="auto"/>
              </w:rPr>
            </w:pPr>
            <w:r>
              <w:rPr>
                <w:rFonts w:ascii="Arial" w:cs="Arial" w:eastAsia="Arial" w:hAnsi="Arial"/>
                <w:sz w:val="18"/>
                <w:szCs w:val="18"/>
                <w:color w:val="auto"/>
                <w:w w:val="99"/>
              </w:rPr>
              <w:t>157</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43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157" w:name="page158"/>
    <w:bookmarkEnd w:id="1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14—Defined contribution plan</w:t>
      </w:r>
    </w:p>
    <w:p>
      <w:pPr>
        <w:spacing w:after="0" w:line="21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 has a 401(k) Employee Savings Plan (“401(k) Plan”) that is available to all employees of the Company. The Company has elected a Safe-Harbor provision for the 401(k) Plan in which participants are always fully vested in their employer contributions. The Company matches 100% of the first 3% of participating employee contributions and 50% of the next 2% of participating employee contributions. Contributions are made in cash. Contributions were approximately $1,130 and $1,287 for the year ended December 31, 2024 and 2023 respectively. Such contribution expense has been recognized in the consolidated statement of operations for each period.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15—Stock-based compensation</w:t>
      </w:r>
    </w:p>
    <w:p>
      <w:pPr>
        <w:spacing w:after="0" w:line="21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On June 17, 2021, the Company adopted the Century Therapeutics, Inc. 2021 Equity Incentive Plan (the “2021 Incentive Plan”) which superseded the 2018 Incentive Plan and from that date forward all issuances of incentive awards will be governed by the 2021 Incentive Plan.</w:t>
      </w:r>
    </w:p>
    <w:p>
      <w:pPr>
        <w:spacing w:after="0" w:line="16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2021 Incentive Plan provides for the Company to sell or issue common stock or restricted common stock, restricted stock units (“RSUs”), or to grant incentive stock options or nonqualified stock options for the purchase of common stock, to employees, members of the board of directors, and consultants of the Company under terms and provisions established by the board of directors. Under the terms of the 2021 Incentive Plan, options may be granted at an exercise price not less than fair market value.</w:t>
      </w:r>
    </w:p>
    <w:p>
      <w:pPr>
        <w:spacing w:after="0" w:line="1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 The number of shares of common stock initially reserved for issuance under the 2021 Incentive Plan shall be increased, upon approval by the board of directors, on January 1, 2022 and each January 1 thereafter, in an amount equal to the least of, (i) five percent (5%) of the outstanding common stock on the immediately preceding December 31, or (ii) such number of common stock determined by the board of directors no later than the immediately preceding December 31. For 2023, the 2021 Incentive Plan reserved shares were increased under clause (i) by 2,954,788 shares, effective as of January 1, 2023. For 2024, the 2021 Incentive Plan reserved shares were increased under clause (i) by 3,025,220 shares, effective as of January 1, 2024. As of December 31, 2024, there were 3,691,145 shares available for issuance under the 2021 Incentive Plan. In January 2025, common shares reserved for issuance under the 2021 Incentive Plan increased by 4,291,821 shares.</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Company’s stock-based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The Company may also issue awards with performance-based vesting conditions. For performance-based awards, the Company would reassess at each reporting date whether achievement of the performance condition is probable and accrue compensation expense if and when the achievement of the performance condition is probable. During the quarter ended June 30, 2023, the Company issued performance based RSUs that represent a contingent right to receive one share of the Company’s common stock. The RSUs shall vest 50% on November 1, 2023, with the remaining 50% vesting upon the earlier of: (i) November 1, 2024; and (ii) satisfaction of certain performance criteria. The Company is currently recording expense for these RSUs on the straight-line basis. All remaining performance-based RSUs vested on November 1, 2024.</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8" w:name="page159"/>
    <w:bookmarkEnd w:id="1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During the quarter ended December 31, 2024, the Company issued performance-based RSUs that represent a contingent right to receive one share of the Company’s common stock. The RSUs shall vest (i) 50% upon the achievement of both the Company’s entrance into a business development collaboration with a minimum upfront payment of at least $50 million (the “BD Milestone”) and the Company’s stock price equal or exceeding the stock price target as of any date during the period beginning three months prior to and ending 12 months following the achievement of the BD Milestone; and (ii) 50% of the RSUs shall vest upon achievement of both clearance by the FDA of an investigational new drug application relating to ab T cells (the “IND Milestone”) and the Company’s stock price equal or exceeding the stock price target as of any date during the period beginning three months prior to and ending 12 months following achievement of the IND Milestone. The Company will not recognize expense related to these performance-based RSUs until they are probable of being achieved.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recognizes the costs of the stock-based payments as the employees vest in the awards.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2024, the Company had reserved shares of common stock for issuance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660" w:type="dxa"/>
            <w:vAlign w:val="bottom"/>
          </w:tcPr>
          <w:p>
            <w:pPr>
              <w:jc w:val="right"/>
              <w:ind w:right="514"/>
              <w:spacing w:after="0"/>
              <w:rPr>
                <w:sz w:val="20"/>
                <w:szCs w:val="20"/>
                <w:color w:val="auto"/>
              </w:rPr>
            </w:pPr>
            <w:r>
              <w:rPr>
                <w:rFonts w:ascii="Arial" w:cs="Arial" w:eastAsia="Arial" w:hAnsi="Arial"/>
                <w:sz w:val="14"/>
                <w:szCs w:val="14"/>
                <w:color w:val="auto"/>
              </w:rPr>
              <w:t>Shares</w:t>
            </w: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and RSUs issued and outstanding</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8,163,138</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Shares available for future stock option and RSU grants</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3,691,145</w:t>
            </w:r>
          </w:p>
        </w:tc>
      </w:tr>
      <w:tr>
        <w:trPr>
          <w:trHeight w:val="203"/>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available for employee stock purchase plan</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845,312</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12,699,595</w:t>
            </w:r>
          </w:p>
        </w:tc>
      </w:tr>
      <w:tr>
        <w:trPr>
          <w:trHeight w:val="20"/>
        </w:trPr>
        <w:tc>
          <w:tcPr>
            <w:tcW w:w="7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shares of Common Stock available under the 2021 Incentive Plan as of December 31, 2024 are as follows: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2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Shares</w:t>
            </w:r>
          </w:p>
        </w:tc>
      </w:tr>
      <w:tr>
        <w:trPr>
          <w:trHeight w:val="200"/>
        </w:trPr>
        <w:tc>
          <w:tcPr>
            <w:tcW w:w="724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b w:val="1"/>
                <w:bCs w:val="1"/>
                <w:color w:val="auto"/>
              </w:rPr>
              <w:t>Balance December 31, 2023</w:t>
            </w:r>
          </w:p>
        </w:tc>
        <w:tc>
          <w:tcPr>
            <w:tcW w:w="1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3,128,244</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Shares reserved for issuance</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3,025,220</w:t>
            </w:r>
          </w:p>
        </w:tc>
      </w:tr>
      <w:tr>
        <w:trPr>
          <w:trHeight w:val="203"/>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granted</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(3,022,503)</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RSU’s granted</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(1,001,901)</w:t>
            </w:r>
          </w:p>
        </w:tc>
      </w:tr>
      <w:tr>
        <w:trPr>
          <w:trHeight w:val="203"/>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and RSUs forfeited / cancelled</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1,562,085</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December 31, 2024</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3,691,145</w:t>
            </w:r>
          </w:p>
        </w:tc>
      </w:tr>
      <w:tr>
        <w:trPr>
          <w:trHeight w:val="20"/>
        </w:trPr>
        <w:tc>
          <w:tcPr>
            <w:tcW w:w="7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year ended December 31, 2024:</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8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3"/>
          </w:tcPr>
          <w:p>
            <w:pPr>
              <w:jc w:val="right"/>
              <w:ind w:right="275"/>
              <w:spacing w:after="0"/>
              <w:rPr>
                <w:sz w:val="20"/>
                <w:szCs w:val="20"/>
                <w:color w:val="auto"/>
              </w:rPr>
            </w:pPr>
            <w:r>
              <w:rPr>
                <w:rFonts w:ascii="Arial" w:cs="Arial" w:eastAsia="Arial" w:hAnsi="Arial"/>
                <w:sz w:val="14"/>
                <w:szCs w:val="14"/>
                <w:color w:val="auto"/>
              </w:rPr>
              <w:t>Weighted Average</w:t>
            </w:r>
          </w:p>
        </w:tc>
        <w:tc>
          <w:tcPr>
            <w:tcW w:w="1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color w:val="auto"/>
              </w:rPr>
              <w:t>Remaining</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gridSpan w:val="2"/>
          </w:tcPr>
          <w:p>
            <w:pPr>
              <w:jc w:val="center"/>
              <w:ind w:left="88"/>
              <w:spacing w:after="0"/>
              <w:rPr>
                <w:sz w:val="20"/>
                <w:szCs w:val="20"/>
                <w:color w:val="auto"/>
              </w:rPr>
            </w:pPr>
            <w:r>
              <w:rPr>
                <w:rFonts w:ascii="Arial" w:cs="Arial" w:eastAsia="Arial" w:hAnsi="Arial"/>
                <w:sz w:val="14"/>
                <w:szCs w:val="14"/>
                <w:color w:val="auto"/>
              </w:rPr>
              <w:t>Contractual</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Term</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1"/>
        </w:trPr>
        <w:tc>
          <w:tcPr>
            <w:tcW w:w="48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Shares</w:t>
            </w: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Exercise Price</w:t>
            </w: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(years)</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January 1, 2024</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3,938,006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3,022,503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3.62</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(461,542)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(1,185,293)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5.78</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(3,445)</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Outstanding, December 31, 2024</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5,310,229</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5.66</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Exercisable at December 31, 2024</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4,999,667</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7.17</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5.66</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The weighted average grant date fair value of awards for options granted during the period ended December 31, 2024 was $3.62. As of December 31, 2024, there was $16,145 of total unrecognized compensation expense related to unvested stock options with time-based vesting terms, which is expected to be recognized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9" w:name="page160"/>
    <w:bookmarkEnd w:id="1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over a weighted average period of 2.55 years. The aggregate intrinsic value of options vested and exercisable as of December 31, 2024 and 2023 is calculated based on the difference between the exercise price and the fair value of our common stock. The intrinsic value of options exercised in 2024 and 2023 was $923 and $2,923, respectively.</w:t>
      </w:r>
    </w:p>
    <w:p>
      <w:pPr>
        <w:spacing w:after="0" w:line="17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Starting in June of 2023 the Company had sufficient historical information regarding stock trading history, and started to use the Company’s own stock volatility.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expected term of the option are based on the U.S. Treasury securities with a maturity date commensurate with the expected term of the associated award. The Company will account for actual forfeitures as they occur.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4"/>
                <w:szCs w:val="14"/>
                <w:color w:val="auto"/>
              </w:rPr>
              <w:t>December 31, 2024</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December 31, 2023</w:t>
            </w: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dividend rate</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Expected option term (years)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6.04</w:t>
            </w:r>
          </w:p>
        </w:tc>
        <w:tc>
          <w:tcPr>
            <w:tcW w:w="180" w:type="dxa"/>
            <w:vAlign w:val="bottom"/>
          </w:tcPr>
          <w:p>
            <w:pPr>
              <w:spacing w:after="0"/>
              <w:rPr>
                <w:sz w:val="17"/>
                <w:szCs w:val="17"/>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78.84 %</w:t>
            </w: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77.87 %</w:t>
            </w:r>
          </w:p>
        </w:tc>
      </w:tr>
      <w:tr>
        <w:trPr>
          <w:trHeight w:val="239"/>
        </w:trPr>
        <w:tc>
          <w:tcPr>
            <w:tcW w:w="5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4.29 %</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3.68 %</w:t>
            </w:r>
          </w:p>
        </w:tc>
      </w:tr>
    </w:tbl>
    <w:p>
      <w:pPr>
        <w:spacing w:after="0" w:line="147"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Stock-based compensation expense recorded under ASC 718 related to stock options granted and common stock issued under the 2021 Employee Stock Purchase Plan were allocated to research and development and general and administrative expense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color w:val="auto"/>
              </w:rPr>
              <w:t>Year Ended</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Year Ended</w:t>
            </w:r>
          </w:p>
        </w:tc>
      </w:tr>
      <w:tr>
        <w:trPr>
          <w:trHeight w:val="203"/>
        </w:trPr>
        <w:tc>
          <w:tcPr>
            <w:tcW w:w="676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color w:val="auto"/>
              </w:rPr>
              <w:t>December 31,</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December 31,</w:t>
            </w:r>
          </w:p>
        </w:tc>
      </w:tr>
      <w:tr>
        <w:trPr>
          <w:trHeight w:val="207"/>
        </w:trPr>
        <w:tc>
          <w:tcPr>
            <w:tcW w:w="67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color w:val="auto"/>
              </w:rPr>
              <w:t>2024</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color w:val="auto"/>
              </w:rPr>
              <w:t>2023</w:t>
            </w:r>
          </w:p>
        </w:tc>
      </w:tr>
      <w:tr>
        <w:trPr>
          <w:trHeight w:val="200"/>
        </w:trPr>
        <w:tc>
          <w:tcPr>
            <w:tcW w:w="676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7,648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8,572</w:t>
            </w:r>
          </w:p>
        </w:tc>
      </w:tr>
      <w:tr>
        <w:trPr>
          <w:trHeight w:val="203"/>
        </w:trPr>
        <w:tc>
          <w:tcPr>
            <w:tcW w:w="67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5,040</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6,050</w:t>
            </w:r>
          </w:p>
        </w:tc>
      </w:tr>
      <w:tr>
        <w:trPr>
          <w:trHeight w:val="196"/>
        </w:trPr>
        <w:tc>
          <w:tcPr>
            <w:tcW w:w="67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stock-based compensation</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12,688</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14,622</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Stock-based compensation expense by award type included within the condensed consolidated statements of operations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color w:val="auto"/>
              </w:rPr>
              <w:t>Year Ended</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Year Ended</w:t>
            </w:r>
          </w:p>
        </w:tc>
      </w:tr>
      <w:tr>
        <w:trPr>
          <w:trHeight w:val="203"/>
        </w:trPr>
        <w:tc>
          <w:tcPr>
            <w:tcW w:w="676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color w:val="auto"/>
              </w:rPr>
              <w:t>December 31,</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December 31,</w:t>
            </w:r>
          </w:p>
        </w:tc>
      </w:tr>
      <w:tr>
        <w:trPr>
          <w:trHeight w:val="207"/>
        </w:trPr>
        <w:tc>
          <w:tcPr>
            <w:tcW w:w="67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color w:val="auto"/>
              </w:rPr>
              <w:t>2024</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color w:val="auto"/>
              </w:rPr>
              <w:t>2023</w:t>
            </w:r>
          </w:p>
        </w:tc>
      </w:tr>
      <w:tr>
        <w:trPr>
          <w:trHeight w:val="200"/>
        </w:trPr>
        <w:tc>
          <w:tcPr>
            <w:tcW w:w="676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Stock options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8,338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10,125</w:t>
            </w: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3,953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4,023</w:t>
            </w:r>
          </w:p>
        </w:tc>
      </w:tr>
      <w:tr>
        <w:trPr>
          <w:trHeight w:val="203"/>
        </w:trPr>
        <w:tc>
          <w:tcPr>
            <w:tcW w:w="6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Restricted stock awards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w:t>
            </w:r>
          </w:p>
        </w:tc>
      </w:tr>
      <w:tr>
        <w:trPr>
          <w:trHeight w:val="203"/>
        </w:trPr>
        <w:tc>
          <w:tcPr>
            <w:tcW w:w="67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w:t>
            </w:r>
          </w:p>
        </w:tc>
      </w:tr>
      <w:tr>
        <w:trPr>
          <w:trHeight w:val="196"/>
        </w:trPr>
        <w:tc>
          <w:tcPr>
            <w:tcW w:w="67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stock-based compensation</w:t>
            </w:r>
          </w:p>
        </w:tc>
        <w:tc>
          <w:tcPr>
            <w:tcW w:w="260" w:type="dxa"/>
            <w:vAlign w:val="bottom"/>
            <w:tcBorders>
              <w:bottom w:val="single" w:sz="8" w:color="auto"/>
            </w:tcBorders>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12,688</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14,622</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certain stock purchase agreements containing vesting and other provisions, the Company has the right to repurchase unvested shares.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0" w:name="page161"/>
    <w:bookmarkEnd w:id="1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for the year ended December 31, 2024:</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13"/>
              <w:spacing w:after="0"/>
              <w:rPr>
                <w:sz w:val="20"/>
                <w:szCs w:val="20"/>
                <w:color w:val="auto"/>
              </w:rPr>
            </w:pPr>
            <w:r>
              <w:rPr>
                <w:rFonts w:ascii="Arial" w:cs="Arial" w:eastAsia="Arial" w:hAnsi="Arial"/>
                <w:sz w:val="14"/>
                <w:szCs w:val="14"/>
                <w:color w:val="auto"/>
              </w:rPr>
              <w:t>Weighted Average</w:t>
            </w:r>
          </w:p>
        </w:tc>
      </w:tr>
      <w:tr>
        <w:trPr>
          <w:trHeight w:val="210"/>
        </w:trPr>
        <w:tc>
          <w:tcPr>
            <w:tcW w:w="63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color w:val="auto"/>
              </w:rPr>
              <w:t>Shares</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w w:val="99"/>
              </w:rPr>
              <w:t>Grant Date Fair Value</w:t>
            </w:r>
          </w:p>
        </w:tc>
      </w:tr>
      <w:tr>
        <w:trPr>
          <w:trHeight w:val="196"/>
        </w:trPr>
        <w:tc>
          <w:tcPr>
            <w:tcW w:w="63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2023</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3,721,471</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2.69</w:t>
            </w:r>
          </w:p>
        </w:tc>
      </w:tr>
      <w:tr>
        <w:trPr>
          <w:trHeight w:val="203"/>
        </w:trPr>
        <w:tc>
          <w:tcPr>
            <w:tcW w:w="63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1,001,901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(373,347)</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w:t>
            </w:r>
          </w:p>
        </w:tc>
      </w:tr>
      <w:tr>
        <w:trPr>
          <w:trHeight w:val="203"/>
        </w:trPr>
        <w:tc>
          <w:tcPr>
            <w:tcW w:w="6320" w:type="dxa"/>
            <w:vAlign w:val="bottom"/>
          </w:tcPr>
          <w:p>
            <w:pPr>
              <w:ind w:left="20"/>
              <w:spacing w:after="0" w:line="202" w:lineRule="exact"/>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(1,497,116)</w:t>
            </w: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r>
      <w:tr>
        <w:trPr>
          <w:trHeight w:val="196"/>
        </w:trPr>
        <w:tc>
          <w:tcPr>
            <w:tcW w:w="63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2024</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2,852,909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w:t>
            </w:r>
          </w:p>
        </w:tc>
      </w:tr>
      <w:tr>
        <w:trPr>
          <w:trHeight w:val="20"/>
        </w:trPr>
        <w:tc>
          <w:tcPr>
            <w:tcW w:w="6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As of December 31, 2024, there was $4,331 of total unrecognized compensation expense related to the unvested restricted stock with time-based vesting terms, which is expected to be recognized over a weighted average period of 2.32 years.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December 31, 2024:</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r>
      <w:tr>
        <w:trPr>
          <w:trHeight w:val="171"/>
        </w:trPr>
        <w:tc>
          <w:tcPr>
            <w:tcW w:w="6280" w:type="dxa"/>
            <w:vAlign w:val="bottom"/>
          </w:tcPr>
          <w:p>
            <w:pPr>
              <w:spacing w:after="0"/>
              <w:rPr>
                <w:sz w:val="14"/>
                <w:szCs w:val="14"/>
                <w:color w:val="auto"/>
              </w:rPr>
            </w:pPr>
          </w:p>
        </w:tc>
        <w:tc>
          <w:tcPr>
            <w:tcW w:w="1160" w:type="dxa"/>
            <w:vAlign w:val="bottom"/>
            <w:gridSpan w:val="2"/>
          </w:tcPr>
          <w:p>
            <w:pPr>
              <w:ind w:left="480"/>
              <w:spacing w:after="0"/>
              <w:rPr>
                <w:sz w:val="20"/>
                <w:szCs w:val="20"/>
                <w:color w:val="auto"/>
              </w:rPr>
            </w:pPr>
            <w:r>
              <w:rPr>
                <w:rFonts w:ascii="Arial" w:cs="Arial" w:eastAsia="Arial" w:hAnsi="Arial"/>
                <w:sz w:val="14"/>
                <w:szCs w:val="14"/>
                <w:color w:val="auto"/>
              </w:rPr>
              <w:t>Shares</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Grant Date Fair Value</w:t>
            </w:r>
          </w:p>
        </w:tc>
      </w:tr>
      <w:tr>
        <w:trPr>
          <w:trHeight w:val="196"/>
        </w:trPr>
        <w:tc>
          <w:tcPr>
            <w:tcW w:w="62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2023</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49,416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(24,595)</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7.27</w:t>
            </w:r>
          </w:p>
        </w:tc>
      </w:tr>
      <w:tr>
        <w:trPr>
          <w:trHeight w:val="196"/>
        </w:trPr>
        <w:tc>
          <w:tcPr>
            <w:tcW w:w="62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2024</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r>
      <w:tr>
        <w:trPr>
          <w:trHeight w:val="20"/>
        </w:trPr>
        <w:tc>
          <w:tcPr>
            <w:tcW w:w="6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As of December 30, 2023, there was $311 of total unrecognized compensation expense related to the unvested restricted stock with time-based vesting terms, which is expected to be recognized over a weighted average period of 0.22 years. All restricted stock vests over a four-year period.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21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Certain equity award holders early exercised unvested equity awards. The cash received upon early exercise of options of $82 and $640 was recorded as a deposit liability on the Company’s balance sheet as of December 31, 2024 and 2023,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Employee Stock Purchase Plan</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Employee Stock Purchase Plan was adopted by the board of directors in May 2021, a total of 564,071 shares of common stock were initially reserved for issuance under this plan, which shall be increased, upon approval of the board of directors, on January 1, 2022 and each January 1 thereafter, to the lesser of (i) on percent (1%) of the outstanding shares of common stock on the last day of the immediately preceding fiscal year, or (ii) an amount determined by the board of directors no later than the last day of the immediately preceding fiscal year. For 2022, the ESPP reserved shares were increased under the clause (i) by 550,055 shares, effective as of January 1, 2022. For 2023 and 2024, the board waived the annual increase to the shares reserved under the ESPP. As of December 31, 2024, there were 845,312 shares available for issuance, under the ESPP.</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1" w:name="page162"/>
    <w:bookmarkEnd w:id="1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16—Related party transactions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License and Collaboration Agreements with Shareholder</w:t>
      </w:r>
    </w:p>
    <w:p>
      <w:pPr>
        <w:spacing w:after="0" w:line="212"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The Company owns licenses and other contracts with FUJIFILM Cellular Dynamics, Inc. (“FCDI”). FCDI is a shareholder of Century. The acquired licenses and other contracts with FCDI are as follows: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Agreements</w:t>
      </w:r>
    </w:p>
    <w:p>
      <w:pPr>
        <w:spacing w:after="0" w:line="210"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The Company owns a non-exclusive license agreement with FCDI. The license provides the Company with certain patents and know-how related to the reprogramming of human somatic cells to induce pluripotent stem cells (“iPSCs”) (“Reprogramming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7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Company also owns an exclusive license agreement with FCDI (“Differentiation Licenses Agreement”). The Differentiation Licenses Agreement provides the Company with patents and know-how related to human iPSC exclusively manufactured by FCDI.</w:t>
      </w:r>
    </w:p>
    <w:p>
      <w:pPr>
        <w:spacing w:after="0" w:line="16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October 2019, the Company entered into the Collaboration Agreement with FCDI (“Collaboration Agreement”), whereby FCDI provides certain services to the Company to develop and manufacture iPSCs and immune cells derived therefrom. FCDI provides services in accordance with the approved research plan and related research budget. The initial research plan covered the period from October 2019 through March 31, 2022. In July, 2022 the Company amended the Collaboration Agreement to extend the term through September 30, 2025, and in September 2023, the Company amended the Collaboration Agreement in connection with the Autoimmune Licenses (as defined below).</w:t>
      </w:r>
    </w:p>
    <w:p>
      <w:pPr>
        <w:spacing w:after="0" w:line="18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In March 2021, the Company entered into a Manufacturing Agreement with FCDI, (“Manufacturing Agreement”), pursuant to which FCDI will provide certain agreed upon technology transfer, process development, analytical testing and cGMP manufacturing services to the Company.</w:t>
      </w:r>
    </w:p>
    <w:p>
      <w:pPr>
        <w:spacing w:after="0" w:line="169"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January 2022, the Company and FCDI entered into a letter agreement (the “Letter Agreement”), which amends the Reprogramming Licenses Agreement, Differentiation License Agreement and Manufacturing Agreement (the “FCDI Agreements”) pursuant to the Company’s Research Collaboration and License Agreement with Bristol-Myers Squibb. Pursuant to the Letter Agreement, and in consideration for amending the FCDI Agreements, the Company paid to FCDI an upfront payment of $10,000, and will pay FCDI (i) a percentage of any milestone payments received by the Company under the FCDI Collaboration Agreement in respect of achievement of development or regulatory milestones specific to Japan, and (ii) a percentage of all royalties received by the Company under the FCDI Collaboration Agreement in respect of sales of products in Japan.</w:t>
      </w:r>
    </w:p>
    <w:p>
      <w:pPr>
        <w:spacing w:after="0" w:line="18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 September 2023, the Company and FCDI entered into a worldwide license agreement whereby FCDI will grant non-exclusive licenses to the Company for certain patent rights and know-how related to cell differentiation and reprogramming for the development and commercialization of iPSC-derived therapies for the treatment of inflammatory and autoimmune diseases (the “Autoimmune license”). In addition, the Company and FCDI entered into an amendment to each of the Reprogramming license and the Differentiation License to expand the licenses related to the development and commercialization of IPSC-derived cancer immunotherapeutic to also include inflammatory and autoimmune diseases. Under the terms of these agreements, FCDI will be eligible to receive certain development and regulatory milestone payments as well as low single-digit royalties related to products developed in connection with such agreements. The Company recorded an upfront payment in the amount of $4,000 which is included as In-Process research and development. In addition, Century paid FCDI a $1,000 milestone fee pursuant to the Autoimmune License for filing of the IND for SLE for CNTY-101, which is also included in In-Process research and development in the consolidated statements of operations as of December 31, 2023.</w:t>
      </w:r>
    </w:p>
    <w:p>
      <w:pPr>
        <w:sectPr>
          <w:pgSz w:w="11900" w:h="16838" w:orient="portrait"/>
          <w:cols w:equalWidth="0" w:num="1">
            <w:col w:w="9019"/>
          </w:cols>
          <w:pgMar w:left="1440" w:top="512"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62" w:name="page163"/>
    <w:bookmarkEnd w:id="1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During the years ended December 31, 2024 and 2023, the Company made payments of $7,395 and $5,200 and incurred research and development expenses of $6,322 and $0, in-process research and development expenses of $ 0 and $5,000 and legal fees of $87 and $200, respectively, related to the FCDI agreements. The legal fees are recorded within general and administrative expenses in the consolidated statements of operations and comprehensive loss.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210"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Bayer Health, LLC (“Bayer”), a shareholder in the Company, has the right of first refusal to acquire certain products researched and developed by the Company. Subject to certain exceptions, Bayer’s right of first refusal is exercisable with respect to up to four products and may only exercise these option rights in a non-sequential and alternating manner, and such rights are subject to additional limitations.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17 – Common stock</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At-The-Market</w:t>
      </w:r>
    </w:p>
    <w:p>
      <w:pPr>
        <w:spacing w:after="0" w:line="212"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 xml:space="preserve">The Company has a Sales Agreement (“Sales Agreement”), with Cowen and Company, LLC, or (“Cowen”) to provide for the offering, issuance and sale of up to an aggregate amount of $150,000 of common stock from time to time in “at-the-market” offerings (the “ATM Program”) pursuant to its shelf registration statement on Form S-3 (File No. 333-265975) and subject to the limitations thereof. During the year ended </w:t>
      </w:r>
      <w:r>
        <w:rPr>
          <w:rFonts w:ascii="Arial" w:cs="Arial" w:eastAsia="Arial" w:hAnsi="Arial"/>
          <w:sz w:val="18"/>
          <w:szCs w:val="18"/>
          <w:color w:val="212529"/>
        </w:rPr>
        <w:t>December</w:t>
      </w:r>
      <w:r>
        <w:rPr>
          <w:rFonts w:ascii="Arial" w:cs="Arial" w:eastAsia="Arial" w:hAnsi="Arial"/>
          <w:sz w:val="18"/>
          <w:szCs w:val="18"/>
          <w:color w:val="auto"/>
        </w:rPr>
        <w:t xml:space="preserve"> 31, 2024, the Company sold 4,084,502 shares pursuant to the ATM Program for net proceeds of $17,829, after deducting commissions of $551.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Private Placement Offering</w:t>
      </w:r>
    </w:p>
    <w:p>
      <w:pPr>
        <w:spacing w:after="0" w:line="212"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212529"/>
        </w:rPr>
        <w:t>In April, 2024, the Company entered into a securities purchase agreement (the “Securities Purchase Agreement”) with certain institutional accredited investors (the “Investors”), pursuant to which the Company agreed to issue and sell to the Investors in a private placement an aggregate of 15,873,011 shares of the Company’s common stock (the “Private Placement Shares”), at a price of $3.78 per share (the “Private Placement”).</w:t>
      </w:r>
    </w:p>
    <w:p>
      <w:pPr>
        <w:spacing w:after="0" w:line="17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212529"/>
        </w:rPr>
        <w:t>The Private Placement closed on April 15, 2024. The Company received aggregate net proceeds from the Private Placement of approximately $56,593, after deducting placement agent fees and offering expenses. The Company intends to use the net proceeds from the private placement to support the expansion of CNTY-101 in autoimmune indications and for working capital and general corporate purposes.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18 – Impairment of long-lived assets and goodwill</w:t>
      </w:r>
    </w:p>
    <w:p>
      <w:pPr>
        <w:spacing w:after="0" w:line="214"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During 2023, the Company made the strategic decision to consolidate multiple existing leased lab facilities in Philadelphia and Seattle. The Company completed an impairment analysis of its right of use assets related to the impacted leases along with the related property and equipment at each facility (the “Asset Groups”). The Company reviewed its long-lived assets for impairment following ASC 360 for Property, Plant, and Equipment. The Company evaluated its long-lived assets for recoverability due to changes in circumstances that indicated that the carrying amounts may not be recoverable.</w:t>
      </w:r>
    </w:p>
    <w:p>
      <w:pPr>
        <w:spacing w:after="0" w:line="17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The Company reviewed each Asset Group for impairment by comparing the carrying values of the assets with their estimated future undiscounted cash flows. An impairment charge was calculated as the difference between asset carrying values and fair value of discounted cash flows. Indicative fair market quotes received are considered level three fair value estimates.</w:t>
      </w:r>
    </w:p>
    <w:p>
      <w:pPr>
        <w:spacing w:after="0" w:line="160"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color w:val="auto"/>
        </w:rPr>
        <w:t>The Company analyzed each Asset Group for impairment based on fair values calculated as discounted cash flows estimated to be received from the lease assets where applicable. The difference between fair value and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3" w:name="page164"/>
    <w:bookmarkEnd w:id="1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color w:val="auto"/>
        </w:rPr>
        <w:t>carrying value of the Asset Groups was recognized as an impairment of $16,365 during the year ended December 31, 2023.</w:t>
      </w:r>
    </w:p>
    <w:p>
      <w:pPr>
        <w:spacing w:after="0" w:line="14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Company performed the required annual impairment test for goodwill during the fourth quarter of 2024. The Company tested goodwill for impairment by comparing the fair value of our single, entity-wide reporting unit to its carrying value. Given the sustained decrease of the Company’s market capitalization through December 31, 2024, the carrying value of the single, entity-wide reporting unit exceeded its fair value, and accordingly, the Company recorded a goodwill impairment charge of $4,327 to write off the goodwill balance.</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Note 19 </w:t>
      </w:r>
      <w:r>
        <w:rPr>
          <w:rFonts w:ascii="Arial" w:cs="Arial" w:eastAsia="Arial" w:hAnsi="Arial"/>
          <w:sz w:val="17"/>
          <w:szCs w:val="17"/>
          <w:color w:val="auto"/>
        </w:rPr>
        <w:t>–</w:t>
      </w:r>
      <w:r>
        <w:rPr>
          <w:rFonts w:ascii="Arial" w:cs="Arial" w:eastAsia="Arial" w:hAnsi="Arial"/>
          <w:sz w:val="22"/>
          <w:szCs w:val="22"/>
          <w:color w:val="auto"/>
        </w:rPr>
        <w:t xml:space="preserve"> Segment Reporting</w:t>
      </w:r>
    </w:p>
    <w:p>
      <w:pPr>
        <w:spacing w:after="0" w:line="20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 maker (“CODM”) in making decisions on how to allocate resources and assess performance. The Company views its operations and manages the business as one operating segment. The Company’s CODM is its Chief Executive Officer. The CODM uses research and development expenses, general and administrative expenses, and net loss as measures of profit or loss to assess performance and allocate resources, all of which are presented on the face of the financial statements. The CODM also uses a further breakdown of research and development expenses to assess performance and allocate resources as presented below:</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rPr>
              <w:t>Year Ended</w:t>
            </w: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Year Ended</w:t>
            </w:r>
          </w:p>
        </w:tc>
      </w:tr>
      <w:tr>
        <w:trPr>
          <w:trHeight w:val="171"/>
        </w:trPr>
        <w:tc>
          <w:tcPr>
            <w:tcW w:w="61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December 31, 2024</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December 31, 2023</w:t>
            </w:r>
          </w:p>
        </w:tc>
      </w:tr>
      <w:tr>
        <w:trPr>
          <w:trHeight w:val="196"/>
        </w:trPr>
        <w:tc>
          <w:tcPr>
            <w:tcW w:w="61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Collaboration revenue</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6,589</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2,235</w:t>
            </w:r>
          </w:p>
        </w:tc>
      </w:tr>
      <w:tr>
        <w:trPr>
          <w:trHeight w:val="202"/>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Less cost and expense:</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Personnel and related costs</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42,398</w:t>
            </w:r>
          </w:p>
        </w:tc>
        <w:tc>
          <w:tcPr>
            <w:tcW w:w="20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41,826</w:t>
            </w:r>
          </w:p>
        </w:tc>
      </w:tr>
      <w:tr>
        <w:trPr>
          <w:trHeight w:val="203"/>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Facility and other allocated costs</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22,485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24,411</w:t>
            </w: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Research and laboratory</w:t>
            </w:r>
          </w:p>
        </w:tc>
        <w:tc>
          <w:tcPr>
            <w:tcW w:w="20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30,655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23,816</w:t>
            </w:r>
          </w:p>
        </w:tc>
      </w:tr>
      <w:tr>
        <w:trPr>
          <w:trHeight w:val="203"/>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research and development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11,706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2,657</w:t>
            </w:r>
          </w:p>
        </w:tc>
      </w:tr>
      <w:tr>
        <w:trPr>
          <w:trHeight w:val="203"/>
        </w:trPr>
        <w:tc>
          <w:tcPr>
            <w:tcW w:w="612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33,155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34,706</w:t>
            </w:r>
          </w:p>
        </w:tc>
      </w:tr>
      <w:tr>
        <w:trPr>
          <w:trHeight w:val="203"/>
        </w:trPr>
        <w:tc>
          <w:tcPr>
            <w:tcW w:w="61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segment (income)/expense</w:t>
            </w: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(7,244)</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11,492</w:t>
            </w:r>
          </w:p>
        </w:tc>
      </w:tr>
      <w:tr>
        <w:trPr>
          <w:trHeight w:val="196"/>
        </w:trPr>
        <w:tc>
          <w:tcPr>
            <w:tcW w:w="612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(126,566)</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(136,673)</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Other segment (income)/expense includes in-process research and development, impairment of long-lived assets, impairment of goodwill, interest expense, interest income, other income (expense), and provision for income taxes.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20 – Subsequent Events</w:t>
      </w:r>
    </w:p>
    <w:p>
      <w:pPr>
        <w:spacing w:after="0" w:line="200" w:lineRule="exact"/>
        <w:rPr>
          <w:sz w:val="20"/>
          <w:szCs w:val="20"/>
          <w:color w:val="auto"/>
        </w:rPr>
      </w:pPr>
    </w:p>
    <w:p>
      <w:pPr>
        <w:ind w:left="60" w:right="799"/>
        <w:spacing w:after="0" w:line="253" w:lineRule="auto"/>
        <w:rPr>
          <w:sz w:val="20"/>
          <w:szCs w:val="20"/>
          <w:color w:val="auto"/>
        </w:rPr>
      </w:pPr>
      <w:r>
        <w:rPr>
          <w:rFonts w:ascii="Arial" w:cs="Arial" w:eastAsia="Arial" w:hAnsi="Arial"/>
          <w:sz w:val="18"/>
          <w:szCs w:val="18"/>
          <w:color w:val="auto"/>
        </w:rPr>
        <w:t>On March 12, 2025, the Collaboration Agreement with BMS was officially terminated and the Company recognized $109,164 in collaboration revenue, representing the remaining deferred revenue from the Collaboration Agreement, upon the expiration of the license option rights.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4" w:name="page165"/>
    <w:bookmarkEnd w:id="1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1"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Disclosure Controls and Procedures</w:t>
      </w:r>
    </w:p>
    <w:p>
      <w:pPr>
        <w:spacing w:after="0" w:line="23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term “disclosure controls and procedures,” as defined in Rules 13a-15(e) and 15d-15(e) of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Chief Executive Officer and interim Principal Financial Officer, evaluated the effectiveness of our disclosure controls and procedures as of the end of the period covered by this Annual Report on Form 10-K. Based on that evaluation, our Chief Executive Officer and our interim Principal Financial Officer concluded that our disclosure controls and procedures were effective as of December 31, 2024.</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consolidated financial statements for external purposes in accordance with GAAP. Because of its inherent limitations,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applicable policies or procedures may deteriorate.</w:t>
      </w:r>
    </w:p>
    <w:p>
      <w:pPr>
        <w:spacing w:after="0" w:line="18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Management has assessed the effectiveness of our internal control over financial reporting based on the framework set forth by the Committee of Sponsoring Organizations of the Treadway Commission in Internal Control -Integrated Framework (2013). Based on our evaluation, management has concluded that our internal control over financial reporting was effective as of December 31, 2024. Management reviewed the results of this assessment with our audit committee.</w:t>
      </w:r>
    </w:p>
    <w:p>
      <w:pPr>
        <w:spacing w:after="0" w:line="176"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regarding internal control over financial reporting. For as long as we remain an “emerging growth company” as defined in Section 2(a) of the Securities Act, as modified by the Jumpstart Our Business Startups Act of 2012,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419"/>
        <w:spacing w:after="0" w:line="253" w:lineRule="auto"/>
        <w:rPr>
          <w:sz w:val="20"/>
          <w:szCs w:val="20"/>
          <w:color w:val="auto"/>
        </w:rPr>
      </w:pPr>
      <w:r>
        <w:rPr>
          <w:rFonts w:ascii="Arial" w:cs="Arial" w:eastAsia="Arial" w:hAnsi="Arial"/>
          <w:sz w:val="18"/>
          <w:szCs w:val="18"/>
          <w:color w:val="auto"/>
        </w:rPr>
        <w:t>There were no changes to our internal control 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5" w:name="page166"/>
    <w:bookmarkEnd w:id="1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ind w:left="780" w:hanging="379"/>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ind w:left="720" w:right="659" w:hanging="319"/>
        <w:spacing w:after="0" w:line="253"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following table shows the “Rule 10b5-1 trading arrangements” or “non-Rule 10b5-1 trading arrangements” (as each term is defined in Item 408(a) of Regulation S-K) adopted, amended, or terminated by our directors and officers during the three months ended December 31, 2024:</w:t>
      </w:r>
    </w:p>
    <w:p>
      <w:pPr>
        <w:spacing w:after="0" w:line="200" w:lineRule="exact"/>
        <w:rPr>
          <w:sz w:val="20"/>
          <w:szCs w:val="20"/>
          <w:color w:val="auto"/>
        </w:rPr>
      </w:pPr>
    </w:p>
    <w:p>
      <w:pPr>
        <w:spacing w:after="0" w:line="315" w:lineRule="exact"/>
        <w:rPr>
          <w:sz w:val="20"/>
          <w:szCs w:val="20"/>
          <w:color w:val="auto"/>
        </w:rPr>
      </w:pPr>
    </w:p>
    <w:tbl>
      <w:tblPr>
        <w:tblLayout w:type="fixed"/>
        <w:tblInd w:w="7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Trading</w:t>
            </w: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1"/>
        </w:trPr>
        <w:tc>
          <w:tcPr>
            <w:tcW w:w="1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Arrangement</w:t>
            </w:r>
          </w:p>
        </w:tc>
        <w:tc>
          <w:tcPr>
            <w:tcW w:w="1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146"/>
        </w:trPr>
        <w:tc>
          <w:tcPr>
            <w:tcW w:w="144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Maximum</w:t>
            </w:r>
          </w:p>
        </w:tc>
      </w:tr>
      <w:tr>
        <w:trPr>
          <w:trHeight w:val="162"/>
        </w:trPr>
        <w:tc>
          <w:tcPr>
            <w:tcW w:w="1440" w:type="dxa"/>
            <w:vAlign w:val="bottom"/>
            <w:tcBorders>
              <w:left w:val="single" w:sz="8" w:color="auto"/>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162"/>
        </w:trPr>
        <w:tc>
          <w:tcPr>
            <w:tcW w:w="1440" w:type="dxa"/>
            <w:vAlign w:val="bottom"/>
            <w:tcBorders>
              <w:left w:val="single" w:sz="8" w:color="auto"/>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Non-</w:t>
            </w:r>
          </w:p>
        </w:tc>
        <w:tc>
          <w:tcPr>
            <w:tcW w:w="16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Subject to</w:t>
            </w:r>
          </w:p>
        </w:tc>
      </w:tr>
      <w:tr>
        <w:trPr>
          <w:trHeight w:val="144"/>
        </w:trPr>
        <w:tc>
          <w:tcPr>
            <w:tcW w:w="144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Rule 10b5-</w:t>
            </w:r>
          </w:p>
        </w:tc>
        <w:tc>
          <w:tcPr>
            <w:tcW w:w="7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Rule 10b5-</w:t>
            </w:r>
          </w:p>
        </w:tc>
        <w:tc>
          <w:tcPr>
            <w:tcW w:w="16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Scheduled Expiration</w:t>
            </w:r>
          </w:p>
        </w:tc>
        <w:tc>
          <w:tcPr>
            <w:tcW w:w="7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Trading</w:t>
            </w:r>
          </w:p>
        </w:tc>
      </w:tr>
      <w:tr>
        <w:trPr>
          <w:trHeight w:val="294"/>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Name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Action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Date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xml:space="preserve">Date of Trading Plan </w:t>
            </w:r>
            <w:r>
              <w:rPr>
                <w:rFonts w:ascii="Arial" w:cs="Arial" w:eastAsia="Arial" w:hAnsi="Arial"/>
                <w:sz w:val="21"/>
                <w:szCs w:val="21"/>
                <w:b w:val="1"/>
                <w:bCs w:val="1"/>
                <w:color w:val="auto"/>
                <w:w w:val="99"/>
                <w:vertAlign w:val="superscript"/>
              </w:rPr>
              <w:t>(1)</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r>
      <w:tr>
        <w:trPr>
          <w:trHeight w:val="110"/>
        </w:trPr>
        <w:tc>
          <w:tcPr>
            <w:tcW w:w="1440" w:type="dxa"/>
            <w:vAlign w:val="bottom"/>
            <w:tcBorders>
              <w:left w:val="single" w:sz="8" w:color="auto"/>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r>
      <w:tr>
        <w:trPr>
          <w:trHeight w:val="177"/>
        </w:trPr>
        <w:tc>
          <w:tcPr>
            <w:tcW w:w="1440" w:type="dxa"/>
            <w:vAlign w:val="bottom"/>
            <w:tcBorders>
              <w:left w:val="single" w:sz="8" w:color="auto"/>
              <w:right w:val="single" w:sz="8" w:color="auto"/>
            </w:tcBorders>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jc w:val="center"/>
              <w:spacing w:after="0" w:line="177" w:lineRule="exact"/>
              <w:rPr>
                <w:sz w:val="20"/>
                <w:szCs w:val="20"/>
                <w:color w:val="auto"/>
              </w:rPr>
            </w:pPr>
            <w:r>
              <w:rPr>
                <w:rFonts w:ascii="Arial" w:cs="Arial" w:eastAsia="Arial" w:hAnsi="Arial"/>
                <w:sz w:val="18"/>
                <w:szCs w:val="18"/>
                <w:color w:val="auto"/>
                <w:w w:val="99"/>
              </w:rPr>
              <w:t>Chief</w:t>
            </w:r>
          </w:p>
        </w:tc>
        <w:tc>
          <w:tcPr>
            <w:tcW w:w="760" w:type="dxa"/>
            <w:vAlign w:val="bottom"/>
            <w:tcBorders>
              <w:right w:val="single" w:sz="8" w:color="auto"/>
            </w:tcBorders>
            <w:shd w:val="clear" w:color="auto" w:fill="CCEEFF"/>
          </w:tcPr>
          <w:p>
            <w:pPr>
              <w:spacing w:after="0"/>
              <w:rPr>
                <w:sz w:val="15"/>
                <w:szCs w:val="15"/>
                <w:color w:val="auto"/>
              </w:rPr>
            </w:pPr>
          </w:p>
        </w:tc>
        <w:tc>
          <w:tcPr>
            <w:tcW w:w="158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1680" w:type="dxa"/>
            <w:vAlign w:val="bottom"/>
            <w:tcBorders>
              <w:right w:val="single" w:sz="8" w:color="auto"/>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r>
      <w:tr>
        <w:trPr>
          <w:trHeight w:val="203"/>
        </w:trPr>
        <w:tc>
          <w:tcPr>
            <w:tcW w:w="1440" w:type="dxa"/>
            <w:vAlign w:val="bottom"/>
            <w:tcBorders>
              <w:left w:val="single" w:sz="8" w:color="auto"/>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Technology</w:t>
            </w:r>
          </w:p>
        </w:tc>
        <w:tc>
          <w:tcPr>
            <w:tcW w:w="760" w:type="dxa"/>
            <w:vAlign w:val="bottom"/>
            <w:tcBorders>
              <w:right w:val="single" w:sz="8" w:color="auto"/>
            </w:tcBorders>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680" w:type="dxa"/>
            <w:vAlign w:val="bottom"/>
            <w:tcBorders>
              <w:right w:val="single" w:sz="8" w:color="auto"/>
            </w:tcBorders>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r>
      <w:tr>
        <w:trPr>
          <w:trHeight w:val="203"/>
        </w:trPr>
        <w:tc>
          <w:tcPr>
            <w:tcW w:w="1440" w:type="dxa"/>
            <w:vAlign w:val="bottom"/>
            <w:tcBorders>
              <w:left w:val="single" w:sz="8" w:color="auto"/>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and</w:t>
            </w:r>
          </w:p>
        </w:tc>
        <w:tc>
          <w:tcPr>
            <w:tcW w:w="760" w:type="dxa"/>
            <w:vAlign w:val="bottom"/>
            <w:tcBorders>
              <w:right w:val="single" w:sz="8" w:color="auto"/>
            </w:tcBorders>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680" w:type="dxa"/>
            <w:vAlign w:val="bottom"/>
            <w:tcBorders>
              <w:right w:val="single" w:sz="8" w:color="auto"/>
            </w:tcBorders>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r>
      <w:tr>
        <w:trPr>
          <w:trHeight w:val="203"/>
        </w:trPr>
        <w:tc>
          <w:tcPr>
            <w:tcW w:w="1440" w:type="dxa"/>
            <w:vAlign w:val="bottom"/>
            <w:tcBorders>
              <w:left w:val="single" w:sz="8" w:color="auto"/>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Manufacturing</w:t>
            </w:r>
          </w:p>
        </w:tc>
        <w:tc>
          <w:tcPr>
            <w:tcW w:w="760" w:type="dxa"/>
            <w:vAlign w:val="bottom"/>
            <w:tcBorders>
              <w:right w:val="single" w:sz="8" w:color="auto"/>
            </w:tcBorders>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680" w:type="dxa"/>
            <w:vAlign w:val="bottom"/>
            <w:tcBorders>
              <w:right w:val="single" w:sz="8" w:color="auto"/>
            </w:tcBorders>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r>
      <w:tr>
        <w:trPr>
          <w:trHeight w:val="239"/>
        </w:trPr>
        <w:tc>
          <w:tcPr>
            <w:tcW w:w="14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Gregory Russotti</w:t>
            </w:r>
          </w:p>
        </w:tc>
        <w:tc>
          <w:tcPr>
            <w:tcW w:w="12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Officer</w:t>
            </w:r>
          </w:p>
        </w:tc>
        <w:tc>
          <w:tcPr>
            <w:tcW w:w="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Adoption</w:t>
            </w:r>
          </w:p>
        </w:tc>
        <w:tc>
          <w:tcPr>
            <w:tcW w:w="15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December 9, 2024</w:t>
            </w:r>
          </w:p>
        </w:tc>
        <w:tc>
          <w:tcPr>
            <w:tcW w:w="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Borders>
              <w:right w:val="single" w:sz="8" w:color="auto"/>
            </w:tcBorders>
            <w:shd w:val="clear" w:color="auto" w:fill="CCEEFF"/>
          </w:tcPr>
          <w:p>
            <w:pPr>
              <w:spacing w:after="0"/>
              <w:rPr>
                <w:sz w:val="20"/>
                <w:szCs w:val="20"/>
                <w:color w:val="auto"/>
              </w:rPr>
            </w:pPr>
          </w:p>
        </w:tc>
        <w:tc>
          <w:tcPr>
            <w:tcW w:w="1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December 31, 2025</w:t>
            </w:r>
          </w:p>
        </w:tc>
        <w:tc>
          <w:tcPr>
            <w:tcW w:w="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160,000</w:t>
            </w:r>
          </w:p>
        </w:tc>
      </w:tr>
      <w:tr>
        <w:trPr>
          <w:trHeight w:val="198"/>
        </w:trPr>
        <w:tc>
          <w:tcPr>
            <w:tcW w:w="144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1200" w:type="dxa"/>
            <w:vAlign w:val="bottom"/>
            <w:tcBorders>
              <w:bottom w:val="single" w:sz="8" w:color="auto"/>
              <w:right w:val="single" w:sz="8" w:color="auto"/>
            </w:tcBorders>
            <w:shd w:val="clear" w:color="auto" w:fill="CCEEFF"/>
          </w:tcPr>
          <w:p>
            <w:pPr>
              <w:spacing w:after="0"/>
              <w:rPr>
                <w:sz w:val="17"/>
                <w:szCs w:val="17"/>
                <w:color w:val="auto"/>
              </w:rPr>
            </w:pPr>
          </w:p>
        </w:tc>
        <w:tc>
          <w:tcPr>
            <w:tcW w:w="760" w:type="dxa"/>
            <w:vAlign w:val="bottom"/>
            <w:tcBorders>
              <w:bottom w:val="single" w:sz="8" w:color="auto"/>
              <w:right w:val="single" w:sz="8" w:color="auto"/>
            </w:tcBorders>
            <w:shd w:val="clear" w:color="auto" w:fill="CCEEFF"/>
          </w:tcPr>
          <w:p>
            <w:pPr>
              <w:spacing w:after="0"/>
              <w:rPr>
                <w:sz w:val="17"/>
                <w:szCs w:val="17"/>
                <w:color w:val="auto"/>
              </w:rPr>
            </w:pPr>
          </w:p>
        </w:tc>
        <w:tc>
          <w:tcPr>
            <w:tcW w:w="1580" w:type="dxa"/>
            <w:vAlign w:val="bottom"/>
            <w:tcBorders>
              <w:bottom w:val="single" w:sz="8" w:color="auto"/>
              <w:right w:val="single" w:sz="8" w:color="auto"/>
            </w:tcBorders>
            <w:shd w:val="clear" w:color="auto" w:fill="CCEEFF"/>
          </w:tcPr>
          <w:p>
            <w:pPr>
              <w:spacing w:after="0"/>
              <w:rPr>
                <w:sz w:val="17"/>
                <w:szCs w:val="17"/>
                <w:color w:val="auto"/>
              </w:rPr>
            </w:pPr>
          </w:p>
        </w:tc>
        <w:tc>
          <w:tcPr>
            <w:tcW w:w="760" w:type="dxa"/>
            <w:vAlign w:val="bottom"/>
            <w:tcBorders>
              <w:bottom w:val="single" w:sz="8" w:color="auto"/>
              <w:right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auto"/>
            </w:tcBorders>
            <w:shd w:val="clear" w:color="auto" w:fill="CCEEFF"/>
          </w:tcPr>
          <w:p>
            <w:pPr>
              <w:spacing w:after="0"/>
              <w:rPr>
                <w:sz w:val="17"/>
                <w:szCs w:val="17"/>
                <w:color w:val="auto"/>
              </w:rPr>
            </w:pPr>
          </w:p>
        </w:tc>
        <w:tc>
          <w:tcPr>
            <w:tcW w:w="1680" w:type="dxa"/>
            <w:vAlign w:val="bottom"/>
            <w:tcBorders>
              <w:bottom w:val="single" w:sz="8" w:color="auto"/>
              <w:right w:val="single" w:sz="8" w:color="auto"/>
            </w:tcBorders>
            <w:shd w:val="clear" w:color="auto" w:fill="CCEEFF"/>
          </w:tcPr>
          <w:p>
            <w:pPr>
              <w:spacing w:after="0"/>
              <w:rPr>
                <w:sz w:val="17"/>
                <w:szCs w:val="17"/>
                <w:color w:val="auto"/>
              </w:rPr>
            </w:pPr>
          </w:p>
        </w:tc>
        <w:tc>
          <w:tcPr>
            <w:tcW w:w="720" w:type="dxa"/>
            <w:vAlign w:val="bottom"/>
            <w:tcBorders>
              <w:bottom w:val="single" w:sz="8" w:color="auto"/>
              <w:right w:val="single" w:sz="8" w:color="auto"/>
            </w:tcBorders>
            <w:shd w:val="clear" w:color="auto" w:fill="CCEEFF"/>
          </w:tcPr>
          <w:p>
            <w:pPr>
              <w:spacing w:after="0"/>
              <w:rPr>
                <w:sz w:val="17"/>
                <w:szCs w:val="17"/>
                <w:color w:val="auto"/>
              </w:rPr>
            </w:pPr>
          </w:p>
        </w:tc>
      </w:tr>
    </w:tbl>
    <w:p>
      <w:pPr>
        <w:spacing w:after="0" w:line="184" w:lineRule="exact"/>
        <w:rPr>
          <w:sz w:val="20"/>
          <w:szCs w:val="20"/>
          <w:color w:val="auto"/>
        </w:rPr>
      </w:pPr>
    </w:p>
    <w:p>
      <w:pPr>
        <w:ind w:left="60" w:right="439" w:hanging="10"/>
        <w:spacing w:after="0" w:line="253" w:lineRule="auto"/>
        <w:tabs>
          <w:tab w:leader="none" w:pos="70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trading arrangement may expire on an earlier date if all contemplated transactions are completed before such trading arrangement’s expiration date, upon termination by broker or the holder of the trading arrangement, or as otherwise provided in the trading arrangement.</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6" w:name="page167"/>
    <w:bookmarkEnd w:id="1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information required by Item 11 of Form 10-K is incorporated by reference to the information contained in our definitive proxy statement for the 2025 annual meeting of stockholders.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Insider trading arrangements and policies</w:t>
      </w:r>
    </w:p>
    <w:p>
      <w:pPr>
        <w:spacing w:after="0" w:line="198"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We have adopted insider trading policies and procedures governing the purchase, sale, and other dispositions of securities of Century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In addition, with regard to trading in our own securities, it is our policy to comply with the federal securities laws and the applicable exchange listing requirements. The foregoing summary of our insider trading policies and procedures does not purport to be complete and is qualified by reference to our insider trading policy attached hereto as Exhibit 19.1 and incorporated herein.</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information required by Item 11 of Form 10-K is incorporated by reference to the information contained in our definitive proxy statement for the 2025 annual meeting of stockholders.</w:t>
      </w:r>
    </w:p>
    <w:p>
      <w:pPr>
        <w:spacing w:after="0" w:line="140" w:lineRule="exact"/>
        <w:rPr>
          <w:sz w:val="20"/>
          <w:szCs w:val="20"/>
          <w:color w:val="auto"/>
        </w:rPr>
      </w:pPr>
    </w:p>
    <w:p>
      <w:pPr>
        <w:ind w:left="60" w:right="759"/>
        <w:spacing w:after="0" w:line="28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6"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information required by Item 12 of Form 10-K is incorporated by reference to the information contained in our definitive proxy statement for the 2025 annual meeting of stockholders.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23"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information required by Item 13 of Form 10-K is incorporated by reference to the information contained in our definitive proxy statement for the 2025 annual meeting of stockholders.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2"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Our independent public accounting firm is Ernst &amp; Young, LLP, Philadelphia, Pennsylvania, PCAOB Auditor ID:42</w:t>
      </w:r>
    </w:p>
    <w:p>
      <w:pPr>
        <w:spacing w:after="0" w:line="140"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information required by Item 14 of Form 10-K is incorporated by reference to the information contained in our definitive proxy statement for the 2025 annual meeting of stockholders.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7" w:name="page168"/>
    <w:bookmarkEnd w:id="1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(a)(1) Financial Statements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Index to the Consolidated Financial Statements on page F-1 of this Annual Report.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(a)(2) Financial Statement Schedules</w:t>
      </w:r>
    </w:p>
    <w:p>
      <w:pPr>
        <w:spacing w:after="0" w:line="212"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auto"/>
        </w:rPr>
        <w:t>None, as all information required in these schedules is included in the Notes to the Consolidated Financial Statements.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(a)(3); (b) Exhibits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as part of this Annual Report on Form 10-K:</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Exhibit</w:t>
            </w:r>
          </w:p>
        </w:tc>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Number</w:t>
            </w:r>
          </w:p>
        </w:tc>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21"/>
          </w:tcPr>
          <w:p>
            <w:pPr>
              <w:ind w:left="20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2"/>
                <w:szCs w:val="12"/>
                <w:color w:val="auto"/>
              </w:rPr>
              <w:t>2.1†</w:t>
            </w:r>
            <w:r>
              <w:rPr>
                <w:rFonts w:ascii="Times New Roman" w:cs="Times New Roman" w:eastAsia="Times New Roman" w:hAnsi="Times New Roman"/>
                <w:sz w:val="17"/>
                <w:szCs w:val="17"/>
                <w:b w:val="1"/>
                <w:bCs w:val="1"/>
                <w:color w:val="auto"/>
                <w:vertAlign w:val="superscript"/>
              </w:rPr>
              <w:t>Ù</w:t>
            </w:r>
          </w:p>
        </w:tc>
        <w:tc>
          <w:tcPr>
            <w:tcW w:w="280" w:type="dxa"/>
            <w:vAlign w:val="bottom"/>
          </w:tcPr>
          <w:p>
            <w:pPr>
              <w:spacing w:after="0"/>
              <w:rPr>
                <w:sz w:val="13"/>
                <w:szCs w:val="13"/>
                <w:color w:val="auto"/>
              </w:rPr>
            </w:pPr>
          </w:p>
        </w:tc>
        <w:tc>
          <w:tcPr>
            <w:tcW w:w="7560" w:type="dxa"/>
            <w:vAlign w:val="bottom"/>
            <w:tcBorders>
              <w:top w:val="single" w:sz="8" w:color="auto"/>
            </w:tcBorders>
            <w:gridSpan w:val="23"/>
          </w:tcPr>
          <w:p>
            <w:pPr>
              <w:spacing w:after="0" w:line="155" w:lineRule="exact"/>
              <w:rPr>
                <w:rFonts w:ascii="Arial" w:cs="Arial" w:eastAsia="Arial" w:hAnsi="Arial"/>
                <w:sz w:val="16"/>
                <w:szCs w:val="16"/>
                <w:color w:val="0000EE"/>
              </w:rPr>
            </w:pPr>
            <w:hyperlink r:id="rId195">
              <w:r>
                <w:rPr>
                  <w:rFonts w:ascii="Arial" w:cs="Arial" w:eastAsia="Arial" w:hAnsi="Arial"/>
                  <w:sz w:val="16"/>
                  <w:szCs w:val="16"/>
                  <w:color w:val="0000EE"/>
                </w:rPr>
                <w:t>Agreement and Plan Merger, dated April 11, 2024, by and among the Company and the other parties</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6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r:id="rId195">
              <w:r>
                <w:rPr>
                  <w:rFonts w:ascii="Arial" w:cs="Arial" w:eastAsia="Arial" w:hAnsi="Arial"/>
                  <w:sz w:val="16"/>
                  <w:szCs w:val="16"/>
                  <w:color w:val="0000EE"/>
                </w:rPr>
                <w:t>thereto (incorporated by reference to Exhibit 2.1 of the Company’s Current Report on Form 8-K (File</w:t>
              </w:r>
            </w:hyperlink>
          </w:p>
        </w:tc>
        <w:tc>
          <w:tcPr>
            <w:tcW w:w="300" w:type="dxa"/>
            <w:vAlign w:val="bottom"/>
            <w:gridSpan w:val="7"/>
          </w:tcPr>
          <w:p>
            <w:pPr>
              <w:spacing w:after="0" w:line="169" w:lineRule="exact"/>
              <w:rPr>
                <w:rFonts w:ascii="Arial" w:cs="Arial" w:eastAsia="Arial" w:hAnsi="Arial"/>
                <w:sz w:val="16"/>
                <w:szCs w:val="16"/>
                <w:color w:val="0000EE"/>
              </w:rPr>
            </w:pPr>
            <w:hyperlink r:id="rId195">
              <w:r>
                <w:rPr>
                  <w:rFonts w:ascii="Arial" w:cs="Arial" w:eastAsia="Arial" w:hAnsi="Arial"/>
                  <w:sz w:val="16"/>
                  <w:szCs w:val="16"/>
                  <w:color w:val="0000EE"/>
                </w:rPr>
                <w:t>No.</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4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195">
              <w:r>
                <w:rPr>
                  <w:rFonts w:ascii="Arial" w:cs="Arial" w:eastAsia="Arial" w:hAnsi="Arial"/>
                  <w:sz w:val="16"/>
                  <w:szCs w:val="16"/>
                  <w:color w:val="0000EE"/>
                </w:rPr>
                <w:t>001-40498) filed on April 11, 2024).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8"/>
              </w:rPr>
              <w:t>3.2</w:t>
            </w: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196">
              <w:r>
                <w:rPr>
                  <w:rFonts w:ascii="Arial" w:cs="Arial" w:eastAsia="Arial" w:hAnsi="Arial"/>
                  <w:sz w:val="16"/>
                  <w:szCs w:val="16"/>
                  <w:color w:val="0000EE"/>
                </w:rPr>
                <w:t>Second Amended and Restated Bylaws (incorporated by reference to Exhibit 3.2 of the Company’s</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196">
              <w:r>
                <w:rPr>
                  <w:rFonts w:ascii="Arial" w:cs="Arial" w:eastAsia="Arial" w:hAnsi="Arial"/>
                  <w:sz w:val="16"/>
                  <w:szCs w:val="16"/>
                  <w:color w:val="0000EE"/>
                </w:rPr>
                <w:t>Annual Report on Form 10-K (File No. 001-40498) filed on March 16, 2023)</w:t>
              </w:r>
            </w:hyperlink>
          </w:p>
        </w:tc>
        <w:tc>
          <w:tcPr>
            <w:tcW w:w="1680" w:type="dxa"/>
            <w:vAlign w:val="bottom"/>
            <w:tcBorders>
              <w:top w:val="single" w:sz="8" w:color="0000EE"/>
            </w:tcBorders>
            <w:gridSpan w:val="9"/>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8"/>
              </w:rPr>
              <w:t>4.1</w:t>
            </w: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197">
              <w:r>
                <w:rPr>
                  <w:rFonts w:ascii="Arial" w:cs="Arial" w:eastAsia="Arial" w:hAnsi="Arial"/>
                  <w:sz w:val="16"/>
                  <w:szCs w:val="16"/>
                  <w:color w:val="0000EE"/>
                </w:rPr>
                <w:t>Specimen Common Stock Certificate of Registrant (incorporated by reference to Exhibit 4.1 to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98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r:id="rId197">
              <w:r>
                <w:rPr>
                  <w:rFonts w:ascii="Arial" w:cs="Arial" w:eastAsia="Arial" w:hAnsi="Arial"/>
                  <w:sz w:val="16"/>
                  <w:szCs w:val="16"/>
                  <w:color w:val="0000EE"/>
                </w:rPr>
                <w:t>Company’s Registration Statement on Form S-1/A (File No. 333-256648), dated June 14,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8"/>
              </w:rPr>
              <w:t>4.2</w:t>
            </w:r>
          </w:p>
        </w:tc>
        <w:tc>
          <w:tcPr>
            <w:tcW w:w="280" w:type="dxa"/>
            <w:vAlign w:val="bottom"/>
          </w:tcPr>
          <w:p>
            <w:pPr>
              <w:spacing w:after="0"/>
              <w:rPr>
                <w:sz w:val="20"/>
                <w:szCs w:val="20"/>
                <w:color w:val="auto"/>
              </w:rPr>
            </w:pPr>
          </w:p>
        </w:tc>
        <w:tc>
          <w:tcPr>
            <w:tcW w:w="7420" w:type="dxa"/>
            <w:vAlign w:val="bottom"/>
            <w:tcBorders>
              <w:bottom w:val="single" w:sz="8" w:color="0000EE"/>
            </w:tcBorders>
            <w:gridSpan w:val="18"/>
          </w:tcPr>
          <w:p>
            <w:pPr>
              <w:spacing w:after="0"/>
              <w:rPr>
                <w:rFonts w:ascii="Arial" w:cs="Arial" w:eastAsia="Arial" w:hAnsi="Arial"/>
                <w:sz w:val="16"/>
                <w:szCs w:val="16"/>
                <w:color w:val="0000EE"/>
              </w:rPr>
            </w:pPr>
            <w:hyperlink r:id="rId198">
              <w:r>
                <w:rPr>
                  <w:rFonts w:ascii="Arial" w:cs="Arial" w:eastAsia="Arial" w:hAnsi="Arial"/>
                  <w:sz w:val="16"/>
                  <w:szCs w:val="16"/>
                  <w:color w:val="0000EE"/>
                </w:rPr>
                <w:t>Description of the Registrant’s Securities Registered Pursuant to Section 12 of the Securities Exchange</w:t>
              </w:r>
            </w:hyperlink>
          </w:p>
        </w:tc>
        <w:tc>
          <w:tcPr>
            <w:tcW w:w="1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60" w:type="dxa"/>
            <w:vAlign w:val="bottom"/>
            <w:gridSpan w:val="23"/>
          </w:tcPr>
          <w:p>
            <w:pPr>
              <w:spacing w:after="0" w:line="169" w:lineRule="exact"/>
              <w:rPr>
                <w:rFonts w:ascii="Arial" w:cs="Arial" w:eastAsia="Arial" w:hAnsi="Arial"/>
                <w:sz w:val="16"/>
                <w:szCs w:val="16"/>
                <w:color w:val="0000EE"/>
              </w:rPr>
            </w:pPr>
            <w:hyperlink r:id="rId198">
              <w:r>
                <w:rPr>
                  <w:rFonts w:ascii="Arial" w:cs="Arial" w:eastAsia="Arial" w:hAnsi="Arial"/>
                  <w:sz w:val="16"/>
                  <w:szCs w:val="16"/>
                  <w:color w:val="0000EE"/>
                </w:rPr>
                <w:t>Act of 1934 (incorporated by reference to Exhibit 4.2 to the Company’s Annual Report on Form 10-K (File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20" w:type="dxa"/>
            <w:vAlign w:val="bottom"/>
            <w:tcBorders>
              <w:top w:val="single" w:sz="8" w:color="0000EE"/>
            </w:tcBorders>
            <w:gridSpan w:val="21"/>
          </w:tcPr>
          <w:p>
            <w:pPr>
              <w:spacing w:after="0" w:line="169" w:lineRule="exact"/>
              <w:rPr>
                <w:rFonts w:ascii="Arial" w:cs="Arial" w:eastAsia="Arial" w:hAnsi="Arial"/>
                <w:sz w:val="16"/>
                <w:szCs w:val="16"/>
                <w:color w:val="0000EE"/>
              </w:rPr>
            </w:pPr>
            <w:hyperlink r:id="rId198">
              <w:r>
                <w:rPr>
                  <w:rFonts w:ascii="Arial" w:cs="Arial" w:eastAsia="Arial" w:hAnsi="Arial"/>
                  <w:sz w:val="16"/>
                  <w:szCs w:val="16"/>
                  <w:color w:val="0000EE"/>
                </w:rPr>
                <w:t>No. 001-40498), dated March 17, 2022)</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8"/>
              </w:rPr>
              <w:t>4.4</w:t>
            </w: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199">
              <w:r>
                <w:rPr>
                  <w:rFonts w:ascii="Arial" w:cs="Arial" w:eastAsia="Arial" w:hAnsi="Arial"/>
                  <w:sz w:val="16"/>
                  <w:szCs w:val="16"/>
                  <w:color w:val="0000EE"/>
                </w:rPr>
                <w:t>Warrant to Purchase Units of Century Therapeutics, LLC, in favor of Hercules Technology Management</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r:id="rId199">
              <w:r>
                <w:rPr>
                  <w:rFonts w:ascii="Arial" w:cs="Arial" w:eastAsia="Arial" w:hAnsi="Arial"/>
                  <w:sz w:val="16"/>
                  <w:szCs w:val="16"/>
                  <w:color w:val="0000EE"/>
                </w:rPr>
                <w:t>Co II, Inc., dated September 14, 2020 (incorporated by reference to Exhibit 4.3 to the Company’s</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199">
              <w:r>
                <w:rPr>
                  <w:rFonts w:ascii="Arial" w:cs="Arial" w:eastAsia="Arial" w:hAnsi="Arial"/>
                  <w:sz w:val="16"/>
                  <w:szCs w:val="16"/>
                  <w:color w:val="0000EE"/>
                </w:rPr>
                <w:t>Registration Statement on Form S-1 (File No. 333-256648), dated May 28, 2021)</w:t>
              </w:r>
            </w:hyperlink>
          </w:p>
        </w:tc>
        <w:tc>
          <w:tcPr>
            <w:tcW w:w="1140" w:type="dxa"/>
            <w:vAlign w:val="bottom"/>
            <w:tcBorders>
              <w:top w:val="single" w:sz="8" w:color="0000EE"/>
            </w:tcBorders>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3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7"/>
              </w:rPr>
              <w:t>10.1</w:t>
            </w:r>
            <w:r>
              <w:rPr>
                <w:rFonts w:ascii="Times New Roman" w:cs="Times New Roman" w:eastAsia="Times New Roman" w:hAnsi="Times New Roman"/>
                <w:sz w:val="17"/>
                <w:szCs w:val="17"/>
                <w:color w:val="231F20"/>
                <w:w w:val="97"/>
              </w:rPr>
              <w:t>·</w:t>
            </w:r>
          </w:p>
        </w:tc>
        <w:tc>
          <w:tcPr>
            <w:tcW w:w="280" w:type="dxa"/>
            <w:vAlign w:val="bottom"/>
          </w:tcPr>
          <w:p>
            <w:pPr>
              <w:spacing w:after="0"/>
              <w:rPr>
                <w:sz w:val="20"/>
                <w:szCs w:val="20"/>
                <w:color w:val="auto"/>
              </w:rPr>
            </w:pPr>
          </w:p>
        </w:tc>
        <w:tc>
          <w:tcPr>
            <w:tcW w:w="7020" w:type="dxa"/>
            <w:vAlign w:val="bottom"/>
            <w:tcBorders>
              <w:bottom w:val="single" w:sz="8" w:color="0000EE"/>
            </w:tcBorders>
            <w:gridSpan w:val="13"/>
          </w:tcPr>
          <w:p>
            <w:pPr>
              <w:spacing w:after="0"/>
              <w:rPr>
                <w:rFonts w:ascii="Arial" w:cs="Arial" w:eastAsia="Arial" w:hAnsi="Arial"/>
                <w:sz w:val="16"/>
                <w:szCs w:val="16"/>
                <w:color w:val="0000EE"/>
              </w:rPr>
            </w:pPr>
            <w:hyperlink r:id="rId200">
              <w:r>
                <w:rPr>
                  <w:rFonts w:ascii="Arial" w:cs="Arial" w:eastAsia="Arial" w:hAnsi="Arial"/>
                  <w:sz w:val="16"/>
                  <w:szCs w:val="16"/>
                  <w:color w:val="0000EE"/>
                </w:rPr>
                <w:t>Form of Indemnification Agreement by and between the Registrant and its individual directors and</w:t>
              </w:r>
            </w:hyperlink>
          </w:p>
        </w:tc>
        <w:tc>
          <w:tcPr>
            <w:tcW w:w="54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60" w:type="dxa"/>
            <w:vAlign w:val="bottom"/>
            <w:gridSpan w:val="23"/>
          </w:tcPr>
          <w:p>
            <w:pPr>
              <w:spacing w:after="0" w:line="169" w:lineRule="exact"/>
              <w:rPr>
                <w:rFonts w:ascii="Arial" w:cs="Arial" w:eastAsia="Arial" w:hAnsi="Arial"/>
                <w:sz w:val="16"/>
                <w:szCs w:val="16"/>
                <w:color w:val="0000EE"/>
              </w:rPr>
            </w:pPr>
            <w:hyperlink r:id="rId200">
              <w:r>
                <w:rPr>
                  <w:rFonts w:ascii="Arial" w:cs="Arial" w:eastAsia="Arial" w:hAnsi="Arial"/>
                  <w:sz w:val="16"/>
                  <w:szCs w:val="16"/>
                  <w:color w:val="0000EE"/>
                </w:rPr>
                <w:t>officers (incorporated by reference to Exhibit 10.1 to the Company’s Registration Statement on Form S-1</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r:id="rId200">
              <w:r>
                <w:rPr>
                  <w:rFonts w:ascii="Arial" w:cs="Arial" w:eastAsia="Arial" w:hAnsi="Arial"/>
                  <w:sz w:val="16"/>
                  <w:szCs w:val="16"/>
                  <w:color w:val="0000EE"/>
                </w:rPr>
                <w:t>(File No. 333-256648), dated May 28, 2021)</w:t>
              </w:r>
            </w:hyperlink>
          </w:p>
        </w:tc>
        <w:tc>
          <w:tcPr>
            <w:tcW w:w="4320" w:type="dxa"/>
            <w:vAlign w:val="bottom"/>
            <w:tcBorders>
              <w:top w:val="single" w:sz="8" w:color="0000EE"/>
            </w:tcBorders>
            <w:gridSpan w:val="17"/>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7"/>
              </w:rPr>
              <w:t>10.2</w:t>
            </w:r>
            <w:r>
              <w:rPr>
                <w:rFonts w:ascii="Times New Roman" w:cs="Times New Roman" w:eastAsia="Times New Roman" w:hAnsi="Times New Roman"/>
                <w:sz w:val="17"/>
                <w:szCs w:val="17"/>
                <w:color w:val="231F20"/>
                <w:w w:val="97"/>
              </w:rPr>
              <w:t>·</w:t>
            </w: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01">
              <w:r>
                <w:rPr>
                  <w:rFonts w:ascii="Arial" w:cs="Arial" w:eastAsia="Arial" w:hAnsi="Arial"/>
                  <w:sz w:val="16"/>
                  <w:szCs w:val="16"/>
                  <w:color w:val="0000EE"/>
                </w:rPr>
                <w:t>2018 Stock Option and Grant Plan (incorporated by reference to Exhibit 10.2 to the Company’s</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201">
              <w:r>
                <w:rPr>
                  <w:rFonts w:ascii="Arial" w:cs="Arial" w:eastAsia="Arial" w:hAnsi="Arial"/>
                  <w:sz w:val="16"/>
                  <w:szCs w:val="16"/>
                  <w:color w:val="0000EE"/>
                </w:rPr>
                <w:t>Registration Statement on Form S-1 (File No. 333-256648), dated May 28, 2021)</w:t>
              </w:r>
            </w:hyperlink>
          </w:p>
        </w:tc>
        <w:tc>
          <w:tcPr>
            <w:tcW w:w="1040" w:type="dxa"/>
            <w:vAlign w:val="bottom"/>
            <w:tcBorders>
              <w:top w:val="single" w:sz="8" w:color="0000EE"/>
            </w:tcBorders>
            <w:gridSpan w:val="3"/>
          </w:tcPr>
          <w:p>
            <w:pPr>
              <w:spacing w:after="0"/>
              <w:rPr>
                <w:sz w:val="14"/>
                <w:szCs w:val="14"/>
                <w:color w:val="auto"/>
              </w:rPr>
            </w:pPr>
          </w:p>
        </w:tc>
        <w:tc>
          <w:tcPr>
            <w:tcW w:w="160" w:type="dxa"/>
            <w:vAlign w:val="bottom"/>
            <w:gridSpan w:val="3"/>
          </w:tcPr>
          <w:p>
            <w:pPr>
              <w:spacing w:after="0"/>
              <w:rPr>
                <w:sz w:val="14"/>
                <w:szCs w:val="14"/>
                <w:color w:val="auto"/>
              </w:rPr>
            </w:pPr>
          </w:p>
        </w:tc>
        <w:tc>
          <w:tcPr>
            <w:tcW w:w="140" w:type="dxa"/>
            <w:vAlign w:val="bottom"/>
            <w:gridSpan w:val="3"/>
          </w:tcPr>
          <w:p>
            <w:pPr>
              <w:spacing w:after="0"/>
              <w:rPr>
                <w:sz w:val="14"/>
                <w:szCs w:val="14"/>
                <w:color w:val="auto"/>
              </w:rPr>
            </w:pPr>
          </w:p>
        </w:tc>
        <w:tc>
          <w:tcPr>
            <w:tcW w:w="320" w:type="dxa"/>
            <w:vAlign w:val="bottom"/>
            <w:gridSpan w:val="4"/>
          </w:tcPr>
          <w:p>
            <w:pPr>
              <w:spacing w:after="0"/>
              <w:rPr>
                <w:sz w:val="14"/>
                <w:szCs w:val="14"/>
                <w:color w:val="auto"/>
              </w:rPr>
            </w:pPr>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7"/>
              </w:rPr>
              <w:t>10.3</w:t>
            </w:r>
            <w:r>
              <w:rPr>
                <w:rFonts w:ascii="Times New Roman" w:cs="Times New Roman" w:eastAsia="Times New Roman" w:hAnsi="Times New Roman"/>
                <w:sz w:val="17"/>
                <w:szCs w:val="17"/>
                <w:color w:val="231F20"/>
                <w:w w:val="97"/>
              </w:rPr>
              <w:t>·</w:t>
            </w: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02">
              <w:r>
                <w:rPr>
                  <w:rFonts w:ascii="Arial" w:cs="Arial" w:eastAsia="Arial" w:hAnsi="Arial"/>
                  <w:sz w:val="16"/>
                  <w:szCs w:val="16"/>
                  <w:color w:val="0000EE"/>
                </w:rPr>
                <w:t>Amendment No. 1 to 2018 Stock Option and Grant Plan (incorporated by reference to Exhibit 10.3 to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202">
              <w:r>
                <w:rPr>
                  <w:rFonts w:ascii="Arial" w:cs="Arial" w:eastAsia="Arial" w:hAnsi="Arial"/>
                  <w:sz w:val="16"/>
                  <w:szCs w:val="16"/>
                  <w:color w:val="0000EE"/>
                </w:rPr>
                <w:t>Company’s Registration Statement on Form S-1 (File No. 333-256648), dated May 28, 2021)</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10.4</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03">
              <w:r>
                <w:rPr>
                  <w:rFonts w:ascii="Arial" w:cs="Arial" w:eastAsia="Arial" w:hAnsi="Arial"/>
                  <w:sz w:val="16"/>
                  <w:szCs w:val="16"/>
                  <w:color w:val="0000EE"/>
                </w:rPr>
                <w:t>Amendment No. 2 to 2018 Stock Option and Grant Plan (incorporated by reference to Exhibit 10.4 to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203">
              <w:r>
                <w:rPr>
                  <w:rFonts w:ascii="Arial" w:cs="Arial" w:eastAsia="Arial" w:hAnsi="Arial"/>
                  <w:sz w:val="16"/>
                  <w:szCs w:val="16"/>
                  <w:color w:val="0000EE"/>
                </w:rPr>
                <w:t>Company’s Registration Statement on Form S-1 (File No. 333-256648), dated May 28, 2021)</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10.5</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04">
              <w:r>
                <w:rPr>
                  <w:rFonts w:ascii="Arial" w:cs="Arial" w:eastAsia="Arial" w:hAnsi="Arial"/>
                  <w:sz w:val="16"/>
                  <w:szCs w:val="16"/>
                  <w:color w:val="0000EE"/>
                </w:rPr>
                <w:t>Amendment No. 3 to 2018 Stock Option and Grant Plan (incorporated by reference to Exhibit 10.5 to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204">
              <w:r>
                <w:rPr>
                  <w:rFonts w:ascii="Arial" w:cs="Arial" w:eastAsia="Arial" w:hAnsi="Arial"/>
                  <w:sz w:val="16"/>
                  <w:szCs w:val="16"/>
                  <w:color w:val="0000EE"/>
                </w:rPr>
                <w:t>Company’s Registration Statement on Form S-1 (File No. 333-256648), dated May 28, 2021)</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10.6</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05">
              <w:r>
                <w:rPr>
                  <w:rFonts w:ascii="Arial" w:cs="Arial" w:eastAsia="Arial" w:hAnsi="Arial"/>
                  <w:sz w:val="16"/>
                  <w:szCs w:val="16"/>
                  <w:color w:val="0000EE"/>
                </w:rPr>
                <w:t>Amendment No. 4 to 2018 Stock Option and Grant Plan (incorporated by reference to Exhibit 10.6 to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205">
              <w:r>
                <w:rPr>
                  <w:rFonts w:ascii="Arial" w:cs="Arial" w:eastAsia="Arial" w:hAnsi="Arial"/>
                  <w:sz w:val="16"/>
                  <w:szCs w:val="16"/>
                  <w:color w:val="0000EE"/>
                </w:rPr>
                <w:t>Company’s Registration Statement on Form S-1 (File No. 333-256648), dated May 28, 2021)</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10.7</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06">
              <w:r>
                <w:rPr>
                  <w:rFonts w:ascii="Arial" w:cs="Arial" w:eastAsia="Arial" w:hAnsi="Arial"/>
                  <w:sz w:val="16"/>
                  <w:szCs w:val="16"/>
                  <w:color w:val="0000EE"/>
                </w:rPr>
                <w:t>Amendment No. 5 to 2018 Stock Option and Grant Plan (incorporated by reference to Exhibit 10.7 to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206">
              <w:r>
                <w:rPr>
                  <w:rFonts w:ascii="Arial" w:cs="Arial" w:eastAsia="Arial" w:hAnsi="Arial"/>
                  <w:sz w:val="16"/>
                  <w:szCs w:val="16"/>
                  <w:color w:val="0000EE"/>
                </w:rPr>
                <w:t>Company’s Registration Statement on Form S-1 (File No. 333-256648), dated May 28, 2021)</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10.8</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07">
              <w:r>
                <w:rPr>
                  <w:rFonts w:ascii="Arial" w:cs="Arial" w:eastAsia="Arial" w:hAnsi="Arial"/>
                  <w:sz w:val="16"/>
                  <w:szCs w:val="16"/>
                  <w:color w:val="0000EE"/>
                </w:rPr>
                <w:t>2021 Equity Incentive Plan (incorporated by reference to Exhibit 10.8 to the Company’s Registration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207">
              <w:r>
                <w:rPr>
                  <w:rFonts w:ascii="Arial" w:cs="Arial" w:eastAsia="Arial" w:hAnsi="Arial"/>
                  <w:sz w:val="16"/>
                  <w:szCs w:val="16"/>
                  <w:color w:val="0000EE"/>
                </w:rPr>
                <w:t>Statement on Form S-1/A (File No. 333-256648), dated June 14, 2021)</w:t>
              </w:r>
            </w:hyperlink>
          </w:p>
        </w:tc>
        <w:tc>
          <w:tcPr>
            <w:tcW w:w="2060" w:type="dxa"/>
            <w:vAlign w:val="bottom"/>
            <w:tcBorders>
              <w:top w:val="single" w:sz="8" w:color="0000EE"/>
            </w:tcBorders>
            <w:gridSpan w:val="11"/>
          </w:tcPr>
          <w:p>
            <w:pPr>
              <w:spacing w:after="0"/>
              <w:rPr>
                <w:sz w:val="14"/>
                <w:szCs w:val="14"/>
                <w:color w:val="auto"/>
              </w:rPr>
            </w:pPr>
          </w:p>
        </w:tc>
        <w:tc>
          <w:tcPr>
            <w:tcW w:w="4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7"/>
              </w:rPr>
              <w:t>10.9</w:t>
            </w:r>
            <w:r>
              <w:rPr>
                <w:rFonts w:ascii="Times New Roman" w:cs="Times New Roman" w:eastAsia="Times New Roman" w:hAnsi="Times New Roman"/>
                <w:sz w:val="17"/>
                <w:szCs w:val="17"/>
                <w:color w:val="231F20"/>
                <w:w w:val="97"/>
              </w:rPr>
              <w:t>·</w:t>
            </w:r>
          </w:p>
        </w:tc>
        <w:tc>
          <w:tcPr>
            <w:tcW w:w="280" w:type="dxa"/>
            <w:vAlign w:val="bottom"/>
          </w:tcPr>
          <w:p>
            <w:pPr>
              <w:spacing w:after="0"/>
              <w:rPr>
                <w:sz w:val="20"/>
                <w:szCs w:val="20"/>
                <w:color w:val="auto"/>
              </w:rPr>
            </w:pPr>
          </w:p>
        </w:tc>
        <w:tc>
          <w:tcPr>
            <w:tcW w:w="7560" w:type="dxa"/>
            <w:vAlign w:val="bottom"/>
            <w:gridSpan w:val="23"/>
          </w:tcPr>
          <w:p>
            <w:pPr>
              <w:spacing w:after="0"/>
              <w:rPr>
                <w:rFonts w:ascii="Arial" w:cs="Arial" w:eastAsia="Arial" w:hAnsi="Arial"/>
                <w:sz w:val="16"/>
                <w:szCs w:val="16"/>
                <w:color w:val="0000EE"/>
              </w:rPr>
            </w:pPr>
            <w:hyperlink r:id="rId208">
              <w:r>
                <w:rPr>
                  <w:rFonts w:ascii="Arial" w:cs="Arial" w:eastAsia="Arial" w:hAnsi="Arial"/>
                  <w:sz w:val="16"/>
                  <w:szCs w:val="16"/>
                  <w:color w:val="0000EE"/>
                </w:rPr>
                <w:t>2021 Employee Stock Purchase Plan (incorporated by reference to Exhibit 10.9 to the Company’s</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r:id="rId208">
              <w:r>
                <w:rPr>
                  <w:rFonts w:ascii="Arial" w:cs="Arial" w:eastAsia="Arial" w:hAnsi="Arial"/>
                  <w:sz w:val="16"/>
                  <w:szCs w:val="16"/>
                  <w:color w:val="0000EE"/>
                </w:rPr>
                <w:t>Registration Statement on Form S-1/A (File No. 333-256648), dated June 14, 2021)</w:t>
              </w:r>
            </w:hyperlink>
          </w:p>
        </w:tc>
        <w:tc>
          <w:tcPr>
            <w:tcW w:w="5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72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Borders>
              <w:top w:val="single" w:sz="8" w:color="0000EE"/>
            </w:tcBorders>
            <w:gridSpan w:val="4"/>
          </w:tcPr>
          <w:p>
            <w:pPr>
              <w:ind w:left="2960"/>
              <w:spacing w:after="0"/>
              <w:rPr>
                <w:sz w:val="20"/>
                <w:szCs w:val="20"/>
                <w:color w:val="auto"/>
              </w:rPr>
            </w:pPr>
            <w:r>
              <w:rPr>
                <w:rFonts w:ascii="Arial" w:cs="Arial" w:eastAsia="Arial" w:hAnsi="Arial"/>
                <w:sz w:val="18"/>
                <w:szCs w:val="18"/>
                <w:color w:val="auto"/>
              </w:rPr>
              <w:t>168</w:t>
            </w: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68" w:name="page169"/>
    <w:bookmarkEnd w:id="1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10.10</w:t>
            </w:r>
            <w:r>
              <w:rPr>
                <w:rFonts w:ascii="Times New Roman" w:cs="Times New Roman" w:eastAsia="Times New Roman" w:hAnsi="Times New Roman"/>
                <w:sz w:val="17"/>
                <w:szCs w:val="17"/>
                <w:color w:val="231F20"/>
              </w:rPr>
              <w:t>·</w:t>
            </w:r>
          </w:p>
        </w:tc>
        <w:tc>
          <w:tcPr>
            <w:tcW w:w="7640" w:type="dxa"/>
            <w:vAlign w:val="bottom"/>
            <w:gridSpan w:val="38"/>
          </w:tcPr>
          <w:p>
            <w:pPr>
              <w:spacing w:after="0"/>
              <w:rPr>
                <w:rFonts w:ascii="Arial" w:cs="Arial" w:eastAsia="Arial" w:hAnsi="Arial"/>
                <w:sz w:val="16"/>
                <w:szCs w:val="16"/>
                <w:color w:val="0000EE"/>
              </w:rPr>
            </w:pPr>
            <w:hyperlink r:id="rId209">
              <w:r>
                <w:rPr>
                  <w:rFonts w:ascii="Arial" w:cs="Arial" w:eastAsia="Arial" w:hAnsi="Arial"/>
                  <w:sz w:val="16"/>
                  <w:szCs w:val="16"/>
                  <w:color w:val="0000EE"/>
                </w:rPr>
                <w:t>Form of Restricted Stock Award Agreement, under the 2018 Stock Option and Grant Plan (incorporated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480" w:type="dxa"/>
            <w:vAlign w:val="bottom"/>
            <w:tcBorders>
              <w:top w:val="single" w:sz="8" w:color="0000EE"/>
            </w:tcBorders>
            <w:gridSpan w:val="30"/>
          </w:tcPr>
          <w:p>
            <w:pPr>
              <w:spacing w:after="0" w:line="169" w:lineRule="exact"/>
              <w:rPr>
                <w:rFonts w:ascii="Arial" w:cs="Arial" w:eastAsia="Arial" w:hAnsi="Arial"/>
                <w:sz w:val="16"/>
                <w:szCs w:val="16"/>
                <w:color w:val="0000EE"/>
              </w:rPr>
            </w:pPr>
            <w:hyperlink r:id="rId209">
              <w:r>
                <w:rPr>
                  <w:rFonts w:ascii="Arial" w:cs="Arial" w:eastAsia="Arial" w:hAnsi="Arial"/>
                  <w:sz w:val="16"/>
                  <w:szCs w:val="16"/>
                  <w:color w:val="0000EE"/>
                </w:rPr>
                <w:t>by reference to Exhibit 10.10 to the Company’s Registration Statement on Form S-1 (File No. 333-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18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09">
              <w:r>
                <w:rPr>
                  <w:rFonts w:ascii="Arial" w:cs="Arial" w:eastAsia="Arial" w:hAnsi="Arial"/>
                  <w:sz w:val="16"/>
                  <w:szCs w:val="16"/>
                  <w:color w:val="0000EE"/>
                </w:rPr>
                <w:t>256648)</w:t>
              </w:r>
              <w:r>
                <w:rPr>
                  <w:rFonts w:ascii="Arial" w:cs="Arial" w:eastAsia="Arial" w:hAnsi="Arial"/>
                  <w:sz w:val="16"/>
                  <w:szCs w:val="16"/>
                  <w:u w:val="single" w:color="auto"/>
                  <w:color w:val="0000EE"/>
                </w:rPr>
                <w:t>,</w:t>
              </w:r>
              <w:r>
                <w:rPr>
                  <w:rFonts w:ascii="Arial" w:cs="Arial" w:eastAsia="Arial" w:hAnsi="Arial"/>
                  <w:sz w:val="16"/>
                  <w:szCs w:val="16"/>
                  <w:color w:val="0000EE"/>
                </w:rPr>
                <w:t xml:space="preserve"> dated May 28, 2021)</w:t>
              </w:r>
            </w:hyperlink>
          </w:p>
        </w:tc>
        <w:tc>
          <w:tcPr>
            <w:tcW w:w="4860" w:type="dxa"/>
            <w:vAlign w:val="bottom"/>
            <w:tcBorders>
              <w:top w:val="single" w:sz="8" w:color="0000EE"/>
            </w:tcBorders>
            <w:gridSpan w:val="1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99"/>
              <w:spacing w:after="0"/>
              <w:rPr>
                <w:sz w:val="20"/>
                <w:szCs w:val="20"/>
                <w:color w:val="auto"/>
              </w:rPr>
            </w:pPr>
            <w:r>
              <w:rPr>
                <w:rFonts w:ascii="Arial" w:cs="Arial" w:eastAsia="Arial" w:hAnsi="Arial"/>
                <w:sz w:val="16"/>
                <w:szCs w:val="16"/>
                <w:color w:val="auto"/>
                <w:w w:val="96"/>
              </w:rPr>
              <w:t>10.11</w:t>
            </w:r>
            <w:r>
              <w:rPr>
                <w:rFonts w:ascii="Times New Roman" w:cs="Times New Roman" w:eastAsia="Times New Roman" w:hAnsi="Times New Roman"/>
                <w:sz w:val="17"/>
                <w:szCs w:val="17"/>
                <w:color w:val="231F20"/>
                <w:w w:val="96"/>
              </w:rPr>
              <w:t>·</w:t>
            </w:r>
          </w:p>
        </w:tc>
        <w:tc>
          <w:tcPr>
            <w:tcW w:w="7640" w:type="dxa"/>
            <w:vAlign w:val="bottom"/>
            <w:gridSpan w:val="38"/>
          </w:tcPr>
          <w:p>
            <w:pPr>
              <w:spacing w:after="0"/>
              <w:rPr>
                <w:rFonts w:ascii="Arial" w:cs="Arial" w:eastAsia="Arial" w:hAnsi="Arial"/>
                <w:sz w:val="16"/>
                <w:szCs w:val="16"/>
                <w:color w:val="0000EE"/>
              </w:rPr>
            </w:pPr>
            <w:hyperlink r:id="rId210">
              <w:r>
                <w:rPr>
                  <w:rFonts w:ascii="Arial" w:cs="Arial" w:eastAsia="Arial" w:hAnsi="Arial"/>
                  <w:sz w:val="16"/>
                  <w:szCs w:val="16"/>
                  <w:color w:val="0000EE"/>
                </w:rPr>
                <w:t>Form of Non-Qualified Stock Option Agreement, under the 2018 Stock Option and Grant Plan</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70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r:id="rId210">
              <w:r>
                <w:rPr>
                  <w:rFonts w:ascii="Arial" w:cs="Arial" w:eastAsia="Arial" w:hAnsi="Arial"/>
                  <w:sz w:val="16"/>
                  <w:szCs w:val="16"/>
                  <w:color w:val="0000EE"/>
                </w:rPr>
                <w:t>(incorporated by reference to Exhibit 10.11 to the Company’s Registration Statement on Form</w:t>
              </w:r>
            </w:hyperlink>
          </w:p>
        </w:tc>
        <w:tc>
          <w:tcPr>
            <w:tcW w:w="940" w:type="dxa"/>
            <w:vAlign w:val="bottom"/>
            <w:gridSpan w:val="30"/>
          </w:tcPr>
          <w:p>
            <w:pPr>
              <w:ind w:left="40"/>
              <w:spacing w:after="0" w:line="169" w:lineRule="exact"/>
              <w:rPr>
                <w:rFonts w:ascii="Arial" w:cs="Arial" w:eastAsia="Arial" w:hAnsi="Arial"/>
                <w:sz w:val="16"/>
                <w:szCs w:val="16"/>
                <w:color w:val="0000EE"/>
              </w:rPr>
            </w:pPr>
            <w:hyperlink r:id="rId210">
              <w:r>
                <w:rPr>
                  <w:rFonts w:ascii="Arial" w:cs="Arial" w:eastAsia="Arial" w:hAnsi="Arial"/>
                  <w:sz w:val="16"/>
                  <w:szCs w:val="16"/>
                  <w:color w:val="0000EE"/>
                </w:rPr>
                <w:t>S-1 (File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80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r:id="rId210">
              <w:r>
                <w:rPr>
                  <w:rFonts w:ascii="Arial" w:cs="Arial" w:eastAsia="Arial" w:hAnsi="Arial"/>
                  <w:sz w:val="16"/>
                  <w:szCs w:val="16"/>
                  <w:color w:val="0000EE"/>
                </w:rPr>
                <w:t>No. 333-256648), dated May 28, 2021)</w:t>
              </w:r>
            </w:hyperlink>
          </w:p>
        </w:tc>
        <w:tc>
          <w:tcPr>
            <w:tcW w:w="4560" w:type="dxa"/>
            <w:vAlign w:val="bottom"/>
            <w:tcBorders>
              <w:top w:val="single" w:sz="8" w:color="0000EE"/>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10.12</w:t>
            </w:r>
            <w:r>
              <w:rPr>
                <w:rFonts w:ascii="Times New Roman" w:cs="Times New Roman" w:eastAsia="Times New Roman" w:hAnsi="Times New Roman"/>
                <w:sz w:val="17"/>
                <w:szCs w:val="17"/>
                <w:color w:val="231F20"/>
              </w:rPr>
              <w:t>·</w:t>
            </w:r>
          </w:p>
        </w:tc>
        <w:tc>
          <w:tcPr>
            <w:tcW w:w="7640" w:type="dxa"/>
            <w:vAlign w:val="bottom"/>
            <w:gridSpan w:val="38"/>
          </w:tcPr>
          <w:p>
            <w:pPr>
              <w:spacing w:after="0"/>
              <w:rPr>
                <w:rFonts w:ascii="Arial" w:cs="Arial" w:eastAsia="Arial" w:hAnsi="Arial"/>
                <w:sz w:val="16"/>
                <w:szCs w:val="16"/>
                <w:color w:val="0000EE"/>
              </w:rPr>
            </w:pPr>
            <w:hyperlink r:id="rId211">
              <w:r>
                <w:rPr>
                  <w:rFonts w:ascii="Arial" w:cs="Arial" w:eastAsia="Arial" w:hAnsi="Arial"/>
                  <w:sz w:val="16"/>
                  <w:szCs w:val="16"/>
                  <w:color w:val="0000EE"/>
                </w:rPr>
                <w:t>Form of Incentive Stock Option Agreement, under the 2018 Stock Option and Grant Plan (incorporated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340" w:type="dxa"/>
            <w:vAlign w:val="bottom"/>
            <w:tcBorders>
              <w:top w:val="single" w:sz="8" w:color="0000EE"/>
            </w:tcBorders>
            <w:gridSpan w:val="23"/>
          </w:tcPr>
          <w:p>
            <w:pPr>
              <w:spacing w:after="0" w:line="169" w:lineRule="exact"/>
              <w:rPr>
                <w:rFonts w:ascii="Arial" w:cs="Arial" w:eastAsia="Arial" w:hAnsi="Arial"/>
                <w:sz w:val="16"/>
                <w:szCs w:val="16"/>
                <w:color w:val="0000EE"/>
              </w:rPr>
            </w:pPr>
            <w:hyperlink r:id="rId211">
              <w:r>
                <w:rPr>
                  <w:rFonts w:ascii="Arial" w:cs="Arial" w:eastAsia="Arial" w:hAnsi="Arial"/>
                  <w:sz w:val="16"/>
                  <w:szCs w:val="16"/>
                  <w:color w:val="0000EE"/>
                </w:rPr>
                <w:t>by reference to Exhibit 10.12 to the Company’s Registration Statement on Form S-1 (File No. 333-</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18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11">
              <w:r>
                <w:rPr>
                  <w:rFonts w:ascii="Arial" w:cs="Arial" w:eastAsia="Arial" w:hAnsi="Arial"/>
                  <w:sz w:val="16"/>
                  <w:szCs w:val="16"/>
                  <w:color w:val="0000EE"/>
                </w:rPr>
                <w:t>256648)</w:t>
              </w:r>
              <w:r>
                <w:rPr>
                  <w:rFonts w:ascii="Arial" w:cs="Arial" w:eastAsia="Arial" w:hAnsi="Arial"/>
                  <w:sz w:val="16"/>
                  <w:szCs w:val="16"/>
                  <w:u w:val="single" w:color="auto"/>
                  <w:color w:val="0000EE"/>
                </w:rPr>
                <w:t>,</w:t>
              </w:r>
              <w:r>
                <w:rPr>
                  <w:rFonts w:ascii="Arial" w:cs="Arial" w:eastAsia="Arial" w:hAnsi="Arial"/>
                  <w:sz w:val="16"/>
                  <w:szCs w:val="16"/>
                  <w:color w:val="0000EE"/>
                </w:rPr>
                <w:t xml:space="preserve"> dated May 28, 2021)</w:t>
              </w:r>
            </w:hyperlink>
          </w:p>
        </w:tc>
        <w:tc>
          <w:tcPr>
            <w:tcW w:w="4860" w:type="dxa"/>
            <w:vAlign w:val="bottom"/>
            <w:tcBorders>
              <w:top w:val="single" w:sz="8" w:color="0000EE"/>
            </w:tcBorders>
            <w:gridSpan w:val="1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10.13</w:t>
            </w:r>
            <w:r>
              <w:rPr>
                <w:rFonts w:ascii="Times New Roman" w:cs="Times New Roman" w:eastAsia="Times New Roman" w:hAnsi="Times New Roman"/>
                <w:sz w:val="17"/>
                <w:szCs w:val="17"/>
                <w:color w:val="231F20"/>
              </w:rPr>
              <w:t>·</w:t>
            </w:r>
          </w:p>
        </w:tc>
        <w:tc>
          <w:tcPr>
            <w:tcW w:w="7640" w:type="dxa"/>
            <w:vAlign w:val="bottom"/>
            <w:gridSpan w:val="38"/>
          </w:tcPr>
          <w:p>
            <w:pPr>
              <w:spacing w:after="0"/>
              <w:rPr>
                <w:rFonts w:ascii="Arial" w:cs="Arial" w:eastAsia="Arial" w:hAnsi="Arial"/>
                <w:sz w:val="16"/>
                <w:szCs w:val="16"/>
                <w:color w:val="0000EE"/>
              </w:rPr>
            </w:pPr>
            <w:hyperlink r:id="rId212">
              <w:r>
                <w:rPr>
                  <w:rFonts w:ascii="Arial" w:cs="Arial" w:eastAsia="Arial" w:hAnsi="Arial"/>
                  <w:sz w:val="16"/>
                  <w:szCs w:val="16"/>
                  <w:color w:val="0000EE"/>
                </w:rPr>
                <w:t>Form of Stock Option Grant Notice and Award Agreement, under the 2021 Plan (incorporated by</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0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0000EE"/>
              </w:rPr>
            </w:pPr>
            <w:hyperlink r:id="rId212">
              <w:r>
                <w:rPr>
                  <w:rFonts w:ascii="Arial" w:cs="Arial" w:eastAsia="Arial" w:hAnsi="Arial"/>
                  <w:sz w:val="16"/>
                  <w:szCs w:val="16"/>
                  <w:color w:val="0000EE"/>
                </w:rPr>
                <w:t>reference to Exhibit 10.13 to the Company’s Registration Statement on Form S-1 (File No. 333-</w:t>
              </w:r>
            </w:hyperlink>
          </w:p>
        </w:tc>
        <w:tc>
          <w:tcPr>
            <w:tcW w:w="640" w:type="dxa"/>
            <w:vAlign w:val="bottom"/>
            <w:tcBorders>
              <w:bottom w:val="single" w:sz="8" w:color="0000EE"/>
            </w:tcBorders>
            <w:gridSpan w:val="24"/>
          </w:tcPr>
          <w:p>
            <w:pPr>
              <w:jc w:val="right"/>
              <w:ind w:right="80"/>
              <w:spacing w:after="0" w:line="169" w:lineRule="exact"/>
              <w:rPr>
                <w:rFonts w:ascii="Arial" w:cs="Arial" w:eastAsia="Arial" w:hAnsi="Arial"/>
                <w:sz w:val="16"/>
                <w:szCs w:val="16"/>
                <w:color w:val="0000EE"/>
                <w:w w:val="85"/>
              </w:rPr>
            </w:pPr>
            <w:hyperlink r:id="rId212">
              <w:r>
                <w:rPr>
                  <w:rFonts w:ascii="Arial" w:cs="Arial" w:eastAsia="Arial" w:hAnsi="Arial"/>
                  <w:sz w:val="16"/>
                  <w:szCs w:val="16"/>
                  <w:color w:val="0000EE"/>
                  <w:w w:val="85"/>
                </w:rPr>
                <w:t>256648),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40" w:type="dxa"/>
            <w:vAlign w:val="bottom"/>
            <w:gridSpan w:val="33"/>
          </w:tcPr>
          <w:p>
            <w:pPr>
              <w:spacing w:after="0" w:line="169" w:lineRule="exact"/>
              <w:rPr>
                <w:rFonts w:ascii="Arial" w:cs="Arial" w:eastAsia="Arial" w:hAnsi="Arial"/>
                <w:sz w:val="16"/>
                <w:szCs w:val="16"/>
                <w:color w:val="0000EE"/>
              </w:rPr>
            </w:pPr>
            <w:hyperlink r:id="rId212">
              <w:r>
                <w:rPr>
                  <w:rFonts w:ascii="Arial" w:cs="Arial" w:eastAsia="Arial" w:hAnsi="Arial"/>
                  <w:sz w:val="16"/>
                  <w:szCs w:val="16"/>
                  <w:color w:val="0000EE"/>
                </w:rPr>
                <w:t>dated May 28,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jc w:val="center"/>
              <w:ind w:right="179"/>
              <w:spacing w:after="0"/>
              <w:rPr>
                <w:sz w:val="20"/>
                <w:szCs w:val="20"/>
                <w:color w:val="auto"/>
              </w:rPr>
            </w:pPr>
            <w:r>
              <w:rPr>
                <w:rFonts w:ascii="Arial" w:cs="Arial" w:eastAsia="Arial" w:hAnsi="Arial"/>
                <w:sz w:val="16"/>
                <w:szCs w:val="16"/>
                <w:color w:val="auto"/>
              </w:rPr>
              <w:t>10.14</w:t>
            </w:r>
            <w:r>
              <w:rPr>
                <w:rFonts w:ascii="Times New Roman" w:cs="Times New Roman" w:eastAsia="Times New Roman" w:hAnsi="Times New Roman"/>
                <w:sz w:val="17"/>
                <w:szCs w:val="17"/>
                <w:color w:val="231F20"/>
              </w:rPr>
              <w:t>·</w:t>
            </w:r>
          </w:p>
        </w:tc>
        <w:tc>
          <w:tcPr>
            <w:tcW w:w="1480" w:type="dxa"/>
            <w:vAlign w:val="bottom"/>
            <w:shd w:val="clear" w:color="auto" w:fill="0000EE"/>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vMerge w:val="continue"/>
          </w:tcPr>
          <w:p>
            <w:pPr>
              <w:spacing w:after="0"/>
              <w:rPr>
                <w:sz w:val="20"/>
                <w:szCs w:val="20"/>
                <w:color w:val="auto"/>
              </w:rPr>
            </w:pPr>
          </w:p>
        </w:tc>
        <w:tc>
          <w:tcPr>
            <w:tcW w:w="7640" w:type="dxa"/>
            <w:vAlign w:val="bottom"/>
            <w:gridSpan w:val="38"/>
          </w:tcPr>
          <w:p>
            <w:pPr>
              <w:spacing w:after="0"/>
              <w:rPr>
                <w:rFonts w:ascii="Arial" w:cs="Arial" w:eastAsia="Arial" w:hAnsi="Arial"/>
                <w:sz w:val="16"/>
                <w:szCs w:val="16"/>
                <w:color w:val="0000EE"/>
              </w:rPr>
            </w:pPr>
            <w:hyperlink r:id="rId213">
              <w:r>
                <w:rPr>
                  <w:rFonts w:ascii="Arial" w:cs="Arial" w:eastAsia="Arial" w:hAnsi="Arial"/>
                  <w:sz w:val="16"/>
                  <w:szCs w:val="16"/>
                  <w:color w:val="0000EE"/>
                </w:rPr>
                <w:t>Form of Restricted Stock Unit Grant Notice and Award Agreement, under the 2021 Plan (incorporated by</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0" w:type="dxa"/>
            <w:vAlign w:val="bottom"/>
            <w:tcBorders>
              <w:top w:val="single" w:sz="8" w:color="0000EE"/>
            </w:tcBorders>
            <w:gridSpan w:val="36"/>
          </w:tcPr>
          <w:p>
            <w:pPr>
              <w:spacing w:after="0" w:line="169" w:lineRule="exact"/>
              <w:rPr>
                <w:rFonts w:ascii="Arial" w:cs="Arial" w:eastAsia="Arial" w:hAnsi="Arial"/>
                <w:sz w:val="16"/>
                <w:szCs w:val="16"/>
                <w:color w:val="0000EE"/>
              </w:rPr>
            </w:pPr>
            <w:hyperlink r:id="rId213">
              <w:r>
                <w:rPr>
                  <w:rFonts w:ascii="Arial" w:cs="Arial" w:eastAsia="Arial" w:hAnsi="Arial"/>
                  <w:sz w:val="16"/>
                  <w:szCs w:val="16"/>
                  <w:color w:val="0000EE"/>
                </w:rPr>
                <w:t>reference to Exhibit 10.14 to the Company’s Registration Statement on Form S-1 (File No. 333-256648),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40" w:type="dxa"/>
            <w:vAlign w:val="bottom"/>
            <w:tcBorders>
              <w:top w:val="single" w:sz="8" w:color="0000EE"/>
            </w:tcBorders>
            <w:gridSpan w:val="33"/>
          </w:tcPr>
          <w:p>
            <w:pPr>
              <w:spacing w:after="0" w:line="169" w:lineRule="exact"/>
              <w:rPr>
                <w:rFonts w:ascii="Arial" w:cs="Arial" w:eastAsia="Arial" w:hAnsi="Arial"/>
                <w:sz w:val="16"/>
                <w:szCs w:val="16"/>
                <w:color w:val="0000EE"/>
              </w:rPr>
            </w:pPr>
            <w:hyperlink r:id="rId213">
              <w:r>
                <w:rPr>
                  <w:rFonts w:ascii="Arial" w:cs="Arial" w:eastAsia="Arial" w:hAnsi="Arial"/>
                  <w:sz w:val="16"/>
                  <w:szCs w:val="16"/>
                  <w:color w:val="0000EE"/>
                </w:rPr>
                <w:t>dated May 28,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jc w:val="center"/>
              <w:ind w:right="179"/>
              <w:spacing w:after="0"/>
              <w:rPr>
                <w:sz w:val="20"/>
                <w:szCs w:val="20"/>
                <w:color w:val="auto"/>
              </w:rPr>
            </w:pPr>
            <w:r>
              <w:rPr>
                <w:rFonts w:ascii="Arial" w:cs="Arial" w:eastAsia="Arial" w:hAnsi="Arial"/>
                <w:sz w:val="16"/>
                <w:szCs w:val="16"/>
                <w:color w:val="auto"/>
              </w:rPr>
              <w:t>10.15</w:t>
            </w:r>
            <w:r>
              <w:rPr>
                <w:rFonts w:ascii="Times New Roman" w:cs="Times New Roman" w:eastAsia="Times New Roman" w:hAnsi="Times New Roman"/>
                <w:sz w:val="17"/>
                <w:szCs w:val="17"/>
                <w:color w:val="231F20"/>
              </w:rPr>
              <w:t>·</w:t>
            </w:r>
          </w:p>
        </w:tc>
        <w:tc>
          <w:tcPr>
            <w:tcW w:w="1480" w:type="dxa"/>
            <w:vAlign w:val="bottom"/>
            <w:shd w:val="clear" w:color="auto" w:fill="0000EE"/>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vMerge w:val="continue"/>
          </w:tcPr>
          <w:p>
            <w:pPr>
              <w:spacing w:after="0"/>
              <w:rPr>
                <w:sz w:val="20"/>
                <w:szCs w:val="20"/>
                <w:color w:val="auto"/>
              </w:rPr>
            </w:pPr>
          </w:p>
        </w:tc>
        <w:tc>
          <w:tcPr>
            <w:tcW w:w="7640" w:type="dxa"/>
            <w:vAlign w:val="bottom"/>
            <w:gridSpan w:val="38"/>
          </w:tcPr>
          <w:p>
            <w:pPr>
              <w:spacing w:after="0"/>
              <w:rPr>
                <w:rFonts w:ascii="Arial" w:cs="Arial" w:eastAsia="Arial" w:hAnsi="Arial"/>
                <w:sz w:val="16"/>
                <w:szCs w:val="16"/>
                <w:color w:val="0000EE"/>
              </w:rPr>
            </w:pPr>
            <w:hyperlink r:id="rId214">
              <w:r>
                <w:rPr>
                  <w:rFonts w:ascii="Arial" w:cs="Arial" w:eastAsia="Arial" w:hAnsi="Arial"/>
                  <w:sz w:val="16"/>
                  <w:szCs w:val="16"/>
                  <w:color w:val="0000EE"/>
                </w:rPr>
                <w:t>Form of Performance-Based Restricted Stock Unit Grant Notice and Award Agreement, under the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80" w:type="dxa"/>
            <w:vAlign w:val="bottom"/>
            <w:tcBorders>
              <w:top w:val="single" w:sz="8" w:color="0000EE"/>
              <w:bottom w:val="single" w:sz="8" w:color="0000EE"/>
            </w:tcBorders>
            <w:gridSpan w:val="12"/>
          </w:tcPr>
          <w:p>
            <w:pPr>
              <w:spacing w:after="0" w:line="169" w:lineRule="exact"/>
              <w:rPr>
                <w:rFonts w:ascii="Arial" w:cs="Arial" w:eastAsia="Arial" w:hAnsi="Arial"/>
                <w:sz w:val="16"/>
                <w:szCs w:val="16"/>
                <w:color w:val="0000EE"/>
                <w:w w:val="99"/>
              </w:rPr>
            </w:pPr>
            <w:hyperlink r:id="rId214">
              <w:r>
                <w:rPr>
                  <w:rFonts w:ascii="Arial" w:cs="Arial" w:eastAsia="Arial" w:hAnsi="Arial"/>
                  <w:sz w:val="16"/>
                  <w:szCs w:val="16"/>
                  <w:color w:val="0000EE"/>
                  <w:w w:val="99"/>
                </w:rPr>
                <w:t>Company’s 2021 Equity Incentive Plan (incorporated by reference to Exhibit 10.3 of the Company’s</w:t>
              </w:r>
            </w:hyperlink>
          </w:p>
        </w:tc>
        <w:tc>
          <w:tcPr>
            <w:tcW w:w="4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588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r:id="rId214">
              <w:r>
                <w:rPr>
                  <w:rFonts w:ascii="Arial" w:cs="Arial" w:eastAsia="Arial" w:hAnsi="Arial"/>
                  <w:sz w:val="16"/>
                  <w:szCs w:val="16"/>
                  <w:color w:val="0000EE"/>
                </w:rPr>
                <w:t>Quarterly Report on Form 10-Q (File No. 001-40498) filed on November 05, 2024)</w:t>
              </w:r>
            </w:hyperlink>
          </w:p>
        </w:tc>
        <w:tc>
          <w:tcPr>
            <w:tcW w:w="122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10.16</w:t>
            </w:r>
            <w:r>
              <w:rPr>
                <w:rFonts w:ascii="Arial" w:cs="Arial" w:eastAsia="Arial" w:hAnsi="Arial"/>
                <w:sz w:val="16"/>
                <w:szCs w:val="16"/>
                <w:color w:val="231F20"/>
                <w:w w:val="99"/>
              </w:rPr>
              <w:t>*</w:t>
            </w:r>
          </w:p>
        </w:tc>
        <w:tc>
          <w:tcPr>
            <w:tcW w:w="7640" w:type="dxa"/>
            <w:vAlign w:val="bottom"/>
            <w:gridSpan w:val="38"/>
          </w:tcPr>
          <w:p>
            <w:pPr>
              <w:spacing w:after="0"/>
              <w:rPr>
                <w:rFonts w:ascii="Arial" w:cs="Arial" w:eastAsia="Arial" w:hAnsi="Arial"/>
                <w:sz w:val="16"/>
                <w:szCs w:val="16"/>
                <w:color w:val="0000EE"/>
              </w:rPr>
            </w:pPr>
            <w:hyperlink r:id="rId215">
              <w:r>
                <w:rPr>
                  <w:rFonts w:ascii="Arial" w:cs="Arial" w:eastAsia="Arial" w:hAnsi="Arial"/>
                  <w:sz w:val="16"/>
                  <w:szCs w:val="16"/>
                  <w:color w:val="0000EE"/>
                </w:rPr>
                <w:t>Amended and Restated Option Agreement, by and between Century Therapeutics, Inc. and Bayer</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800" w:type="dxa"/>
            <w:vAlign w:val="bottom"/>
            <w:gridSpan w:val="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8"/>
          </w:tcPr>
          <w:p>
            <w:pPr>
              <w:spacing w:after="0" w:line="169" w:lineRule="exact"/>
              <w:rPr>
                <w:rFonts w:ascii="Arial" w:cs="Arial" w:eastAsia="Arial" w:hAnsi="Arial"/>
                <w:sz w:val="16"/>
                <w:szCs w:val="16"/>
                <w:color w:val="0000EE"/>
              </w:rPr>
            </w:pPr>
            <w:hyperlink r:id="rId215">
              <w:r>
                <w:rPr>
                  <w:rFonts w:ascii="Arial" w:cs="Arial" w:eastAsia="Arial" w:hAnsi="Arial"/>
                  <w:sz w:val="16"/>
                  <w:szCs w:val="16"/>
                  <w:color w:val="0000EE"/>
                </w:rPr>
                <w:t>HealthCare LLC, dated February 25, 2021 (incorporated by reference to Exhibit 10.15 to the Company’s</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215">
              <w:r>
                <w:rPr>
                  <w:rFonts w:ascii="Arial" w:cs="Arial" w:eastAsia="Arial" w:hAnsi="Arial"/>
                  <w:sz w:val="16"/>
                  <w:szCs w:val="16"/>
                  <w:color w:val="0000EE"/>
                </w:rPr>
                <w:t>Registration Statement on Form S-1 (File No. 333-256648), dated May 28, 2021)</w:t>
              </w:r>
            </w:hyperlink>
          </w:p>
        </w:tc>
        <w:tc>
          <w:tcPr>
            <w:tcW w:w="1720" w:type="dxa"/>
            <w:vAlign w:val="bottom"/>
            <w:tcBorders>
              <w:top w:val="single" w:sz="8" w:color="0000EE"/>
            </w:tcBorders>
            <w:gridSpan w:val="2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10.17*</w:t>
            </w:r>
          </w:p>
        </w:tc>
        <w:tc>
          <w:tcPr>
            <w:tcW w:w="7640" w:type="dxa"/>
            <w:vAlign w:val="bottom"/>
            <w:gridSpan w:val="38"/>
          </w:tcPr>
          <w:p>
            <w:pPr>
              <w:spacing w:after="0"/>
              <w:rPr>
                <w:rFonts w:ascii="Arial" w:cs="Arial" w:eastAsia="Arial" w:hAnsi="Arial"/>
                <w:sz w:val="16"/>
                <w:szCs w:val="16"/>
                <w:color w:val="0000EE"/>
              </w:rPr>
            </w:pPr>
            <w:hyperlink r:id="rId216">
              <w:r>
                <w:rPr>
                  <w:rFonts w:ascii="Arial" w:cs="Arial" w:eastAsia="Arial" w:hAnsi="Arial"/>
                  <w:sz w:val="16"/>
                  <w:szCs w:val="16"/>
                  <w:color w:val="0000EE"/>
                </w:rPr>
                <w:t>Master Collaboration Agreement, by and between Century Therapeutics, Inc. and FUJIFILM Cellular</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180" w:type="dxa"/>
            <w:vAlign w:val="bottom"/>
            <w:tcBorders>
              <w:top w:val="single" w:sz="8" w:color="0000EE"/>
              <w:bottom w:val="single" w:sz="8" w:color="0000EE"/>
            </w:tcBorders>
            <w:gridSpan w:val="18"/>
          </w:tcPr>
          <w:p>
            <w:pPr>
              <w:spacing w:after="0" w:line="169" w:lineRule="exact"/>
              <w:rPr>
                <w:rFonts w:ascii="Arial" w:cs="Arial" w:eastAsia="Arial" w:hAnsi="Arial"/>
                <w:sz w:val="16"/>
                <w:szCs w:val="16"/>
                <w:color w:val="0000EE"/>
                <w:w w:val="99"/>
              </w:rPr>
            </w:pPr>
            <w:hyperlink r:id="rId216">
              <w:r>
                <w:rPr>
                  <w:rFonts w:ascii="Arial" w:cs="Arial" w:eastAsia="Arial" w:hAnsi="Arial"/>
                  <w:sz w:val="16"/>
                  <w:szCs w:val="16"/>
                  <w:color w:val="0000EE"/>
                  <w:w w:val="99"/>
                </w:rPr>
                <w:t>Dynamics, Inc., dated October 21, 2019 (incorporated by reference to Exhibit 10.16 to the Company’s</w:t>
              </w:r>
            </w:hyperlink>
          </w:p>
        </w:tc>
        <w:tc>
          <w:tcPr>
            <w:tcW w:w="4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580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r:id="rId216">
              <w:r>
                <w:rPr>
                  <w:rFonts w:ascii="Arial" w:cs="Arial" w:eastAsia="Arial" w:hAnsi="Arial"/>
                  <w:sz w:val="16"/>
                  <w:szCs w:val="16"/>
                  <w:color w:val="0000EE"/>
                </w:rPr>
                <w:t>Registration Statement on Form S-1 (File No. 333-256648), dated May 28, 2021)</w:t>
              </w:r>
            </w:hyperlink>
          </w:p>
        </w:tc>
        <w:tc>
          <w:tcPr>
            <w:tcW w:w="1480" w:type="dxa"/>
            <w:vAlign w:val="bottom"/>
            <w:gridSpan w:val="17"/>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10.18</w:t>
            </w:r>
          </w:p>
        </w:tc>
        <w:tc>
          <w:tcPr>
            <w:tcW w:w="7380" w:type="dxa"/>
            <w:vAlign w:val="bottom"/>
            <w:tcBorders>
              <w:bottom w:val="single" w:sz="8" w:color="0000EE"/>
            </w:tcBorders>
            <w:gridSpan w:val="25"/>
          </w:tcPr>
          <w:p>
            <w:pPr>
              <w:spacing w:after="0"/>
              <w:rPr>
                <w:rFonts w:ascii="Arial" w:cs="Arial" w:eastAsia="Arial" w:hAnsi="Arial"/>
                <w:sz w:val="16"/>
                <w:szCs w:val="16"/>
                <w:color w:val="0000EE"/>
              </w:rPr>
            </w:pPr>
            <w:hyperlink r:id="rId217">
              <w:r>
                <w:rPr>
                  <w:rFonts w:ascii="Arial" w:cs="Arial" w:eastAsia="Arial" w:hAnsi="Arial"/>
                  <w:sz w:val="16"/>
                  <w:szCs w:val="16"/>
                  <w:color w:val="0000EE"/>
                </w:rPr>
                <w:t>Amendment No. 1 to Master Collaboration Agreement, by and between Century Therapeutics, Inc. and</w:t>
              </w:r>
            </w:hyperlink>
          </w:p>
        </w:tc>
        <w:tc>
          <w:tcPr>
            <w:tcW w:w="2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8"/>
          </w:tcPr>
          <w:p>
            <w:pPr>
              <w:spacing w:after="0" w:line="169" w:lineRule="exact"/>
              <w:rPr>
                <w:rFonts w:ascii="Arial" w:cs="Arial" w:eastAsia="Arial" w:hAnsi="Arial"/>
                <w:sz w:val="16"/>
                <w:szCs w:val="16"/>
                <w:color w:val="0000EE"/>
              </w:rPr>
            </w:pPr>
            <w:hyperlink r:id="rId217">
              <w:r>
                <w:rPr>
                  <w:rFonts w:ascii="Arial" w:cs="Arial" w:eastAsia="Arial" w:hAnsi="Arial"/>
                  <w:sz w:val="16"/>
                  <w:szCs w:val="16"/>
                  <w:color w:val="0000EE"/>
                </w:rPr>
                <w:t>FUJIFILM Cellular Dynamics, Inc., dated July 17, 2020 (incorporated by reference to Exhibit 10.17 to the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60" w:type="dxa"/>
            <w:vAlign w:val="bottom"/>
            <w:tcBorders>
              <w:top w:val="single" w:sz="8" w:color="0000EE"/>
            </w:tcBorders>
            <w:gridSpan w:val="34"/>
          </w:tcPr>
          <w:p>
            <w:pPr>
              <w:spacing w:after="0" w:line="169" w:lineRule="exact"/>
              <w:rPr>
                <w:rFonts w:ascii="Arial" w:cs="Arial" w:eastAsia="Arial" w:hAnsi="Arial"/>
                <w:sz w:val="16"/>
                <w:szCs w:val="16"/>
                <w:color w:val="0000EE"/>
              </w:rPr>
            </w:pPr>
            <w:hyperlink r:id="rId217">
              <w:r>
                <w:rPr>
                  <w:rFonts w:ascii="Arial" w:cs="Arial" w:eastAsia="Arial" w:hAnsi="Arial"/>
                  <w:sz w:val="16"/>
                  <w:szCs w:val="16"/>
                  <w:color w:val="0000EE"/>
                </w:rPr>
                <w:t>Company’s Registration Statement on Form S-1 (File No. 333-256648), dated May 28,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10.19*</w:t>
            </w:r>
          </w:p>
        </w:tc>
        <w:tc>
          <w:tcPr>
            <w:tcW w:w="7320" w:type="dxa"/>
            <w:vAlign w:val="bottom"/>
            <w:tcBorders>
              <w:bottom w:val="single" w:sz="8" w:color="0000EE"/>
            </w:tcBorders>
            <w:gridSpan w:val="22"/>
          </w:tcPr>
          <w:p>
            <w:pPr>
              <w:spacing w:after="0"/>
              <w:rPr>
                <w:rFonts w:ascii="Arial" w:cs="Arial" w:eastAsia="Arial" w:hAnsi="Arial"/>
                <w:sz w:val="16"/>
                <w:szCs w:val="16"/>
                <w:color w:val="0000EE"/>
              </w:rPr>
            </w:pPr>
            <w:hyperlink r:id="rId218">
              <w:r>
                <w:rPr>
                  <w:rFonts w:ascii="Arial" w:cs="Arial" w:eastAsia="Arial" w:hAnsi="Arial"/>
                  <w:sz w:val="16"/>
                  <w:szCs w:val="16"/>
                  <w:color w:val="0000EE"/>
                </w:rPr>
                <w:t>Amendment No. 2 to Master Collaboration Agreement by and between Century Therapeutics, Inc. and</w:t>
              </w:r>
            </w:hyperlink>
          </w:p>
        </w:tc>
        <w:tc>
          <w:tcPr>
            <w:tcW w:w="32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8"/>
          </w:tcPr>
          <w:p>
            <w:pPr>
              <w:spacing w:after="0" w:line="169" w:lineRule="exact"/>
              <w:rPr>
                <w:rFonts w:ascii="Arial" w:cs="Arial" w:eastAsia="Arial" w:hAnsi="Arial"/>
                <w:sz w:val="16"/>
                <w:szCs w:val="16"/>
                <w:color w:val="0000EE"/>
              </w:rPr>
            </w:pPr>
            <w:hyperlink r:id="rId218">
              <w:r>
                <w:rPr>
                  <w:rFonts w:ascii="Arial" w:cs="Arial" w:eastAsia="Arial" w:hAnsi="Arial"/>
                  <w:sz w:val="16"/>
                  <w:szCs w:val="16"/>
                  <w:color w:val="0000EE"/>
                </w:rPr>
                <w:t>FUJIFILM Cellular Dynamics, Inc., dated March 23, 2021 (incorporated by reference to Exhibit 10.18 to</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2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r:id="rId218">
              <w:r>
                <w:rPr>
                  <w:rFonts w:ascii="Arial" w:cs="Arial" w:eastAsia="Arial" w:hAnsi="Arial"/>
                  <w:sz w:val="16"/>
                  <w:szCs w:val="16"/>
                  <w:color w:val="0000EE"/>
                </w:rPr>
                <w:t>the Company’s Registration Statement on Form S-1 (File No. 333-256648), dated May 28, 2021)</w:t>
              </w:r>
            </w:hyperlink>
          </w:p>
        </w:tc>
        <w:tc>
          <w:tcPr>
            <w:tcW w:w="480" w:type="dxa"/>
            <w:vAlign w:val="bottom"/>
            <w:tcBorders>
              <w:top w:val="single" w:sz="8" w:color="0000EE"/>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10.20</w:t>
            </w:r>
          </w:p>
        </w:tc>
        <w:tc>
          <w:tcPr>
            <w:tcW w:w="7320" w:type="dxa"/>
            <w:vAlign w:val="bottom"/>
            <w:tcBorders>
              <w:bottom w:val="single" w:sz="8" w:color="0000EE"/>
            </w:tcBorders>
            <w:gridSpan w:val="22"/>
          </w:tcPr>
          <w:p>
            <w:pPr>
              <w:spacing w:after="0"/>
              <w:rPr>
                <w:rFonts w:ascii="Arial" w:cs="Arial" w:eastAsia="Arial" w:hAnsi="Arial"/>
                <w:sz w:val="16"/>
                <w:szCs w:val="16"/>
                <w:color w:val="0000EE"/>
              </w:rPr>
            </w:pPr>
            <w:hyperlink r:id="rId219">
              <w:r>
                <w:rPr>
                  <w:rFonts w:ascii="Arial" w:cs="Arial" w:eastAsia="Arial" w:hAnsi="Arial"/>
                  <w:sz w:val="16"/>
                  <w:szCs w:val="16"/>
                  <w:color w:val="0000EE"/>
                </w:rPr>
                <w:t>Amendment No. 3 to Master Collaboration Agreement by and between Century Therapeutics, Inc. and</w:t>
              </w:r>
            </w:hyperlink>
          </w:p>
        </w:tc>
        <w:tc>
          <w:tcPr>
            <w:tcW w:w="32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8"/>
          </w:tcPr>
          <w:p>
            <w:pPr>
              <w:spacing w:after="0" w:line="169" w:lineRule="exact"/>
              <w:rPr>
                <w:rFonts w:ascii="Arial" w:cs="Arial" w:eastAsia="Arial" w:hAnsi="Arial"/>
                <w:sz w:val="16"/>
                <w:szCs w:val="16"/>
                <w:color w:val="0000EE"/>
              </w:rPr>
            </w:pPr>
            <w:hyperlink r:id="rId219">
              <w:r>
                <w:rPr>
                  <w:rFonts w:ascii="Arial" w:cs="Arial" w:eastAsia="Arial" w:hAnsi="Arial"/>
                  <w:sz w:val="16"/>
                  <w:szCs w:val="16"/>
                  <w:color w:val="0000EE"/>
                </w:rPr>
                <w:t>FUJIFILM Cellular Dynamics, Inc., dated March 29, 2021 (incorporated by reference to Exhibit 10.19 to</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2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r:id="rId219">
              <w:r>
                <w:rPr>
                  <w:rFonts w:ascii="Arial" w:cs="Arial" w:eastAsia="Arial" w:hAnsi="Arial"/>
                  <w:sz w:val="16"/>
                  <w:szCs w:val="16"/>
                  <w:color w:val="0000EE"/>
                </w:rPr>
                <w:t>the Company’s Registration Statement on Form S-1 (File No. 333-256648), dated May 28, 2021)</w:t>
              </w:r>
            </w:hyperlink>
          </w:p>
        </w:tc>
        <w:tc>
          <w:tcPr>
            <w:tcW w:w="480" w:type="dxa"/>
            <w:vAlign w:val="bottom"/>
            <w:tcBorders>
              <w:top w:val="single" w:sz="8" w:color="0000EE"/>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10.21*</w:t>
            </w:r>
          </w:p>
        </w:tc>
        <w:tc>
          <w:tcPr>
            <w:tcW w:w="7640" w:type="dxa"/>
            <w:vAlign w:val="bottom"/>
            <w:gridSpan w:val="38"/>
          </w:tcPr>
          <w:p>
            <w:pPr>
              <w:spacing w:after="0"/>
              <w:rPr>
                <w:rFonts w:ascii="Arial" w:cs="Arial" w:eastAsia="Arial" w:hAnsi="Arial"/>
                <w:sz w:val="16"/>
                <w:szCs w:val="16"/>
                <w:color w:val="0000EE"/>
              </w:rPr>
            </w:pPr>
            <w:hyperlink r:id="rId220">
              <w:r>
                <w:rPr>
                  <w:rFonts w:ascii="Arial" w:cs="Arial" w:eastAsia="Arial" w:hAnsi="Arial"/>
                  <w:sz w:val="16"/>
                  <w:szCs w:val="16"/>
                  <w:color w:val="0000EE"/>
                </w:rPr>
                <w:t>Amendment No. 4 to Master Collaboration Agreement, by and between Century Therapeutics, Inc. and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380" w:type="dxa"/>
            <w:vAlign w:val="bottom"/>
            <w:tcBorders>
              <w:top w:val="single" w:sz="8" w:color="0000EE"/>
              <w:bottom w:val="single" w:sz="8" w:color="0000EE"/>
            </w:tcBorders>
            <w:gridSpan w:val="25"/>
          </w:tcPr>
          <w:p>
            <w:pPr>
              <w:spacing w:after="0" w:line="169" w:lineRule="exact"/>
              <w:rPr>
                <w:rFonts w:ascii="Arial" w:cs="Arial" w:eastAsia="Arial" w:hAnsi="Arial"/>
                <w:sz w:val="16"/>
                <w:szCs w:val="16"/>
                <w:color w:val="0000EE"/>
              </w:rPr>
            </w:pPr>
            <w:hyperlink r:id="rId220">
              <w:r>
                <w:rPr>
                  <w:rFonts w:ascii="Arial" w:cs="Arial" w:eastAsia="Arial" w:hAnsi="Arial"/>
                  <w:sz w:val="16"/>
                  <w:szCs w:val="16"/>
                  <w:color w:val="0000EE"/>
                </w:rPr>
                <w:t>FUJIFILM Cellular Dynamics, Inc., dated July 29, 2022 (incorporated by reference to Exhibit 10.1 to the</w:t>
              </w:r>
            </w:hyperlink>
          </w:p>
        </w:tc>
        <w:tc>
          <w:tcPr>
            <w:tcW w:w="4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66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r:id="rId220">
              <w:r>
                <w:rPr>
                  <w:rFonts w:ascii="Arial" w:cs="Arial" w:eastAsia="Arial" w:hAnsi="Arial"/>
                  <w:sz w:val="16"/>
                  <w:szCs w:val="16"/>
                  <w:color w:val="0000EE"/>
                </w:rPr>
                <w:t>Company’s Quarterly Report on Form 10-Q (File No. 001-40498), dated November 10, 2022)</w:t>
              </w:r>
            </w:hyperlink>
          </w:p>
        </w:tc>
        <w:tc>
          <w:tcPr>
            <w:tcW w:w="760" w:type="dxa"/>
            <w:vAlign w:val="bottom"/>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10.22</w:t>
            </w:r>
          </w:p>
        </w:tc>
        <w:tc>
          <w:tcPr>
            <w:tcW w:w="7140" w:type="dxa"/>
            <w:vAlign w:val="bottom"/>
            <w:tcBorders>
              <w:bottom w:val="single" w:sz="8" w:color="0000EE"/>
            </w:tcBorders>
            <w:gridSpan w:val="17"/>
          </w:tcPr>
          <w:p>
            <w:pPr>
              <w:spacing w:after="0"/>
              <w:rPr>
                <w:rFonts w:ascii="Arial" w:cs="Arial" w:eastAsia="Arial" w:hAnsi="Arial"/>
                <w:sz w:val="16"/>
                <w:szCs w:val="16"/>
                <w:color w:val="0000EE"/>
              </w:rPr>
            </w:pPr>
            <w:hyperlink r:id="rId221">
              <w:r>
                <w:rPr>
                  <w:rFonts w:ascii="Arial" w:cs="Arial" w:eastAsia="Arial" w:hAnsi="Arial"/>
                  <w:sz w:val="16"/>
                  <w:szCs w:val="16"/>
                  <w:color w:val="0000EE"/>
                </w:rPr>
                <w:t>Letter Agreement, by and among Century Therapeutics, Inc., FUJIFILM Cellular Dynamics, Inc. and</w:t>
              </w:r>
            </w:hyperlink>
          </w:p>
        </w:tc>
        <w:tc>
          <w:tcPr>
            <w:tcW w:w="50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8"/>
          </w:tcPr>
          <w:p>
            <w:pPr>
              <w:spacing w:after="0" w:line="169" w:lineRule="exact"/>
              <w:rPr>
                <w:rFonts w:ascii="Arial" w:cs="Arial" w:eastAsia="Arial" w:hAnsi="Arial"/>
                <w:sz w:val="16"/>
                <w:szCs w:val="16"/>
                <w:color w:val="0000EE"/>
              </w:rPr>
            </w:pPr>
            <w:hyperlink r:id="rId221">
              <w:r>
                <w:rPr>
                  <w:rFonts w:ascii="Arial" w:cs="Arial" w:eastAsia="Arial" w:hAnsi="Arial"/>
                  <w:sz w:val="16"/>
                  <w:szCs w:val="16"/>
                  <w:color w:val="0000EE"/>
                </w:rPr>
                <w:t>Wisconsin Alumni Research Foundation, dated July 2, 2019 (incorporated by reference to Exhibit 10.20</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120" w:type="dxa"/>
            <w:vAlign w:val="bottom"/>
            <w:tcBorders>
              <w:top w:val="single" w:sz="8" w:color="0000EE"/>
              <w:bottom w:val="single" w:sz="8" w:color="0000EE"/>
            </w:tcBorders>
            <w:gridSpan w:val="16"/>
          </w:tcPr>
          <w:p>
            <w:pPr>
              <w:spacing w:after="0" w:line="169" w:lineRule="exact"/>
              <w:rPr>
                <w:rFonts w:ascii="Arial" w:cs="Arial" w:eastAsia="Arial" w:hAnsi="Arial"/>
                <w:sz w:val="16"/>
                <w:szCs w:val="16"/>
                <w:color w:val="0000EE"/>
              </w:rPr>
            </w:pPr>
            <w:hyperlink r:id="rId221">
              <w:r>
                <w:rPr>
                  <w:rFonts w:ascii="Arial" w:cs="Arial" w:eastAsia="Arial" w:hAnsi="Arial"/>
                  <w:sz w:val="16"/>
                  <w:szCs w:val="16"/>
                  <w:color w:val="0000EE"/>
                </w:rPr>
                <w:t>to the Company’s Registration Statement on Form S-1 (File No. 333-256648), dated May 28, 2021)</w:t>
              </w:r>
            </w:hyperlink>
          </w:p>
        </w:tc>
        <w:tc>
          <w:tcPr>
            <w:tcW w:w="340" w:type="dxa"/>
            <w:vAlign w:val="bottom"/>
            <w:tcBorders>
              <w:top w:val="single" w:sz="8" w:color="0000EE"/>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10.23*</w:t>
            </w:r>
          </w:p>
        </w:tc>
        <w:tc>
          <w:tcPr>
            <w:tcW w:w="7640" w:type="dxa"/>
            <w:vAlign w:val="bottom"/>
            <w:gridSpan w:val="38"/>
          </w:tcPr>
          <w:p>
            <w:pPr>
              <w:spacing w:after="0"/>
              <w:rPr>
                <w:rFonts w:ascii="Arial" w:cs="Arial" w:eastAsia="Arial" w:hAnsi="Arial"/>
                <w:sz w:val="16"/>
                <w:szCs w:val="16"/>
                <w:color w:val="0000EE"/>
              </w:rPr>
            </w:pPr>
            <w:hyperlink r:id="rId222">
              <w:r>
                <w:rPr>
                  <w:rFonts w:ascii="Arial" w:cs="Arial" w:eastAsia="Arial" w:hAnsi="Arial"/>
                  <w:sz w:val="16"/>
                  <w:szCs w:val="16"/>
                  <w:color w:val="0000EE"/>
                </w:rPr>
                <w:t>License Agreement (Differentiation), by and between Century Therapeutics, Inc. and FUJIFILM Cellular</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440" w:type="dxa"/>
            <w:vAlign w:val="bottom"/>
            <w:tcBorders>
              <w:top w:val="single" w:sz="8" w:color="0000EE"/>
              <w:bottom w:val="single" w:sz="8" w:color="0000EE"/>
            </w:tcBorders>
            <w:gridSpan w:val="28"/>
          </w:tcPr>
          <w:p>
            <w:pPr>
              <w:spacing w:after="0" w:line="169" w:lineRule="exact"/>
              <w:rPr>
                <w:rFonts w:ascii="Arial" w:cs="Arial" w:eastAsia="Arial" w:hAnsi="Arial"/>
                <w:sz w:val="16"/>
                <w:szCs w:val="16"/>
                <w:color w:val="0000EE"/>
              </w:rPr>
            </w:pPr>
            <w:hyperlink r:id="rId222">
              <w:r>
                <w:rPr>
                  <w:rFonts w:ascii="Arial" w:cs="Arial" w:eastAsia="Arial" w:hAnsi="Arial"/>
                  <w:sz w:val="16"/>
                  <w:szCs w:val="16"/>
                  <w:color w:val="0000EE"/>
                </w:rPr>
                <w:t>Dynamics, Inc., dated September 18, 2018 (incorporated by reference to Exhibit 10.21 to the Company’s</w:t>
              </w:r>
            </w:hyperlink>
          </w:p>
        </w:tc>
        <w:tc>
          <w:tcPr>
            <w:tcW w:w="60" w:type="dxa"/>
            <w:vAlign w:val="bottom"/>
            <w:tcBorders>
              <w:bottom w:val="single" w:sz="8" w:color="0000EE"/>
            </w:tcBorders>
            <w:gridSpan w:val="3"/>
          </w:tcPr>
          <w:p>
            <w:pPr>
              <w:spacing w:after="0"/>
              <w:rPr>
                <w:sz w:val="14"/>
                <w:szCs w:val="14"/>
                <w:color w:val="auto"/>
              </w:rPr>
            </w:pPr>
          </w:p>
        </w:tc>
        <w:tc>
          <w:tcPr>
            <w:tcW w:w="80" w:type="dxa"/>
            <w:vAlign w:val="bottom"/>
            <w:tcBorders>
              <w:bottom w:val="single" w:sz="8" w:color="0000EE"/>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580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r:id="rId222">
              <w:r>
                <w:rPr>
                  <w:rFonts w:ascii="Arial" w:cs="Arial" w:eastAsia="Arial" w:hAnsi="Arial"/>
                  <w:sz w:val="16"/>
                  <w:szCs w:val="16"/>
                  <w:color w:val="0000EE"/>
                </w:rPr>
                <w:t>Registration Statement on Form S-1 (File No. 333-256648), dated May 28, 2021)</w:t>
              </w:r>
            </w:hyperlink>
          </w:p>
        </w:tc>
        <w:tc>
          <w:tcPr>
            <w:tcW w:w="1780" w:type="dxa"/>
            <w:vAlign w:val="bottom"/>
            <w:gridSpan w:val="3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10.24*</w:t>
            </w:r>
          </w:p>
        </w:tc>
        <w:tc>
          <w:tcPr>
            <w:tcW w:w="7260" w:type="dxa"/>
            <w:vAlign w:val="bottom"/>
            <w:tcBorders>
              <w:bottom w:val="single" w:sz="8" w:color="0000EE"/>
            </w:tcBorders>
            <w:gridSpan w:val="20"/>
          </w:tcPr>
          <w:p>
            <w:pPr>
              <w:spacing w:after="0"/>
              <w:rPr>
                <w:rFonts w:ascii="Arial" w:cs="Arial" w:eastAsia="Arial" w:hAnsi="Arial"/>
                <w:sz w:val="16"/>
                <w:szCs w:val="16"/>
                <w:color w:val="0000EE"/>
              </w:rPr>
            </w:pPr>
            <w:hyperlink r:id="rId223">
              <w:r>
                <w:rPr>
                  <w:rFonts w:ascii="Arial" w:cs="Arial" w:eastAsia="Arial" w:hAnsi="Arial"/>
                  <w:sz w:val="16"/>
                  <w:szCs w:val="16"/>
                  <w:color w:val="0000EE"/>
                </w:rPr>
                <w:t>Amendment No. 1 to License Agreement (Differentiation), by and between Century Therapeutics, Inc.</w:t>
              </w:r>
            </w:hyperlink>
          </w:p>
        </w:tc>
        <w:tc>
          <w:tcPr>
            <w:tcW w:w="38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8"/>
          </w:tcPr>
          <w:p>
            <w:pPr>
              <w:spacing w:after="0" w:line="169" w:lineRule="exact"/>
              <w:rPr>
                <w:rFonts w:ascii="Arial" w:cs="Arial" w:eastAsia="Arial" w:hAnsi="Arial"/>
                <w:sz w:val="16"/>
                <w:szCs w:val="16"/>
                <w:color w:val="0000EE"/>
              </w:rPr>
            </w:pPr>
            <w:hyperlink r:id="rId223">
              <w:r>
                <w:rPr>
                  <w:rFonts w:ascii="Arial" w:cs="Arial" w:eastAsia="Arial" w:hAnsi="Arial"/>
                  <w:sz w:val="16"/>
                  <w:szCs w:val="16"/>
                  <w:color w:val="0000EE"/>
                </w:rPr>
                <w:t>and FUJIFILM Cellular Dynamics, Inc., dated March 23, 2021 (incorporated by reference to Exhibit 10.22</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120" w:type="dxa"/>
            <w:vAlign w:val="bottom"/>
            <w:tcBorders>
              <w:top w:val="single" w:sz="8" w:color="0000EE"/>
              <w:bottom w:val="single" w:sz="8" w:color="0000EE"/>
            </w:tcBorders>
            <w:gridSpan w:val="16"/>
          </w:tcPr>
          <w:p>
            <w:pPr>
              <w:spacing w:after="0" w:line="169" w:lineRule="exact"/>
              <w:rPr>
                <w:rFonts w:ascii="Arial" w:cs="Arial" w:eastAsia="Arial" w:hAnsi="Arial"/>
                <w:sz w:val="16"/>
                <w:szCs w:val="16"/>
                <w:color w:val="0000EE"/>
              </w:rPr>
            </w:pPr>
            <w:hyperlink r:id="rId223">
              <w:r>
                <w:rPr>
                  <w:rFonts w:ascii="Arial" w:cs="Arial" w:eastAsia="Arial" w:hAnsi="Arial"/>
                  <w:sz w:val="16"/>
                  <w:szCs w:val="16"/>
                  <w:color w:val="0000EE"/>
                </w:rPr>
                <w:t>to the Company’s Registration Statement on Form S-1 (File No. 333-256648), dated May 28, 2021)</w:t>
              </w:r>
            </w:hyperlink>
          </w:p>
        </w:tc>
        <w:tc>
          <w:tcPr>
            <w:tcW w:w="500" w:type="dxa"/>
            <w:vAlign w:val="bottom"/>
            <w:tcBorders>
              <w:top w:val="single" w:sz="8" w:color="0000EE"/>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10.25*</w:t>
            </w:r>
          </w:p>
        </w:tc>
        <w:tc>
          <w:tcPr>
            <w:tcW w:w="7640" w:type="dxa"/>
            <w:vAlign w:val="bottom"/>
            <w:gridSpan w:val="38"/>
          </w:tcPr>
          <w:p>
            <w:pPr>
              <w:spacing w:after="0"/>
              <w:rPr>
                <w:rFonts w:ascii="Arial" w:cs="Arial" w:eastAsia="Arial" w:hAnsi="Arial"/>
                <w:sz w:val="16"/>
                <w:szCs w:val="16"/>
                <w:color w:val="0000EE"/>
              </w:rPr>
            </w:pPr>
            <w:hyperlink r:id="rId224">
              <w:r>
                <w:rPr>
                  <w:rFonts w:ascii="Arial" w:cs="Arial" w:eastAsia="Arial" w:hAnsi="Arial"/>
                  <w:sz w:val="16"/>
                  <w:szCs w:val="16"/>
                  <w:color w:val="0000EE"/>
                </w:rPr>
                <w:t>License Agreement (Reprogramming), by and between Century Therapeutics, Inc. and FUJIFILM</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6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r:id="rId224">
              <w:r>
                <w:rPr>
                  <w:rFonts w:ascii="Arial" w:cs="Arial" w:eastAsia="Arial" w:hAnsi="Arial"/>
                  <w:sz w:val="16"/>
                  <w:szCs w:val="16"/>
                  <w:color w:val="0000EE"/>
                </w:rPr>
                <w:t>Cellular Dynamics, Inc., dated September 18, 2018 (incorporated by reference to Exhibit 10.23 to</w:t>
              </w:r>
            </w:hyperlink>
          </w:p>
        </w:tc>
        <w:tc>
          <w:tcPr>
            <w:tcW w:w="680" w:type="dxa"/>
            <w:vAlign w:val="bottom"/>
            <w:gridSpan w:val="27"/>
          </w:tcPr>
          <w:p>
            <w:pPr>
              <w:ind w:left="40"/>
              <w:spacing w:after="0" w:line="169" w:lineRule="exact"/>
              <w:rPr>
                <w:rFonts w:ascii="Arial" w:cs="Arial" w:eastAsia="Arial" w:hAnsi="Arial"/>
                <w:sz w:val="16"/>
                <w:szCs w:val="16"/>
                <w:color w:val="0000EE"/>
              </w:rPr>
            </w:pPr>
            <w:hyperlink r:id="rId224">
              <w:r>
                <w:rPr>
                  <w:rFonts w:ascii="Arial" w:cs="Arial" w:eastAsia="Arial" w:hAnsi="Arial"/>
                  <w:sz w:val="16"/>
                  <w:szCs w:val="16"/>
                  <w:color w:val="0000EE"/>
                </w:rPr>
                <w:t>the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22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224">
              <w:r>
                <w:rPr>
                  <w:rFonts w:ascii="Arial" w:cs="Arial" w:eastAsia="Arial" w:hAnsi="Arial"/>
                  <w:sz w:val="16"/>
                  <w:szCs w:val="16"/>
                  <w:color w:val="0000EE"/>
                </w:rPr>
                <w:t>Company’s Registration Statement on Form S-1 (File No. 333-256648), dated May 28, 2021)</w:t>
              </w:r>
            </w:hyperlink>
          </w:p>
        </w:tc>
        <w:tc>
          <w:tcPr>
            <w:tcW w:w="280" w:type="dxa"/>
            <w:vAlign w:val="bottom"/>
            <w:gridSpan w:val="12"/>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40" w:type="dxa"/>
            <w:vAlign w:val="bottom"/>
            <w:gridSpan w:val="6"/>
            <w:shd w:val="clear" w:color="auto" w:fill="0000EE"/>
          </w:tcPr>
          <w:p>
            <w:pPr>
              <w:spacing w:after="0" w:line="20" w:lineRule="exact"/>
              <w:rPr>
                <w:sz w:val="1"/>
                <w:szCs w:val="1"/>
                <w:color w:val="auto"/>
              </w:rPr>
            </w:pPr>
          </w:p>
        </w:tc>
        <w:tc>
          <w:tcPr>
            <w:tcW w:w="860" w:type="dxa"/>
            <w:vAlign w:val="bottom"/>
            <w:gridSpan w:val="2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10.26*</w:t>
            </w:r>
          </w:p>
        </w:tc>
        <w:tc>
          <w:tcPr>
            <w:tcW w:w="7640" w:type="dxa"/>
            <w:vAlign w:val="bottom"/>
            <w:gridSpan w:val="38"/>
          </w:tcPr>
          <w:p>
            <w:pPr>
              <w:spacing w:after="0"/>
              <w:rPr>
                <w:rFonts w:ascii="Arial" w:cs="Arial" w:eastAsia="Arial" w:hAnsi="Arial"/>
                <w:sz w:val="16"/>
                <w:szCs w:val="16"/>
                <w:color w:val="0000EE"/>
              </w:rPr>
            </w:pPr>
            <w:hyperlink r:id="rId225">
              <w:r>
                <w:rPr>
                  <w:rFonts w:ascii="Arial" w:cs="Arial" w:eastAsia="Arial" w:hAnsi="Arial"/>
                  <w:sz w:val="16"/>
                  <w:szCs w:val="16"/>
                  <w:color w:val="0000EE"/>
                </w:rPr>
                <w:t>Amendment No. 1 to License Agreement (Reprogramming), by and between Century Therapeutics, Inc.</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00" w:type="dxa"/>
            <w:vAlign w:val="bottom"/>
            <w:tcBorders>
              <w:top w:val="single" w:sz="8" w:color="0000EE"/>
            </w:tcBorders>
            <w:gridSpan w:val="31"/>
          </w:tcPr>
          <w:p>
            <w:pPr>
              <w:spacing w:after="0" w:line="169" w:lineRule="exact"/>
              <w:rPr>
                <w:rFonts w:ascii="Arial" w:cs="Arial" w:eastAsia="Arial" w:hAnsi="Arial"/>
                <w:sz w:val="16"/>
                <w:szCs w:val="16"/>
                <w:color w:val="0000EE"/>
              </w:rPr>
            </w:pPr>
            <w:hyperlink r:id="rId225">
              <w:r>
                <w:rPr>
                  <w:rFonts w:ascii="Arial" w:cs="Arial" w:eastAsia="Arial" w:hAnsi="Arial"/>
                  <w:sz w:val="16"/>
                  <w:szCs w:val="16"/>
                  <w:color w:val="0000EE"/>
                </w:rPr>
                <w:t>and FUJIFILM Cellular Dynamics, Inc., dated March 23, 2021 (incorporated by reference to Exhibit 10.24</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20" w:type="dxa"/>
            <w:vAlign w:val="bottom"/>
            <w:tcBorders>
              <w:top w:val="single" w:sz="8" w:color="0000EE"/>
            </w:tcBorders>
            <w:gridSpan w:val="37"/>
          </w:tcPr>
          <w:p>
            <w:pPr>
              <w:spacing w:after="0" w:line="169" w:lineRule="exact"/>
              <w:rPr>
                <w:rFonts w:ascii="Arial" w:cs="Arial" w:eastAsia="Arial" w:hAnsi="Arial"/>
                <w:sz w:val="16"/>
                <w:szCs w:val="16"/>
                <w:color w:val="0000EE"/>
              </w:rPr>
            </w:pPr>
            <w:hyperlink r:id="rId225">
              <w:r>
                <w:rPr>
                  <w:rFonts w:ascii="Arial" w:cs="Arial" w:eastAsia="Arial" w:hAnsi="Arial"/>
                  <w:sz w:val="16"/>
                  <w:szCs w:val="16"/>
                  <w:color w:val="0000EE"/>
                </w:rPr>
                <w:t>to the Company’s Registration Statement on Form S-1 (File No. 333-256648), dated May 28,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6"/>
        </w:trPr>
        <w:tc>
          <w:tcPr>
            <w:tcW w:w="1360" w:type="dxa"/>
            <w:vAlign w:val="bottom"/>
          </w:tcPr>
          <w:p>
            <w:pPr>
              <w:spacing w:after="0"/>
              <w:rPr>
                <w:sz w:val="24"/>
                <w:szCs w:val="24"/>
                <w:color w:val="auto"/>
              </w:rPr>
            </w:pPr>
          </w:p>
        </w:tc>
        <w:tc>
          <w:tcPr>
            <w:tcW w:w="5800" w:type="dxa"/>
            <w:vAlign w:val="bottom"/>
            <w:tcBorders>
              <w:top w:val="single" w:sz="8" w:color="0000EE"/>
            </w:tcBorders>
            <w:gridSpan w:val="4"/>
          </w:tcPr>
          <w:p>
            <w:pPr>
              <w:ind w:left="2960"/>
              <w:spacing w:after="0"/>
              <w:rPr>
                <w:sz w:val="20"/>
                <w:szCs w:val="20"/>
                <w:color w:val="auto"/>
              </w:rPr>
            </w:pPr>
            <w:r>
              <w:rPr>
                <w:rFonts w:ascii="Arial" w:cs="Arial" w:eastAsia="Arial" w:hAnsi="Arial"/>
                <w:sz w:val="18"/>
                <w:szCs w:val="18"/>
                <w:color w:val="auto"/>
              </w:rPr>
              <w:t>169</w:t>
            </w:r>
          </w:p>
        </w:tc>
        <w:tc>
          <w:tcPr>
            <w:tcW w:w="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1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69" w:name="page170"/>
    <w:bookmarkEnd w:id="1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10.27*</w:t>
            </w:r>
          </w:p>
        </w:tc>
        <w:tc>
          <w:tcPr>
            <w:tcW w:w="7220" w:type="dxa"/>
            <w:vAlign w:val="bottom"/>
            <w:tcBorders>
              <w:bottom w:val="single" w:sz="8" w:color="0000EE"/>
            </w:tcBorders>
            <w:gridSpan w:val="13"/>
          </w:tcPr>
          <w:p>
            <w:pPr>
              <w:spacing w:after="0"/>
              <w:rPr>
                <w:rFonts w:ascii="Arial" w:cs="Arial" w:eastAsia="Arial" w:hAnsi="Arial"/>
                <w:sz w:val="16"/>
                <w:szCs w:val="16"/>
                <w:color w:val="0000EE"/>
              </w:rPr>
            </w:pPr>
            <w:hyperlink r:id="rId226">
              <w:r>
                <w:rPr>
                  <w:rFonts w:ascii="Arial" w:cs="Arial" w:eastAsia="Arial" w:hAnsi="Arial"/>
                  <w:sz w:val="16"/>
                  <w:szCs w:val="16"/>
                  <w:color w:val="0000EE"/>
                </w:rPr>
                <w:t>Letter Agreement by and between Century Therapeutics, Inc. and FUJIFILM Cellular Dynamics, Inc.,</w:t>
              </w:r>
            </w:hyperlink>
          </w:p>
        </w:tc>
        <w:tc>
          <w:tcPr>
            <w:tcW w:w="280" w:type="dxa"/>
            <w:vAlign w:val="bottom"/>
            <w:gridSpan w:val="8"/>
          </w:tcPr>
          <w:p>
            <w:pPr>
              <w:spacing w:after="0"/>
              <w:rPr>
                <w:sz w:val="16"/>
                <w:szCs w:val="16"/>
                <w:color w:val="auto"/>
              </w:rPr>
            </w:pPr>
          </w:p>
        </w:tc>
      </w:tr>
      <w:tr>
        <w:trPr>
          <w:trHeight w:val="169"/>
        </w:trPr>
        <w:tc>
          <w:tcPr>
            <w:tcW w:w="1040" w:type="dxa"/>
            <w:vAlign w:val="bottom"/>
          </w:tcPr>
          <w:p>
            <w:pPr>
              <w:spacing w:after="0"/>
              <w:rPr>
                <w:sz w:val="14"/>
                <w:szCs w:val="14"/>
                <w:color w:val="auto"/>
              </w:rPr>
            </w:pPr>
          </w:p>
        </w:tc>
        <w:tc>
          <w:tcPr>
            <w:tcW w:w="7500" w:type="dxa"/>
            <w:vAlign w:val="bottom"/>
            <w:gridSpan w:val="21"/>
          </w:tcPr>
          <w:p>
            <w:pPr>
              <w:spacing w:after="0" w:line="169" w:lineRule="exact"/>
              <w:rPr>
                <w:rFonts w:ascii="Arial" w:cs="Arial" w:eastAsia="Arial" w:hAnsi="Arial"/>
                <w:sz w:val="16"/>
                <w:szCs w:val="16"/>
                <w:color w:val="0000EE"/>
              </w:rPr>
            </w:pPr>
            <w:hyperlink r:id="rId226">
              <w:r>
                <w:rPr>
                  <w:rFonts w:ascii="Arial" w:cs="Arial" w:eastAsia="Arial" w:hAnsi="Arial"/>
                  <w:sz w:val="16"/>
                  <w:szCs w:val="16"/>
                  <w:color w:val="0000EE"/>
                </w:rPr>
                <w:t>dated January 7, 2022 (incorporated by reference to Exhibit 10.25 to the Company’s Annual Report on</w:t>
              </w:r>
            </w:hyperlink>
          </w:p>
        </w:tc>
      </w:tr>
      <w:tr>
        <w:trPr>
          <w:trHeight w:val="169"/>
        </w:trPr>
        <w:tc>
          <w:tcPr>
            <w:tcW w:w="1040" w:type="dxa"/>
            <w:vAlign w:val="bottom"/>
          </w:tcPr>
          <w:p>
            <w:pPr>
              <w:spacing w:after="0"/>
              <w:rPr>
                <w:sz w:val="14"/>
                <w:szCs w:val="14"/>
                <w:color w:val="auto"/>
              </w:rPr>
            </w:pPr>
          </w:p>
        </w:tc>
        <w:tc>
          <w:tcPr>
            <w:tcW w:w="402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r:id="rId226">
              <w:r>
                <w:rPr>
                  <w:rFonts w:ascii="Arial" w:cs="Arial" w:eastAsia="Arial" w:hAnsi="Arial"/>
                  <w:sz w:val="16"/>
                  <w:szCs w:val="16"/>
                  <w:color w:val="0000EE"/>
                </w:rPr>
                <w:t>Form 10-K (File No. 001-40498), dated March 17, 2022)</w:t>
              </w:r>
            </w:hyperlink>
          </w:p>
        </w:tc>
        <w:tc>
          <w:tcPr>
            <w:tcW w:w="3320" w:type="dxa"/>
            <w:vAlign w:val="bottom"/>
            <w:tcBorders>
              <w:top w:val="single" w:sz="8" w:color="0000EE"/>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10.28*</w:t>
            </w:r>
          </w:p>
        </w:tc>
        <w:tc>
          <w:tcPr>
            <w:tcW w:w="7500" w:type="dxa"/>
            <w:vAlign w:val="bottom"/>
            <w:gridSpan w:val="21"/>
          </w:tcPr>
          <w:p>
            <w:pPr>
              <w:spacing w:after="0"/>
              <w:rPr>
                <w:rFonts w:ascii="Arial" w:cs="Arial" w:eastAsia="Arial" w:hAnsi="Arial"/>
                <w:sz w:val="16"/>
                <w:szCs w:val="16"/>
                <w:color w:val="0000EE"/>
              </w:rPr>
            </w:pPr>
            <w:hyperlink r:id="rId227">
              <w:r>
                <w:rPr>
                  <w:rFonts w:ascii="Arial" w:cs="Arial" w:eastAsia="Arial" w:hAnsi="Arial"/>
                  <w:sz w:val="16"/>
                  <w:szCs w:val="16"/>
                  <w:color w:val="0000EE"/>
                </w:rPr>
                <w:t>Manufacturing Agreement, by and between Century Therapeutics, Inc. and FUJIFILM Cellular</w:t>
              </w:r>
            </w:hyperlink>
          </w:p>
        </w:tc>
      </w:tr>
      <w:tr>
        <w:trPr>
          <w:trHeight w:val="20"/>
        </w:trPr>
        <w:tc>
          <w:tcPr>
            <w:tcW w:w="10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7500" w:type="dxa"/>
            <w:vAlign w:val="bottom"/>
            <w:gridSpan w:val="21"/>
          </w:tcPr>
          <w:p>
            <w:pPr>
              <w:spacing w:after="0" w:line="169" w:lineRule="exact"/>
              <w:rPr>
                <w:rFonts w:ascii="Arial" w:cs="Arial" w:eastAsia="Arial" w:hAnsi="Arial"/>
                <w:sz w:val="16"/>
                <w:szCs w:val="16"/>
                <w:color w:val="0000EE"/>
              </w:rPr>
            </w:pPr>
            <w:hyperlink r:id="rId227">
              <w:r>
                <w:rPr>
                  <w:rFonts w:ascii="Arial" w:cs="Arial" w:eastAsia="Arial" w:hAnsi="Arial"/>
                  <w:sz w:val="16"/>
                  <w:szCs w:val="16"/>
                  <w:color w:val="0000EE"/>
                </w:rPr>
                <w:t>Dynamics, Inc., dated March 23, 2021 (incorporated by reference to Exhibit 10.25 to the Company’s</w:t>
              </w:r>
            </w:hyperlink>
          </w:p>
        </w:tc>
      </w:tr>
      <w:tr>
        <w:trPr>
          <w:trHeight w:val="169"/>
        </w:trPr>
        <w:tc>
          <w:tcPr>
            <w:tcW w:w="104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227">
              <w:r>
                <w:rPr>
                  <w:rFonts w:ascii="Arial" w:cs="Arial" w:eastAsia="Arial" w:hAnsi="Arial"/>
                  <w:sz w:val="16"/>
                  <w:szCs w:val="16"/>
                  <w:color w:val="0000EE"/>
                </w:rPr>
                <w:t>Registration Statement on Form S-1 (File No. 333-256648), dated May 28, 2021)</w:t>
              </w:r>
            </w:hyperlink>
          </w:p>
        </w:tc>
        <w:tc>
          <w:tcPr>
            <w:tcW w:w="1340" w:type="dxa"/>
            <w:vAlign w:val="bottom"/>
            <w:tcBorders>
              <w:top w:val="single" w:sz="8" w:color="0000EE"/>
            </w:tcBorders>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10.29*</w:t>
            </w:r>
          </w:p>
        </w:tc>
        <w:tc>
          <w:tcPr>
            <w:tcW w:w="7500" w:type="dxa"/>
            <w:vAlign w:val="bottom"/>
            <w:gridSpan w:val="21"/>
          </w:tcPr>
          <w:p>
            <w:pPr>
              <w:spacing w:after="0"/>
              <w:rPr>
                <w:rFonts w:ascii="Arial" w:cs="Arial" w:eastAsia="Arial" w:hAnsi="Arial"/>
                <w:sz w:val="16"/>
                <w:szCs w:val="16"/>
                <w:color w:val="0000EE"/>
              </w:rPr>
            </w:pPr>
            <w:hyperlink r:id="rId228">
              <w:r>
                <w:rPr>
                  <w:rFonts w:ascii="Arial" w:cs="Arial" w:eastAsia="Arial" w:hAnsi="Arial"/>
                  <w:sz w:val="16"/>
                  <w:szCs w:val="16"/>
                  <w:color w:val="0000EE"/>
                </w:rPr>
                <w:t>Sublicense Agreement, by and between iCELL Inc. and Century Therapeutics, Inc., dated March 20,</w:t>
              </w:r>
            </w:hyperlink>
          </w:p>
        </w:tc>
      </w:tr>
      <w:tr>
        <w:trPr>
          <w:trHeight w:val="169"/>
        </w:trPr>
        <w:tc>
          <w:tcPr>
            <w:tcW w:w="1040" w:type="dxa"/>
            <w:vAlign w:val="bottom"/>
          </w:tcPr>
          <w:p>
            <w:pPr>
              <w:spacing w:after="0"/>
              <w:rPr>
                <w:sz w:val="14"/>
                <w:szCs w:val="14"/>
                <w:color w:val="auto"/>
              </w:rPr>
            </w:pPr>
          </w:p>
        </w:tc>
        <w:tc>
          <w:tcPr>
            <w:tcW w:w="718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r:id="rId228">
              <w:r>
                <w:rPr>
                  <w:rFonts w:ascii="Arial" w:cs="Arial" w:eastAsia="Arial" w:hAnsi="Arial"/>
                  <w:sz w:val="16"/>
                  <w:szCs w:val="16"/>
                  <w:color w:val="0000EE"/>
                </w:rPr>
                <w:t>2020 (incorporated by reference to Exhibit 10.27 to the Company’s Registration Statement on Form</w:t>
              </w:r>
            </w:hyperlink>
          </w:p>
        </w:tc>
        <w:tc>
          <w:tcPr>
            <w:tcW w:w="320" w:type="dxa"/>
            <w:vAlign w:val="bottom"/>
            <w:gridSpan w:val="10"/>
          </w:tcPr>
          <w:p>
            <w:pPr>
              <w:spacing w:after="0" w:line="169" w:lineRule="exact"/>
              <w:rPr>
                <w:rFonts w:ascii="Arial" w:cs="Arial" w:eastAsia="Arial" w:hAnsi="Arial"/>
                <w:sz w:val="16"/>
                <w:szCs w:val="16"/>
                <w:color w:val="0000EE"/>
              </w:rPr>
            </w:pPr>
            <w:hyperlink r:id="rId228">
              <w:r>
                <w:rPr>
                  <w:rFonts w:ascii="Arial" w:cs="Arial" w:eastAsia="Arial" w:hAnsi="Arial"/>
                  <w:sz w:val="16"/>
                  <w:szCs w:val="16"/>
                  <w:color w:val="0000EE"/>
                </w:rPr>
                <w:t>S-1</w:t>
              </w:r>
            </w:hyperlink>
          </w:p>
        </w:tc>
      </w:tr>
      <w:tr>
        <w:trPr>
          <w:trHeight w:val="169"/>
        </w:trPr>
        <w:tc>
          <w:tcPr>
            <w:tcW w:w="1040" w:type="dxa"/>
            <w:vAlign w:val="bottom"/>
          </w:tcPr>
          <w:p>
            <w:pPr>
              <w:spacing w:after="0"/>
              <w:rPr>
                <w:sz w:val="14"/>
                <w:szCs w:val="14"/>
                <w:color w:val="auto"/>
              </w:rPr>
            </w:pPr>
          </w:p>
        </w:tc>
        <w:tc>
          <w:tcPr>
            <w:tcW w:w="316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rPr>
            </w:pPr>
            <w:hyperlink r:id="rId228">
              <w:r>
                <w:rPr>
                  <w:rFonts w:ascii="Arial" w:cs="Arial" w:eastAsia="Arial" w:hAnsi="Arial"/>
                  <w:sz w:val="16"/>
                  <w:szCs w:val="16"/>
                  <w:color w:val="0000EE"/>
                </w:rPr>
                <w:t>(File No. 333-256648), dated May 28, 2021)</w:t>
              </w:r>
            </w:hyperlink>
          </w:p>
        </w:tc>
        <w:tc>
          <w:tcPr>
            <w:tcW w:w="4260" w:type="dxa"/>
            <w:vAlign w:val="bottom"/>
            <w:tcBorders>
              <w:top w:val="single" w:sz="8" w:color="0000EE"/>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10.30</w:t>
            </w:r>
          </w:p>
        </w:tc>
        <w:tc>
          <w:tcPr>
            <w:tcW w:w="7220" w:type="dxa"/>
            <w:vAlign w:val="bottom"/>
            <w:tcBorders>
              <w:bottom w:val="single" w:sz="8" w:color="0000EE"/>
            </w:tcBorders>
            <w:gridSpan w:val="13"/>
          </w:tcPr>
          <w:p>
            <w:pPr>
              <w:spacing w:after="0"/>
              <w:rPr>
                <w:rFonts w:ascii="Arial" w:cs="Arial" w:eastAsia="Arial" w:hAnsi="Arial"/>
                <w:sz w:val="16"/>
                <w:szCs w:val="16"/>
                <w:color w:val="0000EE"/>
              </w:rPr>
            </w:pPr>
            <w:hyperlink r:id="rId229">
              <w:r>
                <w:rPr>
                  <w:rFonts w:ascii="Arial" w:cs="Arial" w:eastAsia="Arial" w:hAnsi="Arial"/>
                  <w:sz w:val="16"/>
                  <w:szCs w:val="16"/>
                  <w:color w:val="0000EE"/>
                </w:rPr>
                <w:t>License Agreement, by and between Inscripta, Inc. and Century Therapeutics, Inc., dated January 1,</w:t>
              </w:r>
            </w:hyperlink>
          </w:p>
        </w:tc>
        <w:tc>
          <w:tcPr>
            <w:tcW w:w="280" w:type="dxa"/>
            <w:vAlign w:val="bottom"/>
            <w:gridSpan w:val="8"/>
          </w:tcPr>
          <w:p>
            <w:pPr>
              <w:spacing w:after="0"/>
              <w:rPr>
                <w:sz w:val="20"/>
                <w:szCs w:val="20"/>
                <w:color w:val="auto"/>
              </w:rPr>
            </w:pPr>
          </w:p>
        </w:tc>
      </w:tr>
      <w:tr>
        <w:trPr>
          <w:trHeight w:val="169"/>
        </w:trPr>
        <w:tc>
          <w:tcPr>
            <w:tcW w:w="1040" w:type="dxa"/>
            <w:vAlign w:val="bottom"/>
          </w:tcPr>
          <w:p>
            <w:pPr>
              <w:spacing w:after="0"/>
              <w:rPr>
                <w:sz w:val="14"/>
                <w:szCs w:val="14"/>
                <w:color w:val="auto"/>
              </w:rPr>
            </w:pPr>
          </w:p>
        </w:tc>
        <w:tc>
          <w:tcPr>
            <w:tcW w:w="7500" w:type="dxa"/>
            <w:vAlign w:val="bottom"/>
            <w:gridSpan w:val="21"/>
          </w:tcPr>
          <w:p>
            <w:pPr>
              <w:spacing w:after="0" w:line="169" w:lineRule="exact"/>
              <w:rPr>
                <w:rFonts w:ascii="Arial" w:cs="Arial" w:eastAsia="Arial" w:hAnsi="Arial"/>
                <w:sz w:val="16"/>
                <w:szCs w:val="16"/>
                <w:color w:val="0000EE"/>
              </w:rPr>
            </w:pPr>
            <w:hyperlink r:id="rId229">
              <w:r>
                <w:rPr>
                  <w:rFonts w:ascii="Arial" w:cs="Arial" w:eastAsia="Arial" w:hAnsi="Arial"/>
                  <w:sz w:val="16"/>
                  <w:szCs w:val="16"/>
                  <w:color w:val="0000EE"/>
                </w:rPr>
                <w:t>2019 (incorporated by reference to Exhibit 10.29 to the Company’s Registration Statement on Form S-1</w:t>
              </w:r>
            </w:hyperlink>
          </w:p>
        </w:tc>
      </w:tr>
      <w:tr>
        <w:trPr>
          <w:trHeight w:val="169"/>
        </w:trPr>
        <w:tc>
          <w:tcPr>
            <w:tcW w:w="1040" w:type="dxa"/>
            <w:vAlign w:val="bottom"/>
          </w:tcPr>
          <w:p>
            <w:pPr>
              <w:spacing w:after="0"/>
              <w:rPr>
                <w:sz w:val="14"/>
                <w:szCs w:val="14"/>
                <w:color w:val="auto"/>
              </w:rPr>
            </w:pPr>
          </w:p>
        </w:tc>
        <w:tc>
          <w:tcPr>
            <w:tcW w:w="316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rPr>
            </w:pPr>
            <w:hyperlink r:id="rId229">
              <w:r>
                <w:rPr>
                  <w:rFonts w:ascii="Arial" w:cs="Arial" w:eastAsia="Arial" w:hAnsi="Arial"/>
                  <w:sz w:val="16"/>
                  <w:szCs w:val="16"/>
                  <w:color w:val="0000EE"/>
                </w:rPr>
                <w:t>(File No. 333-256648), dated May 28, 2021)</w:t>
              </w:r>
            </w:hyperlink>
          </w:p>
        </w:tc>
        <w:tc>
          <w:tcPr>
            <w:tcW w:w="4260" w:type="dxa"/>
            <w:vAlign w:val="bottom"/>
            <w:tcBorders>
              <w:top w:val="single" w:sz="8" w:color="0000EE"/>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10.31*</w:t>
            </w:r>
          </w:p>
        </w:tc>
        <w:tc>
          <w:tcPr>
            <w:tcW w:w="7500" w:type="dxa"/>
            <w:vAlign w:val="bottom"/>
            <w:tcBorders>
              <w:bottom w:val="single" w:sz="8" w:color="0000EE"/>
            </w:tcBorders>
            <w:gridSpan w:val="21"/>
          </w:tcPr>
          <w:p>
            <w:pPr>
              <w:spacing w:after="0"/>
              <w:rPr>
                <w:rFonts w:ascii="Arial" w:cs="Arial" w:eastAsia="Arial" w:hAnsi="Arial"/>
                <w:sz w:val="16"/>
                <w:szCs w:val="16"/>
                <w:color w:val="0000EE"/>
              </w:rPr>
            </w:pPr>
            <w:hyperlink r:id="rId230">
              <w:r>
                <w:rPr>
                  <w:rFonts w:ascii="Arial" w:cs="Arial" w:eastAsia="Arial" w:hAnsi="Arial"/>
                  <w:sz w:val="16"/>
                  <w:szCs w:val="16"/>
                  <w:color w:val="0000EE"/>
                </w:rPr>
                <w:t>Research Collaboration and License Agreement, by and between Century Therapeutics, Inc. and Bristol-</w:t>
              </w:r>
            </w:hyperlink>
          </w:p>
        </w:tc>
      </w:tr>
      <w:tr>
        <w:trPr>
          <w:trHeight w:val="169"/>
        </w:trPr>
        <w:tc>
          <w:tcPr>
            <w:tcW w:w="1040" w:type="dxa"/>
            <w:vAlign w:val="bottom"/>
          </w:tcPr>
          <w:p>
            <w:pPr>
              <w:spacing w:after="0"/>
              <w:rPr>
                <w:sz w:val="14"/>
                <w:szCs w:val="14"/>
                <w:color w:val="auto"/>
              </w:rPr>
            </w:pPr>
          </w:p>
        </w:tc>
        <w:tc>
          <w:tcPr>
            <w:tcW w:w="7500" w:type="dxa"/>
            <w:vAlign w:val="bottom"/>
            <w:gridSpan w:val="21"/>
          </w:tcPr>
          <w:p>
            <w:pPr>
              <w:spacing w:after="0" w:line="169" w:lineRule="exact"/>
              <w:rPr>
                <w:rFonts w:ascii="Arial" w:cs="Arial" w:eastAsia="Arial" w:hAnsi="Arial"/>
                <w:sz w:val="16"/>
                <w:szCs w:val="16"/>
                <w:color w:val="0000EE"/>
              </w:rPr>
            </w:pPr>
            <w:hyperlink r:id="rId230">
              <w:r>
                <w:rPr>
                  <w:rFonts w:ascii="Arial" w:cs="Arial" w:eastAsia="Arial" w:hAnsi="Arial"/>
                  <w:sz w:val="16"/>
                  <w:szCs w:val="16"/>
                  <w:color w:val="0000EE"/>
                </w:rPr>
                <w:t>Myers Squibb Company, dated January 7, 2022 (incorporated by reference to Exhibit 10.31 to the</w:t>
              </w:r>
            </w:hyperlink>
          </w:p>
        </w:tc>
      </w:tr>
      <w:tr>
        <w:trPr>
          <w:trHeight w:val="169"/>
        </w:trPr>
        <w:tc>
          <w:tcPr>
            <w:tcW w:w="1040" w:type="dxa"/>
            <w:vAlign w:val="bottom"/>
          </w:tcPr>
          <w:p>
            <w:pPr>
              <w:spacing w:after="0"/>
              <w:rPr>
                <w:sz w:val="14"/>
                <w:szCs w:val="14"/>
                <w:color w:val="auto"/>
              </w:rPr>
            </w:pPr>
          </w:p>
        </w:tc>
        <w:tc>
          <w:tcPr>
            <w:tcW w:w="618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r:id="rId230">
              <w:r>
                <w:rPr>
                  <w:rFonts w:ascii="Arial" w:cs="Arial" w:eastAsia="Arial" w:hAnsi="Arial"/>
                  <w:sz w:val="16"/>
                  <w:szCs w:val="16"/>
                  <w:color w:val="0000EE"/>
                </w:rPr>
                <w:t>Company’s Annual Report on Form 10-K (File No. 001-40498), dated March 17, 2022)</w:t>
              </w:r>
            </w:hyperlink>
          </w:p>
        </w:tc>
        <w:tc>
          <w:tcPr>
            <w:tcW w:w="800" w:type="dxa"/>
            <w:vAlign w:val="bottom"/>
            <w:tcBorders>
              <w:top w:val="single" w:sz="8" w:color="0000EE"/>
            </w:tcBorders>
            <w:gridSpan w:val="2"/>
          </w:tcPr>
          <w:p>
            <w:pPr>
              <w:spacing w:after="0"/>
              <w:rPr>
                <w:sz w:val="14"/>
                <w:szCs w:val="14"/>
                <w:color w:val="auto"/>
              </w:rPr>
            </w:pPr>
          </w:p>
        </w:tc>
        <w:tc>
          <w:tcPr>
            <w:tcW w:w="2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10.32</w:t>
            </w:r>
            <w:r>
              <w:rPr>
                <w:rFonts w:ascii="Times New Roman" w:cs="Times New Roman" w:eastAsia="Times New Roman" w:hAnsi="Times New Roman"/>
                <w:sz w:val="17"/>
                <w:szCs w:val="17"/>
                <w:color w:val="231F20"/>
              </w:rPr>
              <w:t>·</w:t>
            </w:r>
          </w:p>
        </w:tc>
        <w:tc>
          <w:tcPr>
            <w:tcW w:w="7200" w:type="dxa"/>
            <w:vAlign w:val="bottom"/>
            <w:tcBorders>
              <w:bottom w:val="single" w:sz="8" w:color="0000EE"/>
            </w:tcBorders>
            <w:gridSpan w:val="12"/>
          </w:tcPr>
          <w:p>
            <w:pPr>
              <w:spacing w:after="0"/>
              <w:rPr>
                <w:rFonts w:ascii="Arial" w:cs="Arial" w:eastAsia="Arial" w:hAnsi="Arial"/>
                <w:sz w:val="16"/>
                <w:szCs w:val="16"/>
                <w:color w:val="0000EE"/>
              </w:rPr>
            </w:pPr>
            <w:hyperlink r:id="rId231">
              <w:r>
                <w:rPr>
                  <w:rFonts w:ascii="Arial" w:cs="Arial" w:eastAsia="Arial" w:hAnsi="Arial"/>
                  <w:sz w:val="16"/>
                  <w:szCs w:val="16"/>
                  <w:color w:val="0000EE"/>
                </w:rPr>
                <w:t>Executive Employment Agreement, by and between the Registrant and Adrienne Farid, Ph.D., dated</w:t>
              </w:r>
            </w:hyperlink>
          </w:p>
        </w:tc>
        <w:tc>
          <w:tcPr>
            <w:tcW w:w="300" w:type="dxa"/>
            <w:vAlign w:val="bottom"/>
            <w:gridSpan w:val="9"/>
          </w:tcPr>
          <w:p>
            <w:pPr>
              <w:spacing w:after="0"/>
              <w:rPr>
                <w:sz w:val="20"/>
                <w:szCs w:val="20"/>
                <w:color w:val="auto"/>
              </w:rPr>
            </w:pPr>
          </w:p>
        </w:tc>
      </w:tr>
      <w:tr>
        <w:trPr>
          <w:trHeight w:val="169"/>
        </w:trPr>
        <w:tc>
          <w:tcPr>
            <w:tcW w:w="1040" w:type="dxa"/>
            <w:vAlign w:val="bottom"/>
          </w:tcPr>
          <w:p>
            <w:pPr>
              <w:spacing w:after="0"/>
              <w:rPr>
                <w:sz w:val="14"/>
                <w:szCs w:val="14"/>
                <w:color w:val="auto"/>
              </w:rPr>
            </w:pPr>
          </w:p>
        </w:tc>
        <w:tc>
          <w:tcPr>
            <w:tcW w:w="7500" w:type="dxa"/>
            <w:vAlign w:val="bottom"/>
            <w:gridSpan w:val="21"/>
          </w:tcPr>
          <w:p>
            <w:pPr>
              <w:spacing w:after="0" w:line="169" w:lineRule="exact"/>
              <w:rPr>
                <w:rFonts w:ascii="Arial" w:cs="Arial" w:eastAsia="Arial" w:hAnsi="Arial"/>
                <w:sz w:val="16"/>
                <w:szCs w:val="16"/>
                <w:color w:val="0000EE"/>
              </w:rPr>
            </w:pPr>
            <w:hyperlink r:id="rId231">
              <w:r>
                <w:rPr>
                  <w:rFonts w:ascii="Arial" w:cs="Arial" w:eastAsia="Arial" w:hAnsi="Arial"/>
                  <w:sz w:val="16"/>
                  <w:szCs w:val="16"/>
                  <w:color w:val="0000EE"/>
                </w:rPr>
                <w:t>May 26, 2021 (incorporated by reference to Exhibit 10.34 to the Company’s Registration Statement on</w:t>
              </w:r>
            </w:hyperlink>
          </w:p>
        </w:tc>
      </w:tr>
      <w:tr>
        <w:trPr>
          <w:trHeight w:val="169"/>
        </w:trPr>
        <w:tc>
          <w:tcPr>
            <w:tcW w:w="1040" w:type="dxa"/>
            <w:vAlign w:val="bottom"/>
          </w:tcPr>
          <w:p>
            <w:pPr>
              <w:spacing w:after="0"/>
              <w:rPr>
                <w:sz w:val="14"/>
                <w:szCs w:val="14"/>
                <w:color w:val="auto"/>
              </w:rPr>
            </w:pPr>
          </w:p>
        </w:tc>
        <w:tc>
          <w:tcPr>
            <w:tcW w:w="408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231">
              <w:r>
                <w:rPr>
                  <w:rFonts w:ascii="Arial" w:cs="Arial" w:eastAsia="Arial" w:hAnsi="Arial"/>
                  <w:sz w:val="16"/>
                  <w:szCs w:val="16"/>
                  <w:color w:val="0000EE"/>
                </w:rPr>
                <w:t>Form S-1/A (File No. 333-256648), dated June 14, 2021)</w:t>
              </w:r>
            </w:hyperlink>
          </w:p>
        </w:tc>
        <w:tc>
          <w:tcPr>
            <w:tcW w:w="3240" w:type="dxa"/>
            <w:vAlign w:val="bottom"/>
            <w:tcBorders>
              <w:top w:val="single" w:sz="8" w:color="0000EE"/>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10.33</w:t>
            </w:r>
            <w:r>
              <w:rPr>
                <w:rFonts w:ascii="Times New Roman" w:cs="Times New Roman" w:eastAsia="Times New Roman" w:hAnsi="Times New Roman"/>
                <w:sz w:val="17"/>
                <w:szCs w:val="17"/>
                <w:color w:val="231F20"/>
              </w:rPr>
              <w:t>·</w:t>
            </w:r>
          </w:p>
        </w:tc>
        <w:tc>
          <w:tcPr>
            <w:tcW w:w="7500" w:type="dxa"/>
            <w:vAlign w:val="bottom"/>
            <w:gridSpan w:val="21"/>
          </w:tcPr>
          <w:p>
            <w:pPr>
              <w:spacing w:after="0"/>
              <w:rPr>
                <w:rFonts w:ascii="Arial" w:cs="Arial" w:eastAsia="Arial" w:hAnsi="Arial"/>
                <w:sz w:val="16"/>
                <w:szCs w:val="16"/>
                <w:color w:val="0000EE"/>
              </w:rPr>
            </w:pPr>
            <w:hyperlink r:id="rId232">
              <w:r>
                <w:rPr>
                  <w:rFonts w:ascii="Arial" w:cs="Arial" w:eastAsia="Arial" w:hAnsi="Arial"/>
                  <w:sz w:val="16"/>
                  <w:szCs w:val="16"/>
                  <w:color w:val="0000EE"/>
                </w:rPr>
                <w:t>Executive Employment Agreement, by and between the Registrant and Gregory Russotti, Ph.D., dated</w:t>
              </w:r>
            </w:hyperlink>
          </w:p>
        </w:tc>
      </w:tr>
      <w:tr>
        <w:trPr>
          <w:trHeight w:val="169"/>
        </w:trPr>
        <w:tc>
          <w:tcPr>
            <w:tcW w:w="1040" w:type="dxa"/>
            <w:vAlign w:val="bottom"/>
          </w:tcPr>
          <w:p>
            <w:pPr>
              <w:spacing w:after="0"/>
              <w:rPr>
                <w:sz w:val="14"/>
                <w:szCs w:val="14"/>
                <w:color w:val="auto"/>
              </w:rPr>
            </w:pPr>
          </w:p>
        </w:tc>
        <w:tc>
          <w:tcPr>
            <w:tcW w:w="736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r:id="rId232">
              <w:r>
                <w:rPr>
                  <w:rFonts w:ascii="Arial" w:cs="Arial" w:eastAsia="Arial" w:hAnsi="Arial"/>
                  <w:sz w:val="16"/>
                  <w:szCs w:val="16"/>
                  <w:color w:val="0000EE"/>
                </w:rPr>
                <w:t>May 26, 2021 (incorporated by reference to Exhibit 10.35 to the Company’s Registration Statement on</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408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232">
              <w:r>
                <w:rPr>
                  <w:rFonts w:ascii="Arial" w:cs="Arial" w:eastAsia="Arial" w:hAnsi="Arial"/>
                  <w:sz w:val="16"/>
                  <w:szCs w:val="16"/>
                  <w:color w:val="0000EE"/>
                </w:rPr>
                <w:t>Form S-1/A (File No. 333-256648), dated June 14, 2021)</w:t>
              </w:r>
            </w:hyperlink>
          </w:p>
        </w:tc>
        <w:tc>
          <w:tcPr>
            <w:tcW w:w="3240" w:type="dxa"/>
            <w:vAlign w:val="bottom"/>
            <w:tcBorders>
              <w:top w:val="single" w:sz="8" w:color="0000EE"/>
            </w:tcBorders>
            <w:gridSpan w:val="11"/>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10.34</w:t>
            </w:r>
          </w:p>
        </w:tc>
        <w:tc>
          <w:tcPr>
            <w:tcW w:w="7500" w:type="dxa"/>
            <w:vAlign w:val="bottom"/>
            <w:gridSpan w:val="21"/>
          </w:tcPr>
          <w:p>
            <w:pPr>
              <w:spacing w:after="0"/>
              <w:rPr>
                <w:rFonts w:ascii="Arial" w:cs="Arial" w:eastAsia="Arial" w:hAnsi="Arial"/>
                <w:sz w:val="16"/>
                <w:szCs w:val="16"/>
                <w:color w:val="0000EE"/>
              </w:rPr>
            </w:pPr>
            <w:hyperlink r:id="rId233">
              <w:r>
                <w:rPr>
                  <w:rFonts w:ascii="Arial" w:cs="Arial" w:eastAsia="Arial" w:hAnsi="Arial"/>
                  <w:sz w:val="16"/>
                  <w:szCs w:val="16"/>
                  <w:color w:val="0000EE"/>
                </w:rPr>
                <w:t>Sales Agreement, dated as of July 1, 2022, by and between Century Therapeutics, Inc. and Cowen and</w:t>
              </w:r>
            </w:hyperlink>
          </w:p>
        </w:tc>
      </w:tr>
      <w:tr>
        <w:trPr>
          <w:trHeight w:val="169"/>
        </w:trPr>
        <w:tc>
          <w:tcPr>
            <w:tcW w:w="1040" w:type="dxa"/>
            <w:vAlign w:val="bottom"/>
          </w:tcPr>
          <w:p>
            <w:pPr>
              <w:spacing w:after="0"/>
              <w:rPr>
                <w:sz w:val="14"/>
                <w:szCs w:val="14"/>
                <w:color w:val="auto"/>
              </w:rPr>
            </w:pPr>
          </w:p>
        </w:tc>
        <w:tc>
          <w:tcPr>
            <w:tcW w:w="744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233">
              <w:r>
                <w:rPr>
                  <w:rFonts w:ascii="Arial" w:cs="Arial" w:eastAsia="Arial" w:hAnsi="Arial"/>
                  <w:sz w:val="16"/>
                  <w:szCs w:val="16"/>
                  <w:color w:val="0000EE"/>
                </w:rPr>
                <w:t>Company, LLC (incorporated by reference to Exhibit 1.2 to the Company’s Registration Statement on</w:t>
              </w:r>
            </w:hyperlink>
          </w:p>
        </w:tc>
        <w:tc>
          <w:tcPr>
            <w:tcW w:w="6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38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33">
              <w:r>
                <w:rPr>
                  <w:rFonts w:ascii="Arial" w:cs="Arial" w:eastAsia="Arial" w:hAnsi="Arial"/>
                  <w:sz w:val="16"/>
                  <w:szCs w:val="16"/>
                  <w:color w:val="0000EE"/>
                </w:rPr>
                <w:t>Form S-3 (File No. 333-265975), dated July 13, 2022)</w:t>
              </w:r>
            </w:hyperlink>
          </w:p>
        </w:tc>
        <w:tc>
          <w:tcPr>
            <w:tcW w:w="336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10.35</w:t>
            </w:r>
            <w:r>
              <w:rPr>
                <w:rFonts w:ascii="Times New Roman" w:cs="Times New Roman" w:eastAsia="Times New Roman" w:hAnsi="Times New Roman"/>
                <w:sz w:val="17"/>
                <w:szCs w:val="17"/>
                <w:color w:val="231F20"/>
              </w:rPr>
              <w:t>·</w:t>
            </w:r>
          </w:p>
        </w:tc>
        <w:tc>
          <w:tcPr>
            <w:tcW w:w="7400" w:type="dxa"/>
            <w:vAlign w:val="bottom"/>
            <w:tcBorders>
              <w:bottom w:val="single" w:sz="8" w:color="0000EE"/>
            </w:tcBorders>
            <w:gridSpan w:val="18"/>
          </w:tcPr>
          <w:p>
            <w:pPr>
              <w:spacing w:after="0"/>
              <w:rPr>
                <w:rFonts w:ascii="Arial" w:cs="Arial" w:eastAsia="Arial" w:hAnsi="Arial"/>
                <w:sz w:val="16"/>
                <w:szCs w:val="16"/>
                <w:color w:val="0000EE"/>
              </w:rPr>
            </w:pPr>
            <w:hyperlink r:id="rId234">
              <w:r>
                <w:rPr>
                  <w:rFonts w:ascii="Arial" w:cs="Arial" w:eastAsia="Arial" w:hAnsi="Arial"/>
                  <w:sz w:val="16"/>
                  <w:szCs w:val="16"/>
                  <w:color w:val="0000EE"/>
                </w:rPr>
                <w:t>Executive Employment Agreement, by and between the Registrant and Brent Pfeiffenberger, Pharm.D.,</w:t>
              </w:r>
            </w:hyperlink>
          </w:p>
        </w:tc>
        <w:tc>
          <w:tcPr>
            <w:tcW w:w="100" w:type="dxa"/>
            <w:vAlign w:val="bottom"/>
            <w:gridSpan w:val="3"/>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7500" w:type="dxa"/>
            <w:vAlign w:val="bottom"/>
            <w:gridSpan w:val="21"/>
          </w:tcPr>
          <w:p>
            <w:pPr>
              <w:spacing w:after="0" w:line="183" w:lineRule="exact"/>
              <w:rPr>
                <w:rFonts w:ascii="Arial" w:cs="Arial" w:eastAsia="Arial" w:hAnsi="Arial"/>
                <w:sz w:val="16"/>
                <w:szCs w:val="16"/>
                <w:color w:val="0000EE"/>
              </w:rPr>
            </w:pPr>
            <w:hyperlink r:id="rId234">
              <w:r>
                <w:rPr>
                  <w:rFonts w:ascii="Arial" w:cs="Arial" w:eastAsia="Arial" w:hAnsi="Arial"/>
                  <w:sz w:val="16"/>
                  <w:szCs w:val="16"/>
                  <w:color w:val="0000EE"/>
                </w:rPr>
                <w:t>MBA, dated November 7, 2023 (incorporated by reference to Exhibit 10.35 of the Company’s Annual</w:t>
              </w:r>
            </w:hyperlink>
          </w:p>
        </w:tc>
      </w:tr>
      <w:tr>
        <w:trPr>
          <w:trHeight w:val="169"/>
        </w:trPr>
        <w:tc>
          <w:tcPr>
            <w:tcW w:w="1040" w:type="dxa"/>
            <w:vAlign w:val="bottom"/>
          </w:tcPr>
          <w:p>
            <w:pPr>
              <w:spacing w:after="0"/>
              <w:rPr>
                <w:sz w:val="14"/>
                <w:szCs w:val="14"/>
                <w:color w:val="auto"/>
              </w:rPr>
            </w:pPr>
          </w:p>
        </w:tc>
        <w:tc>
          <w:tcPr>
            <w:tcW w:w="49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234">
              <w:r>
                <w:rPr>
                  <w:rFonts w:ascii="Arial" w:cs="Arial" w:eastAsia="Arial" w:hAnsi="Arial"/>
                  <w:sz w:val="16"/>
                  <w:szCs w:val="16"/>
                  <w:color w:val="0000EE"/>
                </w:rPr>
                <w:t>Report on Form 10-K (File No. 001-40498) filed on March 14, 2024)</w:t>
              </w:r>
            </w:hyperlink>
          </w:p>
        </w:tc>
        <w:tc>
          <w:tcPr>
            <w:tcW w:w="2340" w:type="dxa"/>
            <w:vAlign w:val="bottom"/>
            <w:tcBorders>
              <w:top w:val="single" w:sz="8" w:color="0000EE"/>
            </w:tcBorders>
            <w:gridSpan w:val="9"/>
          </w:tcPr>
          <w:p>
            <w:pPr>
              <w:spacing w:after="0"/>
              <w:rPr>
                <w:sz w:val="14"/>
                <w:szCs w:val="14"/>
                <w:color w:val="auto"/>
              </w:rPr>
            </w:pPr>
          </w:p>
        </w:tc>
        <w:tc>
          <w:tcPr>
            <w:tcW w:w="260" w:type="dxa"/>
            <w:vAlign w:val="bottom"/>
            <w:gridSpan w:val="7"/>
          </w:tcPr>
          <w:p>
            <w:pPr>
              <w:spacing w:after="0"/>
              <w:rPr>
                <w:sz w:val="14"/>
                <w:szCs w:val="14"/>
                <w:color w:val="auto"/>
              </w:rPr>
            </w:pPr>
          </w:p>
        </w:tc>
      </w:tr>
    </w:tbl>
    <w:p>
      <w:pPr>
        <w:spacing w:after="0" w:line="63" w:lineRule="exact"/>
        <w:rPr>
          <w:sz w:val="20"/>
          <w:szCs w:val="20"/>
          <w:color w:val="auto"/>
        </w:rPr>
      </w:pPr>
    </w:p>
    <w:p>
      <w:pPr>
        <w:ind w:left="1400" w:right="139" w:hanging="1036"/>
        <w:spacing w:after="0" w:line="255" w:lineRule="auto"/>
        <w:tabs>
          <w:tab w:leader="none" w:pos="1380" w:val="left"/>
        </w:tabs>
        <w:rPr>
          <w:rFonts w:ascii="Arial" w:cs="Arial" w:eastAsia="Arial" w:hAnsi="Arial"/>
          <w:sz w:val="16"/>
          <w:szCs w:val="16"/>
          <w:u w:val="single" w:color="auto"/>
          <w:color w:val="0000EE"/>
        </w:rPr>
      </w:pPr>
      <w:r>
        <w:rPr>
          <w:rFonts w:ascii="Arial" w:cs="Arial" w:eastAsia="Arial" w:hAnsi="Arial"/>
          <w:sz w:val="16"/>
          <w:szCs w:val="16"/>
          <w:color w:val="auto"/>
        </w:rPr>
        <w:t>10.36</w:t>
      </w:r>
      <w:r>
        <w:rPr>
          <w:rFonts w:ascii="Times New Roman" w:cs="Times New Roman" w:eastAsia="Times New Roman" w:hAnsi="Times New Roman"/>
          <w:sz w:val="17"/>
          <w:szCs w:val="17"/>
          <w:color w:val="231F20"/>
        </w:rPr>
        <w:t>·</w:t>
      </w:r>
      <w:r>
        <w:rPr>
          <w:sz w:val="20"/>
          <w:szCs w:val="20"/>
          <w:color w:val="auto"/>
        </w:rPr>
        <w:tab/>
      </w:r>
      <w:hyperlink r:id="rId235">
        <w:r>
          <w:rPr>
            <w:rFonts w:ascii="Arial" w:cs="Arial" w:eastAsia="Arial" w:hAnsi="Arial"/>
            <w:sz w:val="16"/>
            <w:szCs w:val="16"/>
            <w:u w:val="single" w:color="auto"/>
            <w:color w:val="0000EE"/>
          </w:rPr>
          <w:t>Executive Employment Agreement, by and between the Registrant and Hyam Levitsky, M.D., dated April</w:t>
        </w:r>
      </w:hyperlink>
      <w:r>
        <w:rPr>
          <w:rFonts w:ascii="Arial" w:cs="Arial" w:eastAsia="Arial" w:hAnsi="Arial"/>
          <w:sz w:val="16"/>
          <w:szCs w:val="16"/>
          <w:u w:val="single" w:color="auto"/>
          <w:color w:val="0000EE"/>
        </w:rPr>
        <w:t xml:space="preserve"> </w:t>
      </w:r>
      <w:hyperlink r:id="rId235">
        <w:r>
          <w:rPr>
            <w:rFonts w:ascii="Arial" w:cs="Arial" w:eastAsia="Arial" w:hAnsi="Arial"/>
            <w:sz w:val="16"/>
            <w:szCs w:val="16"/>
            <w:u w:val="single" w:color="auto"/>
            <w:color w:val="0000EE"/>
          </w:rPr>
          <w:t>15, 2023 (incorporated by reference to Exhibit 10.1 to the Company’s Quarterly Report on Form 10-Q</w:t>
        </w:r>
      </w:hyperlink>
      <w:r>
        <w:rPr>
          <w:rFonts w:ascii="Arial" w:cs="Arial" w:eastAsia="Arial" w:hAnsi="Arial"/>
          <w:sz w:val="16"/>
          <w:szCs w:val="16"/>
          <w:u w:val="single" w:color="auto"/>
          <w:color w:val="0000EE"/>
        </w:rPr>
        <w:t xml:space="preserve"> </w:t>
      </w:r>
      <w:hyperlink r:id="rId235">
        <w:r>
          <w:rPr>
            <w:rFonts w:ascii="Arial" w:cs="Arial" w:eastAsia="Arial" w:hAnsi="Arial"/>
            <w:sz w:val="16"/>
            <w:szCs w:val="16"/>
            <w:u w:val="single" w:color="auto"/>
            <w:color w:val="0000EE"/>
          </w:rPr>
          <w:t>(File No. 001-40498), dated May 11, 2023)</w:t>
        </w:r>
      </w:hyperlink>
    </w:p>
    <w:p>
      <w:pPr>
        <w:spacing w:after="0" w:line="1" w:lineRule="exact"/>
        <w:rPr>
          <w:rFonts w:ascii="Arial" w:cs="Arial" w:eastAsia="Arial" w:hAnsi="Arial"/>
          <w:sz w:val="16"/>
          <w:szCs w:val="16"/>
          <w:u w:val="single" w:color="auto"/>
          <w:color w:val="0000EE"/>
        </w:rPr>
      </w:pPr>
    </w:p>
    <w:p>
      <w:pPr>
        <w:ind w:left="1400" w:right="139" w:hanging="1036"/>
        <w:spacing w:after="0" w:line="246" w:lineRule="auto"/>
        <w:tabs>
          <w:tab w:leader="none" w:pos="1380" w:val="left"/>
        </w:tabs>
        <w:rPr>
          <w:rFonts w:ascii="Arial" w:cs="Arial" w:eastAsia="Arial" w:hAnsi="Arial"/>
          <w:sz w:val="16"/>
          <w:szCs w:val="16"/>
          <w:u w:val="single" w:color="auto"/>
          <w:color w:val="0000EE"/>
        </w:rPr>
      </w:pPr>
      <w:r>
        <w:rPr>
          <w:rFonts w:ascii="Arial" w:cs="Arial" w:eastAsia="Arial" w:hAnsi="Arial"/>
          <w:sz w:val="16"/>
          <w:szCs w:val="16"/>
          <w:color w:val="auto"/>
        </w:rPr>
        <w:t>10.37</w:t>
      </w:r>
      <w:r>
        <w:rPr>
          <w:rFonts w:ascii="Times New Roman" w:cs="Times New Roman" w:eastAsia="Times New Roman" w:hAnsi="Times New Roman"/>
          <w:sz w:val="17"/>
          <w:szCs w:val="17"/>
          <w:color w:val="auto"/>
        </w:rPr>
        <w:t>·</w:t>
      </w:r>
      <w:r>
        <w:rPr>
          <w:sz w:val="20"/>
          <w:szCs w:val="20"/>
          <w:color w:val="auto"/>
        </w:rPr>
        <w:tab/>
      </w:r>
      <w:hyperlink r:id="rId236">
        <w:r>
          <w:rPr>
            <w:rFonts w:ascii="Arial" w:cs="Arial" w:eastAsia="Arial" w:hAnsi="Arial"/>
            <w:sz w:val="16"/>
            <w:szCs w:val="16"/>
            <w:u w:val="single" w:color="auto"/>
            <w:color w:val="0000EE"/>
          </w:rPr>
          <w:t>Executive Employment Agreement, dated September 20, 2024, by and between the Company and</w:t>
        </w:r>
      </w:hyperlink>
      <w:r>
        <w:rPr>
          <w:rFonts w:ascii="Arial" w:cs="Arial" w:eastAsia="Arial" w:hAnsi="Arial"/>
          <w:sz w:val="16"/>
          <w:szCs w:val="16"/>
          <w:u w:val="single" w:color="auto"/>
          <w:color w:val="0000EE"/>
        </w:rPr>
        <w:t xml:space="preserve"> </w:t>
      </w:r>
      <w:hyperlink r:id="rId236">
        <w:r>
          <w:rPr>
            <w:rFonts w:ascii="Arial" w:cs="Arial" w:eastAsia="Arial" w:hAnsi="Arial"/>
            <w:sz w:val="16"/>
            <w:szCs w:val="16"/>
            <w:u w:val="single" w:color="auto"/>
            <w:color w:val="0000EE"/>
          </w:rPr>
          <w:t>Morgan Conn (incorporated by reference to Exhibit 10.1 of the Company’s Quarterly Report on Form 10-</w:t>
        </w:r>
      </w:hyperlink>
      <w:hyperlink r:id="rId236">
        <w:r>
          <w:rPr>
            <w:rFonts w:ascii="Arial" w:cs="Arial" w:eastAsia="Arial" w:hAnsi="Arial"/>
            <w:sz w:val="16"/>
            <w:szCs w:val="16"/>
            <w:u w:val="single" w:color="auto"/>
            <w:color w:val="0000EE"/>
          </w:rPr>
          <w:t>Q (File No. 001-40498) filed on November 05, 2024)</w:t>
        </w:r>
      </w:hyperlink>
    </w:p>
    <w:p>
      <w:pPr>
        <w:spacing w:after="0" w:line="1" w:lineRule="exact"/>
        <w:rPr>
          <w:rFonts w:ascii="Arial" w:cs="Arial" w:eastAsia="Arial" w:hAnsi="Arial"/>
          <w:sz w:val="16"/>
          <w:szCs w:val="16"/>
          <w:u w:val="single" w:color="auto"/>
          <w:color w:val="0000EE"/>
        </w:rPr>
      </w:pPr>
    </w:p>
    <w:p>
      <w:pPr>
        <w:jc w:val="right"/>
        <w:ind w:left="1400" w:right="139" w:hanging="1059"/>
        <w:spacing w:after="0" w:line="246" w:lineRule="auto"/>
        <w:tabs>
          <w:tab w:leader="none" w:pos="610" w:val="left"/>
        </w:tabs>
        <w:numPr>
          <w:ilvl w:val="0"/>
          <w:numId w:val="70"/>
        </w:numPr>
        <w:rPr>
          <w:rFonts w:ascii="Arial" w:cs="Arial" w:eastAsia="Arial" w:hAnsi="Arial"/>
          <w:sz w:val="16"/>
          <w:szCs w:val="16"/>
          <w:u w:val="single" w:color="auto"/>
          <w:color w:val="0000EE"/>
        </w:rPr>
      </w:pPr>
      <w:r>
        <w:rPr>
          <w:rFonts w:ascii="Arial" w:cs="Arial" w:eastAsia="Arial" w:hAnsi="Arial"/>
          <w:sz w:val="16"/>
          <w:szCs w:val="16"/>
          <w:color w:val="auto"/>
        </w:rPr>
        <w:t>38</w:t>
      </w:r>
      <w:r>
        <w:rPr>
          <w:rFonts w:ascii="Times New Roman" w:cs="Times New Roman" w:eastAsia="Times New Roman" w:hAnsi="Times New Roman"/>
          <w:sz w:val="17"/>
          <w:szCs w:val="17"/>
          <w:color w:val="231F20"/>
        </w:rPr>
        <w:t>·</w:t>
      </w:r>
      <w:hyperlink r:id="rId237">
        <w:r>
          <w:rPr>
            <w:rFonts w:ascii="Arial" w:cs="Arial" w:eastAsia="Arial" w:hAnsi="Arial"/>
            <w:sz w:val="16"/>
            <w:szCs w:val="16"/>
            <w:u w:val="single" w:color="auto"/>
            <w:color w:val="0000EE"/>
          </w:rPr>
          <w:t>Executive Employment Agreement, dated September 13, 2024, by and between the Company and Chad</w:t>
        </w:r>
      </w:hyperlink>
      <w:r>
        <w:rPr>
          <w:rFonts w:ascii="Arial" w:cs="Arial" w:eastAsia="Arial" w:hAnsi="Arial"/>
          <w:sz w:val="16"/>
          <w:szCs w:val="16"/>
          <w:u w:val="single" w:color="auto"/>
          <w:color w:val="0000EE"/>
        </w:rPr>
        <w:t xml:space="preserve"> </w:t>
      </w:r>
      <w:hyperlink r:id="rId237">
        <w:r>
          <w:rPr>
            <w:rFonts w:ascii="Arial" w:cs="Arial" w:eastAsia="Arial" w:hAnsi="Arial"/>
            <w:sz w:val="16"/>
            <w:szCs w:val="16"/>
            <w:u w:val="single" w:color="auto"/>
            <w:color w:val="0000EE"/>
          </w:rPr>
          <w:t>Cowan (incorporated by reference to Exhibit 10.2 of the Company’s Quarterly Report on Form 10-Q (File</w:t>
        </w:r>
      </w:hyperlink>
    </w:p>
    <w:p>
      <w:pPr>
        <w:spacing w:after="0" w:line="1" w:lineRule="exact"/>
        <w:rPr>
          <w:rFonts w:ascii="Arial" w:cs="Arial" w:eastAsia="Arial" w:hAnsi="Arial"/>
          <w:sz w:val="16"/>
          <w:szCs w:val="16"/>
          <w:color w:val="auto"/>
        </w:rPr>
      </w:pPr>
    </w:p>
    <w:p>
      <w:pPr>
        <w:ind w:left="1400"/>
        <w:spacing w:after="0"/>
        <w:rPr>
          <w:rFonts w:ascii="Arial" w:cs="Arial" w:eastAsia="Arial" w:hAnsi="Arial"/>
          <w:sz w:val="16"/>
          <w:szCs w:val="16"/>
          <w:u w:val="single" w:color="auto"/>
          <w:color w:val="0000EE"/>
        </w:rPr>
      </w:pPr>
      <w:hyperlink r:id="rId237">
        <w:r>
          <w:rPr>
            <w:rFonts w:ascii="Arial" w:cs="Arial" w:eastAsia="Arial" w:hAnsi="Arial"/>
            <w:sz w:val="16"/>
            <w:szCs w:val="16"/>
            <w:u w:val="single" w:color="auto"/>
            <w:color w:val="0000EE"/>
          </w:rPr>
          <w:t>No. 001-40498) filed on November 05, 2024</w:t>
        </w:r>
      </w:hyperlink>
    </w:p>
    <w:p>
      <w:pPr>
        <w:spacing w:after="0" w:line="5" w:lineRule="exact"/>
        <w:rPr>
          <w:rFonts w:ascii="Arial" w:cs="Arial" w:eastAsia="Arial" w:hAnsi="Arial"/>
          <w:sz w:val="16"/>
          <w:szCs w:val="16"/>
          <w:color w:val="auto"/>
        </w:rPr>
      </w:pPr>
    </w:p>
    <w:p>
      <w:pPr>
        <w:ind w:left="1400" w:right="79" w:hanging="1045"/>
        <w:spacing w:after="0" w:line="249" w:lineRule="auto"/>
        <w:tabs>
          <w:tab w:leader="none" w:pos="1380" w:val="left"/>
        </w:tabs>
        <w:rPr>
          <w:rFonts w:ascii="Arial" w:cs="Arial" w:eastAsia="Arial" w:hAnsi="Arial"/>
          <w:sz w:val="16"/>
          <w:szCs w:val="16"/>
          <w:u w:val="single" w:color="auto"/>
          <w:color w:val="0000EE"/>
        </w:rPr>
      </w:pPr>
      <w:r>
        <w:rPr>
          <w:rFonts w:ascii="Arial" w:cs="Arial" w:eastAsia="Arial" w:hAnsi="Arial"/>
          <w:sz w:val="16"/>
          <w:szCs w:val="16"/>
          <w:color w:val="auto"/>
        </w:rPr>
        <w:t>10.39*</w:t>
      </w:r>
      <w:r>
        <w:rPr>
          <w:sz w:val="20"/>
          <w:szCs w:val="20"/>
          <w:color w:val="auto"/>
        </w:rPr>
        <w:tab/>
      </w:r>
      <w:hyperlink r:id="rId238">
        <w:r>
          <w:rPr>
            <w:rFonts w:ascii="Arial" w:cs="Arial" w:eastAsia="Arial" w:hAnsi="Arial"/>
            <w:sz w:val="16"/>
            <w:szCs w:val="16"/>
            <w:u w:val="single" w:color="auto"/>
            <w:color w:val="0000EE"/>
          </w:rPr>
          <w:t>Second Amendment to License Agreement (Reprogramming), by and between Century Therapeutics,</w:t>
        </w:r>
      </w:hyperlink>
      <w:r>
        <w:rPr>
          <w:rFonts w:ascii="Arial" w:cs="Arial" w:eastAsia="Arial" w:hAnsi="Arial"/>
          <w:sz w:val="16"/>
          <w:szCs w:val="16"/>
          <w:u w:val="single" w:color="auto"/>
          <w:color w:val="0000EE"/>
        </w:rPr>
        <w:t xml:space="preserve"> </w:t>
      </w:r>
      <w:hyperlink r:id="rId238">
        <w:r>
          <w:rPr>
            <w:rFonts w:ascii="Arial" w:cs="Arial" w:eastAsia="Arial" w:hAnsi="Arial"/>
            <w:sz w:val="16"/>
            <w:szCs w:val="16"/>
            <w:u w:val="single" w:color="auto"/>
            <w:color w:val="0000EE"/>
          </w:rPr>
          <w:t>Inc. and FUJIFILM Cellular Dynamics Inc., dated September 22, 2023 (incorporated by reference to</w:t>
        </w:r>
      </w:hyperlink>
      <w:r>
        <w:rPr>
          <w:rFonts w:ascii="Arial" w:cs="Arial" w:eastAsia="Arial" w:hAnsi="Arial"/>
          <w:sz w:val="16"/>
          <w:szCs w:val="16"/>
          <w:u w:val="single" w:color="auto"/>
          <w:color w:val="0000EE"/>
        </w:rPr>
        <w:t xml:space="preserve"> </w:t>
      </w:r>
      <w:hyperlink r:id="rId238">
        <w:r>
          <w:rPr>
            <w:rFonts w:ascii="Arial" w:cs="Arial" w:eastAsia="Arial" w:hAnsi="Arial"/>
            <w:sz w:val="16"/>
            <w:szCs w:val="16"/>
            <w:u w:val="single" w:color="auto"/>
            <w:color w:val="0000EE"/>
          </w:rPr>
          <w:t>Exhibit 10.1 to the Company’s Quarterly Report on Form 10-Q (File No. 001-404098), dated November 9,</w:t>
        </w:r>
      </w:hyperlink>
      <w:r>
        <w:rPr>
          <w:rFonts w:ascii="Arial" w:cs="Arial" w:eastAsia="Arial" w:hAnsi="Arial"/>
          <w:sz w:val="16"/>
          <w:szCs w:val="16"/>
          <w:u w:val="single" w:color="auto"/>
          <w:color w:val="0000EE"/>
        </w:rPr>
        <w:t xml:space="preserve"> </w:t>
      </w:r>
      <w:hyperlink r:id="rId238">
        <w:r>
          <w:rPr>
            <w:rFonts w:ascii="Arial" w:cs="Arial" w:eastAsia="Arial" w:hAnsi="Arial"/>
            <w:sz w:val="16"/>
            <w:szCs w:val="16"/>
            <w:u w:val="single" w:color="auto"/>
            <w:color w:val="0000EE"/>
          </w:rPr>
          <w:t>2023)</w:t>
        </w:r>
      </w:hyperlink>
    </w:p>
    <w:p>
      <w:pPr>
        <w:spacing w:after="0" w:line="183" w:lineRule="exact"/>
        <w:rPr>
          <w:rFonts w:ascii="Arial" w:cs="Arial" w:eastAsia="Arial" w:hAnsi="Arial"/>
          <w:sz w:val="16"/>
          <w:szCs w:val="16"/>
          <w:u w:val="single" w:color="auto"/>
          <w:color w:val="0000EE"/>
        </w:rPr>
      </w:pPr>
    </w:p>
    <w:p>
      <w:pPr>
        <w:jc w:val="both"/>
        <w:ind w:left="1400" w:right="219" w:hanging="1014"/>
        <w:spacing w:after="0" w:line="256" w:lineRule="auto"/>
        <w:tabs>
          <w:tab w:leader="none" w:pos="1380" w:val="left"/>
        </w:tabs>
        <w:rPr>
          <w:rFonts w:ascii="Arial" w:cs="Arial" w:eastAsia="Arial" w:hAnsi="Arial"/>
          <w:sz w:val="16"/>
          <w:szCs w:val="16"/>
          <w:u w:val="single" w:color="auto"/>
          <w:color w:val="0000EE"/>
        </w:rPr>
      </w:pPr>
      <w:r>
        <w:rPr>
          <w:rFonts w:ascii="Arial" w:cs="Arial" w:eastAsia="Arial" w:hAnsi="Arial"/>
          <w:sz w:val="16"/>
          <w:szCs w:val="16"/>
          <w:color w:val="auto"/>
        </w:rPr>
        <w:t>10.40</w:t>
      </w:r>
      <w:r>
        <w:rPr>
          <w:sz w:val="20"/>
          <w:szCs w:val="20"/>
          <w:color w:val="auto"/>
        </w:rPr>
        <w:tab/>
      </w:r>
      <w:hyperlink r:id="rId239">
        <w:r>
          <w:rPr>
            <w:rFonts w:ascii="Arial" w:cs="Arial" w:eastAsia="Arial" w:hAnsi="Arial"/>
            <w:sz w:val="16"/>
            <w:szCs w:val="16"/>
            <w:u w:val="single" w:color="auto"/>
            <w:color w:val="0000EE"/>
          </w:rPr>
          <w:t>Amendment No. 5 to Master Collaboration Agreement, by and between Century Therapeutics, Inc. and</w:t>
        </w:r>
      </w:hyperlink>
      <w:r>
        <w:rPr>
          <w:rFonts w:ascii="Arial" w:cs="Arial" w:eastAsia="Arial" w:hAnsi="Arial"/>
          <w:sz w:val="16"/>
          <w:szCs w:val="16"/>
          <w:u w:val="single" w:color="auto"/>
          <w:color w:val="0000EE"/>
        </w:rPr>
        <w:t xml:space="preserve"> </w:t>
      </w:r>
      <w:hyperlink r:id="rId239">
        <w:r>
          <w:rPr>
            <w:rFonts w:ascii="Arial" w:cs="Arial" w:eastAsia="Arial" w:hAnsi="Arial"/>
            <w:sz w:val="16"/>
            <w:szCs w:val="16"/>
            <w:u w:val="single" w:color="auto"/>
            <w:color w:val="0000EE"/>
          </w:rPr>
          <w:t>FUJIFILM Cellular Dynamics Inc., dated September 22, 2023 (incorporated by reference to Exhibit 10.2</w:t>
        </w:r>
      </w:hyperlink>
      <w:r>
        <w:rPr>
          <w:rFonts w:ascii="Arial" w:cs="Arial" w:eastAsia="Arial" w:hAnsi="Arial"/>
          <w:sz w:val="16"/>
          <w:szCs w:val="16"/>
          <w:u w:val="single" w:color="auto"/>
          <w:color w:val="0000EE"/>
        </w:rPr>
        <w:t xml:space="preserve"> </w:t>
      </w:r>
      <w:hyperlink r:id="rId239">
        <w:r>
          <w:rPr>
            <w:rFonts w:ascii="Arial" w:cs="Arial" w:eastAsia="Arial" w:hAnsi="Arial"/>
            <w:sz w:val="16"/>
            <w:szCs w:val="16"/>
            <w:u w:val="single" w:color="auto"/>
            <w:color w:val="0000EE"/>
          </w:rPr>
          <w:t>to the Company’s Quarterly Report on Form 10-Q (File No. 001-404098), dated November 9, 2023)</w:t>
        </w:r>
      </w:hyperlink>
    </w:p>
    <w:p>
      <w:pPr>
        <w:spacing w:after="0" w:line="22" w:lineRule="exact"/>
        <w:rPr>
          <w:rFonts w:ascii="Arial" w:cs="Arial" w:eastAsia="Arial" w:hAnsi="Arial"/>
          <w:sz w:val="16"/>
          <w:szCs w:val="16"/>
          <w:u w:val="single" w:color="auto"/>
          <w:color w:val="0000EE"/>
        </w:rPr>
      </w:pPr>
    </w:p>
    <w:tbl>
      <w:tblPr>
        <w:tblLayout w:type="fixed"/>
        <w:tblInd w:w="360" w:type="dxa"/>
        <w:tblCellMar>
          <w:top w:w="0" w:type="dxa"/>
          <w:left w:w="0" w:type="dxa"/>
          <w:bottom w:w="0" w:type="dxa"/>
          <w:right w:w="0" w:type="dxa"/>
        </w:tblCellMar>
      </w:tblPr>
      <w:tr>
        <w:trPr>
          <w:trHeight w:val="184"/>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10.41</w:t>
            </w:r>
          </w:p>
        </w:tc>
        <w:tc>
          <w:tcPr>
            <w:tcW w:w="7480" w:type="dxa"/>
            <w:vAlign w:val="bottom"/>
            <w:gridSpan w:val="10"/>
          </w:tcPr>
          <w:p>
            <w:pPr>
              <w:spacing w:after="0"/>
              <w:rPr>
                <w:rFonts w:ascii="Arial" w:cs="Arial" w:eastAsia="Arial" w:hAnsi="Arial"/>
                <w:sz w:val="16"/>
                <w:szCs w:val="16"/>
                <w:color w:val="0000EE"/>
              </w:rPr>
            </w:pPr>
            <w:hyperlink r:id="rId240">
              <w:r>
                <w:rPr>
                  <w:rFonts w:ascii="Arial" w:cs="Arial" w:eastAsia="Arial" w:hAnsi="Arial"/>
                  <w:sz w:val="16"/>
                  <w:szCs w:val="16"/>
                  <w:color w:val="0000EE"/>
                </w:rPr>
                <w:t>Second Amendment to License Agreement (Differentiation), by and between Century Therapeutics, Inc.</w:t>
              </w:r>
            </w:hyperlink>
          </w:p>
        </w:tc>
      </w:tr>
      <w:tr>
        <w:trPr>
          <w:trHeight w:val="169"/>
        </w:trPr>
        <w:tc>
          <w:tcPr>
            <w:tcW w:w="1040" w:type="dxa"/>
            <w:vAlign w:val="bottom"/>
          </w:tcPr>
          <w:p>
            <w:pPr>
              <w:spacing w:after="0"/>
              <w:rPr>
                <w:sz w:val="14"/>
                <w:szCs w:val="14"/>
                <w:color w:val="auto"/>
              </w:rPr>
            </w:pPr>
          </w:p>
        </w:tc>
        <w:tc>
          <w:tcPr>
            <w:tcW w:w="736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r:id="rId240">
              <w:r>
                <w:rPr>
                  <w:rFonts w:ascii="Arial" w:cs="Arial" w:eastAsia="Arial" w:hAnsi="Arial"/>
                  <w:sz w:val="16"/>
                  <w:szCs w:val="16"/>
                  <w:color w:val="0000EE"/>
                </w:rPr>
                <w:t>and FUJIFILM Cellular Dynamics Inc., dated September 22, 2023 (incorporated by reference to Exhibit</w:t>
              </w:r>
            </w:hyperlink>
          </w:p>
        </w:tc>
        <w:tc>
          <w:tcPr>
            <w:tcW w:w="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7480" w:type="dxa"/>
            <w:vAlign w:val="bottom"/>
            <w:tcBorders>
              <w:bottom w:val="single" w:sz="8" w:color="0000EE"/>
            </w:tcBorders>
            <w:gridSpan w:val="10"/>
          </w:tcPr>
          <w:p>
            <w:pPr>
              <w:spacing w:after="0" w:line="169" w:lineRule="exact"/>
              <w:rPr>
                <w:rFonts w:ascii="Arial" w:cs="Arial" w:eastAsia="Arial" w:hAnsi="Arial"/>
                <w:sz w:val="16"/>
                <w:szCs w:val="16"/>
                <w:color w:val="0000EE"/>
              </w:rPr>
            </w:pPr>
            <w:hyperlink r:id="rId240">
              <w:r>
                <w:rPr>
                  <w:rFonts w:ascii="Arial" w:cs="Arial" w:eastAsia="Arial" w:hAnsi="Arial"/>
                  <w:sz w:val="16"/>
                  <w:szCs w:val="16"/>
                  <w:color w:val="0000EE"/>
                </w:rPr>
                <w:t>10.</w:t>
              </w:r>
              <w:r>
                <w:rPr>
                  <w:rFonts w:ascii="Arial" w:cs="Arial" w:eastAsia="Arial" w:hAnsi="Arial"/>
                  <w:sz w:val="16"/>
                  <w:szCs w:val="16"/>
                  <w:u w:val="single" w:color="auto"/>
                  <w:color w:val="0000EE"/>
                </w:rPr>
                <w:t>3</w:t>
              </w:r>
              <w:r>
                <w:rPr>
                  <w:rFonts w:ascii="Arial" w:cs="Arial" w:eastAsia="Arial" w:hAnsi="Arial"/>
                  <w:sz w:val="16"/>
                  <w:szCs w:val="16"/>
                  <w:color w:val="0000EE"/>
                </w:rPr>
                <w:t xml:space="preserve"> to the Company’s Quarterly Report on Form 10-Q (File No. 001-404098), dated November 9, 2023)</w:t>
              </w:r>
            </w:hyperlink>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10.42*</w:t>
            </w:r>
          </w:p>
        </w:tc>
        <w:tc>
          <w:tcPr>
            <w:tcW w:w="7480" w:type="dxa"/>
            <w:vAlign w:val="bottom"/>
            <w:gridSpan w:val="10"/>
          </w:tcPr>
          <w:p>
            <w:pPr>
              <w:spacing w:after="0"/>
              <w:rPr>
                <w:rFonts w:ascii="Arial" w:cs="Arial" w:eastAsia="Arial" w:hAnsi="Arial"/>
                <w:sz w:val="16"/>
                <w:szCs w:val="16"/>
                <w:color w:val="0000EE"/>
              </w:rPr>
            </w:pPr>
            <w:hyperlink r:id="rId241">
              <w:r>
                <w:rPr>
                  <w:rFonts w:ascii="Arial" w:cs="Arial" w:eastAsia="Arial" w:hAnsi="Arial"/>
                  <w:sz w:val="16"/>
                  <w:szCs w:val="16"/>
                  <w:color w:val="0000EE"/>
                </w:rPr>
                <w:t>License Agreement by and between Century Therapeutics, Inc. and FUJIFILM Cellular Dynamics, Inc.,</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7480" w:type="dxa"/>
            <w:vAlign w:val="bottom"/>
            <w:gridSpan w:val="10"/>
          </w:tcPr>
          <w:p>
            <w:pPr>
              <w:spacing w:after="0" w:line="183" w:lineRule="exact"/>
              <w:rPr>
                <w:rFonts w:ascii="Arial" w:cs="Arial" w:eastAsia="Arial" w:hAnsi="Arial"/>
                <w:sz w:val="16"/>
                <w:szCs w:val="16"/>
                <w:color w:val="0000EE"/>
              </w:rPr>
            </w:pPr>
            <w:hyperlink r:id="rId241">
              <w:r>
                <w:rPr>
                  <w:rFonts w:ascii="Arial" w:cs="Arial" w:eastAsia="Arial" w:hAnsi="Arial"/>
                  <w:sz w:val="16"/>
                  <w:szCs w:val="16"/>
                  <w:color w:val="0000EE"/>
                </w:rPr>
                <w:t>dated September 22, 2023 (incorporated by reference to Exhibit 10.40 to the Company’s Annual Report</w:t>
              </w:r>
            </w:hyperlink>
          </w:p>
        </w:tc>
      </w:tr>
      <w:tr>
        <w:trPr>
          <w:trHeight w:val="169"/>
        </w:trPr>
        <w:tc>
          <w:tcPr>
            <w:tcW w:w="1040" w:type="dxa"/>
            <w:vAlign w:val="bottom"/>
          </w:tcPr>
          <w:p>
            <w:pPr>
              <w:spacing w:after="0"/>
              <w:rPr>
                <w:sz w:val="14"/>
                <w:szCs w:val="14"/>
                <w:color w:val="auto"/>
              </w:rPr>
            </w:pPr>
          </w:p>
        </w:tc>
        <w:tc>
          <w:tcPr>
            <w:tcW w:w="434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r:id="rId241">
              <w:r>
                <w:rPr>
                  <w:rFonts w:ascii="Arial" w:cs="Arial" w:eastAsia="Arial" w:hAnsi="Arial"/>
                  <w:sz w:val="16"/>
                  <w:szCs w:val="16"/>
                  <w:color w:val="0000EE"/>
                </w:rPr>
                <w:t>on Form 10-K (File No. 001-40498), dated March 14, 2024).</w:t>
              </w:r>
            </w:hyperlink>
          </w:p>
        </w:tc>
        <w:tc>
          <w:tcPr>
            <w:tcW w:w="3120" w:type="dxa"/>
            <w:vAlign w:val="bottom"/>
            <w:tcBorders>
              <w:top w:val="single" w:sz="8" w:color="0000EE"/>
            </w:tcBorders>
            <w:gridSpan w:val="6"/>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6"/>
              </w:rPr>
              <w:t>19.1</w:t>
            </w:r>
          </w:p>
        </w:tc>
        <w:tc>
          <w:tcPr>
            <w:tcW w:w="35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rPr>
              <w:t>Century Therapeutics, Inc. Insider Trading Policy</w:t>
            </w:r>
          </w:p>
        </w:tc>
        <w:tc>
          <w:tcPr>
            <w:tcW w:w="3980" w:type="dxa"/>
            <w:vAlign w:val="bottom"/>
            <w:gridSpan w:val="8"/>
          </w:tcPr>
          <w:p>
            <w:pPr>
              <w:spacing w:after="0"/>
              <w:rPr>
                <w:sz w:val="20"/>
                <w:szCs w:val="20"/>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6"/>
              </w:rPr>
              <w:t>21.1</w:t>
            </w:r>
          </w:p>
        </w:tc>
        <w:tc>
          <w:tcPr>
            <w:tcW w:w="212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rPr>
              <w:t>Subsidiaries of the Registrant</w:t>
            </w:r>
          </w:p>
        </w:tc>
        <w:tc>
          <w:tcPr>
            <w:tcW w:w="5360" w:type="dxa"/>
            <w:vAlign w:val="bottom"/>
            <w:gridSpan w:val="9"/>
          </w:tcPr>
          <w:p>
            <w:pPr>
              <w:spacing w:after="0"/>
              <w:rPr>
                <w:sz w:val="20"/>
                <w:szCs w:val="20"/>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6"/>
              </w:rPr>
              <w:t>23.1</w:t>
            </w:r>
          </w:p>
        </w:tc>
        <w:tc>
          <w:tcPr>
            <w:tcW w:w="59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Consent of Ernst &amp; Young LLP, an Independent Registered Public Accounting Firm</w:t>
            </w:r>
          </w:p>
        </w:tc>
        <w:tc>
          <w:tcPr>
            <w:tcW w:w="1560" w:type="dxa"/>
            <w:vAlign w:val="bottom"/>
            <w:gridSpan w:val="5"/>
          </w:tcPr>
          <w:p>
            <w:pPr>
              <w:spacing w:after="0"/>
              <w:rPr>
                <w:sz w:val="20"/>
                <w:szCs w:val="20"/>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6"/>
              </w:rPr>
              <w:t>31.1</w:t>
            </w:r>
          </w:p>
        </w:tc>
        <w:tc>
          <w:tcPr>
            <w:tcW w:w="7480" w:type="dxa"/>
            <w:vAlign w:val="bottom"/>
            <w:gridSpan w:val="10"/>
          </w:tcPr>
          <w:p>
            <w:pPr>
              <w:spacing w:after="0"/>
              <w:rPr>
                <w:sz w:val="20"/>
                <w:szCs w:val="20"/>
                <w:color w:val="auto"/>
              </w:rPr>
            </w:pPr>
            <w:r>
              <w:rPr>
                <w:rFonts w:ascii="Arial" w:cs="Arial" w:eastAsia="Arial" w:hAnsi="Arial"/>
                <w:sz w:val="16"/>
                <w:szCs w:val="16"/>
                <w:color w:val="0000EE"/>
              </w:rPr>
              <w:t>Rule 13a-14(a)/15d-14(a) certification of Principal Executive Officer</w:t>
            </w:r>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70" w:name="page171"/>
    <w:bookmarkEnd w:id="1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31.2</w:t>
            </w:r>
          </w:p>
        </w:tc>
        <w:tc>
          <w:tcPr>
            <w:tcW w:w="47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rPr>
              <w:t>Rule 13a-14(a)/15d-14(a) certification of Principal Financial Officer</w:t>
            </w:r>
          </w:p>
        </w:tc>
        <w:tc>
          <w:tcPr>
            <w:tcW w:w="2680" w:type="dxa"/>
            <w:vAlign w:val="bottom"/>
            <w:gridSpan w:val="4"/>
          </w:tcPr>
          <w:p>
            <w:pPr>
              <w:spacing w:after="0"/>
              <w:rPr>
                <w:sz w:val="16"/>
                <w:szCs w:val="16"/>
                <w:color w:val="auto"/>
              </w:rPr>
            </w:pPr>
          </w:p>
        </w:tc>
      </w:tr>
      <w:tr>
        <w:trPr>
          <w:trHeight w:val="236"/>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32.1</w:t>
            </w:r>
          </w:p>
        </w:tc>
        <w:tc>
          <w:tcPr>
            <w:tcW w:w="7440" w:type="dxa"/>
            <w:vAlign w:val="bottom"/>
            <w:gridSpan w:val="7"/>
          </w:tcPr>
          <w:p>
            <w:pPr>
              <w:spacing w:after="0"/>
              <w:rPr>
                <w:sz w:val="20"/>
                <w:szCs w:val="20"/>
                <w:color w:val="auto"/>
              </w:rPr>
            </w:pPr>
            <w:r>
              <w:rPr>
                <w:rFonts w:ascii="Arial" w:cs="Arial" w:eastAsia="Arial" w:hAnsi="Arial"/>
                <w:sz w:val="16"/>
                <w:szCs w:val="16"/>
                <w:color w:val="0000EE"/>
              </w:rPr>
              <w:t>Certification of Chief Executive Officer pursuant to 18 U.S.C. Section 1350 certification, as adopted</w:t>
            </w:r>
          </w:p>
        </w:tc>
      </w:tr>
      <w:tr>
        <w:trPr>
          <w:trHeight w:val="169"/>
        </w:trPr>
        <w:tc>
          <w:tcPr>
            <w:tcW w:w="1140" w:type="dxa"/>
            <w:vAlign w:val="bottom"/>
          </w:tcPr>
          <w:p>
            <w:pPr>
              <w:spacing w:after="0"/>
              <w:rPr>
                <w:sz w:val="14"/>
                <w:szCs w:val="14"/>
                <w:color w:val="auto"/>
              </w:rPr>
            </w:pPr>
          </w:p>
        </w:tc>
        <w:tc>
          <w:tcPr>
            <w:tcW w:w="426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6"/>
                <w:szCs w:val="16"/>
                <w:color w:val="0000EE"/>
              </w:rPr>
              <w:t>pursuant to Section 906 of the Sarbanes-Oxley Act of 2002</w:t>
            </w:r>
          </w:p>
        </w:tc>
        <w:tc>
          <w:tcPr>
            <w:tcW w:w="2820" w:type="dxa"/>
            <w:vAlign w:val="bottom"/>
            <w:tcBorders>
              <w:top w:val="single" w:sz="8" w:color="0000EE"/>
            </w:tcBorders>
            <w:gridSpan w:val="3"/>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32.2</w:t>
            </w:r>
          </w:p>
        </w:tc>
        <w:tc>
          <w:tcPr>
            <w:tcW w:w="7440" w:type="dxa"/>
            <w:vAlign w:val="bottom"/>
            <w:gridSpan w:val="7"/>
          </w:tcPr>
          <w:p>
            <w:pPr>
              <w:spacing w:after="0"/>
              <w:rPr>
                <w:sz w:val="20"/>
                <w:szCs w:val="20"/>
                <w:color w:val="auto"/>
              </w:rPr>
            </w:pPr>
            <w:r>
              <w:rPr>
                <w:rFonts w:ascii="Arial" w:cs="Arial" w:eastAsia="Arial" w:hAnsi="Arial"/>
                <w:sz w:val="16"/>
                <w:szCs w:val="16"/>
                <w:color w:val="0000EE"/>
              </w:rPr>
              <w:t>Certification of Principal Financial Officer pursuant to 18 U.S.C. Section 1350 certification, as adopted</w:t>
            </w:r>
          </w:p>
        </w:tc>
      </w:tr>
      <w:tr>
        <w:trPr>
          <w:trHeight w:val="169"/>
        </w:trPr>
        <w:tc>
          <w:tcPr>
            <w:tcW w:w="1140" w:type="dxa"/>
            <w:vAlign w:val="bottom"/>
          </w:tcPr>
          <w:p>
            <w:pPr>
              <w:spacing w:after="0"/>
              <w:rPr>
                <w:sz w:val="14"/>
                <w:szCs w:val="14"/>
                <w:color w:val="auto"/>
              </w:rPr>
            </w:pPr>
          </w:p>
        </w:tc>
        <w:tc>
          <w:tcPr>
            <w:tcW w:w="4240" w:type="dxa"/>
            <w:vAlign w:val="bottom"/>
            <w:tcBorders>
              <w:top w:val="single" w:sz="8" w:color="0000EE"/>
              <w:bottom w:val="single" w:sz="8" w:color="0000EE"/>
            </w:tcBorders>
          </w:tcPr>
          <w:p>
            <w:pPr>
              <w:spacing w:after="0" w:line="169" w:lineRule="exact"/>
              <w:rPr>
                <w:sz w:val="20"/>
                <w:szCs w:val="20"/>
                <w:color w:val="auto"/>
              </w:rPr>
            </w:pPr>
            <w:r>
              <w:rPr>
                <w:rFonts w:ascii="Arial" w:cs="Arial" w:eastAsia="Arial" w:hAnsi="Arial"/>
                <w:sz w:val="16"/>
                <w:szCs w:val="16"/>
                <w:color w:val="0000EE"/>
              </w:rPr>
              <w:t>pursuant to Section 906 of the Sarbanes-Oxley Act of 2002</w:t>
            </w:r>
          </w:p>
        </w:tc>
        <w:tc>
          <w:tcPr>
            <w:tcW w:w="3020" w:type="dxa"/>
            <w:vAlign w:val="bottom"/>
            <w:tcBorders>
              <w:top w:val="single" w:sz="8" w:color="0000EE"/>
            </w:tcBorders>
            <w:gridSpan w:val="5"/>
          </w:tcPr>
          <w:p>
            <w:pPr>
              <w:spacing w:after="0"/>
              <w:rPr>
                <w:sz w:val="14"/>
                <w:szCs w:val="14"/>
                <w:color w:val="auto"/>
              </w:rPr>
            </w:pPr>
          </w:p>
        </w:tc>
        <w:tc>
          <w:tcPr>
            <w:tcW w:w="180" w:type="dxa"/>
            <w:vAlign w:val="bottom"/>
          </w:tcPr>
          <w:p>
            <w:pPr>
              <w:spacing w:after="0"/>
              <w:rPr>
                <w:sz w:val="14"/>
                <w:szCs w:val="14"/>
                <w:color w:val="auto"/>
              </w:rPr>
            </w:pPr>
          </w:p>
        </w:tc>
      </w:tr>
      <w:tr>
        <w:trPr>
          <w:trHeight w:val="250"/>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97.1</w:t>
            </w:r>
          </w:p>
        </w:tc>
        <w:tc>
          <w:tcPr>
            <w:tcW w:w="7440" w:type="dxa"/>
            <w:vAlign w:val="bottom"/>
            <w:tcBorders>
              <w:bottom w:val="single" w:sz="8" w:color="0000EE"/>
            </w:tcBorders>
            <w:gridSpan w:val="7"/>
          </w:tcPr>
          <w:p>
            <w:pPr>
              <w:spacing w:after="0"/>
              <w:rPr>
                <w:rFonts w:ascii="Arial" w:cs="Arial" w:eastAsia="Arial" w:hAnsi="Arial"/>
                <w:sz w:val="16"/>
                <w:szCs w:val="16"/>
                <w:color w:val="0000EE"/>
              </w:rPr>
            </w:pPr>
            <w:hyperlink r:id="rId243">
              <w:r>
                <w:rPr>
                  <w:rFonts w:ascii="Arial" w:cs="Arial" w:eastAsia="Arial" w:hAnsi="Arial"/>
                  <w:sz w:val="16"/>
                  <w:szCs w:val="16"/>
                  <w:color w:val="0000EE"/>
                </w:rPr>
                <w:t>Century Therapeutics, Inc. Compensation Recovery Policy (incorporated by reference to Exhibit 97.1 to</w:t>
              </w:r>
            </w:hyperlink>
          </w:p>
        </w:tc>
      </w:tr>
      <w:tr>
        <w:trPr>
          <w:trHeight w:val="169"/>
        </w:trPr>
        <w:tc>
          <w:tcPr>
            <w:tcW w:w="1140" w:type="dxa"/>
            <w:vAlign w:val="bottom"/>
          </w:tcPr>
          <w:p>
            <w:pPr>
              <w:spacing w:after="0"/>
              <w:rPr>
                <w:sz w:val="14"/>
                <w:szCs w:val="14"/>
                <w:color w:val="auto"/>
              </w:rPr>
            </w:pPr>
          </w:p>
        </w:tc>
        <w:tc>
          <w:tcPr>
            <w:tcW w:w="654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r:id="rId243">
              <w:r>
                <w:rPr>
                  <w:rFonts w:ascii="Arial" w:cs="Arial" w:eastAsia="Arial" w:hAnsi="Arial"/>
                  <w:sz w:val="16"/>
                  <w:szCs w:val="16"/>
                  <w:color w:val="0000EE"/>
                </w:rPr>
                <w:t>the Company’s Annual Report on Form 10-K (File No. 001-40498), dated March 14, 2024).</w:t>
              </w:r>
            </w:hyperlink>
          </w:p>
        </w:tc>
        <w:tc>
          <w:tcPr>
            <w:tcW w:w="900" w:type="dxa"/>
            <w:vAlign w:val="bottom"/>
            <w:gridSpan w:val="3"/>
          </w:tcPr>
          <w:p>
            <w:pPr>
              <w:spacing w:after="0"/>
              <w:rPr>
                <w:sz w:val="14"/>
                <w:szCs w:val="14"/>
                <w:color w:val="auto"/>
              </w:rPr>
            </w:pPr>
          </w:p>
        </w:tc>
      </w:tr>
      <w:tr>
        <w:trPr>
          <w:trHeight w:val="275"/>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101 INS</w:t>
            </w:r>
          </w:p>
        </w:tc>
        <w:tc>
          <w:tcPr>
            <w:tcW w:w="7440" w:type="dxa"/>
            <w:vAlign w:val="bottom"/>
            <w:gridSpan w:val="7"/>
          </w:tcPr>
          <w:p>
            <w:pPr>
              <w:spacing w:after="0"/>
              <w:rPr>
                <w:sz w:val="20"/>
                <w:szCs w:val="20"/>
                <w:color w:val="auto"/>
              </w:rPr>
            </w:pPr>
            <w:r>
              <w:rPr>
                <w:rFonts w:ascii="Arial" w:cs="Arial" w:eastAsia="Arial" w:hAnsi="Arial"/>
                <w:sz w:val="16"/>
                <w:szCs w:val="16"/>
                <w:color w:val="auto"/>
              </w:rPr>
              <w:t>Inline XBRL Instance Document</w:t>
            </w:r>
          </w:p>
        </w:tc>
      </w:tr>
      <w:tr>
        <w:trPr>
          <w:trHeight w:val="257"/>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101 SCH</w:t>
            </w:r>
          </w:p>
        </w:tc>
        <w:tc>
          <w:tcPr>
            <w:tcW w:w="744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5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9"/>
              </w:rPr>
              <w:t>101 CAL</w:t>
            </w:r>
          </w:p>
        </w:tc>
        <w:tc>
          <w:tcPr>
            <w:tcW w:w="744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56"/>
        </w:trPr>
        <w:tc>
          <w:tcPr>
            <w:tcW w:w="1140" w:type="dxa"/>
            <w:vAlign w:val="bottom"/>
          </w:tcPr>
          <w:p>
            <w:pPr>
              <w:jc w:val="center"/>
              <w:ind w:right="419"/>
              <w:spacing w:after="0"/>
              <w:rPr>
                <w:sz w:val="20"/>
                <w:szCs w:val="20"/>
                <w:color w:val="auto"/>
              </w:rPr>
            </w:pPr>
            <w:r>
              <w:rPr>
                <w:rFonts w:ascii="Arial" w:cs="Arial" w:eastAsia="Arial" w:hAnsi="Arial"/>
                <w:sz w:val="16"/>
                <w:szCs w:val="16"/>
                <w:color w:val="auto"/>
              </w:rPr>
              <w:t>101 DEF</w:t>
            </w:r>
          </w:p>
        </w:tc>
        <w:tc>
          <w:tcPr>
            <w:tcW w:w="744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57"/>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101 LAB</w:t>
            </w:r>
          </w:p>
        </w:tc>
        <w:tc>
          <w:tcPr>
            <w:tcW w:w="744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57"/>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101 PRE</w:t>
            </w:r>
          </w:p>
        </w:tc>
        <w:tc>
          <w:tcPr>
            <w:tcW w:w="744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42" w:lineRule="exact"/>
        <w:rPr>
          <w:sz w:val="20"/>
          <w:szCs w:val="20"/>
          <w:color w:val="auto"/>
        </w:rPr>
      </w:pPr>
    </w:p>
    <w:p>
      <w:pPr>
        <w:ind w:left="1400" w:hanging="946"/>
        <w:spacing w:after="0"/>
        <w:tabs>
          <w:tab w:leader="none" w:pos="14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88" w:lineRule="exact"/>
        <w:rPr>
          <w:rFonts w:ascii="Arial" w:cs="Arial" w:eastAsia="Arial" w:hAnsi="Arial"/>
          <w:sz w:val="16"/>
          <w:szCs w:val="16"/>
          <w:color w:val="auto"/>
        </w:rPr>
      </w:pPr>
    </w:p>
    <w:p>
      <w:pPr>
        <w:ind w:left="380" w:hanging="330"/>
        <w:spacing w:after="0"/>
        <w:tabs>
          <w:tab w:leader="none" w:pos="380" w:val="left"/>
        </w:tabs>
        <w:numPr>
          <w:ilvl w:val="0"/>
          <w:numId w:val="71"/>
        </w:numPr>
        <w:rPr>
          <w:rFonts w:ascii="Times New Roman" w:cs="Times New Roman" w:eastAsia="Times New Roman" w:hAnsi="Times New Roman"/>
          <w:sz w:val="16"/>
          <w:szCs w:val="16"/>
          <w:color w:val="231F20"/>
        </w:rPr>
      </w:pPr>
      <w:r>
        <w:rPr>
          <w:rFonts w:ascii="Arial" w:cs="Arial" w:eastAsia="Arial" w:hAnsi="Arial"/>
          <w:sz w:val="16"/>
          <w:szCs w:val="16"/>
          <w:color w:val="231F20"/>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-176530</wp:posOffset>
            </wp:positionV>
            <wp:extent cx="141414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9" w:lineRule="exact"/>
        <w:rPr>
          <w:sz w:val="20"/>
          <w:szCs w:val="20"/>
          <w:color w:val="auto"/>
        </w:rPr>
      </w:pPr>
    </w:p>
    <w:p>
      <w:pPr>
        <w:ind w:left="60" w:right="119" w:hanging="10"/>
        <w:spacing w:after="0" w:line="271"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identified information in the exhibit has been omitted because it is the type of information that (i) the Company customarily and actually treats as private and confidential, and (ii) is not material.</w:t>
      </w:r>
    </w:p>
    <w:p>
      <w:pPr>
        <w:spacing w:after="0" w:line="140" w:lineRule="exact"/>
        <w:rPr>
          <w:sz w:val="20"/>
          <w:szCs w:val="20"/>
          <w:color w:val="auto"/>
        </w:rPr>
      </w:pPr>
    </w:p>
    <w:p>
      <w:pPr>
        <w:ind w:left="60" w:right="239" w:hanging="10"/>
        <w:spacing w:after="0" w:line="271" w:lineRule="auto"/>
        <w:tabs>
          <w:tab w:leader="none" w:pos="2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schedules, annexes or exhibits have been omitted pursuant to Item 601(a)(5) of Regulation S-K, but will be furnished supplementally to the SEC upon request.</w:t>
      </w:r>
    </w:p>
    <w:p>
      <w:pPr>
        <w:spacing w:after="0" w:line="140" w:lineRule="exact"/>
        <w:rPr>
          <w:sz w:val="20"/>
          <w:szCs w:val="20"/>
          <w:color w:val="auto"/>
        </w:rPr>
      </w:pPr>
    </w:p>
    <w:p>
      <w:pPr>
        <w:ind w:left="60" w:right="419" w:hanging="10"/>
        <w:spacing w:after="0" w:line="203" w:lineRule="auto"/>
        <w:tabs>
          <w:tab w:leader="none" w:pos="217" w:val="left"/>
        </w:tabs>
        <w:numPr>
          <w:ilvl w:val="0"/>
          <w:numId w:val="74"/>
        </w:numPr>
        <w:rPr>
          <w:rFonts w:ascii="Times New Roman" w:cs="Times New Roman" w:eastAsia="Times New Roman" w:hAnsi="Times New Roman"/>
          <w:sz w:val="30"/>
          <w:szCs w:val="30"/>
          <w:b w:val="1"/>
          <w:bCs w:val="1"/>
          <w:color w:val="auto"/>
          <w:vertAlign w:val="superscript"/>
        </w:rPr>
      </w:pPr>
      <w:r>
        <w:rPr>
          <w:rFonts w:ascii="Arial" w:cs="Arial" w:eastAsia="Arial" w:hAnsi="Arial"/>
          <w:sz w:val="18"/>
          <w:szCs w:val="18"/>
          <w:color w:val="auto"/>
        </w:rPr>
        <w:t>Certain portions of this Exhibit have been redacted pursuant to Item 601(b)(10)(iv) of Regulation S-K. The Company hereby agrees to furnish supplementally an unredacted copy of the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1" w:name="page172"/>
    <w:bookmarkEnd w:id="1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CENTURY THERAPEUTICS, INC.</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26149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6">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Brent Pfeiffenberger, PharmD, MBA</w:t>
      </w:r>
    </w:p>
    <w:p>
      <w:pPr>
        <w:ind w:left="4840"/>
        <w:spacing w:after="0"/>
        <w:rPr>
          <w:sz w:val="20"/>
          <w:szCs w:val="20"/>
          <w:color w:val="auto"/>
        </w:rPr>
      </w:pPr>
      <w:r>
        <w:rPr>
          <w:rFonts w:ascii="Arial" w:cs="Arial" w:eastAsia="Arial" w:hAnsi="Arial"/>
          <w:sz w:val="18"/>
          <w:szCs w:val="18"/>
          <w:i w:val="1"/>
          <w:iCs w:val="1"/>
          <w:color w:val="auto"/>
        </w:rPr>
        <w:t>Chief Executive Officer</w:t>
      </w:r>
    </w:p>
    <w:p>
      <w:pPr>
        <w:spacing w:after="0" w:line="180"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2" w:right="1440" w:bottom="1440" w:gutter="0" w:footer="0" w:header="0"/>
        </w:sectPr>
      </w:pP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Brent Pfeiffenberger, PharmD,</w:t>
      </w:r>
    </w:p>
    <w:p>
      <w:pPr>
        <w:jc w:val="center"/>
        <w:ind w:left="100"/>
        <w:spacing w:after="0"/>
        <w:rPr>
          <w:sz w:val="20"/>
          <w:szCs w:val="20"/>
          <w:color w:val="auto"/>
        </w:rPr>
      </w:pPr>
      <w:r>
        <w:rPr>
          <w:rFonts w:ascii="Arial" w:cs="Arial" w:eastAsia="Arial" w:hAnsi="Arial"/>
          <w:sz w:val="18"/>
          <w:szCs w:val="18"/>
          <w:color w:val="auto"/>
        </w:rPr>
        <w:t>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18688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jc w:val="center"/>
        <w:ind w:left="100"/>
        <w:spacing w:after="0"/>
        <w:rPr>
          <w:sz w:val="20"/>
          <w:szCs w:val="20"/>
          <w:color w:val="auto"/>
        </w:rPr>
      </w:pPr>
      <w:r>
        <w:rPr>
          <w:rFonts w:ascii="Arial" w:cs="Arial" w:eastAsia="Arial" w:hAnsi="Arial"/>
          <w:sz w:val="17"/>
          <w:szCs w:val="17"/>
          <w:color w:val="auto"/>
        </w:rPr>
        <w:t>Brent Pfeiffenberger, PharmD, MBA</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 Morgan Conn,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Morgan Conn, PhD</w:t>
      </w:r>
    </w:p>
    <w:p>
      <w:pPr>
        <w:spacing w:after="0" w:line="234"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Douglas Carr</w:t>
      </w:r>
    </w:p>
    <w:p>
      <w:pPr>
        <w:spacing w:after="0" w:line="2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Douglas Carr</w:t>
      </w:r>
    </w:p>
    <w:p>
      <w:pPr>
        <w:spacing w:after="0" w:line="20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Kimberly Blackwell,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0">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Kimberly Blackwell, M.D.</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Cynthia Butitta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Cynthia Butitta</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Joseph Jimenez</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Alessandro Riva,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3">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Alessandro Riva, M.D.</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Carlo Rizzuto,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Carlo Rizzuto, Ph.D.</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Timothy Walbert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Timothy Walbert</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Daphne Quimi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6">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Daphne Quimi</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285"/>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Chief Executive Officer and Director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rPr>
              <w:t>March 19, 2025</w:t>
            </w:r>
          </w:p>
        </w:tc>
        <w:tc>
          <w:tcPr>
            <w:tcW w:w="0" w:type="dxa"/>
            <w:vAlign w:val="bottom"/>
          </w:tcPr>
          <w:p>
            <w:pPr>
              <w:spacing w:after="0"/>
              <w:rPr>
                <w:sz w:val="1"/>
                <w:szCs w:val="1"/>
                <w:color w:val="auto"/>
              </w:rPr>
            </w:pPr>
          </w:p>
        </w:tc>
      </w:tr>
      <w:tr>
        <w:trPr>
          <w:trHeight w:val="144"/>
        </w:trPr>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9"/>
              </w:rPr>
              <w:t>(principal executive officer)</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820" w:type="dxa"/>
            <w:vAlign w:val="bottom"/>
            <w:gridSpan w:val="2"/>
            <w:vMerge w:val="continue"/>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0"/>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rPr>
              <w:t>Chief Financial Officer</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19, 2025</w:t>
            </w:r>
          </w:p>
        </w:tc>
        <w:tc>
          <w:tcPr>
            <w:tcW w:w="0" w:type="dxa"/>
            <w:vAlign w:val="bottom"/>
          </w:tcPr>
          <w:p>
            <w:pPr>
              <w:spacing w:after="0"/>
              <w:rPr>
                <w:sz w:val="1"/>
                <w:szCs w:val="1"/>
                <w:color w:val="auto"/>
              </w:rPr>
            </w:pPr>
          </w:p>
        </w:tc>
      </w:tr>
      <w:tr>
        <w:trPr>
          <w:trHeight w:val="239"/>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(principal financial officer)</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rPr>
              <w:t>Senior Vice President, Finance &amp; Operations</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19, 2025</w:t>
            </w:r>
          </w:p>
        </w:tc>
        <w:tc>
          <w:tcPr>
            <w:tcW w:w="0" w:type="dxa"/>
            <w:vAlign w:val="bottom"/>
          </w:tcPr>
          <w:p>
            <w:pPr>
              <w:spacing w:after="0"/>
              <w:rPr>
                <w:sz w:val="1"/>
                <w:szCs w:val="1"/>
                <w:color w:val="auto"/>
              </w:rPr>
            </w:pPr>
          </w:p>
        </w:tc>
      </w:tr>
      <w:tr>
        <w:trPr>
          <w:trHeight w:val="239"/>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rPr>
              <w:t>(principal accounting officer)</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19, 2025</w:t>
            </w:r>
          </w:p>
        </w:tc>
        <w:tc>
          <w:tcPr>
            <w:tcW w:w="0" w:type="dxa"/>
            <w:vAlign w:val="bottom"/>
          </w:tcPr>
          <w:p>
            <w:pPr>
              <w:spacing w:after="0"/>
              <w:rPr>
                <w:sz w:val="1"/>
                <w:szCs w:val="1"/>
                <w:color w:val="auto"/>
              </w:rPr>
            </w:pPr>
          </w:p>
        </w:tc>
      </w:tr>
      <w:tr>
        <w:trPr>
          <w:trHeight w:val="621"/>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19, 2025</w:t>
            </w:r>
          </w:p>
        </w:tc>
        <w:tc>
          <w:tcPr>
            <w:tcW w:w="0" w:type="dxa"/>
            <w:vAlign w:val="bottom"/>
          </w:tcPr>
          <w:p>
            <w:pPr>
              <w:spacing w:after="0"/>
              <w:rPr>
                <w:sz w:val="1"/>
                <w:szCs w:val="1"/>
                <w:color w:val="auto"/>
              </w:rPr>
            </w:pPr>
          </w:p>
        </w:tc>
      </w:tr>
      <w:tr>
        <w:trPr>
          <w:trHeight w:val="621"/>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Director, Chairman of the Board</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19, 2025</w:t>
            </w:r>
          </w:p>
        </w:tc>
        <w:tc>
          <w:tcPr>
            <w:tcW w:w="0" w:type="dxa"/>
            <w:vAlign w:val="bottom"/>
          </w:tcPr>
          <w:p>
            <w:pPr>
              <w:spacing w:after="0"/>
              <w:rPr>
                <w:sz w:val="1"/>
                <w:szCs w:val="1"/>
                <w:color w:val="auto"/>
              </w:rPr>
            </w:pPr>
          </w:p>
        </w:tc>
      </w:tr>
      <w:tr>
        <w:trPr>
          <w:trHeight w:val="621"/>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19, 2025</w:t>
            </w:r>
          </w:p>
        </w:tc>
        <w:tc>
          <w:tcPr>
            <w:tcW w:w="0" w:type="dxa"/>
            <w:vAlign w:val="bottom"/>
          </w:tcPr>
          <w:p>
            <w:pPr>
              <w:spacing w:after="0"/>
              <w:rPr>
                <w:sz w:val="1"/>
                <w:szCs w:val="1"/>
                <w:color w:val="auto"/>
              </w:rPr>
            </w:pPr>
          </w:p>
        </w:tc>
      </w:tr>
      <w:tr>
        <w:trPr>
          <w:trHeight w:val="621"/>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19, 2025</w:t>
            </w:r>
          </w:p>
        </w:tc>
        <w:tc>
          <w:tcPr>
            <w:tcW w:w="0" w:type="dxa"/>
            <w:vAlign w:val="bottom"/>
          </w:tcPr>
          <w:p>
            <w:pPr>
              <w:spacing w:after="0"/>
              <w:rPr>
                <w:sz w:val="1"/>
                <w:szCs w:val="1"/>
                <w:color w:val="auto"/>
              </w:rPr>
            </w:pPr>
          </w:p>
        </w:tc>
      </w:tr>
      <w:tr>
        <w:trPr>
          <w:trHeight w:val="621"/>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19, 2025</w:t>
            </w:r>
          </w:p>
        </w:tc>
        <w:tc>
          <w:tcPr>
            <w:tcW w:w="0" w:type="dxa"/>
            <w:vAlign w:val="bottom"/>
          </w:tcPr>
          <w:p>
            <w:pPr>
              <w:spacing w:after="0"/>
              <w:rPr>
                <w:sz w:val="1"/>
                <w:szCs w:val="1"/>
                <w:color w:val="auto"/>
              </w:rPr>
            </w:pPr>
          </w:p>
        </w:tc>
      </w:tr>
      <w:tr>
        <w:trPr>
          <w:trHeight w:val="621"/>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rPr>
              <w:t>March 19, 2025</w:t>
            </w:r>
          </w:p>
        </w:tc>
        <w:tc>
          <w:tcPr>
            <w:tcW w:w="0" w:type="dxa"/>
            <w:vAlign w:val="bottom"/>
          </w:tcPr>
          <w:p>
            <w:pPr>
              <w:spacing w:after="0"/>
              <w:rPr>
                <w:sz w:val="1"/>
                <w:szCs w:val="1"/>
                <w:color w:val="auto"/>
              </w:rPr>
            </w:pPr>
          </w:p>
        </w:tc>
      </w:tr>
    </w:tbl>
    <w:p>
      <w:pPr>
        <w:spacing w:after="0" w:line="294" w:lineRule="exact"/>
        <w:rPr>
          <w:sz w:val="20"/>
          <w:szCs w:val="20"/>
          <w:color w:val="auto"/>
        </w:rPr>
      </w:pPr>
    </w:p>
    <w:p>
      <w:pPr>
        <w:sectPr>
          <w:pgSz w:w="11900" w:h="16838" w:orient="portrait"/>
          <w:cols w:equalWidth="0" w:num="2">
            <w:col w:w="2960" w:space="280"/>
            <w:col w:w="5779"/>
          </w:cols>
          <w:pgMar w:left="1440" w:top="5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Effective June 17, 2021</w:t>
      </w:r>
    </w:p>
    <w:p>
      <w:pPr>
        <w:spacing w:after="0" w:line="223"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this Insider Trading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to satisfy the Company’s obligation to prevent insider trading and to help the Company’s personnel and its external advisors avoid violating insider trading laws.</w:t>
      </w:r>
    </w:p>
    <w:p>
      <w:pPr>
        <w:spacing w:after="0" w:line="158"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Persons Subject to the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Policy applies to (i) all officers, directors and employees of the Company and its subsidiary, (ii) immediate family members (as defined below) and any persons that reside in the same household as any of the foregoing persons and (iii) any other person whose transactions in Company Securities (as defined below) are directed by, or subject to influence or control by the foregoing persons, and any trust, partnership, corporation or other entity over which such persons have investment control (collectively, “</w:t>
      </w: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 Individuals subject to this Policy are responsible for ensuring that members of their households also comply with this Policy and therefore should make them aware of the need to confer with you before they trade in Company Securities (as defined below) and should treat all such transactions for the purposes of this Policy and applicable securities laws as if the transactions were for your own account.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does not, however, apply to personal securities transactions of your immediate family members (as defined below) where the purchase or sale decision is made by a third party not controlled by, influenced by or related to you or your immediate family members (as defined below).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u w:val="single" w:color="auto"/>
          <w:color w:val="auto"/>
        </w:rPr>
        <w:t>immediate family member</w:t>
      </w:r>
      <w:r>
        <w:rPr>
          <w:rFonts w:ascii="Times New Roman" w:cs="Times New Roman" w:eastAsia="Times New Roman" w:hAnsi="Times New Roman"/>
          <w:sz w:val="18"/>
          <w:szCs w:val="18"/>
          <w:color w:val="auto"/>
        </w:rPr>
        <w:t>” means any spouse, child, stepchild, grandchild, parent, stepparent, grandparent, sibling, mother or father-in-law, son or daughter-in-law, or brother or sister-in-law (as well as other adoptive relationships), whether or not sharing the same household as the persons described in item (i) above.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consultants and outside advisors assisting the Company on sensitive matters are expected to abide by this Policy, although the Company assumes no responsibility with respect to the actions of persons who are not under its direct control.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Persons in possession of material non-public information related to, affecting or regarding the Company or its subsidiary (“</w:t>
      </w:r>
      <w:r>
        <w:rPr>
          <w:rFonts w:ascii="Times New Roman" w:cs="Times New Roman" w:eastAsia="Times New Roman" w:hAnsi="Times New Roman"/>
          <w:sz w:val="18"/>
          <w:szCs w:val="18"/>
          <w:u w:val="single" w:color="auto"/>
          <w:color w:val="auto"/>
        </w:rPr>
        <w:t>Inside Information</w:t>
      </w:r>
      <w:r>
        <w:rPr>
          <w:rFonts w:ascii="Times New Roman" w:cs="Times New Roman" w:eastAsia="Times New Roman" w:hAnsi="Times New Roman"/>
          <w:sz w:val="18"/>
          <w:szCs w:val="18"/>
          <w:color w:val="auto"/>
        </w:rPr>
        <w:t>”) when their employment or service terminates may not trade in Company Securities (as defined below) until that information has become public or is no longer material.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this Policy, including, without limitation, the pre-clearance policy, blackout periods and prohibited transactions, does not apply to venture capital entities or other institutional investors that engage in the investment of securities in the ordinary course of its business, and the related transaction in the Company’s equity securities by such entities, that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3" w:name="page174"/>
    <w:bookmarkEnd w:id="173"/>
    <w:p>
      <w:pPr>
        <w:spacing w:after="0" w:line="282" w:lineRule="auto"/>
        <w:rPr>
          <w:sz w:val="20"/>
          <w:szCs w:val="20"/>
          <w:color w:val="auto"/>
        </w:rPr>
      </w:pPr>
      <w:r>
        <w:rPr>
          <w:rFonts w:ascii="Times New Roman" w:cs="Times New Roman" w:eastAsia="Times New Roman" w:hAnsi="Times New Roman"/>
          <w:sz w:val="18"/>
          <w:szCs w:val="18"/>
          <w:color w:val="auto"/>
        </w:rPr>
        <w:t>be affiliated with a director of the Company or for Company equity securities that a director may be deemed to have beneficial ownership of by virtue of such affiliation.</w:t>
      </w:r>
    </w:p>
    <w:p>
      <w:pPr>
        <w:spacing w:after="0" w:line="158"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Transactions Subject to the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Policy applies to all transactions in securities of the Company (collectively referred to in this Policy as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including common stock, options to purchase common stock, preferred stock, convertible debt and warrants, or any other type of securities that the Company has or may issue, as well as derivative securities that are not issued by the Company, such as exchange-traded put or call options or swaps relating to the Company Securities.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General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Insider who is in possession of Inside Information may, either directly or indirectly, (i) purchase or sell Company Securities or, (ii) without the consent of the Company, provide Inside Information to any other person outside of the Company, including family and friends, provided that notwithstanding the foregoing (y) a director may provide Inside Information to their employer provided such employer either (I) complies with this paragraph or (II) has established its own insider trading controls and procedures in compliance with applicable securities laws or (z) an Insider may disclose Inside Information as required by law.</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Insiders may not disclose, convey or “tip” Inside Information to any person by providing them with Inside Information other than to disclose on a “need to know” basis to directors, officers and employees of the Company or outside advisors in the course of performing their duties for the Company (it being understood that directors may disclose Inside Information to their employers; provided that such employer either (I) complies with the requirements of the first paragraph of this Section IV or (II) has established its own insider trading controls and procedures in compliance with applicable securities laws). When sharing Inside Information with other directors, officers and employees of the Company or outside advisors, or other persons involved in the business and affairs of the Company, such information should be confined to as small a group as possible. Unlawful tipping includes passing on Inside Information to friends, family members or acquaintances under circumstances that suggest that persons subject to this Policy were trying to help the recipients of such information to make a profit or avoid a loss by trading in Company Securities based on such information.</w:t>
      </w:r>
    </w:p>
    <w:p>
      <w:pPr>
        <w:spacing w:after="0" w:line="184"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 of Inside Information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Material Information</w:t>
      </w:r>
      <w:r>
        <w:rPr>
          <w:rFonts w:ascii="Times New Roman" w:cs="Times New Roman" w:eastAsia="Times New Roman" w:hAnsi="Times New Roman"/>
          <w:sz w:val="18"/>
          <w:szCs w:val="18"/>
          <w:color w:val="auto"/>
        </w:rPr>
        <w:t>. Information is considered “material” if a reasonable investor would consider that information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making a decision to buy, hold or sell Company Securities or the securities of another public company. Any information that could be expected to affect the Company’s stock price, whether it is positive or negative, should be considered material. Determining whether information is material is not always straightforward; rather, materiality is based on an assessment of all of the facts and circumstances, and is often evaluated by enforcement authorities with the benefit of hindsight. When doubt exists as to whether information would be considered “material,” the information should be presumed to be material. While it is not possible to identify in advance all information that will be deemed to be material, some examples of such information would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74" w:name="page175"/>
    <w:bookmarkEnd w:id="174"/>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acquisition, joint venture, partnerships, strategic alliances, collaborations or investment proposals;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or quarterly financial statements;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estimates;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operational or financial guidance;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expansion or curtailment of operations;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regarding an existing or potential customer or supplier;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borrowings;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or private securities offerings;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(pending or threatened);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executive management or members of the Board of Directors;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concerning clinical trials and their results, intellectual property, regulatory approvals or other developments (positive or negative), product or technological plans, developments or agreements;</w:t>
      </w: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to or from regulatory agencies;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launches or the introduction of new business strategies;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the Company’s progress toward achieving significant Company goals;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on or delisting from a stock exchange;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major contracts, customers, distributors or suppliers, or the loss of any of the foregoing;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related party transactions.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Non-Public Information</w:t>
      </w:r>
      <w:r>
        <w:rPr>
          <w:rFonts w:ascii="Times New Roman" w:cs="Times New Roman" w:eastAsia="Times New Roman" w:hAnsi="Times New Roman"/>
          <w:sz w:val="18"/>
          <w:szCs w:val="18"/>
          <w:color w:val="auto"/>
        </w:rPr>
        <w:t>. Information that has not been widely disseminated to the public is generally considered to be non-public information. Information generally becomes available to the public when it has been disclosed by the Company or third parties in a press release or other authorized public statement, including any filing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Once information is widely disseminated, it is still necessary to afford the investing public with sufficient time to absorb the information. As a general rule, information should not be considered fully absorbed by the marketplace until </w:t>
      </w:r>
      <w:r>
        <w:rPr>
          <w:rFonts w:ascii="Times New Roman" w:cs="Times New Roman" w:eastAsia="Times New Roman" w:hAnsi="Times New Roman"/>
          <w:sz w:val="18"/>
          <w:szCs w:val="18"/>
          <w:b w:val="1"/>
          <w:bCs w:val="1"/>
          <w:i w:val="1"/>
          <w:iCs w:val="1"/>
          <w:color w:val="auto"/>
        </w:rPr>
        <w:t>after the second full trading day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information is released</w:t>
      </w:r>
      <w:r>
        <w:rPr>
          <w:rFonts w:ascii="Times New Roman" w:cs="Times New Roman" w:eastAsia="Times New Roman" w:hAnsi="Times New Roman"/>
          <w:sz w:val="18"/>
          <w:szCs w:val="18"/>
          <w:color w:val="auto"/>
        </w:rPr>
        <w:t>. If, for example, the Company were to make an announcement prior to the start of trading on a Monday,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 covered by this Policy should not trade in Company Securities until the start of trading on Wednesday. Depending on the particular circumstances, the Company may determine that a longer or shorter period should apply to the release of specific material non-public information.</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are unsure whether you are in possession of Inside Information, you should consult with the Chief Financial Officer prior to engaging in, or entering into an agreement, understanding or arrangement to engage in, a purchase or sale transaction of any Company Securities. However, you are responsible for determining whether you are in possession of Inside Information and any action on the part of the Company, the Chief Financial Officer or any other employee or director pursuant to this Policy or otherwise does not in any way constitute legal advice or insulate you from liability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75" w:name="page176"/>
    <w:bookmarkEnd w:id="17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u w:val="single" w:color="auto"/>
          <w:color w:val="auto"/>
        </w:rPr>
        <w:t>Special and Prohibited Transactions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addition to the other restrictions set forth in this Policy, the following transactions are strictly prohibited at all times:</w:t>
      </w:r>
    </w:p>
    <w:p>
      <w:pPr>
        <w:spacing w:after="0" w:line="225"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call or put options involving Company Securities and other derivative securities;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short sales of Company Securities;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Company Securities in a margin account;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forms of hedging or monetization transactions, such as zero-cost collars and forward sale contracts;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Company Securities to secure margin or other loans.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are unsure whether a particular transaction is prohibited under this Policy, you should consult with the Chief Financial Officer prior to engaging in, or entering into, an agreement, understanding or arrangement to engage in, such transaction.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u w:val="single" w:color="auto"/>
          <w:color w:val="auto"/>
        </w:rPr>
        <w:t>Transactions Not Subject to Trading Restrictions Under the Policy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trading restriction prohibitions in this Policy do not apply to:</w:t>
      </w:r>
    </w:p>
    <w:p>
      <w:pPr>
        <w:spacing w:after="0" w:line="225"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options or other equity awards;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sale of Company Securities from or to the Company, as applicable;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bona fide gifts of Company Securities;</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Company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promulgated under the Securities Exchange Act of 1934, as amended (a “</w:t>
      </w:r>
      <w:r>
        <w:rPr>
          <w:rFonts w:ascii="Times New Roman" w:cs="Times New Roman" w:eastAsia="Times New Roman" w:hAnsi="Times New Roman"/>
          <w:sz w:val="18"/>
          <w:szCs w:val="18"/>
          <w:u w:val="single" w:color="auto"/>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trading plan</w:t>
      </w:r>
      <w:r>
        <w:rPr>
          <w:rFonts w:ascii="Times New Roman" w:cs="Times New Roman" w:eastAsia="Times New Roman" w:hAnsi="Times New Roman"/>
          <w:sz w:val="18"/>
          <w:szCs w:val="18"/>
          <w:color w:val="auto"/>
        </w:rPr>
        <w:t>”), (ii) was pre-cleared in advance pursuant to this Policy and (iii) has not been amended or modified in any respect after such initial pre-clearance without such amendment or modification being pre-cleared in advance pursuant to this Policy; or</w:t>
      </w:r>
    </w:p>
    <w:p>
      <w:pPr>
        <w:spacing w:after="0" w:line="2"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Insiders and the Company with respect to grants under its equity incentive plan (or, to the extent applicable, granted outside such plan), including the exercise of stock options for cash; the vesting of restricted stock or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or the exercise of a tax withholding right pursuant to which a person has elected to have the Company withhold shares to satisfy tax withholding upon the exercise of stock options or the vesting of any restricted stock or RSUs.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Consequently, restrictions contained in this Policy would apply to the sale of Company Securities in the open market to pay the exercise price of an option and to the “cashless exercise” effected through a broker or “same day sale” of an option, which generally entail the sale of a portion of the underlying stock on the market to cover the costs of exercise or the resulting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In addition, any sale of the underlying securities acquired upon the exercise of an option or RSU is subject to the Policy.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8"/>
          <w:szCs w:val="18"/>
          <w:b w:val="1"/>
          <w:bCs w:val="1"/>
          <w:u w:val="single" w:color="auto"/>
          <w:color w:val="auto"/>
        </w:rPr>
        <w:t>Additional Procedures Applicable to Restricted Persons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Blackout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officers and directors of the Company, as well as certain key employees listed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(as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amended from time to time), as well as any family members or other persons that reside in the same household as those persons (all of the foregoing being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xml:space="preserve">”) are subject to additional restrictions on their ability to engage in purchase or sale transactions involving Company Securities. Restricted Persons are more likely to have access to Inside Information regarding the Company because of their positions or affiliations with the Company and, as a result, their trades in Company Securities are more likely to be subject to greater scrutiny. Accordingly, Restricted Persons are prohibited from trading in Company Securities during the period beginning twenty-one days prior to the filing of each of the Company’s quarterly reports on Form 10-Q or annual reports on Form 10-K with the SEC and ending on the beginning of the second trading day following public disclosure of the financial results for that quarter or the full year.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is a list of the blackout periods for the current and next fiscal year, which shall be updated from time to time.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Special Blackout Periods</w:t>
      </w:r>
      <w:r>
        <w:rPr>
          <w:rFonts w:ascii="Times New Roman" w:cs="Times New Roman" w:eastAsia="Times New Roman" w:hAnsi="Times New Roman"/>
          <w:sz w:val="18"/>
          <w:szCs w:val="18"/>
          <w:color w:val="auto"/>
        </w:rPr>
        <w:t>. In addition, from time to time, the Company may impose special blackout periods on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and other employees of the Company if, in the judgment of the Chief Executive Officer or Chief Financial Officer, it is likely that such person or persons have become aware of significant corporate developments that have not yet been disclosed to the public, even when trading otherwise may be permitted. If certain Restricted Persons or other employees of the Company become subject to a special blackout period, such persons are prohibited from (i) trading in Company Securities and (ii) without the consent of the Company, disclosing to others the fact that they are subject to such special blackout period. These special blackout periods may vary in length and may or may not be broadly communicated to Insiders. Unless otherwise specified, the Company will re-open trading on the beginning of the second trading day following public disclosure of such significant corporate developments or after the termination of any pending development, if applicable. If, for example, the Company imposed a special blackout period and subsequently publicly disclosed the information behind the blackout on a Monday, the persons subject to such special blackout period should not trade in Company Securities until the pre-market on Thursday, unless otherwise specified by the Company.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Pre-Clearance Procedures</w:t>
      </w:r>
      <w:r>
        <w:rPr>
          <w:rFonts w:ascii="Times New Roman" w:cs="Times New Roman" w:eastAsia="Times New Roman" w:hAnsi="Times New Roman"/>
          <w:sz w:val="18"/>
          <w:szCs w:val="18"/>
          <w:color w:val="auto"/>
        </w:rPr>
        <w:t>. Restricted Persons must obtain prior clearance from the Chief Financial Officer, or such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designee, by submitting (in writing or via email) the information contained in the Request for Clearance to Trade as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attached hereto, before such person makes any purchases, sales or gifts of Company Securities, regardless of whether a blackout period is then in effect. The Chief Financial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Clearance of a transaction is valid for no more than the 5-business day period (or such shorter period as may be prescribed in the pre-clearance form) immediately following receipt by such person of such clearance. Restricted Persons do not need to receive pre-clearance for trades pursuant to an approved 10b5-1 trading plan, but must receive prior approval before implementing, terminating or amending such a plan by the Chief Financial Officer, or such person’s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77" w:name="page178"/>
    <w:bookmarkEnd w:id="177"/>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u w:val="single" w:color="auto"/>
          <w:color w:val="auto"/>
        </w:rPr>
        <w:t>Rule 10b5-1 Plans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permits all directors, officers and other employees to adopt a 10b5-1 trading plan pursuant to the Company’s procedure for adopting such a trading plan. All directors, officers and other employees must obtain pre-clearance prior to entering into, modifying or terminating a 10b5-1 trading plan. The restrictions on trading set forth in this Policy shall not apply to trades made pursuant to a 10b5-1 trading plan.</w:t>
      </w:r>
    </w:p>
    <w:p>
      <w:pPr>
        <w:spacing w:after="0" w:line="176"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Consequences of Violations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purchase or sale of Company Securities while aware of Inside Information, or the disclosure of Inside Information to others who then trade in Company Securities, is prohibited by federal and state securities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within the organization if they fail to take reasonable steps to prevent insider trading by company personnel.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an individual’s failure to comply with this Policy may subject the individual to Company-imposed sanctions, including dismissal for cause, whether or not the employee’s failure to comply results in a violation of law. A violation of law, or even an SEC investigation that does not result in prosecution, can tarnish a person’s reputation and irreparably damage a career.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8"/>
          <w:szCs w:val="18"/>
          <w:b w:val="1"/>
          <w:bCs w:val="1"/>
          <w:u w:val="single" w:color="auto"/>
          <w:color w:val="auto"/>
        </w:rPr>
        <w:t>Administration of the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Financial Officer, and in such person’s absence, an employee designated by the Chief Financial Officer, in consultation with internal and external legal counsel, shall be responsible for administration of this Policy. All determinations and interpretations by the Chief Financial Officer (or his or her designees) shall be final and not subject to further review.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person who has a question about this Policy or its application to any proposed transaction may obtain additional guidance from the Chief Financial Officer.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You must sign, date and return the Certification set forth on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attached hereto (or such other certification as the Chief Financial Officer may deem appropriate) stating that you have received, read, understand and agree to comply with this Policy. The Company may require you to sign such a Certification on an annual basis, which Certification may be in electronic format. Please note that you are bound by the Policy whether or not you sign the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SUBSIDIARIES OF CENTURY THERAPEUTICS, INC.</w:t>
            </w:r>
          </w:p>
        </w:tc>
      </w:tr>
      <w:tr>
        <w:trPr>
          <w:trHeight w:val="432"/>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2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State or Country of Incorporation</w:t>
            </w:r>
          </w:p>
        </w:tc>
      </w:tr>
      <w:tr>
        <w:trPr>
          <w:trHeight w:val="20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Century Therapeutics Canada ULC</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Clarent Intermediate Sub, Inc.</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Clade Therapeutics, Inc.</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Gadeta B.V.</w:t>
            </w: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758"/>
        </w:trPr>
        <w:tc>
          <w:tcPr>
            <w:tcW w:w="26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79" w:name="page180"/>
    <w:bookmarkEnd w:id="17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60" w:right="2219" w:firstLine="2156"/>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 w:lineRule="exact"/>
        <w:rPr>
          <w:sz w:val="20"/>
          <w:szCs w:val="20"/>
          <w:color w:val="auto"/>
        </w:rPr>
      </w:pPr>
    </w:p>
    <w:p>
      <w:pPr>
        <w:ind w:left="700" w:hanging="326"/>
        <w:spacing w:after="0"/>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333-280310) of Century Therapeutics, Inc.,</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333-279422) of Century Therapeutics, Inc.,</w:t>
      </w:r>
    </w:p>
    <w:p>
      <w:pPr>
        <w:spacing w:after="0" w:line="22"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333-265975) of Century Therapeutics, Inc.,</w:t>
      </w:r>
    </w:p>
    <w:p>
      <w:pPr>
        <w:spacing w:after="0" w:line="22" w:lineRule="exact"/>
        <w:rPr>
          <w:rFonts w:ascii="Times New Roman" w:cs="Times New Roman" w:eastAsia="Times New Roman" w:hAnsi="Times New Roman"/>
          <w:sz w:val="18"/>
          <w:szCs w:val="18"/>
          <w:color w:val="auto"/>
        </w:rPr>
      </w:pPr>
    </w:p>
    <w:p>
      <w:pPr>
        <w:ind w:left="700" w:right="499" w:hanging="326"/>
        <w:spacing w:after="0" w:line="266" w:lineRule="auto"/>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333-277930) pertaining to the 2021 Equity Incentive Plan of Century Therapeutics, Inc.,</w:t>
      </w:r>
    </w:p>
    <w:p>
      <w:pPr>
        <w:ind w:left="700" w:right="559" w:hanging="326"/>
        <w:spacing w:after="0" w:line="258" w:lineRule="auto"/>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333-270649) pertaining to the 2021 Equity Incentive Plan of Century Therapeutics, Inc.,</w:t>
      </w:r>
    </w:p>
    <w:p>
      <w:pPr>
        <w:ind w:left="700" w:right="659" w:hanging="326"/>
        <w:spacing w:after="0" w:line="258" w:lineRule="auto"/>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333-263666) pertaining to the 2021 Equity Incentive Plan and 2021 Employee Stock Purchase Plan of Century Therapeutics, Inc.,</w:t>
      </w:r>
    </w:p>
    <w:p>
      <w:pPr>
        <w:ind w:left="700" w:right="399" w:hanging="326"/>
        <w:spacing w:after="0" w:line="292" w:lineRule="auto"/>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333-257644) pertaining to the 2018 Stock Option and Grant Plan, 2021 Equity Incentive Plan, and the 2021 Employee Stock Purchase Plan of Century Therapeutics, Inc.,</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our report dated March 19, 2025, with respect to the consolidated financial statements of Century Therapeutics,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included in this Annual Report (Form 10-K) of Century Therapeutics, Inc. for the year ended December 31, 2024.</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Pfeiffenberger, certify that:</w:t>
      </w:r>
    </w:p>
    <w:p>
      <w:pPr>
        <w:spacing w:after="0" w:line="117" w:lineRule="exact"/>
        <w:rPr>
          <w:sz w:val="20"/>
          <w:szCs w:val="20"/>
          <w:color w:val="auto"/>
        </w:rPr>
      </w:pPr>
    </w:p>
    <w:p>
      <w:pPr>
        <w:ind w:left="880" w:hanging="440"/>
        <w:spacing w:after="0"/>
        <w:tabs>
          <w:tab w:leader="none" w:pos="8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2025</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Morgan Conn, certify that:</w:t>
      </w:r>
    </w:p>
    <w:p>
      <w:pPr>
        <w:spacing w:after="0" w:line="117" w:lineRule="exact"/>
        <w:rPr>
          <w:sz w:val="20"/>
          <w:szCs w:val="20"/>
          <w:color w:val="auto"/>
        </w:rPr>
      </w:pPr>
    </w:p>
    <w:p>
      <w:pPr>
        <w:ind w:left="880" w:hanging="440"/>
        <w:spacing w:after="0"/>
        <w:tabs>
          <w:tab w:leader="none" w:pos="8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March 19, 2025</w:t>
      </w:r>
    </w:p>
    <w:p>
      <w:pPr>
        <w:spacing w:after="0" w:line="34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Morgan Conn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Morgan Conn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Century Therapeutics, Inc. (the “Company”) on Form 10-K for the year ended December 31,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2025</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Century Therapeutics, Inc. (the “Company”) on Form 10-K for the year ended December 31,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2025</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Morgan Conn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Morgan Conn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lvl w:ilvl="1">
      <w:lvlJc w:val="left"/>
      <w:lvlText w:val="o"/>
      <w:numFmt w:val="bullet"/>
      <w:start w:val="1"/>
    </w:lvl>
    <w:lvl w:ilvl="2">
      <w:lvlJc w:val="left"/>
      <w:lvlText w:val=" "/>
      <w:numFmt w:val="bullet"/>
      <w:start w:val="1"/>
    </w:lvl>
  </w:abstractNum>
  <w:abstractNum w:abstractNumId="8">
    <w:nsid w:val="7644A45C"/>
    <w:multiLevelType w:val="hybridMultilevel"/>
    <w:lvl w:ilvl="0">
      <w:lvlJc w:val="left"/>
      <w:lvlText w:val=" "/>
      <w:numFmt w:val="bullet"/>
      <w:start w:val="1"/>
    </w:lvl>
  </w:abstractNum>
  <w:abstractNum w:abstractNumId="9">
    <w:nsid w:val="32FFF902"/>
    <w:multiLevelType w:val="hybridMultilevel"/>
    <w:lvl w:ilvl="0">
      <w:lvlJc w:val="left"/>
      <w:lvlText w:val="●"/>
      <w:numFmt w:val="bullet"/>
      <w:start w:val="1"/>
    </w:lvl>
    <w:lvl w:ilvl="1">
      <w:lvlJc w:val="left"/>
      <w:lvlText w:val="o"/>
      <w:numFmt w:val="bullet"/>
      <w:start w:val="1"/>
    </w:lvl>
    <w:lvl w:ilvl="2">
      <w:lvlJc w:val="left"/>
      <w:lvlText w:val=" "/>
      <w:numFmt w:val="bullet"/>
      <w:start w:val="1"/>
    </w:lvl>
  </w:abstractNum>
  <w:abstractNum w:abstractNumId="10">
    <w:nsid w:val="684A481A"/>
    <w:multiLevelType w:val="hybridMultilevel"/>
    <w:lvl w:ilvl="0">
      <w:lvlJc w:val="left"/>
      <w:lvlText w:val="%1."/>
      <w:numFmt w:val="decimal"/>
      <w:start w:val="1"/>
    </w:lvl>
  </w:abstractNum>
  <w:abstractNum w:abstractNumId="11">
    <w:nsid w:val="579478FE"/>
    <w:multiLevelType w:val="hybridMultilevel"/>
    <w:lvl w:ilvl="0">
      <w:lvlJc w:val="left"/>
      <w:lvlText w:val="%1."/>
      <w:numFmt w:val="decimal"/>
      <w:start w:val="2"/>
    </w:lvl>
  </w:abstractNum>
  <w:abstractNum w:abstractNumId="12">
    <w:nsid w:val="749ABB43"/>
    <w:multiLevelType w:val="hybridMultilevel"/>
    <w:lvl w:ilvl="0">
      <w:lvlJc w:val="left"/>
      <w:lvlText w:val="%1."/>
      <w:numFmt w:val="decimal"/>
      <w:start w:val="3"/>
    </w:lvl>
  </w:abstractNum>
  <w:abstractNum w:abstractNumId="13">
    <w:nsid w:val="3DC240FB"/>
    <w:multiLevelType w:val="hybridMultilevel"/>
    <w:lvl w:ilvl="0">
      <w:lvlJc w:val="left"/>
      <w:lvlText w:val="%1."/>
      <w:numFmt w:val="decimal"/>
      <w:start w:val="4"/>
    </w:lvl>
  </w:abstractNum>
  <w:abstractNum w:abstractNumId="14">
    <w:nsid w:val="1BA026FA"/>
    <w:multiLevelType w:val="hybridMultilevel"/>
    <w:lvl w:ilvl="0">
      <w:lvlJc w:val="left"/>
      <w:lvlText w:val="%1."/>
      <w:numFmt w:val="decimal"/>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1)"/>
      <w:numFmt w:val="lowerRoman"/>
      <w:start w:val="4"/>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1."/>
      <w:numFmt w:val="decimal"/>
      <w:start w:val="606"/>
    </w:lvl>
  </w:abstractNum>
  <w:abstractNum w:abstractNumId="64">
    <w:nsid w:val="613EFDC5"/>
    <w:multiLevelType w:val="hybridMultilevel"/>
    <w:lvl w:ilvl="0">
      <w:lvlJc w:val="left"/>
      <w:lvlText w:val="%1"/>
      <w:numFmt w:val="decimal"/>
      <w:start w:val="606"/>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1)"/>
      <w:numFmt w:val="lowerLetter"/>
      <w:start w:val="1"/>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decimal"/>
      <w:start w:val="10"/>
    </w:lvl>
  </w:abstractNum>
  <w:abstractNum w:abstractNumId="70">
    <w:nsid w:val="1A32234B"/>
    <w:multiLevelType w:val="hybridMultilevel"/>
    <w:lvl w:ilvl="0">
      <w:lvlJc w:val="left"/>
      <w:lvlText w:val="●"/>
      <w:numFmt w:val="bullet"/>
      <w:start w:val="1"/>
    </w:lvl>
    <w:lvl w:ilvl="1">
      <w:lvlJc w:val="left"/>
      <w:lvlText w:val="%2"/>
      <w:numFmt w:val="decimal"/>
      <w:start w:val="104"/>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Ù"/>
      <w:numFmt w:val="bullet"/>
      <w:start w:val="1"/>
    </w:lvl>
  </w:abstractNum>
  <w:abstractNum w:abstractNumId="74">
    <w:nsid w:val="60B6DF70"/>
    <w:multiLevelType w:val="hybridMultilevel"/>
    <w:lvl w:ilvl="0">
      <w:lvlJc w:val="left"/>
      <w:lvlText w:val="%1."/>
      <w:numFmt w:val="upperLetter"/>
      <w:start w:val="9"/>
    </w:lvl>
  </w:abstractNum>
  <w:abstractNum w:abstractNumId="75">
    <w:nsid w:val="6A5EE64"/>
    <w:multiLevelType w:val="hybridMultilevel"/>
    <w:lvl w:ilvl="0">
      <w:lvlJc w:val="left"/>
      <w:lvlText w:val="%1."/>
      <w:numFmt w:val="upperLetter"/>
      <w:start w:val="35"/>
    </w:lvl>
  </w:abstractNum>
  <w:abstractNum w:abstractNumId="76">
    <w:nsid w:val="14330624"/>
    <w:multiLevelType w:val="hybridMultilevel"/>
    <w:lvl w:ilvl="0">
      <w:lvlJc w:val="left"/>
      <w:lvlText w:val="%1."/>
      <w:numFmt w:val="upperLetter"/>
      <w:start w:val="61"/>
    </w:lvl>
  </w:abstractNum>
  <w:abstractNum w:abstractNumId="77">
    <w:nsid w:val="7FFFCA11"/>
    <w:multiLevelType w:val="hybridMultilevel"/>
    <w:lvl w:ilvl="0">
      <w:lvlJc w:val="left"/>
      <w:lvlText w:val="%1."/>
      <w:numFmt w:val="upperLetter"/>
      <w:start w:val="22"/>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1."/>
      <w:numFmt w:val="upperLetter"/>
      <w:start w:val="24"/>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42" Type="http://schemas.openxmlformats.org/officeDocument/2006/relationships/image" Target="media/image188.png"/><Relationship Id="rId244" Type="http://schemas.openxmlformats.org/officeDocument/2006/relationships/image" Target="media/image189.png"/><Relationship Id="rId245" Type="http://schemas.openxmlformats.org/officeDocument/2006/relationships/image" Target="media/image190.png"/><Relationship Id="rId246" Type="http://schemas.openxmlformats.org/officeDocument/2006/relationships/image" Target="media/image191.png"/><Relationship Id="rId247" Type="http://schemas.openxmlformats.org/officeDocument/2006/relationships/image" Target="media/image192.png"/><Relationship Id="rId248" Type="http://schemas.openxmlformats.org/officeDocument/2006/relationships/image" Target="media/image193.png"/><Relationship Id="rId249" Type="http://schemas.openxmlformats.org/officeDocument/2006/relationships/image" Target="media/image194.png"/><Relationship Id="rId250" Type="http://schemas.openxmlformats.org/officeDocument/2006/relationships/image" Target="media/image195.png"/><Relationship Id="rId251" Type="http://schemas.openxmlformats.org/officeDocument/2006/relationships/image" Target="media/image196.png"/><Relationship Id="rId252" Type="http://schemas.openxmlformats.org/officeDocument/2006/relationships/image" Target="media/image197.png"/><Relationship Id="rId253" Type="http://schemas.openxmlformats.org/officeDocument/2006/relationships/image" Target="media/image198.png"/><Relationship Id="rId254" Type="http://schemas.openxmlformats.org/officeDocument/2006/relationships/image" Target="media/image199.png"/><Relationship Id="rId255" Type="http://schemas.openxmlformats.org/officeDocument/2006/relationships/image" Target="media/image200.png"/><Relationship Id="rId256" Type="http://schemas.openxmlformats.org/officeDocument/2006/relationships/image" Target="media/image201.png"/><Relationship Id="rId257" Type="http://schemas.openxmlformats.org/officeDocument/2006/relationships/image" Target="media/image202.png"/><Relationship Id="rId258" Type="http://schemas.openxmlformats.org/officeDocument/2006/relationships/image" Target="media/image203.png"/><Relationship Id="rId259"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264" Type="http://schemas.openxmlformats.org/officeDocument/2006/relationships/image" Target="media/image209.png"/><Relationship Id="rId265" Type="http://schemas.openxmlformats.org/officeDocument/2006/relationships/image" Target="media/image210.png"/><Relationship Id="rId266"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png"/><Relationship Id="rId269" Type="http://schemas.openxmlformats.org/officeDocument/2006/relationships/image" Target="media/image214.png"/><Relationship Id="rId270" Type="http://schemas.openxmlformats.org/officeDocument/2006/relationships/image" Target="media/image215.png"/><Relationship Id="rId271" Type="http://schemas.openxmlformats.org/officeDocument/2006/relationships/image" Target="media/image216.png"/><Relationship Id="rId272" Type="http://schemas.openxmlformats.org/officeDocument/2006/relationships/image" Target="media/image217.png"/><Relationship Id="rId195" Type="http://schemas.openxmlformats.org/officeDocument/2006/relationships/hyperlink" Target="https://www.sec.gov/Archives/edgar/data/1850119/000110465924046373/tm2411557d1_ex2-1.htm" TargetMode="External"/><Relationship Id="rId196" Type="http://schemas.openxmlformats.org/officeDocument/2006/relationships/hyperlink" Target="https://www.sec.gov/Archives/edgar/data/1850119/000155837023003962/ipsc-20221231xex3d2.htm" TargetMode="External"/><Relationship Id="rId197" Type="http://schemas.openxmlformats.org/officeDocument/2006/relationships/hyperlink" Target="https://www.sec.gov/Archives/edgar/data/1850119/000110465921080429/tm218551d10_ex4-1.htm" TargetMode="External"/><Relationship Id="rId198" Type="http://schemas.openxmlformats.org/officeDocument/2006/relationships/hyperlink" Target="https://www.sec.gov/Archives/edgar/data/1850119/000155837022003867/ipsc-20211231xex4d2.htm" TargetMode="External"/><Relationship Id="rId199" Type="http://schemas.openxmlformats.org/officeDocument/2006/relationships/hyperlink" Target="https://www.sec.gov/Archives/edgar/data/1850119/000110465921074278/tm218551d7_ex4-3.htm" TargetMode="External"/><Relationship Id="rId200" Type="http://schemas.openxmlformats.org/officeDocument/2006/relationships/hyperlink" Target="https://www.sec.gov/Archives/edgar/data/1850119/000110465921074278/tm218551d7_ex10-1.htm" TargetMode="External"/><Relationship Id="rId201" Type="http://schemas.openxmlformats.org/officeDocument/2006/relationships/hyperlink" Target="https://www.sec.gov/Archives/edgar/data/1850119/000110465921074278/tm218551d7_ex10-2.htm" TargetMode="External"/><Relationship Id="rId202" Type="http://schemas.openxmlformats.org/officeDocument/2006/relationships/hyperlink" Target="https://www.sec.gov/Archives/edgar/data/1850119/000110465921074278/tm218551d7_ex10-3.htm" TargetMode="External"/><Relationship Id="rId203" Type="http://schemas.openxmlformats.org/officeDocument/2006/relationships/hyperlink" Target="https://www.sec.gov/Archives/edgar/data/1850119/000110465921074278/tm218551d7_ex10-4.htm" TargetMode="External"/><Relationship Id="rId204" Type="http://schemas.openxmlformats.org/officeDocument/2006/relationships/hyperlink" Target="https://www.sec.gov/Archives/edgar/data/1850119/000110465921074278/tm218551d7_ex10-5.htm" TargetMode="External"/><Relationship Id="rId205" Type="http://schemas.openxmlformats.org/officeDocument/2006/relationships/hyperlink" Target="https://www.sec.gov/Archives/edgar/data/1850119/000110465921074278/tm218551d7_ex10-6.htm" TargetMode="External"/><Relationship Id="rId206" Type="http://schemas.openxmlformats.org/officeDocument/2006/relationships/hyperlink" Target="https://www.sec.gov/Archives/edgar/data/1850119/000110465921074278/tm218551d7_ex10-7.htm" TargetMode="External"/><Relationship Id="rId207" Type="http://schemas.openxmlformats.org/officeDocument/2006/relationships/hyperlink" Target="https://www.sec.gov/Archives/edgar/data/1850119/000110465921080429/tm218551d10_ex10-8.htm" TargetMode="External"/><Relationship Id="rId208" Type="http://schemas.openxmlformats.org/officeDocument/2006/relationships/hyperlink" Target="https://www.sec.gov/Archives/edgar/data/1850119/000110465921080429/tm218551d10_ex10-9.htm" TargetMode="External"/><Relationship Id="rId209" Type="http://schemas.openxmlformats.org/officeDocument/2006/relationships/hyperlink" Target="https://www.sec.gov/Archives/edgar/data/1850119/000110465921074278/tm218551d7_ex10-10.htm" TargetMode="External"/><Relationship Id="rId210" Type="http://schemas.openxmlformats.org/officeDocument/2006/relationships/hyperlink" Target="https://www.sec.gov/Archives/edgar/data/1850119/000110465921074278/tm218551d7_ex10-11.htm" TargetMode="External"/><Relationship Id="rId211" Type="http://schemas.openxmlformats.org/officeDocument/2006/relationships/hyperlink" Target="https://www.sec.gov/Archives/edgar/data/1850119/000110465921074278/tm218551d7_ex10-12.htm" TargetMode="External"/><Relationship Id="rId212" Type="http://schemas.openxmlformats.org/officeDocument/2006/relationships/hyperlink" Target="https://www.sec.gov/Archives/edgar/data/1850119/000110465921074278/tm218551d7_ex10-13.htm" TargetMode="External"/><Relationship Id="rId213" Type="http://schemas.openxmlformats.org/officeDocument/2006/relationships/hyperlink" Target="https://www.sec.gov/Archives/edgar/data/1850119/000110465921074278/tm218551d7_ex10-14.htm" TargetMode="External"/><Relationship Id="rId214" Type="http://schemas.openxmlformats.org/officeDocument/2006/relationships/hyperlink" Target="https://www.sec.gov/Archives/edgar/data/1850119/000155837024014345/ipsc-20240930xex10d3.htm" TargetMode="External"/><Relationship Id="rId215" Type="http://schemas.openxmlformats.org/officeDocument/2006/relationships/hyperlink" Target="https://www.sec.gov/Archives/edgar/data/1850119/000110465921074278/tm218551d7_ex10-15.htm" TargetMode="External"/><Relationship Id="rId216" Type="http://schemas.openxmlformats.org/officeDocument/2006/relationships/hyperlink" Target="https://www.sec.gov/Archives/edgar/data/1850119/000110465921074278/tm218551d7_ex10-16.htm" TargetMode="External"/><Relationship Id="rId217" Type="http://schemas.openxmlformats.org/officeDocument/2006/relationships/hyperlink" Target="https://www.sec.gov/Archives/edgar/data/1850119/000110465921074278/tm218551d7_ex10-17.htm" TargetMode="External"/><Relationship Id="rId218" Type="http://schemas.openxmlformats.org/officeDocument/2006/relationships/hyperlink" Target="https://www.sec.gov/Archives/edgar/data/1850119/000110465921074278/tm218551d7_ex10-18.htm" TargetMode="External"/><Relationship Id="rId219" Type="http://schemas.openxmlformats.org/officeDocument/2006/relationships/hyperlink" Target="https://www.sec.gov/Archives/edgar/data/1850119/000110465921074278/tm218551d7_ex10-19.htm" TargetMode="External"/><Relationship Id="rId220" Type="http://schemas.openxmlformats.org/officeDocument/2006/relationships/hyperlink" Target="https://www.sec.gov/Archives/edgar/data/1850119/000155837022017287/ipsc-20220930xex10d1.htm" TargetMode="External"/><Relationship Id="rId221" Type="http://schemas.openxmlformats.org/officeDocument/2006/relationships/hyperlink" Target="https://www.sec.gov/Archives/edgar/data/1850119/000110465921074278/tm218551d7_ex10-20.htm" TargetMode="External"/><Relationship Id="rId222" Type="http://schemas.openxmlformats.org/officeDocument/2006/relationships/hyperlink" Target="https://www.sec.gov/Archives/edgar/data/1850119/000110465921074278/tm218551d7_ex10-21.htm" TargetMode="External"/><Relationship Id="rId223" Type="http://schemas.openxmlformats.org/officeDocument/2006/relationships/hyperlink" Target="https://www.sec.gov/Archives/edgar/data/1850119/000110465921074278/tm218551d7_ex10-22.htm" TargetMode="External"/><Relationship Id="rId224" Type="http://schemas.openxmlformats.org/officeDocument/2006/relationships/hyperlink" Target="https://www.sec.gov/Archives/edgar/data/1850119/000110465921074278/tm218551d7_ex10-23.htm" TargetMode="External"/><Relationship Id="rId225" Type="http://schemas.openxmlformats.org/officeDocument/2006/relationships/hyperlink" Target="https://www.sec.gov/Archives/edgar/data/1850119/000110465921074278/tm218551d7_ex10-24.htm" TargetMode="External"/><Relationship Id="rId226" Type="http://schemas.openxmlformats.org/officeDocument/2006/relationships/hyperlink" Target="https://www.sec.gov/Archives/edgar/data/1850119/000155837022003867/ipsc-20211231xex10d25.htm" TargetMode="External"/><Relationship Id="rId227" Type="http://schemas.openxmlformats.org/officeDocument/2006/relationships/hyperlink" Target="https://www.sec.gov/Archives/edgar/data/1850119/000110465921074278/tm218551d7_ex10-25.htm" TargetMode="External"/><Relationship Id="rId228" Type="http://schemas.openxmlformats.org/officeDocument/2006/relationships/hyperlink" Target="https://www.sec.gov/Archives/edgar/data/1850119/000110465921074278/tm218551d7_ex10-27.htm" TargetMode="External"/><Relationship Id="rId229" Type="http://schemas.openxmlformats.org/officeDocument/2006/relationships/hyperlink" Target="https://www.sec.gov/Archives/edgar/data/1850119/000110465921074278/tm218551d7_ex10-29.htm" TargetMode="External"/><Relationship Id="rId230" Type="http://schemas.openxmlformats.org/officeDocument/2006/relationships/hyperlink" Target="https://www.sec.gov/Archives/edgar/data/1850119/000155837022003867/ipsc-20211231xex10d31.htm" TargetMode="External"/><Relationship Id="rId231" Type="http://schemas.openxmlformats.org/officeDocument/2006/relationships/hyperlink" Target="https://www.sec.gov/Archives/edgar/data/1850119/000110465921080429/tm218551d10_ex10-34.htm" TargetMode="External"/><Relationship Id="rId232" Type="http://schemas.openxmlformats.org/officeDocument/2006/relationships/hyperlink" Target="https://www.sec.gov/Archives/edgar/data/1850119/000110465921080429/tm218551d10_ex10-35.htm" TargetMode="External"/><Relationship Id="rId233" Type="http://schemas.openxmlformats.org/officeDocument/2006/relationships/hyperlink" Target="https://www.sec.gov/Archives/edgar/data/1850119/000110465922076807/tm2219477d2_ex1-2.htm" TargetMode="External"/><Relationship Id="rId234" Type="http://schemas.openxmlformats.org/officeDocument/2006/relationships/hyperlink" Target="https://www.sec.gov/Archives/edgar/data/1850119/000155837024003165/ipsc-20231231xex10d35.htm" TargetMode="External"/><Relationship Id="rId235" Type="http://schemas.openxmlformats.org/officeDocument/2006/relationships/hyperlink" Target="https://www.sec.gov/Archives/edgar/data/1850119/000155837023009262/ipsc-20230331xex10d1.htm" TargetMode="External"/><Relationship Id="rId236" Type="http://schemas.openxmlformats.org/officeDocument/2006/relationships/hyperlink" Target="https://www.sec.gov/Archives/edgar/data/1850119/000155837024014345/ipsc-20240930xex10d1.htm" TargetMode="External"/><Relationship Id="rId237" Type="http://schemas.openxmlformats.org/officeDocument/2006/relationships/hyperlink" Target="https://www.sec.gov/Archives/edgar/data/1850119/000155837024014345/ipsc-20240930xex10d2.htm" TargetMode="External"/><Relationship Id="rId238" Type="http://schemas.openxmlformats.org/officeDocument/2006/relationships/hyperlink" Target="https://www.sec.gov/Archives/edgar/data/1850119/000155837023018408/ipsc-20230930xex10d1.htm" TargetMode="External"/><Relationship Id="rId239" Type="http://schemas.openxmlformats.org/officeDocument/2006/relationships/hyperlink" Target="https://www.sec.gov/Archives/edgar/data/1850119/000155837023018408/ipsc-20230930xex10d2.htm" TargetMode="External"/><Relationship Id="rId240" Type="http://schemas.openxmlformats.org/officeDocument/2006/relationships/hyperlink" Target="https://www.sec.gov/Archives/edgar/data/1850119/000155837023018408/ipsc-20230930xex10d3.htm" TargetMode="External"/><Relationship Id="rId241" Type="http://schemas.openxmlformats.org/officeDocument/2006/relationships/hyperlink" Target="https://www.sec.gov/Archives/edgar/data/1850119/000155837024003165/ipsc-20231231xex10d40.htm" TargetMode="External"/><Relationship Id="rId243" Type="http://schemas.openxmlformats.org/officeDocument/2006/relationships/hyperlink" Target="https://www.sec.gov/Archives/edgar/data/1850119/000155837024003165/ipsc-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2025-03-19T15:23:20Z</dcterms:created>
  <dcterms:modified xsi:type="dcterms:W3CDTF">2025-03-19T15:23:20Z</dcterms:modified>
</cp:coreProperties>
</file>