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3675 Market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u w:val="single" w:color="auto"/>
          <w:color w:val="auto"/>
        </w:rPr>
        <w:t>Results of Operations and Financial Condition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November 10, 2022,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financial results for the quarter ended September 30, 2022. A copy of the press release is furnished as Exhibit 99.1 to this Current Report on Form 8-K and is incorporated herein by reference.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is being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64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640" w:type="dxa"/>
            <w:vAlign w:val="bottom"/>
          </w:tcPr>
          <w:p>
            <w:pPr>
              <w:spacing w:after="0"/>
              <w:rPr>
                <w:sz w:val="20"/>
                <w:szCs w:val="20"/>
                <w:color w:val="auto"/>
              </w:rPr>
            </w:pPr>
          </w:p>
        </w:tc>
        <w:tc>
          <w:tcPr>
            <w:tcW w:w="746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of Century Therapeutics, Inc., dated November 10, 2022</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00" w:type="dxa"/>
            <w:vAlign w:val="bottom"/>
            <w:gridSpan w:val="2"/>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Osvaldo Flores, Ph.D.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571750" cy="694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Reports Third Quarter 2022 Financial Results and Provides Business Updates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Phase 1 ELiPSE-1 trial of CNTY-101 in relapsed/refractory CD19 positive B-cell malignancies expected to begin imminently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Ended third quarter 2022 with cash, cash equivalents, and investments of $395.3 million; Cash runway into 2025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Company to host virtual Research and Development Day on Friday, November 11 at 8:00 AM ET -</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PHILADELPHIA, November 10, 2022 -- </w:t>
      </w:r>
      <w:r>
        <w:rPr>
          <w:rFonts w:ascii="Times New Roman" w:cs="Times New Roman" w:eastAsia="Times New Roman" w:hAnsi="Times New Roman"/>
          <w:sz w:val="18"/>
          <w:szCs w:val="18"/>
          <w:u w:val="single" w:color="auto"/>
          <w:color w:val="auto"/>
        </w:rPr>
        <w:t>Century Therapeutics, Inc.</w:t>
      </w:r>
      <w:r>
        <w:rPr>
          <w:rFonts w:ascii="Times New Roman" w:cs="Times New Roman" w:eastAsia="Times New Roman" w:hAnsi="Times New Roman"/>
          <w:sz w:val="18"/>
          <w:szCs w:val="18"/>
          <w:color w:val="auto"/>
        </w:rPr>
        <w:t xml:space="preserve"> (NASDAQ: IPSC), an innovative biotechnology company developing induced pluripotent stem cell (iPSC)-derived cell therapies in immuno-oncology, today reported financial results and business highlights for the third quarter ended September 30, 2022.</w:t>
      </w:r>
    </w:p>
    <w:p>
      <w:pPr>
        <w:spacing w:after="0" w:line="176"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“We made steady progress this quarter with our next generation platform and robust portfolio of cell therapy product candidates, including FDA clearance of our first IND for CNTY-101 in relapsed/refractory B-cell malignancies,” said Lalo Flores, Chief Executive Officer, Century Therapeutics. “We are</w:t>
      </w:r>
    </w:p>
    <w:p>
      <w:pPr>
        <w:spacing w:after="0" w:line="1"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color w:val="auto"/>
        </w:rPr>
        <w:t>focused on initiating the Phase 1 ELiPSE-1 trial to assess the potential of our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edits, designed to prevent immunological rejection and enhance persistence of multiple dosing regimens of CNTY-101 with the aim to increase the proportion of patients that achieve durable responses. We look forward to sharing meaningful preclinical data updates at the SITC meeting this week on both our iNK and gamma delta iT cell platforms, and to discussing our pipeline progress and our solid tumor strategy at our virtual Research and Development Day tomorrow.”</w:t>
      </w:r>
    </w:p>
    <w:p>
      <w:pPr>
        <w:spacing w:after="0" w:line="19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we continue to realize efficiencies in our platform and synergies across our pipeline, we are updating our financial guidance for the year by reducing our expected GAAP Operating Expenses to $140 million and $145 for the full year ended 2022,” said Michael Diem, Chief Business Officer, Century Therapeutics. “We will remain fiscally responsible as we continue to execute and deliver on our platforms, programs and key milestones, leaving us well positioned with cash runway into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ind w:left="660" w:right="2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from the U.S. Food and Drug Administration (FDA) that the Phase 1 ELiPSE-1 study of the Company’s first clinical product candidate, CNTY-101, may proceed, Century expects to initiate the trial imminently. The Phase 1 study is designed to assess the safety, tolerability, pharmacokinetics and preliminary efficacy of CNTY-101 in patients with relapsed or refractory CD19 positive B-cell malignancies. All patients will receive an initial standard dose of conditioning chemotherapy consisting of cyclophosphamide (300 mg/m2) and fludarabine (30mg/m2) for three days. Schedule A of the trial includes a single-dose escalation of CNTY-101 and subcutaneous IL-2. Schedule B will evaluate a three-dose schedule per cycle of CNTY-101. Patients who demonstrate a clinical benefit are eligible for additional cycles of treatment with or without additional lymphodepletion pending FDA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571750" cy="694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940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60" w:right="44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October 2022, the Company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the appointment of Daphne Quimi and Timothy Walbert to its Board of Directors. Ms. Quimi is currently Chief Financial Officer of Amicus Therapeutics and brings operational experience in public accounting and financial reporting to Century. Mr. Walbert is currently Chairman, President, and Chief Executive Officer of Horizon Therapeutics, and brings expertise in product portfolio building and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 and Upcoming Milestones</w:t>
      </w:r>
    </w:p>
    <w:p>
      <w:pPr>
        <w:spacing w:after="0" w:line="229" w:lineRule="exact"/>
        <w:rPr>
          <w:sz w:val="20"/>
          <w:szCs w:val="20"/>
          <w:color w:val="auto"/>
        </w:rPr>
      </w:pPr>
    </w:p>
    <w:p>
      <w:pPr>
        <w:jc w:val="both"/>
        <w:ind w:left="660" w:right="34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Century plans to </w:t>
      </w:r>
      <w:r>
        <w:rPr>
          <w:rFonts w:ascii="Times New Roman" w:cs="Times New Roman" w:eastAsia="Times New Roman" w:hAnsi="Times New Roman"/>
          <w:sz w:val="18"/>
          <w:szCs w:val="18"/>
          <w:u w:val="single" w:color="auto"/>
          <w:color w:val="auto"/>
        </w:rPr>
        <w:t>present</w:t>
      </w:r>
      <w:r>
        <w:rPr>
          <w:rFonts w:ascii="Times New Roman" w:cs="Times New Roman" w:eastAsia="Times New Roman" w:hAnsi="Times New Roman"/>
          <w:sz w:val="18"/>
          <w:szCs w:val="18"/>
          <w:color w:val="auto"/>
        </w:rPr>
        <w:t xml:space="preserve"> preclinical data from its iPSC-based cell therapy platform in two posters at the Society for Immunotherapy of Cancer (SITC) 37th Annual Meeting today, November 10, 2022, and tomorrow, Friday, November 11, 2022. A copy of the presentations will be made available in the Posters section of Century’s website.</w:t>
      </w:r>
    </w:p>
    <w:p>
      <w:pPr>
        <w:spacing w:after="0" w:line="175"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host a virtual Research and Development (R&amp;D) Day on Friday, November 11, 2022, from 8:00 AM to 9:30 AM ET. The R&amp;D Day will feature presentations from the Company’s management team and Jonathan Rosenberg, M.D., Chief of the Genitourinary Oncology Service at the Memorial Sloan Kettering Cancer Center (MSKCC), Physician at Memorial Hospital at MSKCC, and Professor of Medicine at Weill Cornell Medical College. The event will focus on the Company’s gamma delta iT cell platform and solid tumor strategy and include a discussion of preclinical data to be presented at the SITC Annual Meeting. For additional information on how to access the event, please visit</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u w:val="single" w:color="auto"/>
          <w:color w:val="auto"/>
        </w:rPr>
        <w:t>Events &amp; Presentations</w:t>
      </w:r>
      <w:r>
        <w:rPr>
          <w:rFonts w:ascii="Times New Roman" w:cs="Times New Roman" w:eastAsia="Times New Roman" w:hAnsi="Times New Roman"/>
          <w:sz w:val="18"/>
          <w:szCs w:val="18"/>
          <w:color w:val="auto"/>
        </w:rPr>
        <w:t xml:space="preserve"> section of Century’s website.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2022 Financial Results</w:t>
      </w:r>
    </w:p>
    <w:p>
      <w:pPr>
        <w:spacing w:after="0" w:line="225" w:lineRule="exact"/>
        <w:rPr>
          <w:sz w:val="20"/>
          <w:szCs w:val="20"/>
          <w:color w:val="auto"/>
        </w:rPr>
      </w:pPr>
    </w:p>
    <w:p>
      <w:pPr>
        <w:ind w:left="660" w:right="1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investments were $395.3 million as of September 30, 2022, as compared to $358.8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2021. Net cash provided by operations was $36.9 million for the nine months ended September 30, 2022 (which includes deferred revenue from the Bristol-Myers Squibb (BMS) collaboration of $118.5 million) compared to net cash used in operations of $64.7 million for the nine months ended September 30, 2021.</w:t>
      </w:r>
    </w:p>
    <w:p>
      <w:pPr>
        <w:spacing w:after="0" w:line="176" w:lineRule="exact"/>
        <w:rPr>
          <w:rFonts w:ascii="Times New Roman" w:cs="Times New Roman" w:eastAsia="Times New Roman" w:hAnsi="Times New Roman"/>
          <w:sz w:val="18"/>
          <w:szCs w:val="18"/>
          <w:color w:val="auto"/>
        </w:rPr>
      </w:pPr>
    </w:p>
    <w:p>
      <w:pPr>
        <w:ind w:left="660" w:right="74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$2.2 million for the three months ended September 30, 2022, generated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collaboration, option and license agreement with BMS.</w:t>
      </w:r>
    </w:p>
    <w:p>
      <w:pPr>
        <w:spacing w:after="0" w:line="154" w:lineRule="exact"/>
        <w:rPr>
          <w:rFonts w:ascii="Times New Roman" w:cs="Times New Roman" w:eastAsia="Times New Roman" w:hAnsi="Times New Roman"/>
          <w:sz w:val="18"/>
          <w:szCs w:val="18"/>
          <w:color w:val="auto"/>
        </w:rPr>
      </w:pPr>
    </w:p>
    <w:p>
      <w:pPr>
        <w:ind w:left="660" w:right="1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(R&amp;D) expenses</w:t>
      </w:r>
      <w:r>
        <w:rPr>
          <w:rFonts w:ascii="Times New Roman" w:cs="Times New Roman" w:eastAsia="Times New Roman" w:hAnsi="Times New Roman"/>
          <w:sz w:val="18"/>
          <w:szCs w:val="18"/>
          <w:color w:val="auto"/>
        </w:rPr>
        <w:t>: R&amp;D expenses were $25.9 million for the three months ended September 30, 2022,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$19.5 million for the same period in 2021. The increase in R&amp;D expenses was primarily due to an increase in personnel expenses related to increased headcount to expand the Company’s R&amp;D capabilities, costs for pre-clinical studies, costs for laboratory supplies and facility costs offset by a decrease in collaboration expenses with FUJIFILM Cellular Dynamics, Inc. (FCDI) as the scope of work with FCDI has narrowed down to primarily manufacturing CNTY-101 clinical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571750" cy="694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940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60" w:right="18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and Administrative (G&amp;A) expenses</w:t>
      </w:r>
      <w:r>
        <w:rPr>
          <w:rFonts w:ascii="Times New Roman" w:cs="Times New Roman" w:eastAsia="Times New Roman" w:hAnsi="Times New Roman"/>
          <w:sz w:val="18"/>
          <w:szCs w:val="18"/>
          <w:color w:val="auto"/>
        </w:rPr>
        <w:t>: G&amp;A expenses were $8.1 million for the three months ended September 30, 2022,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$6.3 million for the same period in 2021. The increase was primarily due to an increase in employee headcount, an increase in directors’ and officers’ insurance expense and an increase in the Company’s professional fees as a result of expanded operations to support the Company’s infrastructure as well as additional costs to operate as a public company, and increased information technology and facility costs.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was $30.7 million for the three months ended September 30, 2022, compared to $26.0 million for the same period in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left="660" w:right="5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full year generally accepted accounting principles (GAAP) operating expenses to be between $140 million and $145 million, including non-cash stock-based compensation expense of $10 million to $15 million.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its cash, cash equivalents, and investments will support operations into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Century Therapeutics (NASDAQ: IPSC) is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www.centurytx.com.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571750" cy="694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940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cash, financial resources and estimated expenses,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obtain FDA acceptance for our future IND submissions and commence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geopolitical issues and inflation on our business and operations, supply chain and labor force; the performance of third parties in connection with the development of our product candidates, including third parties conducting our future clinical trials as well as third-party suppliers and manufacturers; our ability to successfully commercialize our product candidates and develop sales and marketing capabilities, if our product candidates are approved;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Elizabeth Krutoholow – </w:t>
      </w:r>
      <w:r>
        <w:rPr>
          <w:rFonts w:ascii="Times New Roman" w:cs="Times New Roman" w:eastAsia="Times New Roman" w:hAnsi="Times New Roman"/>
          <w:sz w:val="18"/>
          <w:szCs w:val="18"/>
          <w:u w:val="single" w:color="auto"/>
          <w:color w:val="auto"/>
        </w:rPr>
        <w:t>investor.relations@centurytx.com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Melissa Forst/Maghan Meyers – </w:t>
      </w:r>
      <w:r>
        <w:rPr>
          <w:rFonts w:ascii="Times New Roman" w:cs="Times New Roman" w:eastAsia="Times New Roman" w:hAnsi="Times New Roman"/>
          <w:sz w:val="18"/>
          <w:szCs w:val="18"/>
          <w:u w:val="single" w:color="auto"/>
          <w:color w:val="auto"/>
        </w:rPr>
        <w:t>century@argotpartners.com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Joshua R. Mansbach – </w:t>
      </w:r>
      <w:r>
        <w:rPr>
          <w:rFonts w:ascii="Times New Roman" w:cs="Times New Roman" w:eastAsia="Times New Roman" w:hAnsi="Times New Roman"/>
          <w:sz w:val="18"/>
          <w:szCs w:val="18"/>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571750" cy="694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940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62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111,350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56,445</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244,509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166,434</w:t>
            </w:r>
          </w:p>
        </w:tc>
      </w:tr>
      <w:tr>
        <w:trPr>
          <w:trHeight w:val="22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5,275</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228,154</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77,938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57,967</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11,854</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135,914</w:t>
            </w: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w:t>
            </w:r>
          </w:p>
        </w:tc>
      </w:tr>
      <w:tr>
        <w:trPr>
          <w:trHeight w:val="223"/>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7,596</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7,020</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r>
      <w:tr>
        <w:trPr>
          <w:trHeight w:val="229"/>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14,559</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8,903</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110,938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41,137</w:t>
            </w:r>
          </w:p>
        </w:tc>
        <w:tc>
          <w:tcPr>
            <w:tcW w:w="100" w:type="dxa"/>
            <w:vAlign w:val="bottom"/>
            <w:tcBorders>
              <w:bottom w:val="single" w:sz="8" w:color="CCEEFF"/>
            </w:tcBorders>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821,219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785,049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(487,416)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(388,166)</w:t>
            </w:r>
          </w:p>
        </w:tc>
      </w:tr>
      <w:tr>
        <w:trPr>
          <w:trHeight w:val="22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1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330,205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396,238</w:t>
            </w:r>
          </w:p>
        </w:tc>
        <w:tc>
          <w:tcPr>
            <w:tcW w:w="100" w:type="dxa"/>
            <w:vAlign w:val="bottom"/>
            <w:tcBorders>
              <w:bottom w:val="single" w:sz="8" w:color="CCEEFF"/>
            </w:tcBorders>
          </w:tcPr>
          <w:p>
            <w:pPr>
              <w:spacing w:after="0"/>
              <w:rPr>
                <w:sz w:val="18"/>
                <w:szCs w:val="18"/>
                <w:color w:val="auto"/>
              </w:rPr>
            </w:pPr>
          </w:p>
        </w:tc>
      </w:tr>
      <w:tr>
        <w:trPr>
          <w:trHeight w:val="223"/>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511,751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3"/>
        </w:trPr>
        <w:tc>
          <w:tcPr>
            <w:tcW w:w="66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571750" cy="694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940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6"/>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64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1"/>
        </w:trPr>
        <w:tc>
          <w:tcPr>
            <w:tcW w:w="5200" w:type="dxa"/>
            <w:vAlign w:val="bottom"/>
          </w:tcPr>
          <w:p>
            <w:pPr>
              <w:spacing w:after="0"/>
              <w:rPr>
                <w:sz w:val="17"/>
                <w:szCs w:val="17"/>
                <w:color w:val="auto"/>
              </w:rPr>
            </w:pPr>
          </w:p>
        </w:tc>
        <w:tc>
          <w:tcPr>
            <w:tcW w:w="1460" w:type="dxa"/>
            <w:vAlign w:val="bottom"/>
            <w:tcBorders>
              <w:top w:val="single" w:sz="8" w:color="auto"/>
            </w:tcBorders>
            <w:gridSpan w:val="3"/>
          </w:tcPr>
          <w:p>
            <w:pPr>
              <w:jc w:val="right"/>
              <w:ind w:right="221"/>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7"/>
                <w:szCs w:val="17"/>
                <w:color w:val="auto"/>
              </w:rPr>
            </w:pPr>
          </w:p>
        </w:tc>
        <w:tc>
          <w:tcPr>
            <w:tcW w:w="1420" w:type="dxa"/>
            <w:vAlign w:val="bottom"/>
            <w:tcBorders>
              <w:top w:val="single" w:sz="8" w:color="auto"/>
            </w:tcBorders>
            <w:gridSpan w:val="3"/>
          </w:tcPr>
          <w:p>
            <w:pPr>
              <w:jc w:val="right"/>
              <w:ind w:right="181"/>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7"/>
                <w:szCs w:val="17"/>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25,898</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19,545</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71,588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53,852</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8,064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6,282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23,615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13,058</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(31,738)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(25,827)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(100,525)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(66,910)</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234</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57,973,541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54,472,650</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57,573,406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24,838,250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2022-11-10T06:34:33Z</dcterms:created>
  <dcterms:modified xsi:type="dcterms:W3CDTF">2022-11-10T06:34:33Z</dcterms:modified>
</cp:coreProperties>
</file>