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359" w:lineRule="exact"/>
        <w:rPr>
          <w:sz w:val="24"/>
          <w:szCs w:val="24"/>
          <w:color w:val="auto"/>
        </w:rPr>
      </w:pPr>
    </w:p>
    <w:p>
      <w:pPr>
        <w:jc w:val="center"/>
        <w:ind w:left="2020" w:right="280"/>
        <w:spacing w:after="0" w:line="243" w:lineRule="auto"/>
        <w:rPr>
          <w:sz w:val="20"/>
          <w:szCs w:val="20"/>
          <w:color w:val="auto"/>
        </w:rPr>
      </w:pPr>
      <w:r>
        <w:rPr>
          <w:rFonts w:ascii="Arial" w:cs="Arial" w:eastAsia="Arial" w:hAnsi="Arial"/>
          <w:sz w:val="12"/>
          <w:szCs w:val="12"/>
          <w:b w:val="1"/>
          <w:bCs w:val="1"/>
          <w:color w:val="auto"/>
        </w:rPr>
        <w:t>Confidential Draft Submission No. 2 submitted to the U.S. Securities and Exchange Commission on May 5, 2021. This draft registration statement has not been publicly filed with the U.S. Securities and Exchange Commission and all information herein remains strictly confidential.</w:t>
      </w:r>
    </w:p>
    <w:p>
      <w:pPr>
        <w:spacing w:after="0" w:line="2" w:lineRule="exact"/>
        <w:rPr>
          <w:sz w:val="24"/>
          <w:szCs w:val="24"/>
          <w:color w:val="auto"/>
        </w:rPr>
      </w:pPr>
    </w:p>
    <w:p>
      <w:pPr>
        <w:ind w:left="662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389890</wp:posOffset>
            </wp:positionH>
            <wp:positionV relativeFrom="paragraph">
              <wp:posOffset>39370</wp:posOffset>
            </wp:positionV>
            <wp:extent cx="4939665"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39665" cy="13970"/>
                    </a:xfrm>
                    <a:prstGeom prst="rect">
                      <a:avLst/>
                    </a:prstGeom>
                    <a:noFill/>
                  </pic:spPr>
                </pic:pic>
              </a:graphicData>
            </a:graphic>
          </wp:anchor>
        </w:drawing>
        <w:drawing>
          <wp:anchor simplePos="0" relativeHeight="251657728" behindDoc="1" locked="0" layoutInCell="0" allowOverlap="1">
            <wp:simplePos x="0" y="0"/>
            <wp:positionH relativeFrom="column">
              <wp:posOffset>389890</wp:posOffset>
            </wp:positionH>
            <wp:positionV relativeFrom="paragraph">
              <wp:posOffset>73660</wp:posOffset>
            </wp:positionV>
            <wp:extent cx="49396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39665" cy="6985"/>
                    </a:xfrm>
                    <a:prstGeom prst="rect">
                      <a:avLst/>
                    </a:prstGeom>
                    <a:noFill/>
                  </pic:spPr>
                </pic:pic>
              </a:graphicData>
            </a:graphic>
          </wp:anchor>
        </w:drawing>
      </w:r>
    </w:p>
    <w:p>
      <w:pPr>
        <w:spacing w:after="0" w:line="133"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UNITED STATES</w:t>
      </w:r>
    </w:p>
    <w:p>
      <w:pPr>
        <w:jc w:val="center"/>
        <w:ind w:right="59"/>
        <w:spacing w:after="0"/>
        <w:rPr>
          <w:sz w:val="20"/>
          <w:szCs w:val="20"/>
          <w:color w:val="auto"/>
        </w:rPr>
      </w:pPr>
      <w:r>
        <w:rPr>
          <w:rFonts w:ascii="Arial" w:cs="Arial" w:eastAsia="Arial" w:hAnsi="Arial"/>
          <w:sz w:val="17"/>
          <w:szCs w:val="17"/>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S-1</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REGISTRATION STATEMENT</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UNDER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THE SECURITIES ACT OF 1933</w:t>
      </w:r>
    </w:p>
    <w:p>
      <w:pPr>
        <w:jc w:val="center"/>
        <w:ind w:right="59"/>
        <w:spacing w:after="0" w:line="221" w:lineRule="auto"/>
        <w:rPr>
          <w:sz w:val="20"/>
          <w:szCs w:val="20"/>
          <w:color w:val="auto"/>
        </w:rPr>
      </w:pPr>
      <w:r>
        <w:rPr>
          <w:rFonts w:ascii="Arial" w:cs="Arial" w:eastAsia="Arial" w:hAnsi="Arial"/>
          <w:sz w:val="17"/>
          <w:szCs w:val="17"/>
          <w:b w:val="1"/>
          <w:bCs w:val="1"/>
          <w:color w:val="auto"/>
        </w:rPr>
        <w:t>Century Therapeutics, Inc.</w:t>
      </w:r>
    </w:p>
    <w:tbl>
      <w:tblPr>
        <w:tblLayout w:type="fixed"/>
        <w:tblInd w:w="1160" w:type="dxa"/>
        <w:tblCellMar>
          <w:top w:w="0" w:type="dxa"/>
          <w:left w:w="0" w:type="dxa"/>
          <w:bottom w:w="0" w:type="dxa"/>
          <w:right w:w="0" w:type="dxa"/>
        </w:tblCellMar>
      </w:tblPr>
      <w:tr>
        <w:trPr>
          <w:trHeight w:val="121"/>
        </w:trPr>
        <w:tc>
          <w:tcPr>
            <w:tcW w:w="1760" w:type="dxa"/>
            <w:vAlign w:val="bottom"/>
          </w:tcPr>
          <w:p>
            <w:pPr>
              <w:spacing w:after="0"/>
              <w:rPr>
                <w:sz w:val="10"/>
                <w:szCs w:val="10"/>
                <w:color w:val="auto"/>
              </w:rPr>
            </w:pPr>
          </w:p>
        </w:tc>
        <w:tc>
          <w:tcPr>
            <w:tcW w:w="3240" w:type="dxa"/>
            <w:vAlign w:val="bottom"/>
          </w:tcPr>
          <w:p>
            <w:pPr>
              <w:jc w:val="center"/>
              <w:ind w:right="27"/>
              <w:spacing w:after="0"/>
              <w:rPr>
                <w:sz w:val="20"/>
                <w:szCs w:val="20"/>
                <w:color w:val="auto"/>
              </w:rPr>
            </w:pPr>
            <w:r>
              <w:rPr>
                <w:rFonts w:ascii="Arial" w:cs="Arial" w:eastAsia="Arial" w:hAnsi="Arial"/>
                <w:sz w:val="10"/>
                <w:szCs w:val="10"/>
                <w:color w:val="auto"/>
              </w:rPr>
              <w:t>(Exact name of registrant as specified in its charter)</w:t>
            </w:r>
          </w:p>
        </w:tc>
        <w:tc>
          <w:tcPr>
            <w:tcW w:w="1500" w:type="dxa"/>
            <w:vAlign w:val="bottom"/>
          </w:tcPr>
          <w:p>
            <w:pPr>
              <w:spacing w:after="0"/>
              <w:rPr>
                <w:sz w:val="10"/>
                <w:szCs w:val="10"/>
                <w:color w:val="auto"/>
              </w:rPr>
            </w:pPr>
          </w:p>
        </w:tc>
      </w:tr>
      <w:tr>
        <w:trPr>
          <w:trHeight w:val="203"/>
        </w:trPr>
        <w:tc>
          <w:tcPr>
            <w:tcW w:w="1760" w:type="dxa"/>
            <w:vAlign w:val="bottom"/>
          </w:tcPr>
          <w:p>
            <w:pPr>
              <w:jc w:val="center"/>
              <w:ind w:right="306"/>
              <w:spacing w:after="0"/>
              <w:rPr>
                <w:sz w:val="20"/>
                <w:szCs w:val="20"/>
                <w:color w:val="auto"/>
              </w:rPr>
            </w:pPr>
            <w:r>
              <w:rPr>
                <w:rFonts w:ascii="Arial" w:cs="Arial" w:eastAsia="Arial" w:hAnsi="Arial"/>
                <w:sz w:val="12"/>
                <w:szCs w:val="12"/>
                <w:b w:val="1"/>
                <w:bCs w:val="1"/>
                <w:color w:val="auto"/>
              </w:rPr>
              <w:t>Delaware</w:t>
            </w:r>
          </w:p>
        </w:tc>
        <w:tc>
          <w:tcPr>
            <w:tcW w:w="3240" w:type="dxa"/>
            <w:vAlign w:val="bottom"/>
          </w:tcPr>
          <w:p>
            <w:pPr>
              <w:jc w:val="center"/>
              <w:ind w:right="27"/>
              <w:spacing w:after="0"/>
              <w:rPr>
                <w:sz w:val="20"/>
                <w:szCs w:val="20"/>
                <w:color w:val="auto"/>
              </w:rPr>
            </w:pPr>
            <w:r>
              <w:rPr>
                <w:rFonts w:ascii="Arial" w:cs="Arial" w:eastAsia="Arial" w:hAnsi="Arial"/>
                <w:sz w:val="12"/>
                <w:szCs w:val="12"/>
                <w:b w:val="1"/>
                <w:bCs w:val="1"/>
                <w:color w:val="auto"/>
              </w:rPr>
              <w:t>2836</w:t>
            </w:r>
          </w:p>
        </w:tc>
        <w:tc>
          <w:tcPr>
            <w:tcW w:w="1500" w:type="dxa"/>
            <w:vAlign w:val="bottom"/>
          </w:tcPr>
          <w:p>
            <w:pPr>
              <w:jc w:val="center"/>
              <w:ind w:left="406"/>
              <w:spacing w:after="0"/>
              <w:rPr>
                <w:sz w:val="20"/>
                <w:szCs w:val="20"/>
                <w:color w:val="auto"/>
              </w:rPr>
            </w:pPr>
            <w:r>
              <w:rPr>
                <w:rFonts w:ascii="Arial" w:cs="Arial" w:eastAsia="Arial" w:hAnsi="Arial"/>
                <w:sz w:val="12"/>
                <w:szCs w:val="12"/>
                <w:b w:val="1"/>
                <w:bCs w:val="1"/>
                <w:color w:val="auto"/>
              </w:rPr>
              <w:t>84-2040295</w:t>
            </w:r>
          </w:p>
        </w:tc>
      </w:tr>
      <w:tr>
        <w:trPr>
          <w:trHeight w:val="108"/>
        </w:trPr>
        <w:tc>
          <w:tcPr>
            <w:tcW w:w="1760" w:type="dxa"/>
            <w:vAlign w:val="bottom"/>
          </w:tcPr>
          <w:p>
            <w:pPr>
              <w:jc w:val="center"/>
              <w:ind w:right="346"/>
              <w:spacing w:after="0" w:line="108" w:lineRule="exact"/>
              <w:rPr>
                <w:sz w:val="20"/>
                <w:szCs w:val="20"/>
                <w:color w:val="auto"/>
              </w:rPr>
            </w:pPr>
            <w:r>
              <w:rPr>
                <w:rFonts w:ascii="Arial" w:cs="Arial" w:eastAsia="Arial" w:hAnsi="Arial"/>
                <w:sz w:val="10"/>
                <w:szCs w:val="10"/>
                <w:color w:val="auto"/>
              </w:rPr>
              <w:t>(State or other jurisdiction of</w:t>
            </w:r>
          </w:p>
        </w:tc>
        <w:tc>
          <w:tcPr>
            <w:tcW w:w="3240" w:type="dxa"/>
            <w:vAlign w:val="bottom"/>
          </w:tcPr>
          <w:p>
            <w:pPr>
              <w:ind w:left="900"/>
              <w:spacing w:after="0" w:line="108" w:lineRule="exact"/>
              <w:rPr>
                <w:sz w:val="20"/>
                <w:szCs w:val="20"/>
                <w:color w:val="auto"/>
              </w:rPr>
            </w:pPr>
            <w:r>
              <w:rPr>
                <w:rFonts w:ascii="Arial" w:cs="Arial" w:eastAsia="Arial" w:hAnsi="Arial"/>
                <w:sz w:val="10"/>
                <w:szCs w:val="10"/>
                <w:color w:val="auto"/>
              </w:rPr>
              <w:t>(Primary Standard Industrial</w:t>
            </w:r>
          </w:p>
        </w:tc>
        <w:tc>
          <w:tcPr>
            <w:tcW w:w="1500" w:type="dxa"/>
            <w:vAlign w:val="bottom"/>
          </w:tcPr>
          <w:p>
            <w:pPr>
              <w:jc w:val="center"/>
              <w:ind w:left="386"/>
              <w:spacing w:after="0" w:line="108" w:lineRule="exact"/>
              <w:rPr>
                <w:sz w:val="20"/>
                <w:szCs w:val="20"/>
                <w:color w:val="auto"/>
              </w:rPr>
            </w:pPr>
            <w:r>
              <w:rPr>
                <w:rFonts w:ascii="Arial" w:cs="Arial" w:eastAsia="Arial" w:hAnsi="Arial"/>
                <w:sz w:val="10"/>
                <w:szCs w:val="10"/>
                <w:color w:val="auto"/>
              </w:rPr>
              <w:t>(I.R.S. Employer</w:t>
            </w:r>
          </w:p>
        </w:tc>
      </w:tr>
      <w:tr>
        <w:trPr>
          <w:trHeight w:val="132"/>
        </w:trPr>
        <w:tc>
          <w:tcPr>
            <w:tcW w:w="1760" w:type="dxa"/>
            <w:vAlign w:val="bottom"/>
          </w:tcPr>
          <w:p>
            <w:pPr>
              <w:jc w:val="center"/>
              <w:ind w:right="326"/>
              <w:spacing w:after="0"/>
              <w:rPr>
                <w:sz w:val="20"/>
                <w:szCs w:val="20"/>
                <w:color w:val="auto"/>
              </w:rPr>
            </w:pPr>
            <w:r>
              <w:rPr>
                <w:rFonts w:ascii="Arial" w:cs="Arial" w:eastAsia="Arial" w:hAnsi="Arial"/>
                <w:sz w:val="10"/>
                <w:szCs w:val="10"/>
                <w:color w:val="auto"/>
              </w:rPr>
              <w:t>incorporation or organization)</w:t>
            </w:r>
          </w:p>
        </w:tc>
        <w:tc>
          <w:tcPr>
            <w:tcW w:w="3240" w:type="dxa"/>
            <w:vAlign w:val="bottom"/>
          </w:tcPr>
          <w:p>
            <w:pPr>
              <w:jc w:val="center"/>
              <w:ind w:right="27"/>
              <w:spacing w:after="0"/>
              <w:rPr>
                <w:sz w:val="20"/>
                <w:szCs w:val="20"/>
                <w:color w:val="auto"/>
              </w:rPr>
            </w:pPr>
            <w:r>
              <w:rPr>
                <w:rFonts w:ascii="Arial" w:cs="Arial" w:eastAsia="Arial" w:hAnsi="Arial"/>
                <w:sz w:val="10"/>
                <w:szCs w:val="10"/>
                <w:color w:val="auto"/>
              </w:rPr>
              <w:t>Classification Code Number)</w:t>
            </w:r>
          </w:p>
        </w:tc>
        <w:tc>
          <w:tcPr>
            <w:tcW w:w="1500" w:type="dxa"/>
            <w:vAlign w:val="bottom"/>
          </w:tcPr>
          <w:p>
            <w:pPr>
              <w:jc w:val="center"/>
              <w:ind w:left="406"/>
              <w:spacing w:after="0"/>
              <w:rPr>
                <w:sz w:val="20"/>
                <w:szCs w:val="20"/>
                <w:color w:val="auto"/>
              </w:rPr>
            </w:pPr>
            <w:r>
              <w:rPr>
                <w:rFonts w:ascii="Arial" w:cs="Arial" w:eastAsia="Arial" w:hAnsi="Arial"/>
                <w:sz w:val="10"/>
                <w:szCs w:val="10"/>
                <w:color w:val="auto"/>
              </w:rPr>
              <w:t>Identification Number)</w:t>
            </w:r>
          </w:p>
        </w:tc>
      </w:tr>
    </w:tbl>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3675 Market Street</w:t>
      </w:r>
    </w:p>
    <w:p>
      <w:pPr>
        <w:jc w:val="center"/>
        <w:ind w:right="39"/>
        <w:spacing w:after="0" w:line="234" w:lineRule="auto"/>
        <w:rPr>
          <w:sz w:val="20"/>
          <w:szCs w:val="20"/>
          <w:color w:val="auto"/>
        </w:rPr>
      </w:pPr>
      <w:r>
        <w:rPr>
          <w:rFonts w:ascii="Arial" w:cs="Arial" w:eastAsia="Arial" w:hAnsi="Arial"/>
          <w:sz w:val="12"/>
          <w:szCs w:val="12"/>
          <w:b w:val="1"/>
          <w:bCs w:val="1"/>
          <w:color w:val="auto"/>
        </w:rPr>
        <w:t>Philadelphia, Pennsylvania 19104</w:t>
      </w:r>
    </w:p>
    <w:p>
      <w:pPr>
        <w:jc w:val="center"/>
        <w:spacing w:after="0"/>
        <w:rPr>
          <w:sz w:val="20"/>
          <w:szCs w:val="20"/>
          <w:color w:val="auto"/>
        </w:rPr>
      </w:pPr>
      <w:r>
        <w:rPr>
          <w:rFonts w:ascii="Arial" w:cs="Arial" w:eastAsia="Arial" w:hAnsi="Arial"/>
          <w:sz w:val="12"/>
          <w:szCs w:val="12"/>
          <w:b w:val="1"/>
          <w:bCs w:val="1"/>
          <w:color w:val="auto"/>
        </w:rPr>
        <w:t>(267) 817-5790</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(Address, including zip code, and telephone number, including area code, of Registrant’s principal executive offices)</w:t>
      </w:r>
    </w:p>
    <w:p>
      <w:pPr>
        <w:spacing w:after="0" w:line="56"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Osvaldo Flores, Ph.D.</w:t>
      </w:r>
    </w:p>
    <w:p>
      <w:pPr>
        <w:jc w:val="center"/>
        <w:ind w:right="39"/>
        <w:spacing w:after="0" w:line="234" w:lineRule="auto"/>
        <w:rPr>
          <w:sz w:val="20"/>
          <w:szCs w:val="20"/>
          <w:color w:val="auto"/>
        </w:rPr>
      </w:pPr>
      <w:r>
        <w:rPr>
          <w:rFonts w:ascii="Arial" w:cs="Arial" w:eastAsia="Arial" w:hAnsi="Arial"/>
          <w:sz w:val="12"/>
          <w:szCs w:val="12"/>
          <w:b w:val="1"/>
          <w:bCs w:val="1"/>
          <w:color w:val="auto"/>
        </w:rPr>
        <w:t>President and Chief Executive Officer</w:t>
      </w:r>
    </w:p>
    <w:p>
      <w:pPr>
        <w:jc w:val="center"/>
        <w:ind w:right="39"/>
        <w:spacing w:after="0" w:line="225" w:lineRule="auto"/>
        <w:rPr>
          <w:sz w:val="20"/>
          <w:szCs w:val="20"/>
          <w:color w:val="auto"/>
        </w:rPr>
      </w:pPr>
      <w:r>
        <w:rPr>
          <w:rFonts w:ascii="Arial" w:cs="Arial" w:eastAsia="Arial" w:hAnsi="Arial"/>
          <w:sz w:val="12"/>
          <w:szCs w:val="12"/>
          <w:b w:val="1"/>
          <w:bCs w:val="1"/>
          <w:color w:val="auto"/>
        </w:rPr>
        <w:t>Century Therapeutics, Inc.</w:t>
      </w:r>
    </w:p>
    <w:p>
      <w:pPr>
        <w:jc w:val="center"/>
        <w:ind w:right="39"/>
        <w:spacing w:after="0" w:line="226" w:lineRule="auto"/>
        <w:rPr>
          <w:sz w:val="20"/>
          <w:szCs w:val="20"/>
          <w:color w:val="auto"/>
        </w:rPr>
      </w:pPr>
      <w:r>
        <w:rPr>
          <w:rFonts w:ascii="Arial" w:cs="Arial" w:eastAsia="Arial" w:hAnsi="Arial"/>
          <w:sz w:val="12"/>
          <w:szCs w:val="12"/>
          <w:b w:val="1"/>
          <w:bCs w:val="1"/>
          <w:color w:val="auto"/>
        </w:rPr>
        <w:t>3675 Market Street</w:t>
      </w:r>
    </w:p>
    <w:p>
      <w:pPr>
        <w:jc w:val="center"/>
        <w:ind w:right="39"/>
        <w:spacing w:after="0" w:line="225" w:lineRule="auto"/>
        <w:rPr>
          <w:sz w:val="20"/>
          <w:szCs w:val="20"/>
          <w:color w:val="auto"/>
        </w:rPr>
      </w:pPr>
      <w:r>
        <w:rPr>
          <w:rFonts w:ascii="Arial" w:cs="Arial" w:eastAsia="Arial" w:hAnsi="Arial"/>
          <w:sz w:val="12"/>
          <w:szCs w:val="12"/>
          <w:b w:val="1"/>
          <w:bCs w:val="1"/>
          <w:color w:val="auto"/>
        </w:rPr>
        <w:t>Philadelphia, Pennsylvania 19104</w:t>
      </w:r>
    </w:p>
    <w:p>
      <w:pPr>
        <w:jc w:val="center"/>
        <w:spacing w:after="0"/>
        <w:rPr>
          <w:sz w:val="20"/>
          <w:szCs w:val="20"/>
          <w:color w:val="auto"/>
        </w:rPr>
      </w:pPr>
      <w:r>
        <w:rPr>
          <w:rFonts w:ascii="Arial" w:cs="Arial" w:eastAsia="Arial" w:hAnsi="Arial"/>
          <w:sz w:val="12"/>
          <w:szCs w:val="12"/>
          <w:b w:val="1"/>
          <w:bCs w:val="1"/>
          <w:color w:val="auto"/>
        </w:rPr>
        <w:t>(267) 817-5790</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(Name, address, including zip code, and telephone number, including area code, of agent for service)</w:t>
      </w:r>
    </w:p>
    <w:p>
      <w:pPr>
        <w:spacing w:after="0" w:line="16" w:lineRule="exact"/>
        <w:rPr>
          <w:sz w:val="24"/>
          <w:szCs w:val="24"/>
          <w:color w:val="auto"/>
        </w:rPr>
      </w:pPr>
    </w:p>
    <w:tbl>
      <w:tblPr>
        <w:tblLayout w:type="fixed"/>
        <w:tblInd w:w="1260" w:type="dxa"/>
        <w:tblCellMar>
          <w:top w:w="0" w:type="dxa"/>
          <w:left w:w="0" w:type="dxa"/>
          <w:bottom w:w="0" w:type="dxa"/>
          <w:right w:w="0" w:type="dxa"/>
        </w:tblCellMar>
      </w:tblPr>
      <w:tr>
        <w:trPr>
          <w:trHeight w:val="138"/>
        </w:trPr>
        <w:tc>
          <w:tcPr>
            <w:tcW w:w="2700" w:type="dxa"/>
            <w:vAlign w:val="bottom"/>
          </w:tcPr>
          <w:p>
            <w:pPr>
              <w:spacing w:after="0"/>
              <w:rPr>
                <w:sz w:val="12"/>
                <w:szCs w:val="12"/>
                <w:color w:val="auto"/>
              </w:rPr>
            </w:pPr>
          </w:p>
        </w:tc>
        <w:tc>
          <w:tcPr>
            <w:tcW w:w="3320" w:type="dxa"/>
            <w:vAlign w:val="bottom"/>
          </w:tcPr>
          <w:p>
            <w:pPr>
              <w:ind w:left="260"/>
              <w:spacing w:after="0"/>
              <w:rPr>
                <w:sz w:val="20"/>
                <w:szCs w:val="20"/>
                <w:color w:val="auto"/>
              </w:rPr>
            </w:pPr>
            <w:r>
              <w:rPr>
                <w:rFonts w:ascii="Arial" w:cs="Arial" w:eastAsia="Arial" w:hAnsi="Arial"/>
                <w:sz w:val="12"/>
                <w:szCs w:val="12"/>
                <w:color w:val="auto"/>
              </w:rPr>
              <w:t>Copies to:</w:t>
            </w:r>
          </w:p>
        </w:tc>
      </w:tr>
      <w:tr>
        <w:trPr>
          <w:trHeight w:val="129"/>
        </w:trPr>
        <w:tc>
          <w:tcPr>
            <w:tcW w:w="2700" w:type="dxa"/>
            <w:vAlign w:val="bottom"/>
          </w:tcPr>
          <w:p>
            <w:pPr>
              <w:jc w:val="center"/>
              <w:ind w:right="179"/>
              <w:spacing w:after="0" w:line="130" w:lineRule="exact"/>
              <w:rPr>
                <w:sz w:val="20"/>
                <w:szCs w:val="20"/>
                <w:color w:val="auto"/>
              </w:rPr>
            </w:pPr>
            <w:r>
              <w:rPr>
                <w:rFonts w:ascii="Arial" w:cs="Arial" w:eastAsia="Arial" w:hAnsi="Arial"/>
                <w:sz w:val="12"/>
                <w:szCs w:val="12"/>
                <w:b w:val="1"/>
                <w:bCs w:val="1"/>
                <w:color w:val="auto"/>
              </w:rPr>
              <w:t>Rachael M. Bushey</w:t>
            </w:r>
          </w:p>
        </w:tc>
        <w:tc>
          <w:tcPr>
            <w:tcW w:w="3320" w:type="dxa"/>
            <w:vAlign w:val="bottom"/>
          </w:tcPr>
          <w:p>
            <w:pPr>
              <w:jc w:val="center"/>
              <w:ind w:left="1639"/>
              <w:spacing w:after="0" w:line="130" w:lineRule="exact"/>
              <w:rPr>
                <w:sz w:val="20"/>
                <w:szCs w:val="20"/>
                <w:color w:val="auto"/>
              </w:rPr>
            </w:pPr>
            <w:r>
              <w:rPr>
                <w:rFonts w:ascii="Arial" w:cs="Arial" w:eastAsia="Arial" w:hAnsi="Arial"/>
                <w:sz w:val="12"/>
                <w:szCs w:val="12"/>
                <w:b w:val="1"/>
                <w:bCs w:val="1"/>
                <w:color w:val="auto"/>
              </w:rPr>
              <w:t>Richard Truesdell, Jr.</w:t>
            </w:r>
          </w:p>
        </w:tc>
      </w:tr>
      <w:tr>
        <w:trPr>
          <w:trHeight w:val="129"/>
        </w:trPr>
        <w:tc>
          <w:tcPr>
            <w:tcW w:w="2700" w:type="dxa"/>
            <w:vAlign w:val="bottom"/>
          </w:tcPr>
          <w:p>
            <w:pPr>
              <w:jc w:val="center"/>
              <w:ind w:right="179"/>
              <w:spacing w:after="0" w:line="130" w:lineRule="exact"/>
              <w:rPr>
                <w:sz w:val="20"/>
                <w:szCs w:val="20"/>
                <w:color w:val="auto"/>
              </w:rPr>
            </w:pPr>
            <w:r>
              <w:rPr>
                <w:rFonts w:ascii="Arial" w:cs="Arial" w:eastAsia="Arial" w:hAnsi="Arial"/>
                <w:sz w:val="12"/>
                <w:szCs w:val="12"/>
                <w:b w:val="1"/>
                <w:bCs w:val="1"/>
                <w:color w:val="auto"/>
              </w:rPr>
              <w:t>Jennifer L. Porter</w:t>
            </w:r>
          </w:p>
        </w:tc>
        <w:tc>
          <w:tcPr>
            <w:tcW w:w="3320" w:type="dxa"/>
            <w:vAlign w:val="bottom"/>
          </w:tcPr>
          <w:p>
            <w:pPr>
              <w:jc w:val="center"/>
              <w:ind w:left="1639"/>
              <w:spacing w:after="0" w:line="130" w:lineRule="exact"/>
              <w:rPr>
                <w:sz w:val="20"/>
                <w:szCs w:val="20"/>
                <w:color w:val="auto"/>
              </w:rPr>
            </w:pPr>
            <w:r>
              <w:rPr>
                <w:rFonts w:ascii="Arial" w:cs="Arial" w:eastAsia="Arial" w:hAnsi="Arial"/>
                <w:sz w:val="12"/>
                <w:szCs w:val="12"/>
                <w:b w:val="1"/>
                <w:bCs w:val="1"/>
                <w:color w:val="auto"/>
              </w:rPr>
              <w:t>Roshni Cariello</w:t>
            </w:r>
          </w:p>
        </w:tc>
      </w:tr>
      <w:tr>
        <w:trPr>
          <w:trHeight w:val="129"/>
        </w:trPr>
        <w:tc>
          <w:tcPr>
            <w:tcW w:w="2700" w:type="dxa"/>
            <w:vAlign w:val="bottom"/>
          </w:tcPr>
          <w:p>
            <w:pPr>
              <w:jc w:val="center"/>
              <w:ind w:right="179"/>
              <w:spacing w:after="0" w:line="130" w:lineRule="exact"/>
              <w:rPr>
                <w:sz w:val="20"/>
                <w:szCs w:val="20"/>
                <w:color w:val="auto"/>
              </w:rPr>
            </w:pPr>
            <w:r>
              <w:rPr>
                <w:rFonts w:ascii="Arial" w:cs="Arial" w:eastAsia="Arial" w:hAnsi="Arial"/>
                <w:sz w:val="12"/>
                <w:szCs w:val="12"/>
                <w:b w:val="1"/>
                <w:bCs w:val="1"/>
                <w:color w:val="auto"/>
              </w:rPr>
              <w:t>Troutman Pepper Hamilton Sanders LLP</w:t>
            </w:r>
          </w:p>
        </w:tc>
        <w:tc>
          <w:tcPr>
            <w:tcW w:w="3320" w:type="dxa"/>
            <w:vAlign w:val="bottom"/>
          </w:tcPr>
          <w:p>
            <w:pPr>
              <w:jc w:val="center"/>
              <w:ind w:left="1619"/>
              <w:spacing w:after="0" w:line="130" w:lineRule="exact"/>
              <w:rPr>
                <w:sz w:val="20"/>
                <w:szCs w:val="20"/>
                <w:color w:val="auto"/>
              </w:rPr>
            </w:pPr>
            <w:r>
              <w:rPr>
                <w:rFonts w:ascii="Arial" w:cs="Arial" w:eastAsia="Arial" w:hAnsi="Arial"/>
                <w:sz w:val="12"/>
                <w:szCs w:val="12"/>
                <w:b w:val="1"/>
                <w:bCs w:val="1"/>
                <w:color w:val="auto"/>
              </w:rPr>
              <w:t>Davis Polk &amp; Wardwell LLP</w:t>
            </w:r>
          </w:p>
        </w:tc>
      </w:tr>
      <w:tr>
        <w:trPr>
          <w:trHeight w:val="129"/>
        </w:trPr>
        <w:tc>
          <w:tcPr>
            <w:tcW w:w="2700" w:type="dxa"/>
            <w:vAlign w:val="bottom"/>
          </w:tcPr>
          <w:p>
            <w:pPr>
              <w:jc w:val="center"/>
              <w:ind w:right="179"/>
              <w:spacing w:after="0" w:line="130" w:lineRule="exact"/>
              <w:rPr>
                <w:sz w:val="20"/>
                <w:szCs w:val="20"/>
                <w:color w:val="auto"/>
              </w:rPr>
            </w:pPr>
            <w:r>
              <w:rPr>
                <w:rFonts w:ascii="Arial" w:cs="Arial" w:eastAsia="Arial" w:hAnsi="Arial"/>
                <w:sz w:val="12"/>
                <w:szCs w:val="12"/>
                <w:b w:val="1"/>
                <w:bCs w:val="1"/>
                <w:color w:val="auto"/>
              </w:rPr>
              <w:t>3000 Two Logan Square</w:t>
            </w:r>
          </w:p>
        </w:tc>
        <w:tc>
          <w:tcPr>
            <w:tcW w:w="3320" w:type="dxa"/>
            <w:vAlign w:val="bottom"/>
          </w:tcPr>
          <w:p>
            <w:pPr>
              <w:jc w:val="center"/>
              <w:ind w:left="1619"/>
              <w:spacing w:after="0" w:line="130" w:lineRule="exact"/>
              <w:rPr>
                <w:sz w:val="20"/>
                <w:szCs w:val="20"/>
                <w:color w:val="auto"/>
              </w:rPr>
            </w:pPr>
            <w:r>
              <w:rPr>
                <w:rFonts w:ascii="Arial" w:cs="Arial" w:eastAsia="Arial" w:hAnsi="Arial"/>
                <w:sz w:val="12"/>
                <w:szCs w:val="12"/>
                <w:b w:val="1"/>
                <w:bCs w:val="1"/>
                <w:color w:val="auto"/>
              </w:rPr>
              <w:t>450 Lexington Avenue</w:t>
            </w:r>
          </w:p>
        </w:tc>
      </w:tr>
      <w:tr>
        <w:trPr>
          <w:trHeight w:val="129"/>
        </w:trPr>
        <w:tc>
          <w:tcPr>
            <w:tcW w:w="2700" w:type="dxa"/>
            <w:vAlign w:val="bottom"/>
          </w:tcPr>
          <w:p>
            <w:pPr>
              <w:jc w:val="center"/>
              <w:ind w:right="179"/>
              <w:spacing w:after="0" w:line="130" w:lineRule="exact"/>
              <w:rPr>
                <w:sz w:val="20"/>
                <w:szCs w:val="20"/>
                <w:color w:val="auto"/>
              </w:rPr>
            </w:pPr>
            <w:r>
              <w:rPr>
                <w:rFonts w:ascii="Arial" w:cs="Arial" w:eastAsia="Arial" w:hAnsi="Arial"/>
                <w:sz w:val="12"/>
                <w:szCs w:val="12"/>
                <w:b w:val="1"/>
                <w:bCs w:val="1"/>
                <w:color w:val="auto"/>
              </w:rPr>
              <w:t>Philadelphia, Pennsylvania 19103</w:t>
            </w:r>
          </w:p>
        </w:tc>
        <w:tc>
          <w:tcPr>
            <w:tcW w:w="3320" w:type="dxa"/>
            <w:vAlign w:val="bottom"/>
          </w:tcPr>
          <w:p>
            <w:pPr>
              <w:jc w:val="center"/>
              <w:ind w:left="1619"/>
              <w:spacing w:after="0" w:line="130" w:lineRule="exact"/>
              <w:rPr>
                <w:sz w:val="20"/>
                <w:szCs w:val="20"/>
                <w:color w:val="auto"/>
              </w:rPr>
            </w:pPr>
            <w:r>
              <w:rPr>
                <w:rFonts w:ascii="Arial" w:cs="Arial" w:eastAsia="Arial" w:hAnsi="Arial"/>
                <w:sz w:val="12"/>
                <w:szCs w:val="12"/>
                <w:b w:val="1"/>
                <w:bCs w:val="1"/>
                <w:color w:val="auto"/>
              </w:rPr>
              <w:t>New York, New York 10017</w:t>
            </w:r>
          </w:p>
        </w:tc>
      </w:tr>
      <w:tr>
        <w:trPr>
          <w:trHeight w:val="161"/>
        </w:trPr>
        <w:tc>
          <w:tcPr>
            <w:tcW w:w="2700" w:type="dxa"/>
            <w:vAlign w:val="bottom"/>
          </w:tcPr>
          <w:p>
            <w:pPr>
              <w:jc w:val="center"/>
              <w:ind w:right="139"/>
              <w:spacing w:after="0"/>
              <w:rPr>
                <w:sz w:val="20"/>
                <w:szCs w:val="20"/>
                <w:color w:val="auto"/>
              </w:rPr>
            </w:pPr>
            <w:r>
              <w:rPr>
                <w:rFonts w:ascii="Arial" w:cs="Arial" w:eastAsia="Arial" w:hAnsi="Arial"/>
                <w:sz w:val="12"/>
                <w:szCs w:val="12"/>
                <w:b w:val="1"/>
                <w:bCs w:val="1"/>
                <w:color w:val="auto"/>
              </w:rPr>
              <w:t>(215) 981-4331</w:t>
            </w:r>
          </w:p>
        </w:tc>
        <w:tc>
          <w:tcPr>
            <w:tcW w:w="3320" w:type="dxa"/>
            <w:vAlign w:val="bottom"/>
          </w:tcPr>
          <w:p>
            <w:pPr>
              <w:jc w:val="center"/>
              <w:ind w:left="1659"/>
              <w:spacing w:after="0"/>
              <w:rPr>
                <w:sz w:val="20"/>
                <w:szCs w:val="20"/>
                <w:color w:val="auto"/>
              </w:rPr>
            </w:pPr>
            <w:r>
              <w:rPr>
                <w:rFonts w:ascii="Arial" w:cs="Arial" w:eastAsia="Arial" w:hAnsi="Arial"/>
                <w:sz w:val="12"/>
                <w:szCs w:val="12"/>
                <w:b w:val="1"/>
                <w:bCs w:val="1"/>
                <w:color w:val="auto"/>
              </w:rPr>
              <w:t>(212) 450-4000</w:t>
            </w:r>
          </w:p>
        </w:tc>
      </w:tr>
    </w:tbl>
    <w:p>
      <w:pPr>
        <w:spacing w:after="0" w:line="44" w:lineRule="exact"/>
        <w:rPr>
          <w:sz w:val="24"/>
          <w:szCs w:val="24"/>
          <w:color w:val="auto"/>
        </w:rPr>
      </w:pPr>
    </w:p>
    <w:p>
      <w:pPr>
        <w:jc w:val="center"/>
        <w:ind w:left="2080" w:right="160"/>
        <w:spacing w:after="0" w:line="264" w:lineRule="auto"/>
        <w:rPr>
          <w:sz w:val="20"/>
          <w:szCs w:val="20"/>
          <w:color w:val="auto"/>
        </w:rPr>
      </w:pPr>
      <w:r>
        <w:rPr>
          <w:rFonts w:ascii="Arial" w:cs="Arial" w:eastAsia="Arial" w:hAnsi="Arial"/>
          <w:sz w:val="12"/>
          <w:szCs w:val="12"/>
          <w:b w:val="1"/>
          <w:bCs w:val="1"/>
          <w:color w:val="auto"/>
        </w:rPr>
        <w:t>Approximate date of commencement of proposed sale to the public: As soon as practicable after the effective date of this Registration Statement.</w:t>
      </w:r>
    </w:p>
    <w:p>
      <w:pPr>
        <w:spacing w:after="0" w:line="2" w:lineRule="exact"/>
        <w:rPr>
          <w:sz w:val="24"/>
          <w:szCs w:val="24"/>
          <w:color w:val="auto"/>
        </w:rPr>
      </w:pPr>
    </w:p>
    <w:p>
      <w:pPr>
        <w:ind w:left="620" w:right="719"/>
        <w:spacing w:after="0" w:line="140"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ind w:left="620" w:right="939"/>
        <w:spacing w:after="0" w:line="142"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38" w:lineRule="exact"/>
        <w:rPr>
          <w:sz w:val="24"/>
          <w:szCs w:val="24"/>
          <w:color w:val="auto"/>
        </w:rPr>
      </w:pPr>
    </w:p>
    <w:p>
      <w:pPr>
        <w:ind w:left="620" w:right="899"/>
        <w:spacing w:after="0" w:line="145"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2" w:lineRule="exact"/>
        <w:rPr>
          <w:sz w:val="24"/>
          <w:szCs w:val="24"/>
          <w:color w:val="auto"/>
        </w:rPr>
      </w:pPr>
    </w:p>
    <w:p>
      <w:pPr>
        <w:ind w:left="620" w:right="899"/>
        <w:spacing w:after="0" w:line="140"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 w:lineRule="exact"/>
        <w:rPr>
          <w:sz w:val="24"/>
          <w:szCs w:val="24"/>
          <w:color w:val="auto"/>
        </w:rPr>
      </w:pPr>
    </w:p>
    <w:p>
      <w:pPr>
        <w:ind w:left="620" w:right="639"/>
        <w:spacing w:after="0" w:line="23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219" w:right="1440" w:bottom="1440" w:gutter="0" w:footer="0" w:header="0"/>
        </w:sectPr>
      </w:pPr>
    </w:p>
    <w:p>
      <w:pPr>
        <w:ind w:left="90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38" w:lineRule="exact"/>
        <w:rPr>
          <w:sz w:val="24"/>
          <w:szCs w:val="24"/>
          <w:color w:val="auto"/>
        </w:rPr>
      </w:pPr>
    </w:p>
    <w:p>
      <w:pPr>
        <w:sectPr>
          <w:pgSz w:w="11900" w:h="16838" w:orient="portrait"/>
          <w:cols w:equalWidth="0" w:num="2">
            <w:col w:w="3860" w:space="720"/>
            <w:col w:w="4439"/>
          </w:cols>
          <w:pgMar w:left="1440" w:top="219" w:right="1440" w:bottom="1440" w:gutter="0" w:footer="0" w:header="0"/>
          <w:type w:val="continuous"/>
        </w:sectPr>
      </w:pPr>
    </w:p>
    <w:p>
      <w:pPr>
        <w:ind w:left="900"/>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70" w:lineRule="exact"/>
        <w:rPr>
          <w:sz w:val="24"/>
          <w:szCs w:val="24"/>
          <w:color w:val="auto"/>
        </w:rPr>
      </w:pPr>
    </w:p>
    <w:p>
      <w:pPr>
        <w:sectPr>
          <w:pgSz w:w="11900" w:h="16838" w:orient="portrait"/>
          <w:cols w:equalWidth="0" w:num="2">
            <w:col w:w="3860" w:space="720"/>
            <w:col w:w="4439"/>
          </w:cols>
          <w:pgMar w:left="1440" w:top="219" w:right="1440" w:bottom="1440" w:gutter="0" w:footer="0" w:header="0"/>
          <w:type w:val="continuous"/>
        </w:sectPr>
      </w:pPr>
    </w:p>
    <w:p>
      <w:pPr>
        <w:ind w:left="458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ectPr>
          <w:pgSz w:w="11900" w:h="16838" w:orient="portrait"/>
          <w:cols w:equalWidth="0" w:num="1">
            <w:col w:w="9019"/>
          </w:cols>
          <w:pgMar w:left="1440" w:top="219" w:right="1440" w:bottom="1440" w:gutter="0" w:footer="0" w:header="0"/>
          <w:type w:val="continuous"/>
        </w:sectPr>
      </w:pPr>
    </w:p>
    <w:p>
      <w:pPr>
        <w:spacing w:after="0" w:line="195" w:lineRule="exact"/>
        <w:rPr>
          <w:sz w:val="24"/>
          <w:szCs w:val="24"/>
          <w:color w:val="auto"/>
        </w:rPr>
      </w:pPr>
    </w:p>
    <w:p>
      <w:pPr>
        <w:ind w:left="620" w:right="1019"/>
        <w:spacing w:after="0" w:line="140"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CALCULATION OF REGISTRATION FEE</w:t>
      </w:r>
    </w:p>
    <w:p>
      <w:pPr>
        <w:spacing w:after="0" w:line="5" w:lineRule="exact"/>
        <w:rPr>
          <w:sz w:val="24"/>
          <w:szCs w:val="24"/>
          <w:color w:val="auto"/>
        </w:rPr>
      </w:pPr>
    </w:p>
    <w:tbl>
      <w:tblPr>
        <w:tblLayout w:type="fixed"/>
        <w:tblInd w:w="620" w:type="dxa"/>
        <w:tblCellMar>
          <w:top w:w="0" w:type="dxa"/>
          <w:left w:w="0" w:type="dxa"/>
          <w:bottom w:w="0" w:type="dxa"/>
          <w:right w:w="0" w:type="dxa"/>
        </w:tblCellMar>
      </w:tblPr>
      <w:tr>
        <w:trPr>
          <w:trHeight w:val="142"/>
        </w:trPr>
        <w:tc>
          <w:tcPr>
            <w:tcW w:w="5780" w:type="dxa"/>
            <w:vAlign w:val="bottom"/>
            <w:tcBorders>
              <w:top w:val="single" w:sz="8" w:color="auto"/>
              <w:right w:val="single" w:sz="8" w:color="auto"/>
            </w:tcBorders>
          </w:tcPr>
          <w:p>
            <w:pPr>
              <w:spacing w:after="0"/>
              <w:rPr>
                <w:sz w:val="12"/>
                <w:szCs w:val="12"/>
                <w:color w:val="auto"/>
              </w:rPr>
            </w:pPr>
          </w:p>
        </w:tc>
        <w:tc>
          <w:tcPr>
            <w:tcW w:w="960" w:type="dxa"/>
            <w:vAlign w:val="bottom"/>
            <w:tcBorders>
              <w:top w:val="single" w:sz="8" w:color="auto"/>
              <w:right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Proposed</w:t>
            </w:r>
          </w:p>
        </w:tc>
        <w:tc>
          <w:tcPr>
            <w:tcW w:w="1040" w:type="dxa"/>
            <w:vAlign w:val="bottom"/>
            <w:tcBorders>
              <w:top w:val="single" w:sz="8" w:color="auto"/>
            </w:tcBorders>
          </w:tcPr>
          <w:p>
            <w:pPr>
              <w:spacing w:after="0"/>
              <w:rPr>
                <w:sz w:val="12"/>
                <w:szCs w:val="12"/>
                <w:color w:val="auto"/>
              </w:rPr>
            </w:pPr>
          </w:p>
        </w:tc>
      </w:tr>
      <w:tr>
        <w:trPr>
          <w:trHeight w:val="140"/>
        </w:trPr>
        <w:tc>
          <w:tcPr>
            <w:tcW w:w="57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maximum</w:t>
            </w:r>
          </w:p>
        </w:tc>
        <w:tc>
          <w:tcPr>
            <w:tcW w:w="1040" w:type="dxa"/>
            <w:vAlign w:val="bottom"/>
          </w:tcPr>
          <w:p>
            <w:pPr>
              <w:spacing w:after="0"/>
              <w:rPr>
                <w:sz w:val="12"/>
                <w:szCs w:val="12"/>
                <w:color w:val="auto"/>
              </w:rPr>
            </w:pPr>
          </w:p>
        </w:tc>
      </w:tr>
      <w:tr>
        <w:trPr>
          <w:trHeight w:val="129"/>
        </w:trPr>
        <w:tc>
          <w:tcPr>
            <w:tcW w:w="5780" w:type="dxa"/>
            <w:vAlign w:val="bottom"/>
            <w:tcBorders>
              <w:right w:val="single" w:sz="8" w:color="auto"/>
            </w:tcBorders>
          </w:tcPr>
          <w:p>
            <w:pPr>
              <w:jc w:val="center"/>
              <w:ind w:right="41"/>
              <w:spacing w:after="0" w:line="129" w:lineRule="exact"/>
              <w:rPr>
                <w:sz w:val="20"/>
                <w:szCs w:val="20"/>
                <w:color w:val="auto"/>
              </w:rPr>
            </w:pPr>
            <w:r>
              <w:rPr>
                <w:rFonts w:ascii="Arial" w:cs="Arial" w:eastAsia="Arial" w:hAnsi="Arial"/>
                <w:sz w:val="12"/>
                <w:szCs w:val="12"/>
                <w:b w:val="1"/>
                <w:bCs w:val="1"/>
                <w:color w:val="auto"/>
              </w:rPr>
              <w:t>Title of each class of</w:t>
            </w:r>
          </w:p>
        </w:tc>
        <w:tc>
          <w:tcPr>
            <w:tcW w:w="960" w:type="dxa"/>
            <w:vAlign w:val="bottom"/>
            <w:tcBorders>
              <w:right w:val="single" w:sz="8" w:color="auto"/>
            </w:tcBorders>
          </w:tcPr>
          <w:p>
            <w:pPr>
              <w:jc w:val="right"/>
              <w:ind w:right="42"/>
              <w:spacing w:after="0" w:line="129" w:lineRule="exact"/>
              <w:rPr>
                <w:sz w:val="20"/>
                <w:szCs w:val="20"/>
                <w:color w:val="auto"/>
              </w:rPr>
            </w:pPr>
            <w:r>
              <w:rPr>
                <w:rFonts w:ascii="Arial" w:cs="Arial" w:eastAsia="Arial" w:hAnsi="Arial"/>
                <w:sz w:val="12"/>
                <w:szCs w:val="12"/>
                <w:b w:val="1"/>
                <w:bCs w:val="1"/>
                <w:color w:val="auto"/>
              </w:rPr>
              <w:t>aggregate</w:t>
            </w:r>
          </w:p>
        </w:tc>
        <w:tc>
          <w:tcPr>
            <w:tcW w:w="1040" w:type="dxa"/>
            <w:vAlign w:val="bottom"/>
          </w:tcPr>
          <w:p>
            <w:pPr>
              <w:ind w:left="400"/>
              <w:spacing w:after="0" w:line="129" w:lineRule="exact"/>
              <w:rPr>
                <w:sz w:val="20"/>
                <w:szCs w:val="20"/>
                <w:color w:val="auto"/>
              </w:rPr>
            </w:pPr>
            <w:r>
              <w:rPr>
                <w:rFonts w:ascii="Arial" w:cs="Arial" w:eastAsia="Arial" w:hAnsi="Arial"/>
                <w:sz w:val="12"/>
                <w:szCs w:val="12"/>
                <w:b w:val="1"/>
                <w:bCs w:val="1"/>
                <w:color w:val="auto"/>
              </w:rPr>
              <w:t>Amount of</w:t>
            </w:r>
          </w:p>
        </w:tc>
      </w:tr>
      <w:tr>
        <w:trPr>
          <w:trHeight w:val="194"/>
        </w:trPr>
        <w:tc>
          <w:tcPr>
            <w:tcW w:w="5780" w:type="dxa"/>
            <w:vAlign w:val="bottom"/>
            <w:tcBorders>
              <w:bottom w:val="single" w:sz="8" w:color="auto"/>
              <w:right w:val="single" w:sz="8" w:color="auto"/>
            </w:tcBorders>
          </w:tcPr>
          <w:p>
            <w:pPr>
              <w:jc w:val="center"/>
              <w:ind w:right="21"/>
              <w:spacing w:after="0"/>
              <w:rPr>
                <w:sz w:val="20"/>
                <w:szCs w:val="20"/>
                <w:color w:val="auto"/>
              </w:rPr>
            </w:pPr>
            <w:r>
              <w:rPr>
                <w:rFonts w:ascii="Arial" w:cs="Arial" w:eastAsia="Arial" w:hAnsi="Arial"/>
                <w:sz w:val="12"/>
                <w:szCs w:val="12"/>
                <w:b w:val="1"/>
                <w:bCs w:val="1"/>
                <w:color w:val="auto"/>
              </w:rPr>
              <w:t>securities to be registered</w:t>
            </w:r>
          </w:p>
        </w:tc>
        <w:tc>
          <w:tcPr>
            <w:tcW w:w="960" w:type="dxa"/>
            <w:vAlign w:val="bottom"/>
            <w:tcBorders>
              <w:bottom w:val="single" w:sz="8" w:color="auto"/>
              <w:right w:val="single" w:sz="8" w:color="auto"/>
            </w:tcBorders>
          </w:tcPr>
          <w:p>
            <w:pPr>
              <w:jc w:val="right"/>
              <w:ind w:right="2"/>
              <w:spacing w:after="0" w:line="194" w:lineRule="exact"/>
              <w:rPr>
                <w:sz w:val="20"/>
                <w:szCs w:val="20"/>
                <w:color w:val="auto"/>
              </w:rPr>
            </w:pPr>
            <w:r>
              <w:rPr>
                <w:rFonts w:ascii="Arial" w:cs="Arial" w:eastAsia="Arial" w:hAnsi="Arial"/>
                <w:sz w:val="12"/>
                <w:szCs w:val="12"/>
                <w:b w:val="1"/>
                <w:bCs w:val="1"/>
                <w:color w:val="auto"/>
                <w:w w:val="97"/>
              </w:rPr>
              <w:t>offering price</w:t>
            </w:r>
            <w:r>
              <w:rPr>
                <w:rFonts w:ascii="Arial" w:cs="Arial" w:eastAsia="Arial" w:hAnsi="Arial"/>
                <w:sz w:val="17"/>
                <w:szCs w:val="17"/>
                <w:b w:val="1"/>
                <w:bCs w:val="1"/>
                <w:color w:val="auto"/>
                <w:w w:val="97"/>
                <w:vertAlign w:val="superscript"/>
              </w:rPr>
              <w:t>(1)</w:t>
            </w:r>
          </w:p>
        </w:tc>
        <w:tc>
          <w:tcPr>
            <w:tcW w:w="104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2"/>
                <w:szCs w:val="12"/>
                <w:b w:val="1"/>
                <w:bCs w:val="1"/>
                <w:color w:val="auto"/>
                <w:w w:val="97"/>
              </w:rPr>
              <w:t>registration fee</w:t>
            </w:r>
            <w:r>
              <w:rPr>
                <w:rFonts w:ascii="Arial" w:cs="Arial" w:eastAsia="Arial" w:hAnsi="Arial"/>
                <w:sz w:val="17"/>
                <w:szCs w:val="17"/>
                <w:b w:val="1"/>
                <w:bCs w:val="1"/>
                <w:color w:val="auto"/>
                <w:w w:val="97"/>
                <w:vertAlign w:val="superscript"/>
              </w:rPr>
              <w:t>(2)</w:t>
            </w:r>
          </w:p>
        </w:tc>
      </w:tr>
      <w:tr>
        <w:trPr>
          <w:trHeight w:val="140"/>
        </w:trPr>
        <w:tc>
          <w:tcPr>
            <w:tcW w:w="578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Common Stock, $0.0001 par value per share</w:t>
            </w:r>
          </w:p>
        </w:tc>
        <w:tc>
          <w:tcPr>
            <w:tcW w:w="960" w:type="dxa"/>
            <w:vAlign w:val="bottom"/>
            <w:tcBorders>
              <w:bottom w:val="single" w:sz="8" w:color="auto"/>
              <w:right w:val="single" w:sz="8" w:color="auto"/>
            </w:tcBorders>
            <w:shd w:val="clear" w:color="auto" w:fill="CCEEFF"/>
          </w:tcPr>
          <w:p>
            <w:pPr>
              <w:jc w:val="right"/>
              <w:ind w:right="622"/>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2"/>
                <w:szCs w:val="12"/>
                <w:color w:val="auto"/>
              </w:rPr>
              <w:t>$</w:t>
            </w:r>
          </w:p>
        </w:tc>
      </w:tr>
    </w:tbl>
    <w:p>
      <w:pPr>
        <w:spacing w:after="0" w:line="30" w:lineRule="exact"/>
        <w:rPr>
          <w:sz w:val="24"/>
          <w:szCs w:val="24"/>
          <w:color w:val="auto"/>
        </w:rPr>
      </w:pPr>
    </w:p>
    <w:p>
      <w:pPr>
        <w:jc w:val="both"/>
        <w:ind w:left="620" w:right="719" w:hanging="10"/>
        <w:spacing w:after="0"/>
        <w:tabs>
          <w:tab w:leader="none" w:pos="816"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computing the amount of the registration fee pursuant to Rule 457(o) under the Securities Act of 1933, as amended. Includes the aggregate offering price of additional shares of common stock that the underwriters have the option to purchase.</w:t>
      </w:r>
    </w:p>
    <w:p>
      <w:pPr>
        <w:spacing w:after="0" w:line="144" w:lineRule="exact"/>
        <w:rPr>
          <w:rFonts w:ascii="Arial" w:cs="Arial" w:eastAsia="Arial" w:hAnsi="Arial"/>
          <w:sz w:val="12"/>
          <w:szCs w:val="12"/>
          <w:color w:val="auto"/>
        </w:rPr>
      </w:pPr>
    </w:p>
    <w:p>
      <w:pPr>
        <w:ind w:left="800" w:hanging="190"/>
        <w:spacing w:after="0"/>
        <w:tabs>
          <w:tab w:leader="none" w:pos="800" w:val="left"/>
        </w:tabs>
        <w:numPr>
          <w:ilvl w:val="0"/>
          <w:numId w:val="1"/>
        </w:numPr>
        <w:rPr>
          <w:rFonts w:ascii="Arial" w:cs="Arial" w:eastAsia="Arial" w:hAnsi="Arial"/>
          <w:sz w:val="12"/>
          <w:szCs w:val="12"/>
          <w:color w:val="auto"/>
        </w:rPr>
      </w:pPr>
      <w:r>
        <w:rPr>
          <w:rFonts w:ascii="Arial" w:cs="Arial" w:eastAsia="Arial" w:hAnsi="Arial"/>
          <w:sz w:val="12"/>
          <w:szCs w:val="12"/>
          <w:color w:val="auto"/>
        </w:rPr>
        <w:t>Calculated pursuant to Rule 457(o) based on an estimate of the proposed maximum aggregate offering price.</w:t>
      </w:r>
    </w:p>
    <w:p>
      <w:pPr>
        <w:spacing w:after="0" w:line="10" w:lineRule="exact"/>
        <w:rPr>
          <w:sz w:val="24"/>
          <w:szCs w:val="24"/>
          <w:color w:val="auto"/>
        </w:rPr>
      </w:pPr>
    </w:p>
    <w:p>
      <w:pPr>
        <w:ind w:left="620" w:right="659" w:firstLine="259"/>
        <w:spacing w:after="0"/>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389890</wp:posOffset>
            </wp:positionH>
            <wp:positionV relativeFrom="paragraph">
              <wp:posOffset>112395</wp:posOffset>
            </wp:positionV>
            <wp:extent cx="49396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39665" cy="6985"/>
                    </a:xfrm>
                    <a:prstGeom prst="rect">
                      <a:avLst/>
                    </a:prstGeom>
                    <a:noFill/>
                  </pic:spPr>
                </pic:pic>
              </a:graphicData>
            </a:graphic>
          </wp:anchor>
        </w:drawing>
        <w:drawing>
          <wp:anchor simplePos="0" relativeHeight="251657728" behindDoc="1" locked="0" layoutInCell="0" allowOverlap="1">
            <wp:simplePos x="0" y="0"/>
            <wp:positionH relativeFrom="column">
              <wp:posOffset>389890</wp:posOffset>
            </wp:positionH>
            <wp:positionV relativeFrom="paragraph">
              <wp:posOffset>132715</wp:posOffset>
            </wp:positionV>
            <wp:extent cx="4939665"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39665" cy="2032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339725</wp:posOffset>
            </wp:positionV>
            <wp:extent cx="5458460"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219" w:right="1440" w:bottom="1440" w:gutter="0" w:footer="0" w:header="0"/>
          <w:type w:val="continuous"/>
        </w:sectPr>
      </w:pPr>
    </w:p>
    <w:bookmarkStart w:id="1" w:name="page2"/>
    <w:bookmarkEnd w:id="1"/>
    <w:p>
      <w:pPr>
        <w:ind w:left="220"/>
        <w:spacing w:after="0"/>
        <w:rPr>
          <w:rFonts w:ascii="Arial" w:cs="Arial" w:eastAsia="Arial" w:hAnsi="Arial"/>
          <w:sz w:val="10"/>
          <w:szCs w:val="10"/>
          <w:color w:val="003366"/>
        </w:rPr>
      </w:pPr>
      <w:hyperlink w:anchor="page2">
        <w:r>
          <w:rPr>
            <w:rFonts w:ascii="Arial" w:cs="Arial" w:eastAsia="Arial" w:hAnsi="Arial"/>
            <w:sz w:val="10"/>
            <w:szCs w:val="10"/>
            <w:color w:val="003366"/>
          </w:rPr>
          <w:t>TABLE OF CONTENTS</w:t>
        </w:r>
      </w:hyperlink>
    </w:p>
    <w:p>
      <w:pPr>
        <w:sectPr>
          <w:pgSz w:w="11900" w:h="16838" w:orient="portrait"/>
          <w:cols w:equalWidth="0" w:num="1">
            <w:col w:w="9019"/>
          </w:cols>
          <w:pgMar w:left="1440" w:top="134" w:right="1440" w:bottom="1440" w:gutter="0" w:footer="0" w:header="0"/>
        </w:sectPr>
      </w:pPr>
    </w:p>
    <w:p>
      <w:pPr>
        <w:spacing w:after="0" w:line="369" w:lineRule="exact"/>
        <w:rPr>
          <w:sz w:val="20"/>
          <w:szCs w:val="20"/>
          <w:color w:val="auto"/>
        </w:rPr>
      </w:pPr>
    </w:p>
    <w:tbl>
      <w:tblPr>
        <w:tblLayout w:type="fixed"/>
        <w:tblInd w:w="920" w:type="dxa"/>
        <w:tblCellMar>
          <w:top w:w="0" w:type="dxa"/>
          <w:left w:w="0" w:type="dxa"/>
          <w:bottom w:w="0" w:type="dxa"/>
          <w:right w:w="0" w:type="dxa"/>
        </w:tblCellMar>
      </w:tblPr>
      <w:tr>
        <w:trPr>
          <w:trHeight w:val="160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registration statement</w:t>
            </w:r>
          </w:p>
        </w:tc>
        <w:tc>
          <w:tcPr>
            <w:tcW w:w="180" w:type="dxa"/>
            <w:vAlign w:val="bottom"/>
            <w:textDirection w:val="btLr"/>
          </w:tcPr>
          <w:p>
            <w:pPr>
              <w:ind w:left="19"/>
              <w:spacing w:after="0"/>
              <w:rPr>
                <w:sz w:val="20"/>
                <w:szCs w:val="20"/>
                <w:color w:val="auto"/>
              </w:rPr>
            </w:pPr>
            <w:r>
              <w:rPr>
                <w:rFonts w:ascii="Arial" w:cs="Arial" w:eastAsia="Arial" w:hAnsi="Arial"/>
                <w:sz w:val="14"/>
                <w:szCs w:val="14"/>
                <w:b w:val="1"/>
                <w:bCs w:val="1"/>
                <w:color w:val="FC0014"/>
              </w:rPr>
              <w:t>and it is not soliciting</w:t>
            </w:r>
          </w:p>
        </w:tc>
        <w:tc>
          <w:tcPr>
            <w:tcW w:w="140" w:type="dxa"/>
            <w:vAlign w:val="bottom"/>
          </w:tcPr>
          <w:p>
            <w:pPr>
              <w:spacing w:after="0"/>
              <w:rPr>
                <w:sz w:val="24"/>
                <w:szCs w:val="24"/>
                <w:color w:val="auto"/>
              </w:rPr>
            </w:pPr>
          </w:p>
        </w:tc>
      </w:tr>
      <w:tr>
        <w:trPr>
          <w:trHeight w:val="72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until the</w:t>
            </w:r>
          </w:p>
        </w:tc>
        <w:tc>
          <w:tcPr>
            <w:tcW w:w="180" w:type="dxa"/>
            <w:vAlign w:val="bottom"/>
            <w:textDirection w:val="btLr"/>
          </w:tcPr>
          <w:p>
            <w:pPr>
              <w:ind w:left="19"/>
              <w:spacing w:after="0"/>
              <w:rPr>
                <w:sz w:val="20"/>
                <w:szCs w:val="20"/>
                <w:color w:val="auto"/>
              </w:rPr>
            </w:pPr>
            <w:r>
              <w:rPr>
                <w:rFonts w:ascii="Arial" w:cs="Arial" w:eastAsia="Arial" w:hAnsi="Arial"/>
                <w:sz w:val="14"/>
                <w:szCs w:val="14"/>
                <w:b w:val="1"/>
                <w:bCs w:val="1"/>
                <w:color w:val="FC0014"/>
              </w:rPr>
              <w:t>securities</w:t>
            </w:r>
          </w:p>
        </w:tc>
        <w:tc>
          <w:tcPr>
            <w:tcW w:w="140" w:type="dxa"/>
            <w:vAlign w:val="bottom"/>
          </w:tcPr>
          <w:p>
            <w:pPr>
              <w:spacing w:after="0"/>
              <w:rPr>
                <w:sz w:val="24"/>
                <w:szCs w:val="24"/>
                <w:color w:val="auto"/>
              </w:rPr>
            </w:pPr>
          </w:p>
        </w:tc>
      </w:tr>
      <w:tr>
        <w:trPr>
          <w:trHeight w:val="73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w:t>
            </w:r>
          </w:p>
        </w:tc>
        <w:tc>
          <w:tcPr>
            <w:tcW w:w="180" w:type="dxa"/>
            <w:vAlign w:val="bottom"/>
            <w:textDirection w:val="btLr"/>
          </w:tcPr>
          <w:p>
            <w:pPr>
              <w:ind w:left="19"/>
              <w:spacing w:after="0"/>
              <w:rPr>
                <w:sz w:val="20"/>
                <w:szCs w:val="20"/>
                <w:color w:val="auto"/>
              </w:rPr>
            </w:pPr>
            <w:r>
              <w:rPr>
                <w:rFonts w:ascii="Arial" w:cs="Arial" w:eastAsia="Arial" w:hAnsi="Arial"/>
                <w:sz w:val="14"/>
                <w:szCs w:val="14"/>
                <w:b w:val="1"/>
                <w:bCs w:val="1"/>
                <w:color w:val="FC0014"/>
              </w:rPr>
              <w:t>sell these</w:t>
            </w:r>
          </w:p>
        </w:tc>
        <w:tc>
          <w:tcPr>
            <w:tcW w:w="140" w:type="dxa"/>
            <w:vAlign w:val="bottom"/>
          </w:tcPr>
          <w:p>
            <w:pPr>
              <w:spacing w:after="0"/>
              <w:rPr>
                <w:sz w:val="24"/>
                <w:szCs w:val="24"/>
                <w:color w:val="auto"/>
              </w:rPr>
            </w:pPr>
          </w:p>
        </w:tc>
      </w:tr>
      <w:tr>
        <w:trPr>
          <w:trHeight w:val="432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not complete and may be changed. We may not sell these</w:t>
            </w:r>
          </w:p>
        </w:tc>
        <w:tc>
          <w:tcPr>
            <w:tcW w:w="180" w:type="dxa"/>
            <w:vAlign w:val="bottom"/>
            <w:textDirection w:val="btLr"/>
          </w:tcPr>
          <w:p>
            <w:pPr>
              <w:ind w:left="19"/>
              <w:spacing w:after="0"/>
              <w:rPr>
                <w:sz w:val="20"/>
                <w:szCs w:val="20"/>
                <w:color w:val="auto"/>
              </w:rPr>
            </w:pPr>
            <w:r>
              <w:rPr>
                <w:rFonts w:ascii="Arial" w:cs="Arial" w:eastAsia="Arial" w:hAnsi="Arial"/>
                <w:sz w:val="14"/>
                <w:szCs w:val="14"/>
                <w:b w:val="1"/>
                <w:bCs w:val="1"/>
                <w:color w:val="FC0014"/>
              </w:rPr>
              <w:t>Commission is effective. This prospectus is not an offer to</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jurisdiction where the offer or sale is not permitted.</w:t>
            </w:r>
          </w:p>
        </w:tc>
      </w:tr>
      <w:tr>
        <w:trPr>
          <w:trHeight w:val="276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prospectus is</w:t>
            </w:r>
          </w:p>
        </w:tc>
        <w:tc>
          <w:tcPr>
            <w:tcW w:w="180" w:type="dxa"/>
            <w:vAlign w:val="bottom"/>
            <w:textDirection w:val="btLr"/>
          </w:tcPr>
          <w:p>
            <w:pPr>
              <w:ind w:left="19"/>
              <w:spacing w:after="0"/>
              <w:rPr>
                <w:sz w:val="20"/>
                <w:szCs w:val="20"/>
                <w:color w:val="auto"/>
              </w:rPr>
            </w:pPr>
            <w:r>
              <w:rPr>
                <w:rFonts w:ascii="Arial" w:cs="Arial" w:eastAsia="Arial" w:hAnsi="Arial"/>
                <w:sz w:val="14"/>
                <w:szCs w:val="14"/>
                <w:b w:val="1"/>
                <w:bCs w:val="1"/>
                <w:color w:val="FC0014"/>
              </w:rPr>
              <w:t>filed with the Securities and Exchange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an offer to buy these securities in any</w:t>
            </w:r>
          </w:p>
        </w:tc>
      </w:tr>
    </w:tbl>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7"/>
                <w:szCs w:val="17"/>
                <w:b w:val="1"/>
                <w:bCs w:val="1"/>
                <w:color w:val="FC0014"/>
              </w:rPr>
              <w:t>Subject to completion, dated</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FC0014"/>
              </w:rPr>
              <w:t>, 2021</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Preliminary prospectus</w:t>
      </w:r>
    </w:p>
    <w:p>
      <w:pPr>
        <w:spacing w:after="0" w:line="144" w:lineRule="exact"/>
        <w:rPr>
          <w:sz w:val="20"/>
          <w:szCs w:val="20"/>
          <w:color w:val="auto"/>
        </w:rPr>
      </w:pPr>
    </w:p>
    <w:p>
      <w:pPr>
        <w:ind w:left="1580"/>
        <w:spacing w:after="0"/>
        <w:rPr>
          <w:sz w:val="20"/>
          <w:szCs w:val="20"/>
          <w:color w:val="auto"/>
        </w:rPr>
      </w:pPr>
      <w:r>
        <w:rPr>
          <w:rFonts w:ascii="Arial" w:cs="Arial" w:eastAsia="Arial" w:hAnsi="Arial"/>
          <w:sz w:val="26"/>
          <w:szCs w:val="26"/>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2350135" cy="630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013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6"/>
          <w:szCs w:val="26"/>
          <w:b w:val="1"/>
          <w:bCs w:val="1"/>
          <w:i w:val="1"/>
          <w:iCs w:val="1"/>
          <w:color w:val="auto"/>
        </w:rPr>
        <w:t>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This is the initial public offering of shares of common stock of Century Therapeutics, Inc.</w:t>
      </w:r>
    </w:p>
    <w:p>
      <w:pPr>
        <w:spacing w:after="0" w:line="130" w:lineRule="exact"/>
        <w:rPr>
          <w:sz w:val="20"/>
          <w:szCs w:val="20"/>
          <w:color w:val="auto"/>
        </w:rPr>
      </w:pPr>
    </w:p>
    <w:p>
      <w:pPr>
        <w:ind w:right="1359"/>
        <w:spacing w:after="0" w:line="257" w:lineRule="auto"/>
        <w:rPr>
          <w:sz w:val="20"/>
          <w:szCs w:val="20"/>
          <w:color w:val="auto"/>
        </w:rPr>
      </w:pPr>
      <w:r>
        <w:rPr>
          <w:rFonts w:ascii="Arial" w:cs="Arial" w:eastAsia="Arial" w:hAnsi="Arial"/>
          <w:sz w:val="14"/>
          <w:szCs w:val="14"/>
          <w:color w:val="auto"/>
        </w:rPr>
        <w:t>We are offering shares of our common stock. Prior to this offering, there has been no public market for our common stock. It is currently estimated that the initial public offering price per</w:t>
      </w:r>
    </w:p>
    <w:p>
      <w:pPr>
        <w:spacing w:after="0"/>
        <w:tabs>
          <w:tab w:leader="none" w:pos="2140" w:val="left"/>
          <w:tab w:leader="none" w:pos="3040" w:val="left"/>
        </w:tabs>
        <w:rPr>
          <w:sz w:val="20"/>
          <w:szCs w:val="20"/>
          <w:color w:val="auto"/>
        </w:rPr>
      </w:pPr>
      <w:r>
        <w:rPr>
          <w:rFonts w:ascii="Arial" w:cs="Arial" w:eastAsia="Arial" w:hAnsi="Arial"/>
          <w:sz w:val="14"/>
          <w:szCs w:val="14"/>
          <w:color w:val="auto"/>
        </w:rPr>
        <w:t>share will be between $</w:t>
      </w:r>
      <w:r>
        <w:rPr>
          <w:sz w:val="20"/>
          <w:szCs w:val="20"/>
          <w:color w:val="auto"/>
        </w:rPr>
        <w:tab/>
      </w:r>
      <w:r>
        <w:rPr>
          <w:rFonts w:ascii="Arial" w:cs="Arial" w:eastAsia="Arial" w:hAnsi="Arial"/>
          <w:sz w:val="14"/>
          <w:szCs w:val="14"/>
          <w:color w:val="auto"/>
        </w:rPr>
        <w:t>and $</w:t>
      </w:r>
      <w:r>
        <w:rPr>
          <w:sz w:val="20"/>
          <w:szCs w:val="20"/>
          <w:color w:val="auto"/>
        </w:rPr>
        <w:tab/>
      </w:r>
      <w:r>
        <w:rPr>
          <w:rFonts w:ascii="Arial" w:cs="Arial" w:eastAsia="Arial" w:hAnsi="Arial"/>
          <w:sz w:val="14"/>
          <w:szCs w:val="14"/>
          <w:color w:val="auto"/>
        </w:rPr>
        <w:t>.</w:t>
      </w:r>
    </w:p>
    <w:p>
      <w:pPr>
        <w:spacing w:after="0" w:line="141" w:lineRule="exact"/>
        <w:rPr>
          <w:sz w:val="20"/>
          <w:szCs w:val="20"/>
          <w:color w:val="auto"/>
        </w:rPr>
      </w:pPr>
    </w:p>
    <w:p>
      <w:pPr>
        <w:ind w:right="1059"/>
        <w:spacing w:after="0" w:line="290" w:lineRule="auto"/>
        <w:rPr>
          <w:sz w:val="20"/>
          <w:szCs w:val="20"/>
          <w:color w:val="auto"/>
        </w:rPr>
      </w:pPr>
      <w:r>
        <w:rPr>
          <w:rFonts w:ascii="Arial" w:cs="Arial" w:eastAsia="Arial" w:hAnsi="Arial"/>
          <w:sz w:val="14"/>
          <w:szCs w:val="14"/>
          <w:color w:val="auto"/>
        </w:rPr>
        <w:t>We have applied to list our common stock on the Nasdaq Global Select Market under the trading symbol “IPSC”.</w:t>
      </w:r>
    </w:p>
    <w:p>
      <w:pPr>
        <w:spacing w:after="0" w:line="75" w:lineRule="exact"/>
        <w:rPr>
          <w:sz w:val="20"/>
          <w:szCs w:val="20"/>
          <w:color w:val="auto"/>
        </w:rPr>
      </w:pPr>
    </w:p>
    <w:p>
      <w:pPr>
        <w:ind w:right="999"/>
        <w:spacing w:after="0" w:line="265" w:lineRule="auto"/>
        <w:rPr>
          <w:sz w:val="20"/>
          <w:szCs w:val="20"/>
          <w:color w:val="auto"/>
        </w:rPr>
      </w:pPr>
      <w:r>
        <w:rPr>
          <w:rFonts w:ascii="Arial" w:cs="Arial" w:eastAsia="Arial" w:hAnsi="Arial"/>
          <w:sz w:val="14"/>
          <w:szCs w:val="14"/>
          <w:color w:val="auto"/>
        </w:rPr>
        <w:t>We are an “emerging growth company” and a “smaller reporting company” as defined under the federal securities laws and, as such, have elected to comply with certain reduced public company reporting requirements for this prospectus and may elect to do so in future filings.</w:t>
      </w:r>
    </w:p>
    <w:p>
      <w:pPr>
        <w:spacing w:after="0" w:line="120" w:lineRule="exact"/>
        <w:rPr>
          <w:sz w:val="20"/>
          <w:szCs w:val="20"/>
          <w:color w:val="auto"/>
        </w:rPr>
      </w:pPr>
    </w:p>
    <w:p>
      <w:pPr>
        <w:ind w:right="1099"/>
        <w:spacing w:after="0" w:line="235"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stock involves a high degree of risk. See the section titled “</w:t>
      </w:r>
      <w:r>
        <w:rPr>
          <w:rFonts w:ascii="Arial" w:cs="Arial" w:eastAsia="Arial" w:hAnsi="Arial"/>
          <w:sz w:val="17"/>
          <w:szCs w:val="17"/>
          <w:b w:val="1"/>
          <w:bCs w:val="1"/>
          <w:u w:val="single" w:color="auto"/>
          <w:color w:val="auto"/>
        </w:rPr>
        <w:t>Risk factors</w:t>
      </w:r>
      <w:r>
        <w:rPr>
          <w:rFonts w:ascii="Arial" w:cs="Arial" w:eastAsia="Arial" w:hAnsi="Arial"/>
          <w:sz w:val="17"/>
          <w:szCs w:val="17"/>
          <w:b w:val="1"/>
          <w:bCs w:val="1"/>
          <w:color w:val="auto"/>
        </w:rPr>
        <w:t xml:space="preserve">” beginning on page </w:t>
      </w:r>
      <w:hyperlink w:anchor="page15">
        <w:r>
          <w:rPr>
            <w:rFonts w:ascii="Arial" w:cs="Arial" w:eastAsia="Arial" w:hAnsi="Arial"/>
            <w:sz w:val="17"/>
            <w:szCs w:val="17"/>
            <w:b w:val="1"/>
            <w:bCs w:val="1"/>
            <w:u w:val="single" w:color="auto"/>
            <w:color w:val="0000EE"/>
          </w:rPr>
          <w:t>1</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b w:val="1"/>
          <w:bCs w:val="1"/>
          <w:color w:val="auto"/>
        </w:rPr>
        <w:t>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4165600"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8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Per share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3"/>
        </w:trPr>
        <w:tc>
          <w:tcPr>
            <w:tcW w:w="20" w:type="dxa"/>
            <w:vAlign w:val="bottom"/>
          </w:tcPr>
          <w:p>
            <w:pPr>
              <w:spacing w:after="0"/>
              <w:rPr>
                <w:sz w:val="15"/>
                <w:szCs w:val="15"/>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Initial public offering price</w:t>
            </w:r>
          </w:p>
        </w:tc>
        <w:tc>
          <w:tcPr>
            <w:tcW w:w="10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20" w:type="dxa"/>
            <w:vAlign w:val="bottom"/>
          </w:tcPr>
          <w:p>
            <w:pPr>
              <w:spacing w:after="0"/>
              <w:rPr>
                <w:sz w:val="18"/>
                <w:szCs w:val="18"/>
                <w:color w:val="auto"/>
              </w:rPr>
            </w:pPr>
          </w:p>
        </w:tc>
        <w:tc>
          <w:tcPr>
            <w:tcW w:w="4880" w:type="dxa"/>
            <w:vAlign w:val="bottom"/>
          </w:tcPr>
          <w:p>
            <w:pPr>
              <w:spacing w:after="0" w:line="216" w:lineRule="exact"/>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1"/>
                <w:szCs w:val="21"/>
                <w:color w:val="auto"/>
                <w:vertAlign w:val="superscript"/>
              </w:rPr>
              <w:t>(1)</w:t>
            </w:r>
          </w:p>
        </w:tc>
        <w:tc>
          <w:tcPr>
            <w:tcW w:w="106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Pr>
          <w:p>
            <w:pPr>
              <w:spacing w:after="0"/>
              <w:rPr>
                <w:sz w:val="17"/>
                <w:szCs w:val="17"/>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Proceeds to us before expenses</w:t>
            </w:r>
          </w:p>
        </w:tc>
        <w:tc>
          <w:tcPr>
            <w:tcW w:w="10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
        </w:trPr>
        <w:tc>
          <w:tcPr>
            <w:tcW w:w="20" w:type="dxa"/>
            <w:vAlign w:val="bottom"/>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311086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0865" cy="6985"/>
                    </a:xfrm>
                    <a:prstGeom prst="rect">
                      <a:avLst/>
                    </a:prstGeom>
                    <a:noFill/>
                  </pic:spPr>
                </pic:pic>
              </a:graphicData>
            </a:graphic>
          </wp:anchor>
        </w:drawing>
      </w:r>
    </w:p>
    <w:p>
      <w:pPr>
        <w:spacing w:after="0" w:line="87" w:lineRule="exact"/>
        <w:rPr>
          <w:sz w:val="20"/>
          <w:szCs w:val="20"/>
          <w:color w:val="auto"/>
        </w:rPr>
      </w:pPr>
    </w:p>
    <w:p>
      <w:pPr>
        <w:ind w:right="1079" w:firstLine="3"/>
        <w:spacing w:after="0" w:line="251" w:lineRule="auto"/>
        <w:tabs>
          <w:tab w:leader="none" w:pos="173"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See the section titled “Underwriting” beginning on page </w:t>
      </w:r>
      <w:hyperlink w:anchor="page199">
        <w:r>
          <w:rPr>
            <w:rFonts w:ascii="Arial" w:cs="Arial" w:eastAsia="Arial" w:hAnsi="Arial"/>
            <w:sz w:val="11"/>
            <w:szCs w:val="11"/>
            <w:u w:val="single" w:color="auto"/>
            <w:color w:val="0000EE"/>
          </w:rPr>
          <w:t>185</w:t>
        </w:r>
        <w:r>
          <w:rPr>
            <w:rFonts w:ascii="Arial" w:cs="Arial" w:eastAsia="Arial" w:hAnsi="Arial"/>
            <w:sz w:val="11"/>
            <w:szCs w:val="11"/>
            <w:u w:val="single" w:color="auto"/>
            <w:color w:val="auto"/>
          </w:rPr>
          <w:t xml:space="preserve"> </w:t>
        </w:r>
      </w:hyperlink>
      <w:r>
        <w:rPr>
          <w:rFonts w:ascii="Arial" w:cs="Arial" w:eastAsia="Arial" w:hAnsi="Arial"/>
          <w:sz w:val="11"/>
          <w:szCs w:val="11"/>
          <w:color w:val="auto"/>
        </w:rPr>
        <w:t>for additional information regarding compensation payable to the underwriters.</w:t>
      </w:r>
    </w:p>
    <w:p>
      <w:pPr>
        <w:spacing w:after="0" w:line="113" w:lineRule="exact"/>
        <w:rPr>
          <w:sz w:val="20"/>
          <w:szCs w:val="20"/>
          <w:color w:val="auto"/>
        </w:rPr>
      </w:pPr>
    </w:p>
    <w:p>
      <w:pPr>
        <w:ind w:left="220" w:right="1339" w:hanging="210"/>
        <w:spacing w:after="0" w:line="257" w:lineRule="auto"/>
        <w:rPr>
          <w:sz w:val="20"/>
          <w:szCs w:val="20"/>
          <w:color w:val="auto"/>
        </w:rPr>
      </w:pPr>
      <w:r>
        <w:rPr>
          <w:rFonts w:ascii="Arial" w:cs="Arial" w:eastAsia="Arial" w:hAnsi="Arial"/>
          <w:sz w:val="14"/>
          <w:szCs w:val="14"/>
          <w:color w:val="auto"/>
        </w:rPr>
        <w:t>We have granted the underwriters an option for a period of 30 days to purchase up to additional shares of common stock at the initial public offering price, less the underwriting</w:t>
      </w:r>
    </w:p>
    <w:p>
      <w:pPr>
        <w:spacing w:after="0"/>
        <w:rPr>
          <w:sz w:val="20"/>
          <w:szCs w:val="20"/>
          <w:color w:val="auto"/>
        </w:rPr>
      </w:pPr>
      <w:r>
        <w:rPr>
          <w:rFonts w:ascii="Arial" w:cs="Arial" w:eastAsia="Arial" w:hAnsi="Arial"/>
          <w:sz w:val="14"/>
          <w:szCs w:val="14"/>
          <w:color w:val="auto"/>
        </w:rPr>
        <w:t>discounts and commissions.</w:t>
      </w:r>
    </w:p>
    <w:p>
      <w:pPr>
        <w:spacing w:after="0" w:line="141" w:lineRule="exact"/>
        <w:rPr>
          <w:sz w:val="20"/>
          <w:szCs w:val="20"/>
          <w:color w:val="auto"/>
        </w:rPr>
      </w:pPr>
    </w:p>
    <w:p>
      <w:pPr>
        <w:spacing w:after="0"/>
        <w:tabs>
          <w:tab w:leader="none" w:pos="6460" w:val="left"/>
        </w:tabs>
        <w:rPr>
          <w:sz w:val="20"/>
          <w:szCs w:val="20"/>
          <w:color w:val="auto"/>
        </w:rPr>
      </w:pPr>
      <w:r>
        <w:rPr>
          <w:rFonts w:ascii="Arial" w:cs="Arial" w:eastAsia="Arial" w:hAnsi="Arial"/>
          <w:sz w:val="14"/>
          <w:szCs w:val="14"/>
          <w:color w:val="auto"/>
        </w:rPr>
        <w:t>The underwriters expect to deliver the shares against payment in New York, New York on</w:t>
      </w:r>
      <w:r>
        <w:rPr>
          <w:sz w:val="20"/>
          <w:szCs w:val="20"/>
          <w:color w:val="auto"/>
        </w:rPr>
        <w:tab/>
      </w:r>
      <w:r>
        <w:rPr>
          <w:rFonts w:ascii="Arial" w:cs="Arial" w:eastAsia="Arial" w:hAnsi="Arial"/>
          <w:sz w:val="14"/>
          <w:szCs w:val="14"/>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2021.</w:t>
      </w:r>
    </w:p>
    <w:p>
      <w:pPr>
        <w:spacing w:after="0" w:line="112" w:lineRule="exact"/>
        <w:rPr>
          <w:sz w:val="20"/>
          <w:szCs w:val="20"/>
          <w:color w:val="auto"/>
        </w:rPr>
      </w:pPr>
    </w:p>
    <w:p>
      <w:pPr>
        <w:jc w:val="both"/>
        <w:ind w:right="1019"/>
        <w:spacing w:after="0" w:line="295"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J.P. Morgan  BofA Securities SVB Leerink Piper Sandler</w:t>
      </w:r>
    </w:p>
    <w:p>
      <w:pPr>
        <w:spacing w:after="0" w:line="527" w:lineRule="exact"/>
        <w:rPr>
          <w:sz w:val="20"/>
          <w:szCs w:val="20"/>
          <w:color w:val="auto"/>
        </w:rPr>
      </w:pPr>
    </w:p>
    <w:p>
      <w:pPr>
        <w:sectPr>
          <w:pgSz w:w="11900" w:h="16838" w:orient="portrait"/>
          <w:cols w:equalWidth="0" w:num="2">
            <w:col w:w="1400" w:space="80"/>
            <w:col w:w="7539"/>
          </w:cols>
          <w:pgMar w:left="1440" w:top="134" w:right="1440" w:bottom="1440" w:gutter="0" w:footer="0" w:header="0"/>
          <w:type w:val="continuous"/>
        </w:sectPr>
      </w:pPr>
    </w:p>
    <w:p>
      <w:pPr>
        <w:spacing w:after="0" w:line="261" w:lineRule="exact"/>
        <w:rPr>
          <w:sz w:val="20"/>
          <w:szCs w:val="20"/>
          <w:color w:val="auto"/>
        </w:rPr>
      </w:pPr>
    </w:p>
    <w:tbl>
      <w:tblPr>
        <w:tblLayout w:type="fixed"/>
        <w:tblInd w:w="220" w:type="dxa"/>
        <w:tblCellMar>
          <w:top w:w="0" w:type="dxa"/>
          <w:left w:w="0" w:type="dxa"/>
          <w:bottom w:w="0" w:type="dxa"/>
          <w:right w:w="0" w:type="dxa"/>
        </w:tblCellMar>
      </w:tblPr>
      <w:tr>
        <w:trPr>
          <w:trHeight w:val="189"/>
        </w:trPr>
        <w:tc>
          <w:tcPr>
            <w:tcW w:w="2840" w:type="dxa"/>
            <w:vAlign w:val="bottom"/>
          </w:tcPr>
          <w:p>
            <w:pPr>
              <w:ind w:left="1260"/>
              <w:spacing w:after="0"/>
              <w:rPr>
                <w:sz w:val="20"/>
                <w:szCs w:val="20"/>
                <w:color w:val="auto"/>
              </w:rPr>
            </w:pPr>
            <w:r>
              <w:rPr>
                <w:rFonts w:ascii="Arial" w:cs="Arial" w:eastAsia="Arial" w:hAnsi="Arial"/>
                <w:sz w:val="16"/>
                <w:szCs w:val="16"/>
                <w:color w:val="auto"/>
              </w:rPr>
              <w:t>Prospectus dated</w:t>
            </w:r>
          </w:p>
        </w:tc>
        <w:tc>
          <w:tcPr>
            <w:tcW w:w="5720" w:type="dxa"/>
            <w:vAlign w:val="bottom"/>
          </w:tcPr>
          <w:p>
            <w:pPr>
              <w:jc w:val="right"/>
              <w:ind w:right="4921"/>
              <w:spacing w:after="0"/>
              <w:rPr>
                <w:sz w:val="20"/>
                <w:szCs w:val="20"/>
                <w:color w:val="auto"/>
              </w:rPr>
            </w:pPr>
            <w:r>
              <w:rPr>
                <w:rFonts w:ascii="Arial" w:cs="Arial" w:eastAsia="Arial" w:hAnsi="Arial"/>
                <w:sz w:val="16"/>
                <w:szCs w:val="16"/>
                <w:color w:val="auto"/>
              </w:rPr>
              <w:t>, 2021</w:t>
            </w:r>
          </w:p>
        </w:tc>
      </w:tr>
      <w:tr>
        <w:trPr>
          <w:trHeight w:val="74"/>
        </w:trPr>
        <w:tc>
          <w:tcPr>
            <w:tcW w:w="2840" w:type="dxa"/>
            <w:vAlign w:val="bottom"/>
            <w:tcBorders>
              <w:bottom w:val="single" w:sz="8" w:color="9A9A9A"/>
            </w:tcBorders>
          </w:tcPr>
          <w:p>
            <w:pPr>
              <w:spacing w:after="0"/>
              <w:rPr>
                <w:sz w:val="6"/>
                <w:szCs w:val="6"/>
                <w:color w:val="auto"/>
              </w:rPr>
            </w:pPr>
          </w:p>
        </w:tc>
        <w:tc>
          <w:tcPr>
            <w:tcW w:w="57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5556885</wp:posOffset>
            </wp:positionH>
            <wp:positionV relativeFrom="paragraph">
              <wp:posOffset>-26035</wp:posOffset>
            </wp:positionV>
            <wp:extent cx="1968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685" cy="39370"/>
                    </a:xfrm>
                    <a:prstGeom prst="rect">
                      <a:avLst/>
                    </a:prstGeom>
                    <a:noFill/>
                  </pic:spPr>
                </pic:pic>
              </a:graphicData>
            </a:graphic>
          </wp:anchor>
        </w:drawing>
        <w:drawing>
          <wp:anchor simplePos="0" relativeHeight="251657728" behindDoc="1" locked="0" layoutInCell="0" allowOverlap="1">
            <wp:simplePos x="0" y="0"/>
            <wp:positionH relativeFrom="column">
              <wp:posOffset>143510</wp:posOffset>
            </wp:positionH>
            <wp:positionV relativeFrom="paragraph">
              <wp:posOffset>-26035</wp:posOffset>
            </wp:positionV>
            <wp:extent cx="1968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85"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 w:name="page3"/>
    <w:bookmarkEnd w:id="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Table of contents</w:t>
      </w:r>
    </w:p>
    <w:p>
      <w:pPr>
        <w:spacing w:after="0" w:line="130" w:lineRule="exact"/>
        <w:rPr>
          <w:sz w:val="20"/>
          <w:szCs w:val="20"/>
          <w:color w:val="auto"/>
        </w:rPr>
      </w:pPr>
    </w:p>
    <w:tbl>
      <w:tblPr>
        <w:tblLayout w:type="fixed"/>
        <w:tblInd w:w="1220" w:type="dxa"/>
        <w:tblCellMar>
          <w:top w:w="0" w:type="dxa"/>
          <w:left w:w="0" w:type="dxa"/>
          <w:bottom w:w="0" w:type="dxa"/>
          <w:right w:w="0" w:type="dxa"/>
        </w:tblCellMar>
      </w:tblPr>
      <w:tr>
        <w:trPr>
          <w:trHeight w:val="166"/>
        </w:trPr>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b w:val="1"/>
                <w:bCs w:val="1"/>
                <w:color w:val="auto"/>
              </w:rPr>
              <w:t>Page</w:t>
            </w:r>
          </w:p>
        </w:tc>
      </w:tr>
      <w:tr>
        <w:trPr>
          <w:trHeight w:val="185"/>
        </w:trPr>
        <w:tc>
          <w:tcPr>
            <w:tcW w:w="1480" w:type="dxa"/>
            <w:vAlign w:val="bottom"/>
            <w:tcBorders>
              <w:bottom w:val="single" w:sz="8" w:color="0000EE"/>
              <w:right w:val="single" w:sz="8" w:color="CCEEFF"/>
            </w:tcBorders>
            <w:gridSpan w:val="7"/>
            <w:shd w:val="clear" w:color="auto" w:fill="CCEEFF"/>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Prospectus summary</w:t>
              </w:r>
            </w:hyperlink>
          </w:p>
        </w:tc>
        <w:tc>
          <w:tcPr>
            <w:tcW w:w="4280" w:type="dxa"/>
            <w:vAlign w:val="bottom"/>
            <w:tcBorders>
              <w:bottom w:val="single" w:sz="8" w:color="CCEEFF"/>
            </w:tcBorders>
            <w:gridSpan w:val="8"/>
            <w:shd w:val="clear" w:color="auto" w:fill="CCEEFF"/>
          </w:tcPr>
          <w:p>
            <w:pPr>
              <w:spacing w:after="0"/>
              <w:rPr>
                <w:sz w:val="16"/>
                <w:szCs w:val="16"/>
                <w:color w:val="auto"/>
              </w:rPr>
            </w:pPr>
          </w:p>
        </w:tc>
        <w:tc>
          <w:tcPr>
            <w:tcW w:w="64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left w:val="single" w:sz="8" w:color="CCEEFF"/>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i</w:t>
              </w:r>
            </w:hyperlink>
          </w:p>
        </w:tc>
      </w:tr>
      <w:tr>
        <w:trPr>
          <w:trHeight w:val="185"/>
        </w:trPr>
        <w:tc>
          <w:tcPr>
            <w:tcW w:w="880" w:type="dxa"/>
            <w:vAlign w:val="bottom"/>
            <w:tcBorders>
              <w:bottom w:val="single" w:sz="8" w:color="0000EE"/>
            </w:tcBorders>
            <w:gridSpan w:val="4"/>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The offering</w:t>
              </w:r>
            </w:hyperlink>
          </w:p>
        </w:tc>
        <w:tc>
          <w:tcPr>
            <w:tcW w:w="4880" w:type="dxa"/>
            <w:vAlign w:val="bottom"/>
            <w:gridSpan w:val="11"/>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Borders>
              <w:bottom w:val="single" w:sz="8" w:color="0000EE"/>
            </w:tcBorders>
            <w:gridSpan w:val="2"/>
          </w:tcPr>
          <w:p>
            <w:pPr>
              <w:jc w:val="right"/>
              <w:spacing w:after="0"/>
              <w:rPr>
                <w:rFonts w:ascii="Arial" w:cs="Arial" w:eastAsia="Arial" w:hAnsi="Arial"/>
                <w:sz w:val="14"/>
                <w:szCs w:val="14"/>
                <w:color w:val="0000EE"/>
              </w:rPr>
            </w:pPr>
            <w:hyperlink w:anchor="page11">
              <w:r>
                <w:rPr>
                  <w:rFonts w:ascii="Arial" w:cs="Arial" w:eastAsia="Arial" w:hAnsi="Arial"/>
                  <w:sz w:val="14"/>
                  <w:szCs w:val="14"/>
                  <w:color w:val="0000EE"/>
                </w:rPr>
                <w:t>ix</w:t>
              </w:r>
            </w:hyperlink>
          </w:p>
        </w:tc>
      </w:tr>
      <w:tr>
        <w:trPr>
          <w:trHeight w:val="185"/>
        </w:trPr>
        <w:tc>
          <w:tcPr>
            <w:tcW w:w="2480" w:type="dxa"/>
            <w:vAlign w:val="bottom"/>
            <w:tcBorders>
              <w:bottom w:val="single" w:sz="8" w:color="0000EE"/>
              <w:right w:val="single" w:sz="8" w:color="CCEEFF"/>
            </w:tcBorders>
            <w:gridSpan w:val="11"/>
            <w:shd w:val="clear" w:color="auto" w:fill="CCEEFF"/>
          </w:tcPr>
          <w:p>
            <w:pPr>
              <w:spacing w:after="0"/>
              <w:rPr>
                <w:rFonts w:ascii="Arial" w:cs="Arial" w:eastAsia="Arial" w:hAnsi="Arial"/>
                <w:sz w:val="14"/>
                <w:szCs w:val="14"/>
                <w:color w:val="0000EE"/>
              </w:rPr>
            </w:pPr>
            <w:hyperlink w:anchor="page13">
              <w:r>
                <w:rPr>
                  <w:rFonts w:ascii="Arial" w:cs="Arial" w:eastAsia="Arial" w:hAnsi="Arial"/>
                  <w:sz w:val="14"/>
                  <w:szCs w:val="14"/>
                  <w:color w:val="0000EE"/>
                </w:rPr>
                <w:t>Summary consolidated financial data</w:t>
              </w:r>
            </w:hyperlink>
          </w:p>
        </w:tc>
        <w:tc>
          <w:tcPr>
            <w:tcW w:w="3280" w:type="dxa"/>
            <w:vAlign w:val="bottom"/>
            <w:tcBorders>
              <w:bottom w:val="single" w:sz="8" w:color="CCEEFF"/>
            </w:tcBorders>
            <w:gridSpan w:val="4"/>
            <w:shd w:val="clear" w:color="auto" w:fill="CCEEFF"/>
          </w:tcPr>
          <w:p>
            <w:pPr>
              <w:spacing w:after="0"/>
              <w:rPr>
                <w:sz w:val="16"/>
                <w:szCs w:val="16"/>
                <w:color w:val="auto"/>
              </w:rPr>
            </w:pPr>
          </w:p>
        </w:tc>
        <w:tc>
          <w:tcPr>
            <w:tcW w:w="640" w:type="dxa"/>
            <w:vAlign w:val="bottom"/>
            <w:tcBorders>
              <w:bottom w:val="single" w:sz="8" w:color="CCEEFF"/>
              <w:right w:val="single" w:sz="8" w:color="CCEEFF"/>
            </w:tcBorders>
            <w:shd w:val="clear" w:color="auto" w:fill="CCEEFF"/>
          </w:tcPr>
          <w:p>
            <w:pPr>
              <w:spacing w:after="0"/>
              <w:rPr>
                <w:sz w:val="16"/>
                <w:szCs w:val="16"/>
                <w:color w:val="auto"/>
              </w:rPr>
            </w:pPr>
          </w:p>
        </w:tc>
        <w:tc>
          <w:tcPr>
            <w:tcW w:w="160" w:type="dxa"/>
            <w:vAlign w:val="bottom"/>
            <w:tcBorders>
              <w:left w:val="single" w:sz="8" w:color="CCEEFF"/>
              <w:bottom w:val="single" w:sz="8" w:color="0000EE"/>
            </w:tcBorders>
            <w:gridSpan w:val="2"/>
            <w:shd w:val="clear" w:color="auto" w:fill="CCEEFF"/>
          </w:tcPr>
          <w:p>
            <w:pPr>
              <w:jc w:val="right"/>
              <w:spacing w:after="0"/>
              <w:rPr>
                <w:rFonts w:ascii="Arial" w:cs="Arial" w:eastAsia="Arial" w:hAnsi="Arial"/>
                <w:sz w:val="14"/>
                <w:szCs w:val="14"/>
                <w:color w:val="0000EE"/>
              </w:rPr>
            </w:pPr>
            <w:hyperlink w:anchor="page13">
              <w:r>
                <w:rPr>
                  <w:rFonts w:ascii="Arial" w:cs="Arial" w:eastAsia="Arial" w:hAnsi="Arial"/>
                  <w:sz w:val="14"/>
                  <w:szCs w:val="14"/>
                  <w:color w:val="0000EE"/>
                </w:rPr>
                <w:t>xi</w:t>
              </w:r>
            </w:hyperlink>
          </w:p>
        </w:tc>
      </w:tr>
      <w:tr>
        <w:trPr>
          <w:trHeight w:val="185"/>
        </w:trPr>
        <w:tc>
          <w:tcPr>
            <w:tcW w:w="800" w:type="dxa"/>
            <w:vAlign w:val="bottom"/>
            <w:tcBorders>
              <w:bottom w:val="single" w:sz="8" w:color="0000EE"/>
            </w:tcBorders>
            <w:gridSpan w:val="3"/>
          </w:tcPr>
          <w:p>
            <w:pPr>
              <w:spacing w:after="0"/>
              <w:rPr>
                <w:rFonts w:ascii="Arial" w:cs="Arial" w:eastAsia="Arial" w:hAnsi="Arial"/>
                <w:sz w:val="14"/>
                <w:szCs w:val="14"/>
                <w:color w:val="0000EE"/>
              </w:rPr>
            </w:pPr>
            <w:hyperlink w:anchor="page15">
              <w:r>
                <w:rPr>
                  <w:rFonts w:ascii="Arial" w:cs="Arial" w:eastAsia="Arial" w:hAnsi="Arial"/>
                  <w:sz w:val="14"/>
                  <w:szCs w:val="14"/>
                  <w:color w:val="0000EE"/>
                </w:rPr>
                <w:t>Risk factors</w:t>
              </w:r>
            </w:hyperlink>
          </w:p>
        </w:tc>
        <w:tc>
          <w:tcPr>
            <w:tcW w:w="4960" w:type="dxa"/>
            <w:vAlign w:val="bottom"/>
            <w:gridSpan w:val="12"/>
          </w:tcPr>
          <w:p>
            <w:pPr>
              <w:spacing w:after="0"/>
              <w:rPr>
                <w:sz w:val="16"/>
                <w:szCs w:val="16"/>
                <w:color w:val="auto"/>
              </w:rPr>
            </w:pPr>
          </w:p>
        </w:tc>
        <w:tc>
          <w:tcPr>
            <w:tcW w:w="720" w:type="dxa"/>
            <w:vAlign w:val="bottom"/>
            <w:gridSpan w:val="2"/>
          </w:tcPr>
          <w:p>
            <w:pPr>
              <w:spacing w:after="0"/>
              <w:rPr>
                <w:sz w:val="16"/>
                <w:szCs w:val="16"/>
                <w:color w:val="auto"/>
              </w:rPr>
            </w:pPr>
          </w:p>
        </w:tc>
        <w:tc>
          <w:tcPr>
            <w:tcW w:w="80" w:type="dxa"/>
            <w:vAlign w:val="bottom"/>
            <w:tcBorders>
              <w:bottom w:val="single" w:sz="8" w:color="0000EE"/>
            </w:tcBorders>
          </w:tcPr>
          <w:p>
            <w:pPr>
              <w:jc w:val="right"/>
              <w:spacing w:after="0"/>
              <w:rPr>
                <w:rFonts w:ascii="Arial" w:cs="Arial" w:eastAsia="Arial" w:hAnsi="Arial"/>
                <w:sz w:val="14"/>
                <w:szCs w:val="14"/>
                <w:color w:val="0000EE"/>
                <w:w w:val="76"/>
              </w:rPr>
            </w:pPr>
            <w:hyperlink w:anchor="page15">
              <w:r>
                <w:rPr>
                  <w:rFonts w:ascii="Arial" w:cs="Arial" w:eastAsia="Arial" w:hAnsi="Arial"/>
                  <w:sz w:val="14"/>
                  <w:szCs w:val="14"/>
                  <w:color w:val="0000EE"/>
                  <w:w w:val="76"/>
                </w:rPr>
                <w:t>1</w:t>
              </w:r>
            </w:hyperlink>
          </w:p>
        </w:tc>
      </w:tr>
      <w:tr>
        <w:trPr>
          <w:trHeight w:val="183"/>
        </w:trPr>
        <w:tc>
          <w:tcPr>
            <w:tcW w:w="5760" w:type="dxa"/>
            <w:vAlign w:val="bottom"/>
            <w:gridSpan w:val="15"/>
            <w:shd w:val="clear" w:color="auto" w:fill="CCEEFF"/>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Special note regarding forward-looking statements</w:t>
              </w:r>
            </w:hyperlink>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72">
              <w:r>
                <w:rPr>
                  <w:rFonts w:ascii="Arial" w:cs="Arial" w:eastAsia="Arial" w:hAnsi="Arial"/>
                  <w:sz w:val="14"/>
                  <w:szCs w:val="14"/>
                  <w:color w:val="0000EE"/>
                </w:rPr>
                <w:t>58</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1680" w:type="dxa"/>
            <w:vAlign w:val="bottom"/>
            <w:gridSpan w:val="8"/>
          </w:tcPr>
          <w:p>
            <w:pPr>
              <w:spacing w:after="0"/>
              <w:rPr>
                <w:rFonts w:ascii="Arial" w:cs="Arial" w:eastAsia="Arial" w:hAnsi="Arial"/>
                <w:sz w:val="14"/>
                <w:szCs w:val="14"/>
                <w:color w:val="0000EE"/>
              </w:rPr>
            </w:pPr>
            <w:hyperlink w:anchor="page74">
              <w:r>
                <w:rPr>
                  <w:rFonts w:ascii="Arial" w:cs="Arial" w:eastAsia="Arial" w:hAnsi="Arial"/>
                  <w:sz w:val="14"/>
                  <w:szCs w:val="14"/>
                  <w:color w:val="0000EE"/>
                </w:rPr>
                <w:t>Market and industry data</w:t>
              </w:r>
            </w:hyperlink>
          </w:p>
        </w:tc>
        <w:tc>
          <w:tcPr>
            <w:tcW w:w="1760" w:type="dxa"/>
            <w:vAlign w:val="bottom"/>
            <w:gridSpan w:val="5"/>
          </w:tcPr>
          <w:p>
            <w:pPr>
              <w:spacing w:after="0"/>
              <w:rPr>
                <w:sz w:val="15"/>
                <w:szCs w:val="15"/>
                <w:color w:val="auto"/>
              </w:rPr>
            </w:pPr>
          </w:p>
        </w:tc>
        <w:tc>
          <w:tcPr>
            <w:tcW w:w="2320" w:type="dxa"/>
            <w:vAlign w:val="bottom"/>
            <w:gridSpan w:val="2"/>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74">
              <w:r>
                <w:rPr>
                  <w:rFonts w:ascii="Arial" w:cs="Arial" w:eastAsia="Arial" w:hAnsi="Arial"/>
                  <w:sz w:val="14"/>
                  <w:szCs w:val="14"/>
                  <w:color w:val="0000EE"/>
                </w:rPr>
                <w:t>60</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1680" w:type="dxa"/>
            <w:vAlign w:val="bottom"/>
            <w:tcBorders>
              <w:right w:val="single" w:sz="8" w:color="CCEEFF"/>
            </w:tcBorders>
            <w:gridSpan w:val="8"/>
            <w:shd w:val="clear" w:color="auto" w:fill="CCEEFF"/>
          </w:tcPr>
          <w:p>
            <w:pPr>
              <w:spacing w:after="0"/>
              <w:rPr>
                <w:rFonts w:ascii="Arial" w:cs="Arial" w:eastAsia="Arial" w:hAnsi="Arial"/>
                <w:sz w:val="14"/>
                <w:szCs w:val="14"/>
                <w:color w:val="0000EE"/>
              </w:rPr>
            </w:pPr>
            <w:hyperlink w:anchor="page75">
              <w:r>
                <w:rPr>
                  <w:rFonts w:ascii="Arial" w:cs="Arial" w:eastAsia="Arial" w:hAnsi="Arial"/>
                  <w:sz w:val="14"/>
                  <w:szCs w:val="14"/>
                  <w:color w:val="0000EE"/>
                </w:rPr>
                <w:t>Use of proceeds</w:t>
              </w:r>
            </w:hyperlink>
          </w:p>
        </w:tc>
        <w:tc>
          <w:tcPr>
            <w:tcW w:w="4080" w:type="dxa"/>
            <w:vAlign w:val="bottom"/>
            <w:gridSpan w:val="7"/>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75">
              <w:r>
                <w:rPr>
                  <w:rFonts w:ascii="Arial" w:cs="Arial" w:eastAsia="Arial" w:hAnsi="Arial"/>
                  <w:sz w:val="14"/>
                  <w:szCs w:val="14"/>
                  <w:color w:val="0000EE"/>
                </w:rPr>
                <w:t>61</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1100" w:type="dxa"/>
            <w:vAlign w:val="bottom"/>
            <w:gridSpan w:val="6"/>
          </w:tcPr>
          <w:p>
            <w:pPr>
              <w:spacing w:after="0"/>
              <w:rPr>
                <w:rFonts w:ascii="Arial" w:cs="Arial" w:eastAsia="Arial" w:hAnsi="Arial"/>
                <w:sz w:val="14"/>
                <w:szCs w:val="14"/>
                <w:color w:val="0000EE"/>
              </w:rPr>
            </w:pPr>
            <w:hyperlink w:anchor="page77">
              <w:r>
                <w:rPr>
                  <w:rFonts w:ascii="Arial" w:cs="Arial" w:eastAsia="Arial" w:hAnsi="Arial"/>
                  <w:sz w:val="14"/>
                  <w:szCs w:val="14"/>
                  <w:color w:val="0000EE"/>
                </w:rPr>
                <w:t>Dividend policy</w:t>
              </w:r>
            </w:hyperlink>
          </w:p>
        </w:tc>
        <w:tc>
          <w:tcPr>
            <w:tcW w:w="4660" w:type="dxa"/>
            <w:vAlign w:val="bottom"/>
            <w:gridSpan w:val="9"/>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77">
              <w:r>
                <w:rPr>
                  <w:rFonts w:ascii="Arial" w:cs="Arial" w:eastAsia="Arial" w:hAnsi="Arial"/>
                  <w:sz w:val="14"/>
                  <w:szCs w:val="14"/>
                  <w:color w:val="0000EE"/>
                </w:rPr>
                <w:t>63</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880" w:type="dxa"/>
            <w:vAlign w:val="bottom"/>
            <w:tcBorders>
              <w:right w:val="single" w:sz="8" w:color="CCEEFF"/>
            </w:tcBorders>
            <w:gridSpan w:val="4"/>
            <w:shd w:val="clear" w:color="auto" w:fill="CCEEFF"/>
          </w:tcPr>
          <w:p>
            <w:pPr>
              <w:spacing w:after="0"/>
              <w:rPr>
                <w:rFonts w:ascii="Arial" w:cs="Arial" w:eastAsia="Arial" w:hAnsi="Arial"/>
                <w:sz w:val="14"/>
                <w:szCs w:val="14"/>
                <w:color w:val="0000EE"/>
                <w:w w:val="99"/>
              </w:rPr>
            </w:pPr>
            <w:hyperlink w:anchor="page78">
              <w:r>
                <w:rPr>
                  <w:rFonts w:ascii="Arial" w:cs="Arial" w:eastAsia="Arial" w:hAnsi="Arial"/>
                  <w:sz w:val="14"/>
                  <w:szCs w:val="14"/>
                  <w:color w:val="0000EE"/>
                  <w:w w:val="99"/>
                </w:rPr>
                <w:t>Capitalization</w:t>
              </w:r>
            </w:hyperlink>
          </w:p>
        </w:tc>
        <w:tc>
          <w:tcPr>
            <w:tcW w:w="140" w:type="dxa"/>
            <w:vAlign w:val="bottom"/>
            <w:tcBorders>
              <w:left w:val="single" w:sz="8" w:color="CCEEFF"/>
            </w:tcBorders>
            <w:shd w:val="clear" w:color="auto" w:fill="CCEEFF"/>
          </w:tcPr>
          <w:p>
            <w:pPr>
              <w:spacing w:after="0"/>
              <w:rPr>
                <w:sz w:val="15"/>
                <w:szCs w:val="15"/>
                <w:color w:val="auto"/>
              </w:rPr>
            </w:pPr>
          </w:p>
        </w:tc>
        <w:tc>
          <w:tcPr>
            <w:tcW w:w="4740" w:type="dxa"/>
            <w:vAlign w:val="bottom"/>
            <w:gridSpan w:val="10"/>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78">
              <w:r>
                <w:rPr>
                  <w:rFonts w:ascii="Arial" w:cs="Arial" w:eastAsia="Arial" w:hAnsi="Arial"/>
                  <w:sz w:val="14"/>
                  <w:szCs w:val="14"/>
                  <w:color w:val="0000EE"/>
                </w:rPr>
                <w:t>64</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520" w:type="dxa"/>
            <w:vAlign w:val="bottom"/>
          </w:tcPr>
          <w:p>
            <w:pPr>
              <w:spacing w:after="0"/>
              <w:rPr>
                <w:rFonts w:ascii="Arial" w:cs="Arial" w:eastAsia="Arial" w:hAnsi="Arial"/>
                <w:sz w:val="14"/>
                <w:szCs w:val="14"/>
                <w:color w:val="0000EE"/>
              </w:rPr>
            </w:pPr>
            <w:hyperlink w:anchor="page80">
              <w:r>
                <w:rPr>
                  <w:rFonts w:ascii="Arial" w:cs="Arial" w:eastAsia="Arial" w:hAnsi="Arial"/>
                  <w:sz w:val="14"/>
                  <w:szCs w:val="14"/>
                  <w:color w:val="0000EE"/>
                </w:rPr>
                <w:t>Dilution</w:t>
              </w:r>
            </w:hyperlink>
          </w:p>
        </w:tc>
        <w:tc>
          <w:tcPr>
            <w:tcW w:w="360" w:type="dxa"/>
            <w:vAlign w:val="bottom"/>
            <w:gridSpan w:val="3"/>
          </w:tcPr>
          <w:p>
            <w:pPr>
              <w:spacing w:after="0"/>
              <w:rPr>
                <w:sz w:val="15"/>
                <w:szCs w:val="15"/>
                <w:color w:val="auto"/>
              </w:rPr>
            </w:pPr>
          </w:p>
        </w:tc>
        <w:tc>
          <w:tcPr>
            <w:tcW w:w="4880" w:type="dxa"/>
            <w:vAlign w:val="bottom"/>
            <w:gridSpan w:val="11"/>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80">
              <w:r>
                <w:rPr>
                  <w:rFonts w:ascii="Arial" w:cs="Arial" w:eastAsia="Arial" w:hAnsi="Arial"/>
                  <w:sz w:val="14"/>
                  <w:szCs w:val="14"/>
                  <w:color w:val="0000EE"/>
                </w:rPr>
                <w:t>66</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5760" w:type="dxa"/>
            <w:vAlign w:val="bottom"/>
            <w:gridSpan w:val="15"/>
            <w:shd w:val="clear" w:color="auto" w:fill="CCEEFF"/>
          </w:tcPr>
          <w:p>
            <w:pPr>
              <w:spacing w:after="0"/>
              <w:rPr>
                <w:rFonts w:ascii="Arial" w:cs="Arial" w:eastAsia="Arial" w:hAnsi="Arial"/>
                <w:sz w:val="14"/>
                <w:szCs w:val="14"/>
                <w:color w:val="0000EE"/>
              </w:rPr>
            </w:pPr>
            <w:hyperlink w:anchor="page82">
              <w:r>
                <w:rPr>
                  <w:rFonts w:ascii="Arial" w:cs="Arial" w:eastAsia="Arial" w:hAnsi="Arial"/>
                  <w:sz w:val="14"/>
                  <w:szCs w:val="14"/>
                  <w:color w:val="0000EE"/>
                </w:rPr>
                <w:t>Selected consolidated financial data</w:t>
              </w:r>
            </w:hyperlink>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82">
              <w:r>
                <w:rPr>
                  <w:rFonts w:ascii="Arial" w:cs="Arial" w:eastAsia="Arial" w:hAnsi="Arial"/>
                  <w:sz w:val="14"/>
                  <w:szCs w:val="14"/>
                  <w:color w:val="0000EE"/>
                </w:rPr>
                <w:t>68</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CCEEFF"/>
            </w:tcBorders>
            <w:shd w:val="clear" w:color="auto" w:fill="0000EE"/>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5760" w:type="dxa"/>
            <w:vAlign w:val="bottom"/>
            <w:gridSpan w:val="15"/>
          </w:tcPr>
          <w:p>
            <w:pPr>
              <w:spacing w:after="0"/>
              <w:rPr>
                <w:rFonts w:ascii="Arial" w:cs="Arial" w:eastAsia="Arial" w:hAnsi="Arial"/>
                <w:sz w:val="14"/>
                <w:szCs w:val="14"/>
                <w:color w:val="0000EE"/>
              </w:rPr>
            </w:pPr>
            <w:hyperlink w:anchor="page84">
              <w:r>
                <w:rPr>
                  <w:rFonts w:ascii="Arial" w:cs="Arial" w:eastAsia="Arial" w:hAnsi="Arial"/>
                  <w:sz w:val="14"/>
                  <w:szCs w:val="14"/>
                  <w:color w:val="0000EE"/>
                </w:rPr>
                <w:t>Management’s discussion and analysis of financial condition and results of operations</w:t>
              </w:r>
            </w:hyperlink>
          </w:p>
        </w:tc>
        <w:tc>
          <w:tcPr>
            <w:tcW w:w="800" w:type="dxa"/>
            <w:vAlign w:val="bottom"/>
            <w:gridSpan w:val="3"/>
          </w:tcPr>
          <w:p>
            <w:pPr>
              <w:jc w:val="right"/>
              <w:spacing w:after="0"/>
              <w:rPr>
                <w:rFonts w:ascii="Arial" w:cs="Arial" w:eastAsia="Arial" w:hAnsi="Arial"/>
                <w:sz w:val="14"/>
                <w:szCs w:val="14"/>
                <w:color w:val="0000EE"/>
              </w:rPr>
            </w:pPr>
            <w:hyperlink w:anchor="page84">
              <w:r>
                <w:rPr>
                  <w:rFonts w:ascii="Arial" w:cs="Arial" w:eastAsia="Arial" w:hAnsi="Arial"/>
                  <w:sz w:val="14"/>
                  <w:szCs w:val="14"/>
                  <w:color w:val="0000EE"/>
                </w:rPr>
                <w:t>70</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620" w:type="dxa"/>
            <w:vAlign w:val="bottom"/>
            <w:gridSpan w:val="2"/>
            <w:shd w:val="clear" w:color="auto" w:fill="CCEEFF"/>
          </w:tcPr>
          <w:p>
            <w:pPr>
              <w:spacing w:after="0"/>
              <w:rPr>
                <w:rFonts w:ascii="Arial" w:cs="Arial" w:eastAsia="Arial" w:hAnsi="Arial"/>
                <w:sz w:val="14"/>
                <w:szCs w:val="14"/>
                <w:color w:val="0000EE"/>
              </w:rPr>
            </w:pPr>
            <w:hyperlink w:anchor="page101">
              <w:r>
                <w:rPr>
                  <w:rFonts w:ascii="Arial" w:cs="Arial" w:eastAsia="Arial" w:hAnsi="Arial"/>
                  <w:sz w:val="14"/>
                  <w:szCs w:val="14"/>
                  <w:color w:val="0000EE"/>
                </w:rPr>
                <w:t>Business</w:t>
              </w:r>
            </w:hyperlink>
          </w:p>
        </w:tc>
        <w:tc>
          <w:tcPr>
            <w:tcW w:w="5140" w:type="dxa"/>
            <w:vAlign w:val="bottom"/>
            <w:gridSpan w:val="13"/>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101">
              <w:r>
                <w:rPr>
                  <w:rFonts w:ascii="Arial" w:cs="Arial" w:eastAsia="Arial" w:hAnsi="Arial"/>
                  <w:sz w:val="14"/>
                  <w:szCs w:val="14"/>
                  <w:color w:val="0000EE"/>
                </w:rPr>
                <w:t>87</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880" w:type="dxa"/>
            <w:vAlign w:val="bottom"/>
            <w:gridSpan w:val="4"/>
          </w:tcPr>
          <w:p>
            <w:pPr>
              <w:spacing w:after="0"/>
              <w:rPr>
                <w:rFonts w:ascii="Arial" w:cs="Arial" w:eastAsia="Arial" w:hAnsi="Arial"/>
                <w:sz w:val="14"/>
                <w:szCs w:val="14"/>
                <w:color w:val="0000EE"/>
              </w:rPr>
            </w:pPr>
            <w:hyperlink w:anchor="page163">
              <w:r>
                <w:rPr>
                  <w:rFonts w:ascii="Arial" w:cs="Arial" w:eastAsia="Arial" w:hAnsi="Arial"/>
                  <w:sz w:val="14"/>
                  <w:szCs w:val="14"/>
                  <w:color w:val="0000EE"/>
                </w:rPr>
                <w:t>Management</w:t>
              </w:r>
            </w:hyperlink>
          </w:p>
        </w:tc>
        <w:tc>
          <w:tcPr>
            <w:tcW w:w="4880" w:type="dxa"/>
            <w:vAlign w:val="bottom"/>
            <w:gridSpan w:val="11"/>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163">
              <w:r>
                <w:rPr>
                  <w:rFonts w:ascii="Arial" w:cs="Arial" w:eastAsia="Arial" w:hAnsi="Arial"/>
                  <w:sz w:val="14"/>
                  <w:szCs w:val="14"/>
                  <w:color w:val="0000EE"/>
                </w:rPr>
                <w:t>149</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1680" w:type="dxa"/>
            <w:vAlign w:val="bottom"/>
            <w:tcBorders>
              <w:right w:val="single" w:sz="8" w:color="CCEEFF"/>
            </w:tcBorders>
            <w:gridSpan w:val="8"/>
            <w:shd w:val="clear" w:color="auto" w:fill="CCEEFF"/>
          </w:tcPr>
          <w:p>
            <w:pPr>
              <w:spacing w:after="0"/>
              <w:rPr>
                <w:rFonts w:ascii="Arial" w:cs="Arial" w:eastAsia="Arial" w:hAnsi="Arial"/>
                <w:sz w:val="14"/>
                <w:szCs w:val="14"/>
                <w:color w:val="0000EE"/>
              </w:rPr>
            </w:pPr>
            <w:hyperlink w:anchor="page173">
              <w:r>
                <w:rPr>
                  <w:rFonts w:ascii="Arial" w:cs="Arial" w:eastAsia="Arial" w:hAnsi="Arial"/>
                  <w:sz w:val="14"/>
                  <w:szCs w:val="14"/>
                  <w:color w:val="0000EE"/>
                </w:rPr>
                <w:t>Executive compensation</w:t>
              </w:r>
            </w:hyperlink>
          </w:p>
        </w:tc>
        <w:tc>
          <w:tcPr>
            <w:tcW w:w="4080" w:type="dxa"/>
            <w:vAlign w:val="bottom"/>
            <w:gridSpan w:val="7"/>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173">
              <w:r>
                <w:rPr>
                  <w:rFonts w:ascii="Arial" w:cs="Arial" w:eastAsia="Arial" w:hAnsi="Arial"/>
                  <w:sz w:val="14"/>
                  <w:szCs w:val="14"/>
                  <w:color w:val="0000EE"/>
                </w:rPr>
                <w:t>159</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83"/>
        </w:trPr>
        <w:tc>
          <w:tcPr>
            <w:tcW w:w="3440" w:type="dxa"/>
            <w:vAlign w:val="bottom"/>
            <w:gridSpan w:val="13"/>
          </w:tcPr>
          <w:p>
            <w:pPr>
              <w:spacing w:after="0"/>
              <w:rPr>
                <w:rFonts w:ascii="Arial" w:cs="Arial" w:eastAsia="Arial" w:hAnsi="Arial"/>
                <w:sz w:val="14"/>
                <w:szCs w:val="14"/>
                <w:color w:val="0000EE"/>
              </w:rPr>
            </w:pPr>
            <w:hyperlink w:anchor="page182">
              <w:r>
                <w:rPr>
                  <w:rFonts w:ascii="Arial" w:cs="Arial" w:eastAsia="Arial" w:hAnsi="Arial"/>
                  <w:sz w:val="14"/>
                  <w:szCs w:val="14"/>
                  <w:color w:val="0000EE"/>
                </w:rPr>
                <w:t>Certain relationships and related party transactions</w:t>
              </w:r>
            </w:hyperlink>
          </w:p>
        </w:tc>
        <w:tc>
          <w:tcPr>
            <w:tcW w:w="2320" w:type="dxa"/>
            <w:vAlign w:val="bottom"/>
            <w:gridSpan w:val="2"/>
          </w:tcPr>
          <w:p>
            <w:pPr>
              <w:spacing w:after="0"/>
              <w:rPr>
                <w:sz w:val="15"/>
                <w:szCs w:val="15"/>
                <w:color w:val="auto"/>
              </w:rPr>
            </w:pPr>
          </w:p>
        </w:tc>
        <w:tc>
          <w:tcPr>
            <w:tcW w:w="800" w:type="dxa"/>
            <w:vAlign w:val="bottom"/>
            <w:gridSpan w:val="3"/>
          </w:tcPr>
          <w:p>
            <w:pPr>
              <w:jc w:val="right"/>
              <w:spacing w:after="0"/>
              <w:rPr>
                <w:rFonts w:ascii="Arial" w:cs="Arial" w:eastAsia="Arial" w:hAnsi="Arial"/>
                <w:sz w:val="14"/>
                <w:szCs w:val="14"/>
                <w:color w:val="0000EE"/>
              </w:rPr>
            </w:pPr>
            <w:hyperlink w:anchor="page182">
              <w:r>
                <w:rPr>
                  <w:rFonts w:ascii="Arial" w:cs="Arial" w:eastAsia="Arial" w:hAnsi="Arial"/>
                  <w:sz w:val="14"/>
                  <w:szCs w:val="14"/>
                  <w:color w:val="0000EE"/>
                </w:rPr>
                <w:t>168</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1480" w:type="dxa"/>
            <w:vAlign w:val="bottom"/>
            <w:tcBorders>
              <w:right w:val="single" w:sz="8" w:color="CCEEFF"/>
            </w:tcBorders>
            <w:gridSpan w:val="7"/>
            <w:shd w:val="clear" w:color="auto" w:fill="CCEEFF"/>
          </w:tcPr>
          <w:p>
            <w:pPr>
              <w:spacing w:after="0"/>
              <w:rPr>
                <w:rFonts w:ascii="Arial" w:cs="Arial" w:eastAsia="Arial" w:hAnsi="Arial"/>
                <w:sz w:val="14"/>
                <w:szCs w:val="14"/>
                <w:color w:val="0000EE"/>
              </w:rPr>
            </w:pPr>
            <w:hyperlink w:anchor="page185">
              <w:r>
                <w:rPr>
                  <w:rFonts w:ascii="Arial" w:cs="Arial" w:eastAsia="Arial" w:hAnsi="Arial"/>
                  <w:sz w:val="14"/>
                  <w:szCs w:val="14"/>
                  <w:color w:val="0000EE"/>
                </w:rPr>
                <w:t>Principal stockholders</w:t>
              </w:r>
            </w:hyperlink>
          </w:p>
        </w:tc>
        <w:tc>
          <w:tcPr>
            <w:tcW w:w="1960" w:type="dxa"/>
            <w:vAlign w:val="bottom"/>
            <w:tcBorders>
              <w:right w:val="single" w:sz="8" w:color="CCEEFF"/>
            </w:tcBorders>
            <w:gridSpan w:val="6"/>
            <w:shd w:val="clear" w:color="auto" w:fill="CCEEFF"/>
          </w:tcPr>
          <w:p>
            <w:pPr>
              <w:spacing w:after="0"/>
              <w:rPr>
                <w:sz w:val="16"/>
                <w:szCs w:val="16"/>
                <w:color w:val="auto"/>
              </w:rPr>
            </w:pPr>
          </w:p>
        </w:tc>
        <w:tc>
          <w:tcPr>
            <w:tcW w:w="2320" w:type="dxa"/>
            <w:vAlign w:val="bottom"/>
            <w:gridSpan w:val="2"/>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185">
              <w:r>
                <w:rPr>
                  <w:rFonts w:ascii="Arial" w:cs="Arial" w:eastAsia="Arial" w:hAnsi="Arial"/>
                  <w:sz w:val="14"/>
                  <w:szCs w:val="14"/>
                  <w:color w:val="0000EE"/>
                </w:rPr>
                <w:t>171</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1820" w:type="dxa"/>
            <w:vAlign w:val="bottom"/>
            <w:gridSpan w:val="9"/>
          </w:tcPr>
          <w:p>
            <w:pPr>
              <w:spacing w:after="0"/>
              <w:rPr>
                <w:rFonts w:ascii="Arial" w:cs="Arial" w:eastAsia="Arial" w:hAnsi="Arial"/>
                <w:sz w:val="14"/>
                <w:szCs w:val="14"/>
                <w:color w:val="0000EE"/>
              </w:rPr>
            </w:pPr>
            <w:hyperlink w:anchor="page187">
              <w:r>
                <w:rPr>
                  <w:rFonts w:ascii="Arial" w:cs="Arial" w:eastAsia="Arial" w:hAnsi="Arial"/>
                  <w:sz w:val="14"/>
                  <w:szCs w:val="14"/>
                  <w:color w:val="0000EE"/>
                </w:rPr>
                <w:t>Description of capital stock</w:t>
              </w:r>
            </w:hyperlink>
          </w:p>
        </w:tc>
        <w:tc>
          <w:tcPr>
            <w:tcW w:w="3940" w:type="dxa"/>
            <w:vAlign w:val="bottom"/>
            <w:gridSpan w:val="6"/>
          </w:tcPr>
          <w:p>
            <w:pPr>
              <w:spacing w:after="0"/>
              <w:rPr>
                <w:sz w:val="16"/>
                <w:szCs w:val="16"/>
                <w:color w:val="auto"/>
              </w:rPr>
            </w:pPr>
          </w:p>
        </w:tc>
        <w:tc>
          <w:tcPr>
            <w:tcW w:w="800" w:type="dxa"/>
            <w:vAlign w:val="bottom"/>
            <w:gridSpan w:val="3"/>
          </w:tcPr>
          <w:p>
            <w:pPr>
              <w:jc w:val="right"/>
              <w:spacing w:after="0"/>
              <w:rPr>
                <w:rFonts w:ascii="Arial" w:cs="Arial" w:eastAsia="Arial" w:hAnsi="Arial"/>
                <w:sz w:val="14"/>
                <w:szCs w:val="14"/>
                <w:color w:val="0000EE"/>
              </w:rPr>
            </w:pPr>
            <w:hyperlink w:anchor="page187">
              <w:r>
                <w:rPr>
                  <w:rFonts w:ascii="Arial" w:cs="Arial" w:eastAsia="Arial" w:hAnsi="Arial"/>
                  <w:sz w:val="14"/>
                  <w:szCs w:val="14"/>
                  <w:color w:val="0000EE"/>
                </w:rPr>
                <w:t>173</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1980" w:type="dxa"/>
            <w:vAlign w:val="bottom"/>
            <w:gridSpan w:val="10"/>
            <w:shd w:val="clear" w:color="auto" w:fill="CCEEFF"/>
          </w:tcPr>
          <w:p>
            <w:pPr>
              <w:spacing w:after="0"/>
              <w:rPr>
                <w:rFonts w:ascii="Arial" w:cs="Arial" w:eastAsia="Arial" w:hAnsi="Arial"/>
                <w:sz w:val="14"/>
                <w:szCs w:val="14"/>
                <w:color w:val="0000EE"/>
              </w:rPr>
            </w:pPr>
            <w:hyperlink w:anchor="page192">
              <w:r>
                <w:rPr>
                  <w:rFonts w:ascii="Arial" w:cs="Arial" w:eastAsia="Arial" w:hAnsi="Arial"/>
                  <w:sz w:val="14"/>
                  <w:szCs w:val="14"/>
                  <w:color w:val="0000EE"/>
                </w:rPr>
                <w:t>Shares eligible for future sale</w:t>
              </w:r>
            </w:hyperlink>
          </w:p>
        </w:tc>
        <w:tc>
          <w:tcPr>
            <w:tcW w:w="3780" w:type="dxa"/>
            <w:vAlign w:val="bottom"/>
            <w:gridSpan w:val="5"/>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192">
              <w:r>
                <w:rPr>
                  <w:rFonts w:ascii="Arial" w:cs="Arial" w:eastAsia="Arial" w:hAnsi="Arial"/>
                  <w:sz w:val="14"/>
                  <w:szCs w:val="14"/>
                  <w:color w:val="0000EE"/>
                </w:rPr>
                <w:t>178</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4580" w:type="dxa"/>
            <w:vAlign w:val="bottom"/>
            <w:gridSpan w:val="14"/>
          </w:tcPr>
          <w:p>
            <w:pPr>
              <w:spacing w:after="0"/>
              <w:rPr>
                <w:rFonts w:ascii="Arial" w:cs="Arial" w:eastAsia="Arial" w:hAnsi="Arial"/>
                <w:sz w:val="14"/>
                <w:szCs w:val="14"/>
                <w:color w:val="0000EE"/>
              </w:rPr>
            </w:pPr>
            <w:hyperlink w:anchor="page195">
              <w:r>
                <w:rPr>
                  <w:rFonts w:ascii="Arial" w:cs="Arial" w:eastAsia="Arial" w:hAnsi="Arial"/>
                  <w:sz w:val="14"/>
                  <w:szCs w:val="14"/>
                  <w:color w:val="0000EE"/>
                </w:rPr>
                <w:t>Material U.S. federal income tax consequences to Non-U.S. Holders</w:t>
              </w:r>
            </w:hyperlink>
          </w:p>
        </w:tc>
        <w:tc>
          <w:tcPr>
            <w:tcW w:w="1180" w:type="dxa"/>
            <w:vAlign w:val="bottom"/>
          </w:tcPr>
          <w:p>
            <w:pPr>
              <w:spacing w:after="0"/>
              <w:rPr>
                <w:sz w:val="16"/>
                <w:szCs w:val="16"/>
                <w:color w:val="auto"/>
              </w:rPr>
            </w:pPr>
          </w:p>
        </w:tc>
        <w:tc>
          <w:tcPr>
            <w:tcW w:w="800" w:type="dxa"/>
            <w:vAlign w:val="bottom"/>
            <w:gridSpan w:val="3"/>
          </w:tcPr>
          <w:p>
            <w:pPr>
              <w:jc w:val="right"/>
              <w:spacing w:after="0"/>
              <w:rPr>
                <w:rFonts w:ascii="Arial" w:cs="Arial" w:eastAsia="Arial" w:hAnsi="Arial"/>
                <w:sz w:val="14"/>
                <w:szCs w:val="14"/>
                <w:color w:val="0000EE"/>
              </w:rPr>
            </w:pPr>
            <w:hyperlink w:anchor="page195">
              <w:r>
                <w:rPr>
                  <w:rFonts w:ascii="Arial" w:cs="Arial" w:eastAsia="Arial" w:hAnsi="Arial"/>
                  <w:sz w:val="14"/>
                  <w:szCs w:val="14"/>
                  <w:color w:val="0000EE"/>
                </w:rPr>
                <w:t>181</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880" w:type="dxa"/>
            <w:vAlign w:val="bottom"/>
            <w:tcBorders>
              <w:right w:val="single" w:sz="8" w:color="CCEEFF"/>
            </w:tcBorders>
            <w:gridSpan w:val="4"/>
            <w:shd w:val="clear" w:color="auto" w:fill="CCEEFF"/>
          </w:tcPr>
          <w:p>
            <w:pPr>
              <w:spacing w:after="0"/>
              <w:rPr>
                <w:rFonts w:ascii="Arial" w:cs="Arial" w:eastAsia="Arial" w:hAnsi="Arial"/>
                <w:sz w:val="14"/>
                <w:szCs w:val="14"/>
                <w:color w:val="0000EE"/>
              </w:rPr>
            </w:pPr>
            <w:hyperlink w:anchor="page199">
              <w:r>
                <w:rPr>
                  <w:rFonts w:ascii="Arial" w:cs="Arial" w:eastAsia="Arial" w:hAnsi="Arial"/>
                  <w:sz w:val="14"/>
                  <w:szCs w:val="14"/>
                  <w:color w:val="0000EE"/>
                </w:rPr>
                <w:t>Underwriting</w:t>
              </w:r>
            </w:hyperlink>
          </w:p>
        </w:tc>
        <w:tc>
          <w:tcPr>
            <w:tcW w:w="3700" w:type="dxa"/>
            <w:vAlign w:val="bottom"/>
            <w:tcBorders>
              <w:left w:val="single" w:sz="8" w:color="CCEEFF"/>
            </w:tcBorders>
            <w:gridSpan w:val="10"/>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199">
              <w:r>
                <w:rPr>
                  <w:rFonts w:ascii="Arial" w:cs="Arial" w:eastAsia="Arial" w:hAnsi="Arial"/>
                  <w:sz w:val="14"/>
                  <w:szCs w:val="14"/>
                  <w:color w:val="0000EE"/>
                </w:rPr>
                <w:t>185</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880" w:type="dxa"/>
            <w:vAlign w:val="bottom"/>
            <w:gridSpan w:val="4"/>
          </w:tcPr>
          <w:p>
            <w:pPr>
              <w:spacing w:after="0"/>
              <w:rPr>
                <w:rFonts w:ascii="Arial" w:cs="Arial" w:eastAsia="Arial" w:hAnsi="Arial"/>
                <w:sz w:val="14"/>
                <w:szCs w:val="14"/>
                <w:color w:val="0000EE"/>
                <w:w w:val="98"/>
              </w:rPr>
            </w:pPr>
            <w:hyperlink w:anchor="page210">
              <w:r>
                <w:rPr>
                  <w:rFonts w:ascii="Arial" w:cs="Arial" w:eastAsia="Arial" w:hAnsi="Arial"/>
                  <w:sz w:val="14"/>
                  <w:szCs w:val="14"/>
                  <w:color w:val="0000EE"/>
                  <w:w w:val="98"/>
                </w:rPr>
                <w:t>Legal matters</w:t>
              </w:r>
            </w:hyperlink>
          </w:p>
        </w:tc>
        <w:tc>
          <w:tcPr>
            <w:tcW w:w="4880" w:type="dxa"/>
            <w:vAlign w:val="bottom"/>
            <w:gridSpan w:val="11"/>
          </w:tcPr>
          <w:p>
            <w:pPr>
              <w:spacing w:after="0"/>
              <w:rPr>
                <w:sz w:val="16"/>
                <w:szCs w:val="16"/>
                <w:color w:val="auto"/>
              </w:rPr>
            </w:pPr>
          </w:p>
        </w:tc>
        <w:tc>
          <w:tcPr>
            <w:tcW w:w="800" w:type="dxa"/>
            <w:vAlign w:val="bottom"/>
            <w:gridSpan w:val="3"/>
          </w:tcPr>
          <w:p>
            <w:pPr>
              <w:jc w:val="right"/>
              <w:spacing w:after="0"/>
              <w:rPr>
                <w:rFonts w:ascii="Arial" w:cs="Arial" w:eastAsia="Arial" w:hAnsi="Arial"/>
                <w:sz w:val="14"/>
                <w:szCs w:val="14"/>
                <w:color w:val="0000EE"/>
              </w:rPr>
            </w:pPr>
            <w:hyperlink w:anchor="page210">
              <w:r>
                <w:rPr>
                  <w:rFonts w:ascii="Arial" w:cs="Arial" w:eastAsia="Arial" w:hAnsi="Arial"/>
                  <w:sz w:val="14"/>
                  <w:szCs w:val="14"/>
                  <w:color w:val="0000EE"/>
                </w:rPr>
                <w:t>196</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520" w:type="dxa"/>
            <w:vAlign w:val="bottom"/>
            <w:shd w:val="clear" w:color="auto" w:fill="CCEEFF"/>
          </w:tcPr>
          <w:p>
            <w:pPr>
              <w:spacing w:after="0"/>
              <w:rPr>
                <w:rFonts w:ascii="Arial" w:cs="Arial" w:eastAsia="Arial" w:hAnsi="Arial"/>
                <w:sz w:val="14"/>
                <w:szCs w:val="14"/>
                <w:color w:val="0000EE"/>
              </w:rPr>
            </w:pPr>
            <w:hyperlink w:anchor="page211">
              <w:r>
                <w:rPr>
                  <w:rFonts w:ascii="Arial" w:cs="Arial" w:eastAsia="Arial" w:hAnsi="Arial"/>
                  <w:sz w:val="14"/>
                  <w:szCs w:val="14"/>
                  <w:color w:val="0000EE"/>
                </w:rPr>
                <w:t>Experts</w:t>
              </w:r>
            </w:hyperlink>
          </w:p>
        </w:tc>
        <w:tc>
          <w:tcPr>
            <w:tcW w:w="360" w:type="dxa"/>
            <w:vAlign w:val="bottom"/>
            <w:tcBorders>
              <w:right w:val="single" w:sz="8" w:color="CCEEFF"/>
            </w:tcBorders>
            <w:gridSpan w:val="3"/>
            <w:shd w:val="clear" w:color="auto" w:fill="CCEEFF"/>
          </w:tcPr>
          <w:p>
            <w:pPr>
              <w:spacing w:after="0"/>
              <w:rPr>
                <w:sz w:val="16"/>
                <w:szCs w:val="16"/>
                <w:color w:val="auto"/>
              </w:rPr>
            </w:pPr>
          </w:p>
        </w:tc>
        <w:tc>
          <w:tcPr>
            <w:tcW w:w="4880" w:type="dxa"/>
            <w:vAlign w:val="bottom"/>
            <w:tcBorders>
              <w:left w:val="single" w:sz="8" w:color="CCEEFF"/>
            </w:tcBorders>
            <w:gridSpan w:val="11"/>
            <w:shd w:val="clear" w:color="auto" w:fill="CCEEFF"/>
          </w:tcPr>
          <w:p>
            <w:pPr>
              <w:spacing w:after="0"/>
              <w:rPr>
                <w:sz w:val="16"/>
                <w:szCs w:val="16"/>
                <w:color w:val="auto"/>
              </w:rPr>
            </w:pPr>
          </w:p>
        </w:tc>
        <w:tc>
          <w:tcPr>
            <w:tcW w:w="800" w:type="dxa"/>
            <w:vAlign w:val="bottom"/>
            <w:gridSpan w:val="3"/>
            <w:shd w:val="clear" w:color="auto" w:fill="CCEEFF"/>
          </w:tcPr>
          <w:p>
            <w:pPr>
              <w:jc w:val="right"/>
              <w:spacing w:after="0"/>
              <w:rPr>
                <w:rFonts w:ascii="Arial" w:cs="Arial" w:eastAsia="Arial" w:hAnsi="Arial"/>
                <w:sz w:val="14"/>
                <w:szCs w:val="14"/>
                <w:color w:val="0000EE"/>
              </w:rPr>
            </w:pPr>
            <w:hyperlink w:anchor="page211">
              <w:r>
                <w:rPr>
                  <w:rFonts w:ascii="Arial" w:cs="Arial" w:eastAsia="Arial" w:hAnsi="Arial"/>
                  <w:sz w:val="14"/>
                  <w:szCs w:val="14"/>
                  <w:color w:val="0000EE"/>
                </w:rPr>
                <w:t>197</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2800" w:type="dxa"/>
            <w:vAlign w:val="bottom"/>
            <w:gridSpan w:val="12"/>
          </w:tcPr>
          <w:p>
            <w:pPr>
              <w:spacing w:after="0"/>
              <w:rPr>
                <w:rFonts w:ascii="Arial" w:cs="Arial" w:eastAsia="Arial" w:hAnsi="Arial"/>
                <w:sz w:val="14"/>
                <w:szCs w:val="14"/>
                <w:color w:val="0000EE"/>
              </w:rPr>
            </w:pPr>
            <w:hyperlink w:anchor="page212">
              <w:r>
                <w:rPr>
                  <w:rFonts w:ascii="Arial" w:cs="Arial" w:eastAsia="Arial" w:hAnsi="Arial"/>
                  <w:sz w:val="14"/>
                  <w:szCs w:val="14"/>
                  <w:color w:val="0000EE"/>
                </w:rPr>
                <w:t>Where you can find additional information</w:t>
              </w:r>
            </w:hyperlink>
          </w:p>
        </w:tc>
        <w:tc>
          <w:tcPr>
            <w:tcW w:w="2960" w:type="dxa"/>
            <w:vAlign w:val="bottom"/>
            <w:gridSpan w:val="3"/>
          </w:tcPr>
          <w:p>
            <w:pPr>
              <w:spacing w:after="0"/>
              <w:rPr>
                <w:sz w:val="16"/>
                <w:szCs w:val="16"/>
                <w:color w:val="auto"/>
              </w:rPr>
            </w:pPr>
          </w:p>
        </w:tc>
        <w:tc>
          <w:tcPr>
            <w:tcW w:w="800" w:type="dxa"/>
            <w:vAlign w:val="bottom"/>
            <w:gridSpan w:val="3"/>
          </w:tcPr>
          <w:p>
            <w:pPr>
              <w:jc w:val="right"/>
              <w:spacing w:after="0"/>
              <w:rPr>
                <w:rFonts w:ascii="Arial" w:cs="Arial" w:eastAsia="Arial" w:hAnsi="Arial"/>
                <w:sz w:val="14"/>
                <w:szCs w:val="14"/>
                <w:color w:val="0000EE"/>
              </w:rPr>
            </w:pPr>
            <w:hyperlink w:anchor="page212">
              <w:r>
                <w:rPr>
                  <w:rFonts w:ascii="Arial" w:cs="Arial" w:eastAsia="Arial" w:hAnsi="Arial"/>
                  <w:sz w:val="14"/>
                  <w:szCs w:val="14"/>
                  <w:color w:val="0000EE"/>
                </w:rPr>
                <w:t>198</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4"/>
        </w:trPr>
        <w:tc>
          <w:tcPr>
            <w:tcW w:w="5760" w:type="dxa"/>
            <w:vAlign w:val="bottom"/>
            <w:gridSpan w:val="15"/>
            <w:shd w:val="clear" w:color="auto" w:fill="CCEEFF"/>
          </w:tcPr>
          <w:p>
            <w:pPr>
              <w:spacing w:after="0"/>
              <w:rPr>
                <w:rFonts w:ascii="Arial" w:cs="Arial" w:eastAsia="Arial" w:hAnsi="Arial"/>
                <w:sz w:val="14"/>
                <w:szCs w:val="14"/>
                <w:color w:val="0000EE"/>
              </w:rPr>
            </w:pPr>
            <w:hyperlink w:anchor="page213">
              <w:r>
                <w:rPr>
                  <w:rFonts w:ascii="Arial" w:cs="Arial" w:eastAsia="Arial" w:hAnsi="Arial"/>
                  <w:sz w:val="14"/>
                  <w:szCs w:val="14"/>
                  <w:color w:val="0000EE"/>
                </w:rPr>
                <w:t>Index to consolidated financial statements</w:t>
              </w:r>
            </w:hyperlink>
          </w:p>
        </w:tc>
        <w:tc>
          <w:tcPr>
            <w:tcW w:w="64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left w:val="single" w:sz="8" w:color="CCEEFF"/>
            </w:tcBorders>
            <w:gridSpan w:val="2"/>
            <w:shd w:val="clear" w:color="auto" w:fill="CCEEFF"/>
          </w:tcPr>
          <w:p>
            <w:pPr>
              <w:jc w:val="right"/>
              <w:spacing w:after="0"/>
              <w:rPr>
                <w:rFonts w:ascii="Arial" w:cs="Arial" w:eastAsia="Arial" w:hAnsi="Arial"/>
                <w:sz w:val="13"/>
                <w:szCs w:val="13"/>
                <w:color w:val="0000EE"/>
                <w:w w:val="71"/>
              </w:rPr>
            </w:pPr>
            <w:hyperlink w:anchor="page213">
              <w:r>
                <w:rPr>
                  <w:rFonts w:ascii="Arial" w:cs="Arial" w:eastAsia="Arial" w:hAnsi="Arial"/>
                  <w:sz w:val="13"/>
                  <w:szCs w:val="13"/>
                  <w:color w:val="0000EE"/>
                  <w:w w:val="71"/>
                </w:rPr>
                <w:t>F-1</w:t>
              </w:r>
            </w:hyperlink>
          </w:p>
        </w:tc>
      </w:tr>
      <w:tr>
        <w:trPr>
          <w:trHeight w:val="22"/>
        </w:trPr>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64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107"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“Century Therapeutics” the “Century Therapeutics” logo, and other trademarks, trade names, or service marks of Century Therapeutics, Inc. appearing in this prospectus are the property of Century Therapeutics, Inc. All other trademarks, trade names, and service marks appearing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their rights thereto.</w:t>
      </w:r>
    </w:p>
    <w:p>
      <w:pPr>
        <w:spacing w:after="0" w:line="270"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Neither we nor the underwriters have authorized anyone to provide you with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and results of operations may have changed since that date.</w:t>
      </w:r>
    </w:p>
    <w:p>
      <w:pPr>
        <w:spacing w:after="0" w:line="109"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For investors outside the United States: 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454025</wp:posOffset>
            </wp:positionV>
            <wp:extent cx="5458460"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 w:name="page4"/>
    <w:bookmarkEnd w:id="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04360" cy="6994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04360" cy="699452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Prospectus summary</w:t>
      </w:r>
    </w:p>
    <w:p>
      <w:pPr>
        <w:spacing w:after="0" w:line="119" w:lineRule="exact"/>
        <w:rPr>
          <w:sz w:val="20"/>
          <w:szCs w:val="20"/>
          <w:color w:val="auto"/>
        </w:rPr>
      </w:pPr>
    </w:p>
    <w:p>
      <w:pPr>
        <w:ind w:left="1240" w:right="1219"/>
        <w:spacing w:after="0" w:line="260" w:lineRule="auto"/>
        <w:rPr>
          <w:sz w:val="20"/>
          <w:szCs w:val="20"/>
          <w:color w:val="auto"/>
        </w:rPr>
      </w:pPr>
      <w:r>
        <w:rPr>
          <w:rFonts w:ascii="Arial" w:cs="Arial" w:eastAsia="Arial" w:hAnsi="Arial"/>
          <w:sz w:val="14"/>
          <w:szCs w:val="14"/>
          <w:i w:val="1"/>
          <w:iCs w:val="1"/>
          <w:color w:val="auto"/>
        </w:rPr>
        <w:t>This summary highlights selected information contained in greater detail elsewhere in this prospectus. This summary is not complete and does not contain all of the information you should consider in making your investment decision. Before investing in our common stock, you should carefully read this entire prospectus. You should carefully consider, among other things, the sections titled “Risk factors,” “Special note regarding forward-looking statements,” and “Management’s discussion and analysis of financial condition and results of operations” and our consolidated financial statements and the related notes included elsewhere in this prospectus. As used in this prospectus, unless the context otherwise requires, references to “we,” “us,” “our,” “the company,” “Century,” and similar references refer to: (i) on or prior to June 2019, to our predecessor, Century Therapeutics, Inc., which we refer to as “Prior Century,” (ii) from June 2019 to the completion of the 2021 Reorganization (as defined herein), to Century Therapeutics, LLC, and (iii) upon completion of the 2021 Reorganization, to Century Therapeutics, Inc., the registrant on the cover page of the registration statement of which this prospectus forms a part.</w:t>
      </w:r>
    </w:p>
    <w:p>
      <w:pPr>
        <w:spacing w:after="0" w:line="31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Overview</w:t>
      </w:r>
    </w:p>
    <w:p>
      <w:pPr>
        <w:spacing w:after="0" w:line="144" w:lineRule="exact"/>
        <w:rPr>
          <w:sz w:val="20"/>
          <w:szCs w:val="20"/>
          <w:color w:val="auto"/>
        </w:rPr>
      </w:pPr>
    </w:p>
    <w:p>
      <w:pPr>
        <w:ind w:left="1240" w:right="1239"/>
        <w:spacing w:after="0" w:line="267" w:lineRule="auto"/>
        <w:rPr>
          <w:sz w:val="20"/>
          <w:szCs w:val="20"/>
          <w:color w:val="auto"/>
        </w:rPr>
      </w:pPr>
      <w:r>
        <w:rPr>
          <w:rFonts w:ascii="Arial" w:cs="Arial" w:eastAsia="Arial" w:hAnsi="Arial"/>
          <w:sz w:val="14"/>
          <w:szCs w:val="14"/>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cell therapy company by developing and ultimately commercializing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290" w:lineRule="exact"/>
        <w:rPr>
          <w:sz w:val="20"/>
          <w:szCs w:val="20"/>
          <w:color w:val="auto"/>
        </w:rPr>
      </w:pPr>
    </w:p>
    <w:p>
      <w:pPr>
        <w:ind w:left="1240" w:right="1259"/>
        <w:spacing w:after="0" w:line="274" w:lineRule="auto"/>
        <w:rPr>
          <w:sz w:val="20"/>
          <w:szCs w:val="20"/>
          <w:color w:val="auto"/>
        </w:rPr>
      </w:pPr>
      <w:r>
        <w:rPr>
          <w:rFonts w:ascii="Arial" w:cs="Arial" w:eastAsia="Arial" w:hAnsi="Arial"/>
          <w:sz w:val="14"/>
          <w:szCs w:val="14"/>
          <w:color w:val="auto"/>
        </w:rPr>
        <w:t>The field of cell therapy is rapidly evolving, with autologous and allogeneic technologies demonstrating the strong potential of this therapeutic modality. We believe that our industry leading, end-to-end iPSC-derived allogeneic cell therapy platform will allow us to overcome technical and biological limitations of other donor-derived cell therapies. The unlimited replication capacity of iPSCs allows us to incorporate multiple genetic modifications at precise sites, or loci, in the genome of iPSCs that are designed to improve cell function using a CRISPR-mediated approach targeting a DNA repair pathway called homology directed repair, or HDR. The precision of our CRISPR-HDR gene editing technology and clonal selection eliminates random integration events and allows more controlled expression of transgenes of interest compared to other gene editing methodologies. The self-renewal capacity of iPSCs also enables the generation of master cell banks derived from single genetically engineered clones thus allowing the implementation of cost-efficient manufacturing of drug product that is available on demand at any clinical site. We have assembled a unique and powerful combination of technologies that bring together a preeminent iPSC-derived allogeneic cell therapy platform with highly advanced cell engineering and manufacturing capabilities. We believe this unique combination puts us in a position to disrupt the oncology treatment paradigm and market.</w:t>
      </w:r>
    </w:p>
    <w:p>
      <w:pPr>
        <w:spacing w:after="0" w:line="297"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The key elements of our approach include:</w:t>
      </w:r>
    </w:p>
    <w:p>
      <w:pPr>
        <w:spacing w:after="0" w:line="123" w:lineRule="exact"/>
        <w:rPr>
          <w:sz w:val="20"/>
          <w:szCs w:val="20"/>
          <w:color w:val="auto"/>
        </w:rPr>
      </w:pPr>
    </w:p>
    <w:p>
      <w:pPr>
        <w:ind w:left="1240" w:right="1359"/>
        <w:spacing w:after="0" w:line="295" w:lineRule="auto"/>
        <w:rPr>
          <w:sz w:val="20"/>
          <w:szCs w:val="20"/>
          <w:color w:val="auto"/>
        </w:rPr>
      </w:pPr>
      <w:r>
        <w:rPr>
          <w:rFonts w:ascii="Arial" w:cs="Arial" w:eastAsia="Arial" w:hAnsi="Arial"/>
          <w:sz w:val="14"/>
          <w:szCs w:val="14"/>
          <w:b w:val="1"/>
          <w:bCs w:val="1"/>
          <w:color w:val="auto"/>
        </w:rPr>
        <w:t xml:space="preserve">Our efficient precision gene editing technology: </w:t>
      </w:r>
      <w:r>
        <w:rPr>
          <w:rFonts w:ascii="Arial" w:cs="Arial" w:eastAsia="Arial" w:hAnsi="Arial"/>
          <w:sz w:val="14"/>
          <w:szCs w:val="14"/>
          <w:color w:val="auto"/>
        </w:rPr>
        <w:t>We have developed highly efficient gene</w:t>
      </w:r>
      <w:r>
        <w:rPr>
          <w:rFonts w:ascii="Arial" w:cs="Arial" w:eastAsia="Arial" w:hAnsi="Arial"/>
          <w:sz w:val="14"/>
          <w:szCs w:val="14"/>
          <w:b w:val="1"/>
          <w:bCs w:val="1"/>
          <w:color w:val="auto"/>
        </w:rPr>
        <w:t xml:space="preserve"> </w:t>
      </w:r>
      <w:r>
        <w:rPr>
          <w:rFonts w:ascii="Arial" w:cs="Arial" w:eastAsia="Arial" w:hAnsi="Arial"/>
          <w:sz w:val="14"/>
          <w:szCs w:val="14"/>
          <w:color w:val="auto"/>
        </w:rPr>
        <w:t>engineering processes to generate our product candidates. Our first product candidate will have six CRISPR-mediated homologous</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 w:name="page5"/>
    <w:bookmarkEnd w:id="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04360" cy="7056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04360" cy="705612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1240" w:right="1339"/>
        <w:spacing w:after="0" w:line="259" w:lineRule="auto"/>
        <w:rPr>
          <w:sz w:val="20"/>
          <w:szCs w:val="20"/>
          <w:color w:val="auto"/>
        </w:rPr>
      </w:pPr>
      <w:r>
        <w:rPr>
          <w:rFonts w:ascii="Arial" w:cs="Arial" w:eastAsia="Arial" w:hAnsi="Arial"/>
          <w:sz w:val="14"/>
          <w:szCs w:val="14"/>
          <w:color w:val="auto"/>
        </w:rPr>
        <w:t>recombination and repair edits, and we plan to incorporate additional edits in our future product candidates. We are currently using the CRISPR-MAD7 nuclease to enable precise cutting of the iPSC genome, and have developed proprietary applications of the CRISPR-MAD7 technology to genetically modify iPSCs by simultaneously removing target genes or adding transgenes (which is commonly known as knocking-out and knocking-in, respectively) of interest at precise genetic loci. Our approach preserves genome integrity and achieves more predictable and consistent transgene expression as compared to approaches driven by viruses or transposable segments called transposons, which result in varied gene copy number and random integration events that risk mutations, namely insertional mutagenesis.</w:t>
      </w:r>
    </w:p>
    <w:p>
      <w:pPr>
        <w:spacing w:after="0" w:line="65" w:lineRule="exact"/>
        <w:rPr>
          <w:sz w:val="20"/>
          <w:szCs w:val="20"/>
          <w:color w:val="auto"/>
        </w:rPr>
      </w:pPr>
    </w:p>
    <w:p>
      <w:pPr>
        <w:ind w:left="1240" w:right="1319"/>
        <w:spacing w:after="0" w:line="248" w:lineRule="auto"/>
        <w:rPr>
          <w:sz w:val="20"/>
          <w:szCs w:val="20"/>
          <w:color w:val="auto"/>
        </w:rPr>
      </w:pPr>
      <w:r>
        <w:rPr>
          <w:rFonts w:ascii="Arial" w:cs="Arial" w:eastAsia="Arial" w:hAnsi="Arial"/>
          <w:sz w:val="14"/>
          <w:szCs w:val="14"/>
          <w:b w:val="1"/>
          <w:bCs w:val="1"/>
          <w:color w:val="auto"/>
        </w:rPr>
        <w:t>Our proprietary Allo-Evasion</w:t>
      </w:r>
      <w:r>
        <w:rPr>
          <w:rFonts w:ascii="Arial" w:cs="Arial" w:eastAsia="Arial" w:hAnsi="Arial"/>
          <w:sz w:val="21"/>
          <w:szCs w:val="21"/>
          <w:b w:val="1"/>
          <w:bCs w:val="1"/>
          <w:color w:val="auto"/>
          <w:vertAlign w:val="superscript"/>
        </w:rPr>
        <w:t>TM</w:t>
      </w:r>
      <w:r>
        <w:rPr>
          <w:rFonts w:ascii="Arial" w:cs="Arial" w:eastAsia="Arial" w:hAnsi="Arial"/>
          <w:sz w:val="14"/>
          <w:szCs w:val="14"/>
          <w:b w:val="1"/>
          <w:bCs w:val="1"/>
          <w:color w:val="auto"/>
        </w:rPr>
        <w:t xml:space="preserve"> technology</w:t>
      </w:r>
      <w:r>
        <w:rPr>
          <w:rFonts w:ascii="Arial" w:cs="Arial" w:eastAsia="Arial" w:hAnsi="Arial"/>
          <w:sz w:val="14"/>
          <w:szCs w:val="14"/>
          <w:color w:val="auto"/>
        </w:rPr>
        <w:t>: We are leveraging our Allo-Evasion</w:t>
      </w:r>
      <w:r>
        <w:rPr>
          <w:rFonts w:ascii="Arial" w:cs="Arial" w:eastAsia="Arial" w:hAnsi="Arial"/>
          <w:sz w:val="21"/>
          <w:szCs w:val="21"/>
          <w:color w:val="auto"/>
          <w:vertAlign w:val="superscript"/>
        </w:rPr>
        <w:t>TM</w:t>
      </w:r>
      <w:r>
        <w:rPr>
          <w:rFonts w:ascii="Arial" w:cs="Arial" w:eastAsia="Arial" w:hAnsi="Arial"/>
          <w:sz w:val="14"/>
          <w:szCs w:val="14"/>
          <w:b w:val="1"/>
          <w:bCs w:val="1"/>
          <w:color w:val="auto"/>
        </w:rPr>
        <w:t xml:space="preserve"> </w:t>
      </w:r>
      <w:r>
        <w:rPr>
          <w:rFonts w:ascii="Arial" w:cs="Arial" w:eastAsia="Arial" w:hAnsi="Arial"/>
          <w:sz w:val="14"/>
          <w:szCs w:val="14"/>
          <w:color w:val="auto"/>
        </w:rPr>
        <w:t>technology</w:t>
      </w:r>
      <w:r>
        <w:rPr>
          <w:rFonts w:ascii="Arial" w:cs="Arial" w:eastAsia="Arial" w:hAnsi="Arial"/>
          <w:sz w:val="14"/>
          <w:szCs w:val="14"/>
          <w:b w:val="1"/>
          <w:bCs w:val="1"/>
          <w:color w:val="auto"/>
        </w:rPr>
        <w:t xml:space="preserve"> </w:t>
      </w:r>
      <w:r>
        <w:rPr>
          <w:rFonts w:ascii="Arial" w:cs="Arial" w:eastAsia="Arial" w:hAnsi="Arial"/>
          <w:sz w:val="14"/>
          <w:szCs w:val="14"/>
          <w:color w:val="auto"/>
        </w:rPr>
        <w:t>to design cells capable of evading identification and destruction by the host immune system. We believe this technology may permit dosing in patients with limited or no immune preconditioning regimens. The reduction in allogeneic immune-reactivity enabled by our use of this technology, which is designed to prevent rejection by the patient’s immune system, may allow repeat dosing of our CAR-modified cell therapies, and sustain therapeutic efficacy over a long period of time.</w:t>
      </w:r>
    </w:p>
    <w:p>
      <w:pPr>
        <w:spacing w:after="0" w:line="99" w:lineRule="exact"/>
        <w:rPr>
          <w:sz w:val="20"/>
          <w:szCs w:val="20"/>
          <w:color w:val="auto"/>
        </w:rPr>
      </w:pPr>
    </w:p>
    <w:p>
      <w:pPr>
        <w:ind w:left="1240" w:right="1239"/>
        <w:spacing w:after="0" w:line="262" w:lineRule="auto"/>
        <w:rPr>
          <w:sz w:val="20"/>
          <w:szCs w:val="20"/>
          <w:color w:val="auto"/>
        </w:rPr>
      </w:pPr>
      <w:r>
        <w:rPr>
          <w:rFonts w:ascii="Arial" w:cs="Arial" w:eastAsia="Arial" w:hAnsi="Arial"/>
          <w:sz w:val="14"/>
          <w:szCs w:val="14"/>
          <w:b w:val="1"/>
          <w:bCs w:val="1"/>
          <w:color w:val="auto"/>
        </w:rPr>
        <w:t>CAR and protein engineering</w:t>
      </w:r>
      <w:r>
        <w:rPr>
          <w:rFonts w:ascii="Arial" w:cs="Arial" w:eastAsia="Arial" w:hAnsi="Arial"/>
          <w:sz w:val="14"/>
          <w:szCs w:val="14"/>
          <w:color w:val="auto"/>
        </w:rPr>
        <w:t>: CAR design is a critical component of innovative cell therapy</w:t>
      </w:r>
      <w:r>
        <w:rPr>
          <w:rFonts w:ascii="Arial" w:cs="Arial" w:eastAsia="Arial" w:hAnsi="Arial"/>
          <w:sz w:val="14"/>
          <w:szCs w:val="14"/>
          <w:b w:val="1"/>
          <w:bCs w:val="1"/>
          <w:color w:val="auto"/>
        </w:rPr>
        <w:t xml:space="preserve"> </w:t>
      </w:r>
      <w:r>
        <w:rPr>
          <w:rFonts w:ascii="Arial" w:cs="Arial" w:eastAsia="Arial" w:hAnsi="Arial"/>
          <w:sz w:val="14"/>
          <w:szCs w:val="14"/>
          <w:color w:val="auto"/>
        </w:rPr>
        <w:t>product candidates. We assembled a team of scientists with deep protein engineering expertise and invested in the single domain antibody fragment, or VHH, antibody platform to develop world-class CAR engineering capabilities that we believe will allow us to create multi-specific CAR constructs targeting more than one tumor antigen. We believe that targeting multiple antigens on tumor cells will help address tumor heterogeneity and antigen loss, which are frequently observed in tumor cells. We have created a proprietary synthetic library of humanized VHH binders to enable in-house binder screens and multiple campaigns against several tumor antigens are ongoing to generate the CAR constructs for future product candidates.</w:t>
      </w:r>
    </w:p>
    <w:p>
      <w:pPr>
        <w:spacing w:after="0" w:line="91" w:lineRule="exact"/>
        <w:rPr>
          <w:sz w:val="20"/>
          <w:szCs w:val="20"/>
          <w:color w:val="auto"/>
        </w:rPr>
      </w:pPr>
    </w:p>
    <w:p>
      <w:pPr>
        <w:ind w:left="1240" w:right="1239"/>
        <w:spacing w:after="0" w:line="263" w:lineRule="auto"/>
        <w:rPr>
          <w:sz w:val="20"/>
          <w:szCs w:val="20"/>
          <w:color w:val="auto"/>
        </w:rPr>
      </w:pPr>
      <w:r>
        <w:rPr>
          <w:rFonts w:ascii="Arial" w:cs="Arial" w:eastAsia="Arial" w:hAnsi="Arial"/>
          <w:sz w:val="14"/>
          <w:szCs w:val="14"/>
          <w:b w:val="1"/>
          <w:bCs w:val="1"/>
          <w:color w:val="auto"/>
        </w:rPr>
        <w:t>Common engineered iPSC progenitor accelerates new product candidate generation</w:t>
      </w:r>
      <w:r>
        <w:rPr>
          <w:rFonts w:ascii="Arial" w:cs="Arial" w:eastAsia="Arial" w:hAnsi="Arial"/>
          <w:sz w:val="14"/>
          <w:szCs w:val="14"/>
          <w:color w:val="auto"/>
        </w:rPr>
        <w:t>: With</w:t>
      </w:r>
      <w:r>
        <w:rPr>
          <w:rFonts w:ascii="Arial" w:cs="Arial" w:eastAsia="Arial" w:hAnsi="Arial"/>
          <w:sz w:val="14"/>
          <w:szCs w:val="14"/>
          <w:b w:val="1"/>
          <w:bCs w:val="1"/>
          <w:color w:val="auto"/>
        </w:rPr>
        <w:t xml:space="preserve"> </w:t>
      </w:r>
      <w:r>
        <w:rPr>
          <w:rFonts w:ascii="Arial" w:cs="Arial" w:eastAsia="Arial" w:hAnsi="Arial"/>
          <w:sz w:val="14"/>
          <w:szCs w:val="14"/>
          <w:color w:val="auto"/>
        </w:rPr>
        <w:t>other cell therapy platforms generated from cells with limited replicative capacity, the creation of a new product candidate requires starting over with each of the gene engineering steps having to be incorporated into the product. This is not only time and resource intensive; it also makes it more difficult to predict functionality and safety based upon products that may have been clinically tested in earlier programs. In contrast, all of our iPSC-derived product candidates include a set of shared core features intended to increase their functionality, safety, and persistence. We integrate these core features into a common engineered iPSC progenitor, which has several advantages:</w:t>
      </w:r>
    </w:p>
    <w:p>
      <w:pPr>
        <w:spacing w:after="0" w:line="233" w:lineRule="exact"/>
        <w:rPr>
          <w:sz w:val="20"/>
          <w:szCs w:val="20"/>
          <w:color w:val="auto"/>
        </w:rPr>
      </w:pPr>
    </w:p>
    <w:p>
      <w:pPr>
        <w:ind w:left="1620" w:right="1239" w:hanging="123"/>
        <w:spacing w:after="0" w:line="282" w:lineRule="auto"/>
        <w:tabs>
          <w:tab w:leader="none" w:pos="162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Significant acceleration of new product candidate generation</w:t>
      </w:r>
      <w:r>
        <w:rPr>
          <w:rFonts w:ascii="Arial" w:cs="Arial" w:eastAsia="Arial" w:hAnsi="Arial"/>
          <w:sz w:val="14"/>
          <w:szCs w:val="14"/>
          <w:color w:val="auto"/>
        </w:rPr>
        <w:t>. Multiple product candidates</w:t>
      </w:r>
      <w:r>
        <w:rPr>
          <w:rFonts w:ascii="Arial" w:cs="Arial" w:eastAsia="Arial" w:hAnsi="Arial"/>
          <w:sz w:val="14"/>
          <w:szCs w:val="14"/>
          <w:i w:val="1"/>
          <w:iCs w:val="1"/>
          <w:color w:val="auto"/>
        </w:rPr>
        <w:t xml:space="preserve"> </w:t>
      </w:r>
      <w:r>
        <w:rPr>
          <w:rFonts w:ascii="Arial" w:cs="Arial" w:eastAsia="Arial" w:hAnsi="Arial"/>
          <w:sz w:val="14"/>
          <w:szCs w:val="14"/>
          <w:color w:val="auto"/>
        </w:rPr>
        <w:t>are generated by engineering additional features, such as adding different CARs, to the common progenitor to create new clinical candidates for different tumor indications. With this approach, we do not need to reengineer common functionalities every time we generate a new product candidate.</w:t>
      </w:r>
    </w:p>
    <w:p>
      <w:pPr>
        <w:spacing w:after="0" w:line="57" w:lineRule="exact"/>
        <w:rPr>
          <w:rFonts w:ascii="Arial" w:cs="Arial" w:eastAsia="Arial" w:hAnsi="Arial"/>
          <w:sz w:val="14"/>
          <w:szCs w:val="14"/>
          <w:color w:val="auto"/>
        </w:rPr>
      </w:pPr>
    </w:p>
    <w:p>
      <w:pPr>
        <w:ind w:left="1620" w:right="1439" w:hanging="123"/>
        <w:spacing w:after="0" w:line="292" w:lineRule="auto"/>
        <w:tabs>
          <w:tab w:leader="none" w:pos="162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Robust manufacturing processes for multiple product candidates</w:t>
      </w:r>
      <w:r>
        <w:rPr>
          <w:rFonts w:ascii="Arial" w:cs="Arial" w:eastAsia="Arial" w:hAnsi="Arial"/>
          <w:sz w:val="14"/>
          <w:szCs w:val="14"/>
          <w:color w:val="auto"/>
        </w:rPr>
        <w:t>. Since the starting iPSC</w:t>
      </w:r>
      <w:r>
        <w:rPr>
          <w:rFonts w:ascii="Arial" w:cs="Arial" w:eastAsia="Arial" w:hAnsi="Arial"/>
          <w:sz w:val="14"/>
          <w:szCs w:val="14"/>
          <w:i w:val="1"/>
          <w:iCs w:val="1"/>
          <w:color w:val="auto"/>
        </w:rPr>
        <w:t xml:space="preserve"> </w:t>
      </w:r>
      <w:r>
        <w:rPr>
          <w:rFonts w:ascii="Arial" w:cs="Arial" w:eastAsia="Arial" w:hAnsi="Arial"/>
          <w:sz w:val="14"/>
          <w:szCs w:val="14"/>
          <w:color w:val="auto"/>
        </w:rPr>
        <w:t>line is the same for multiple product candidates, our manufacturing processes are predictable and robust.</w:t>
      </w:r>
    </w:p>
    <w:p>
      <w:pPr>
        <w:spacing w:after="0" w:line="48" w:lineRule="exact"/>
        <w:rPr>
          <w:rFonts w:ascii="Arial" w:cs="Arial" w:eastAsia="Arial" w:hAnsi="Arial"/>
          <w:sz w:val="14"/>
          <w:szCs w:val="14"/>
          <w:color w:val="auto"/>
        </w:rPr>
      </w:pPr>
    </w:p>
    <w:p>
      <w:pPr>
        <w:ind w:left="1620" w:right="1279" w:hanging="123"/>
        <w:spacing w:after="0" w:line="282" w:lineRule="auto"/>
        <w:tabs>
          <w:tab w:leader="none" w:pos="1620" w:val="left"/>
        </w:tabs>
        <w:numPr>
          <w:ilvl w:val="0"/>
          <w:numId w:val="3"/>
        </w:numPr>
        <w:rPr>
          <w:rFonts w:ascii="Arial" w:cs="Arial" w:eastAsia="Arial" w:hAnsi="Arial"/>
          <w:sz w:val="14"/>
          <w:szCs w:val="14"/>
          <w:color w:val="auto"/>
        </w:rPr>
      </w:pPr>
      <w:r>
        <w:rPr>
          <w:rFonts w:ascii="Arial" w:cs="Arial" w:eastAsia="Arial" w:hAnsi="Arial"/>
          <w:sz w:val="14"/>
          <w:szCs w:val="14"/>
          <w:i w:val="1"/>
          <w:iCs w:val="1"/>
          <w:color w:val="auto"/>
        </w:rPr>
        <w:t>Predictability of product candidate functionality, safety, and persistence</w:t>
      </w:r>
      <w:r>
        <w:rPr>
          <w:rFonts w:ascii="Arial" w:cs="Arial" w:eastAsia="Arial" w:hAnsi="Arial"/>
          <w:sz w:val="14"/>
          <w:szCs w:val="14"/>
          <w:color w:val="auto"/>
        </w:rPr>
        <w:t>. Because multiple</w:t>
      </w:r>
      <w:r>
        <w:rPr>
          <w:rFonts w:ascii="Arial" w:cs="Arial" w:eastAsia="Arial" w:hAnsi="Arial"/>
          <w:sz w:val="14"/>
          <w:szCs w:val="14"/>
          <w:i w:val="1"/>
          <w:iCs w:val="1"/>
          <w:color w:val="auto"/>
        </w:rPr>
        <w:t xml:space="preserve"> </w:t>
      </w:r>
      <w:r>
        <w:rPr>
          <w:rFonts w:ascii="Arial" w:cs="Arial" w:eastAsia="Arial" w:hAnsi="Arial"/>
          <w:sz w:val="14"/>
          <w:szCs w:val="14"/>
          <w:color w:val="auto"/>
        </w:rPr>
        <w:t>clinical candidates are derived from the same engineered iPSC line, the lessons learned from one product candidate can be leveraged across multiple product candidates, which facilitates clinical development. For instance, the allo-reactivity of products derived from the same common engineered iPSC progenitor should be very similar.</w:t>
      </w:r>
    </w:p>
    <w:p>
      <w:pPr>
        <w:spacing w:after="0" w:line="93" w:lineRule="exact"/>
        <w:rPr>
          <w:sz w:val="20"/>
          <w:szCs w:val="20"/>
          <w:color w:val="auto"/>
        </w:rPr>
      </w:pPr>
    </w:p>
    <w:p>
      <w:pPr>
        <w:ind w:left="1240" w:right="1219"/>
        <w:spacing w:after="0" w:line="259" w:lineRule="auto"/>
        <w:rPr>
          <w:sz w:val="20"/>
          <w:szCs w:val="20"/>
          <w:color w:val="auto"/>
        </w:rPr>
      </w:pPr>
      <w:r>
        <w:rPr>
          <w:rFonts w:ascii="Arial" w:cs="Arial" w:eastAsia="Arial" w:hAnsi="Arial"/>
          <w:sz w:val="14"/>
          <w:szCs w:val="14"/>
          <w:color w:val="auto"/>
        </w:rPr>
        <w:t>We expect to file an investigational new drug application, or IND, with the U.S. Food and Drug Administration, or the FDA, for our lead product candidate CNTY-101, a CAR-iNK product candidate targeting CD19 for lymphoma, in mid 2022. We expect to file an IND for CNTY-103, our CD133 + EGFR iNK product candidate designed to treat glioblastoma, in the first half of 2023. Our third candidate, CNTY-102, is a bi-specific CD19 + CD79b iNK or iT product candidate targeting lymphoma, with IND filing expected in the second half of 2023, and, our fourth candidate, CNTY-104, is a multi-specific product candidate targeting acute myeloid leukemia, or AML, with IND filing expected in mid 2024. As there are disease settings which will favor iNK or iT products, we are actively investigating both iNK and iT cell platforms for CNTY-102 and CNTY-104, as either may have preferential clinical features. We are also advancing an earlier discovery stage pipeline with novel CARs and binders against multiple</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 w:name="page6"/>
    <w:bookmarkEnd w:id="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04360" cy="6980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04360" cy="69805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1240" w:right="1299"/>
        <w:spacing w:after="0" w:line="276" w:lineRule="auto"/>
        <w:rPr>
          <w:sz w:val="20"/>
          <w:szCs w:val="20"/>
          <w:color w:val="auto"/>
        </w:rPr>
      </w:pPr>
      <w:r>
        <w:rPr>
          <w:rFonts w:ascii="Arial" w:cs="Arial" w:eastAsia="Arial" w:hAnsi="Arial"/>
          <w:sz w:val="14"/>
          <w:szCs w:val="14"/>
          <w:color w:val="auto"/>
        </w:rPr>
        <w:t>solid tumor targets using our iNK and iT cell therapy platforms. We believe that the therapeutics we discover and develop, if approved, will have a significant impact on the quality of life of patients suffering from devastating solid tumor and hematological malignancies. Our approach to developing therapies for life-threatening cancers of highly unmet medical need potentially presents an opportunity to efficiently advance our product candidates through clinical development, regulatory approval and ultimately to commercialization.</w:t>
      </w:r>
    </w:p>
    <w:p>
      <w:pPr>
        <w:spacing w:after="0" w:line="98" w:lineRule="exact"/>
        <w:rPr>
          <w:sz w:val="20"/>
          <w:szCs w:val="20"/>
          <w:color w:val="auto"/>
        </w:rPr>
      </w:pPr>
    </w:p>
    <w:p>
      <w:pPr>
        <w:ind w:left="1240" w:right="1319"/>
        <w:spacing w:after="0" w:line="276" w:lineRule="auto"/>
        <w:rPr>
          <w:sz w:val="20"/>
          <w:szCs w:val="20"/>
          <w:color w:val="auto"/>
        </w:rPr>
      </w:pPr>
      <w:r>
        <w:rPr>
          <w:rFonts w:ascii="Arial" w:cs="Arial" w:eastAsia="Arial" w:hAnsi="Arial"/>
          <w:sz w:val="14"/>
          <w:szCs w:val="14"/>
          <w:color w:val="auto"/>
        </w:rPr>
        <w:t>Our collaboration with FUJIFILM Cellular Dynamics Inc., or FCDI, provides us with licenses to certain premier iPSC technologies, patents and know-how, giving us our initial start which enabled us to accelerate generation of our first-generation product candidates and development of our manufacturing processes. We have built and expanded on this foundation with our own resources, applying our own gene editing, protein engineering, process development, and manufacturing expertise to develop our novel product candidates and platforms for which we are developing our own intellectual property. We retain exclusive commercialization rights in the United States and other major commercial markets for our product candidates developed pursuant to our collaboration with FCDI.</w:t>
      </w:r>
    </w:p>
    <w:p>
      <w:pPr>
        <w:spacing w:after="0" w:line="30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Advantages of our proprietary allogeneic cell platform technology</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Key advantages of our proprietary allogeneic cell platform technology include:</w:t>
      </w:r>
    </w:p>
    <w:p>
      <w:pPr>
        <w:spacing w:after="0" w:line="77" w:lineRule="exact"/>
        <w:rPr>
          <w:sz w:val="20"/>
          <w:szCs w:val="20"/>
          <w:color w:val="auto"/>
        </w:rPr>
      </w:pPr>
    </w:p>
    <w:p>
      <w:pPr>
        <w:ind w:left="1620" w:right="1259" w:hanging="123"/>
        <w:spacing w:after="0" w:line="265" w:lineRule="auto"/>
        <w:tabs>
          <w:tab w:leader="none" w:pos="1620"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Greatly improved therapeutic application: </w:t>
      </w:r>
      <w:r>
        <w:rPr>
          <w:rFonts w:ascii="Arial" w:cs="Arial" w:eastAsia="Arial" w:hAnsi="Arial"/>
          <w:sz w:val="14"/>
          <w:szCs w:val="14"/>
          <w:color w:val="auto"/>
        </w:rPr>
        <w:t>We believe that our Allo-Evasion</w:t>
      </w:r>
      <w:r>
        <w:rPr>
          <w:rFonts w:ascii="Arial" w:cs="Arial" w:eastAsia="Arial" w:hAnsi="Arial"/>
          <w:sz w:val="21"/>
          <w:szCs w:val="21"/>
          <w:color w:val="auto"/>
          <w:vertAlign w:val="superscript"/>
        </w:rPr>
        <w:t>TM</w:t>
      </w:r>
      <w:r>
        <w:rPr>
          <w:rFonts w:ascii="Arial" w:cs="Arial" w:eastAsia="Arial" w:hAnsi="Arial"/>
          <w:sz w:val="14"/>
          <w:szCs w:val="14"/>
          <w:b w:val="1"/>
          <w:bCs w:val="1"/>
          <w:color w:val="auto"/>
        </w:rPr>
        <w:t xml:space="preserve"> </w:t>
      </w:r>
      <w:r>
        <w:rPr>
          <w:rFonts w:ascii="Arial" w:cs="Arial" w:eastAsia="Arial" w:hAnsi="Arial"/>
          <w:sz w:val="14"/>
          <w:szCs w:val="14"/>
          <w:color w:val="auto"/>
        </w:rPr>
        <w:t>engineering technology will allow our cell product candidates to escape recognition and destruction by the host immune system. We believe the reduction in allogeneic reactivity enabled by our use of this technology will allow repeat dosing of our CAR-modified cell therapies to improve therapeutic efficacy. In combination with the extended killing capability of optimized immune cells derived from single genetically engineered cell cloning, we envision utilizing repeat dosing to maximize durability of response and efficacy. Additionally, we believe this technology may permit dosing in patients with limited or no immune preconditioning regimes.</w:t>
      </w:r>
    </w:p>
    <w:p>
      <w:pPr>
        <w:spacing w:after="0" w:line="251" w:lineRule="exact"/>
        <w:rPr>
          <w:rFonts w:ascii="Arial" w:cs="Arial" w:eastAsia="Arial" w:hAnsi="Arial"/>
          <w:sz w:val="14"/>
          <w:szCs w:val="14"/>
          <w:color w:val="auto"/>
        </w:rPr>
      </w:pPr>
    </w:p>
    <w:p>
      <w:pPr>
        <w:ind w:left="1620" w:right="1319" w:hanging="123"/>
        <w:spacing w:after="0" w:line="282" w:lineRule="auto"/>
        <w:tabs>
          <w:tab w:leader="none" w:pos="1620"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Manufacturing, product quality, and COGS advantages: </w:t>
      </w:r>
      <w:r>
        <w:rPr>
          <w:rFonts w:ascii="Arial" w:cs="Arial" w:eastAsia="Arial" w:hAnsi="Arial"/>
          <w:sz w:val="14"/>
          <w:szCs w:val="14"/>
          <w:color w:val="auto"/>
        </w:rPr>
        <w:t>We believe our use of iPSCs,</w:t>
      </w:r>
      <w:r>
        <w:rPr>
          <w:rFonts w:ascii="Arial" w:cs="Arial" w:eastAsia="Arial" w:hAnsi="Arial"/>
          <w:sz w:val="14"/>
          <w:szCs w:val="14"/>
          <w:b w:val="1"/>
          <w:bCs w:val="1"/>
          <w:color w:val="auto"/>
        </w:rPr>
        <w:t xml:space="preserve"> </w:t>
      </w:r>
      <w:r>
        <w:rPr>
          <w:rFonts w:ascii="Arial" w:cs="Arial" w:eastAsia="Arial" w:hAnsi="Arial"/>
          <w:sz w:val="14"/>
          <w:szCs w:val="14"/>
          <w:color w:val="auto"/>
        </w:rPr>
        <w:t>which have the potential to propagate indefinitely, will allow us to develop a streamlined manufacturing process with scalability advantages while producing consistent, high quality, off-the-shelf products at reduced manufacturing costs. Given the indefinite propagation potential of iPSC-derived allogeneic cells, we believe that a single master cell bank can be used for the lifetime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 w:name="page7"/>
    <w:bookmarkEnd w:id="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04360" cy="7007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04360" cy="700786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Our pipeline</w:t>
      </w:r>
    </w:p>
    <w:p>
      <w:pPr>
        <w:spacing w:after="0" w:line="133" w:lineRule="exact"/>
        <w:rPr>
          <w:sz w:val="20"/>
          <w:szCs w:val="20"/>
          <w:color w:val="auto"/>
        </w:rPr>
      </w:pPr>
    </w:p>
    <w:p>
      <w:pPr>
        <w:ind w:left="1240" w:right="1279"/>
        <w:spacing w:after="0" w:line="248" w:lineRule="auto"/>
        <w:rPr>
          <w:sz w:val="20"/>
          <w:szCs w:val="20"/>
          <w:color w:val="auto"/>
        </w:rPr>
      </w:pPr>
      <w:r>
        <w:rPr>
          <w:rFonts w:ascii="Arial" w:cs="Arial" w:eastAsia="Arial" w:hAnsi="Arial"/>
          <w:sz w:val="14"/>
          <w:szCs w:val="14"/>
          <w:color w:val="auto"/>
        </w:rPr>
        <w:t>We are assembling a portfolio of allogeneic iNK and iT cell therapy product candidates across solid tumor and hematological malignancies. This pipeline is comprised of cell therapies intended to address diseases where we believe current therapies are inadequate. All product candidates incorporate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avoid host rejection and potentially increase the durability of clinical responses. With the exception of our lead product candidate, CNTY-101, each of our product candidates is designed to target multiple tumor antigens. We currently anticipate filing an IND for our lead product candidate, CNTY-101, targeting B-cell lymphoma, in mid 2022. Our second product candidate, CNTY-103, is designed to treat glioblastoma, and we currently anticipate filing an IND in the first half of 2023. Our third product candidate, CNTY-102, is designed to further improve B-cell malignancy treatment, and we are planning on filing an IND for it in the second half of 2023. Our fourth product candidate, CNTY-104, is being developed to treat AML with the IND filing expected in mid 2024. Our development programs consist of the product candidates illustrated in the pipeline chart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500" w:right="1319" w:hanging="262"/>
        <w:spacing w:after="0" w:line="246" w:lineRule="auto"/>
        <w:tabs>
          <w:tab w:leader="none" w:pos="1500" w:val="left"/>
        </w:tabs>
        <w:numPr>
          <w:ilvl w:val="0"/>
          <w:numId w:val="5"/>
        </w:numPr>
        <w:rPr>
          <w:rFonts w:ascii="Arial" w:cs="Arial" w:eastAsia="Arial" w:hAnsi="Arial"/>
          <w:sz w:val="11"/>
          <w:szCs w:val="11"/>
          <w:color w:val="auto"/>
        </w:rPr>
      </w:pPr>
      <w:r>
        <w:rPr>
          <w:rFonts w:ascii="Arial" w:cs="Arial" w:eastAsia="Arial" w:hAnsi="Arial"/>
          <w:sz w:val="11"/>
          <w:szCs w:val="11"/>
          <w:color w:val="auto"/>
        </w:rPr>
        <w:t>We are party to an option agreement with Bayer HealthCare LLC, or Bayer, pursuant to which Bayer was granted certain bidding rights relating to the potential transfer of rights with respect to certain product candidates being researched and developed by us which are comprised of iNK cells, macrophages or dendritic cells, including CNTY-101, CNTY-103 and any other product candidate comprised of iNK cells that we develop in the future. Bayer's rights under the option agreement are subject to important limitations. See "Business—Licensing, partnership and collaboration—Bayer HealthCare LLC—Option Agreement" for more information.</w:t>
      </w:r>
    </w:p>
    <w:p>
      <w:pPr>
        <w:spacing w:after="0" w:line="110" w:lineRule="exact"/>
        <w:rPr>
          <w:sz w:val="20"/>
          <w:szCs w:val="20"/>
          <w:color w:val="auto"/>
        </w:rPr>
      </w:pPr>
    </w:p>
    <w:p>
      <w:pPr>
        <w:ind w:left="1240" w:right="1239"/>
        <w:spacing w:after="0" w:line="258" w:lineRule="auto"/>
        <w:rPr>
          <w:sz w:val="20"/>
          <w:szCs w:val="20"/>
          <w:color w:val="auto"/>
        </w:rPr>
      </w:pPr>
      <w:r>
        <w:rPr>
          <w:rFonts w:ascii="Arial" w:cs="Arial" w:eastAsia="Arial" w:hAnsi="Arial"/>
          <w:sz w:val="14"/>
          <w:szCs w:val="14"/>
          <w:b w:val="1"/>
          <w:bCs w:val="1"/>
          <w:color w:val="auto"/>
        </w:rPr>
        <w:t xml:space="preserve">CNTY-101: Our CAR-iNK candidate targeting CD19 for relapsed, refractory B-cell lymphoma. </w:t>
      </w:r>
      <w:r>
        <w:rPr>
          <w:rFonts w:ascii="Arial" w:cs="Arial" w:eastAsia="Arial" w:hAnsi="Arial"/>
          <w:sz w:val="14"/>
          <w:szCs w:val="14"/>
          <w:color w:val="auto"/>
        </w:rPr>
        <w:t>Our lead product candidate, CNTY-101, is an allogeneic, iPSC-derived CAR-iNK cell</w:t>
      </w:r>
      <w:r>
        <w:rPr>
          <w:rFonts w:ascii="Arial" w:cs="Arial" w:eastAsia="Arial" w:hAnsi="Arial"/>
          <w:sz w:val="14"/>
          <w:szCs w:val="14"/>
          <w:b w:val="1"/>
          <w:bCs w:val="1"/>
          <w:color w:val="auto"/>
        </w:rPr>
        <w:t xml:space="preserve"> </w:t>
      </w:r>
      <w:r>
        <w:rPr>
          <w:rFonts w:ascii="Arial" w:cs="Arial" w:eastAsia="Arial" w:hAnsi="Arial"/>
          <w:sz w:val="14"/>
          <w:szCs w:val="14"/>
          <w:color w:val="auto"/>
        </w:rPr>
        <w:t>therapy that has been engineered to express CD19 CAR, soluble IL-15, an EGFR safety switch, and also contains gene edits needed to incorporate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We expect clinical candidate clone selection in the first half of 2021, and plan to move into IND enabling preclinical and technical studies and manufacturing at that time. We anticipate filing an IND to advance CNTY-101 into a Phase 1 clinical trial in mid 2022.</w:t>
      </w:r>
    </w:p>
    <w:p>
      <w:pPr>
        <w:spacing w:after="0" w:line="289" w:lineRule="exact"/>
        <w:rPr>
          <w:sz w:val="20"/>
          <w:szCs w:val="20"/>
          <w:color w:val="auto"/>
        </w:rPr>
      </w:pPr>
    </w:p>
    <w:p>
      <w:pPr>
        <w:ind w:left="1240" w:right="1259"/>
        <w:spacing w:after="0" w:line="280" w:lineRule="auto"/>
        <w:rPr>
          <w:sz w:val="20"/>
          <w:szCs w:val="20"/>
          <w:color w:val="auto"/>
        </w:rPr>
      </w:pPr>
      <w:r>
        <w:rPr>
          <w:rFonts w:ascii="Arial" w:cs="Arial" w:eastAsia="Arial" w:hAnsi="Arial"/>
          <w:sz w:val="14"/>
          <w:szCs w:val="14"/>
          <w:b w:val="1"/>
          <w:bCs w:val="1"/>
          <w:color w:val="auto"/>
        </w:rPr>
        <w:t xml:space="preserve">CNTY-103: Our CAR-iNK candidate targeting CD133 + EGFR for recurrent glioblastoma. </w:t>
      </w:r>
      <w:r>
        <w:rPr>
          <w:rFonts w:ascii="Arial" w:cs="Arial" w:eastAsia="Arial" w:hAnsi="Arial"/>
          <w:sz w:val="14"/>
          <w:szCs w:val="14"/>
          <w:color w:val="auto"/>
        </w:rPr>
        <w:t>We</w:t>
      </w:r>
      <w:r>
        <w:rPr>
          <w:rFonts w:ascii="Arial" w:cs="Arial" w:eastAsia="Arial" w:hAnsi="Arial"/>
          <w:sz w:val="14"/>
          <w:szCs w:val="14"/>
          <w:b w:val="1"/>
          <w:bCs w:val="1"/>
          <w:color w:val="auto"/>
        </w:rPr>
        <w:t xml:space="preserve"> </w:t>
      </w:r>
      <w:r>
        <w:rPr>
          <w:rFonts w:ascii="Arial" w:cs="Arial" w:eastAsia="Arial" w:hAnsi="Arial"/>
          <w:sz w:val="14"/>
          <w:szCs w:val="14"/>
          <w:color w:val="auto"/>
        </w:rPr>
        <w:t>are pursuing a differentiated approach addressing glioblastoma multiforme, or GBM, tumor heterogeneity, and planning local administration of the iNK cell product candidate. CNTY-103 represents our first clinical product candidate targeting a solid tumor and we believe targeting GBM with our engineered iNK cells may provide an opportunity to assess the clinical utility of, or establish proof of concept for, our iPSC-derived iNK cell therapy platform. We are projecting filing an IND and/or clinical trial application, or CTA, for recurrent GBM in the first half of 2023.</w:t>
      </w:r>
    </w:p>
    <w:p>
      <w:pPr>
        <w:spacing w:after="0" w:line="77" w:lineRule="exact"/>
        <w:rPr>
          <w:sz w:val="20"/>
          <w:szCs w:val="20"/>
          <w:color w:val="auto"/>
        </w:rPr>
      </w:pPr>
    </w:p>
    <w:p>
      <w:pPr>
        <w:ind w:left="1240" w:right="1279"/>
        <w:spacing w:after="0" w:line="282" w:lineRule="auto"/>
        <w:rPr>
          <w:sz w:val="20"/>
          <w:szCs w:val="20"/>
          <w:color w:val="auto"/>
        </w:rPr>
      </w:pPr>
      <w:r>
        <w:rPr>
          <w:rFonts w:ascii="Arial" w:cs="Arial" w:eastAsia="Arial" w:hAnsi="Arial"/>
          <w:sz w:val="14"/>
          <w:szCs w:val="14"/>
          <w:b w:val="1"/>
          <w:bCs w:val="1"/>
          <w:color w:val="auto"/>
        </w:rPr>
        <w:t xml:space="preserve">CNTY-102: Our CAR-iT or CAR-iNK candidate targeting CD19 + CD79b for relapsed, refractory B-cell lymphoma and other B-cell malignancies. </w:t>
      </w:r>
      <w:r>
        <w:rPr>
          <w:rFonts w:ascii="Arial" w:cs="Arial" w:eastAsia="Arial" w:hAnsi="Arial"/>
          <w:sz w:val="14"/>
          <w:szCs w:val="14"/>
          <w:color w:val="auto"/>
        </w:rPr>
        <w:t>CNTY-102 will simultaneously</w:t>
      </w:r>
      <w:r>
        <w:rPr>
          <w:rFonts w:ascii="Arial" w:cs="Arial" w:eastAsia="Arial" w:hAnsi="Arial"/>
          <w:sz w:val="14"/>
          <w:szCs w:val="14"/>
          <w:b w:val="1"/>
          <w:bCs w:val="1"/>
          <w:color w:val="auto"/>
        </w:rPr>
        <w:t xml:space="preserve"> </w:t>
      </w:r>
      <w:r>
        <w:rPr>
          <w:rFonts w:ascii="Arial" w:cs="Arial" w:eastAsia="Arial" w:hAnsi="Arial"/>
          <w:sz w:val="14"/>
          <w:szCs w:val="14"/>
          <w:color w:val="auto"/>
        </w:rPr>
        <w:t>target CD19 and CD79b, intended to increase depth and durability of response by eliminating the effect of CD19 antigen loss that has been observed as a factor limiting treatment durability, as well as targeting CD79b, an independently regulated, ubiquitous and validated B-cell target. We currently envision filing the IND for CNTY-102 in the second half of 2023.</w:t>
      </w:r>
    </w:p>
    <w:p>
      <w:pPr>
        <w:spacing w:after="0" w:line="84" w:lineRule="exact"/>
        <w:rPr>
          <w:sz w:val="20"/>
          <w:szCs w:val="20"/>
          <w:color w:val="auto"/>
        </w:rPr>
      </w:pPr>
    </w:p>
    <w:p>
      <w:pPr>
        <w:ind w:left="1240" w:right="1259"/>
        <w:spacing w:after="0" w:line="282" w:lineRule="auto"/>
        <w:rPr>
          <w:sz w:val="20"/>
          <w:szCs w:val="20"/>
          <w:color w:val="auto"/>
        </w:rPr>
      </w:pPr>
      <w:r>
        <w:rPr>
          <w:rFonts w:ascii="Arial" w:cs="Arial" w:eastAsia="Arial" w:hAnsi="Arial"/>
          <w:sz w:val="14"/>
          <w:szCs w:val="14"/>
          <w:b w:val="1"/>
          <w:bCs w:val="1"/>
          <w:color w:val="auto"/>
        </w:rPr>
        <w:t xml:space="preserve">CNTY-104: Our CAR-iT or CAR-iNK multi-specific candidate for acute myeloid leukemia. </w:t>
      </w:r>
      <w:r>
        <w:rPr>
          <w:rFonts w:ascii="Arial" w:cs="Arial" w:eastAsia="Arial" w:hAnsi="Arial"/>
          <w:sz w:val="14"/>
          <w:szCs w:val="14"/>
          <w:color w:val="auto"/>
        </w:rPr>
        <w:t>CNTY-104 will utilize our multi-specific iNK or iT cells for the treatment of AML. Given the known therapeutic activity of natural killer, or NK, cells in AML, there might be an advantage to using the iNK cell platform to build the product candidate, but we will evaluate both the iNK and iT cell therapy platforms and choose the one likely to provide the best therapeutic index in the clinic. We currently envision filing the IND for CNTY-104 in mid 2024.</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 w:name="page8"/>
    <w:bookmarkEnd w:id="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04360" cy="6837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04360" cy="683704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1240" w:right="1279"/>
        <w:spacing w:after="0" w:line="266" w:lineRule="auto"/>
        <w:rPr>
          <w:sz w:val="20"/>
          <w:szCs w:val="20"/>
          <w:color w:val="auto"/>
        </w:rPr>
      </w:pPr>
      <w:r>
        <w:rPr>
          <w:rFonts w:ascii="Arial" w:cs="Arial" w:eastAsia="Arial" w:hAnsi="Arial"/>
          <w:sz w:val="14"/>
          <w:szCs w:val="14"/>
          <w:b w:val="1"/>
          <w:bCs w:val="1"/>
          <w:color w:val="auto"/>
        </w:rPr>
        <w:t xml:space="preserve">Discovery platform. </w:t>
      </w:r>
      <w:r>
        <w:rPr>
          <w:rFonts w:ascii="Arial" w:cs="Arial" w:eastAsia="Arial" w:hAnsi="Arial"/>
          <w:sz w:val="14"/>
          <w:szCs w:val="14"/>
          <w:color w:val="auto"/>
        </w:rPr>
        <w:t>In addition to our named programs, we are actively engaged in a number of</w:t>
      </w:r>
      <w:r>
        <w:rPr>
          <w:rFonts w:ascii="Arial" w:cs="Arial" w:eastAsia="Arial" w:hAnsi="Arial"/>
          <w:sz w:val="14"/>
          <w:szCs w:val="14"/>
          <w:b w:val="1"/>
          <w:bCs w:val="1"/>
          <w:color w:val="auto"/>
        </w:rPr>
        <w:t xml:space="preserve"> </w:t>
      </w:r>
      <w:r>
        <w:rPr>
          <w:rFonts w:ascii="Arial" w:cs="Arial" w:eastAsia="Arial" w:hAnsi="Arial"/>
          <w:sz w:val="14"/>
          <w:szCs w:val="14"/>
          <w:color w:val="auto"/>
        </w:rPr>
        <w:t>earlier stage discovery programs where we believe our iPSC-derived allogeneic cell therapy platform may provide differentiated therapeutic benefits. These discovery stage initiatives are focused on several solid tumor indications including bladder cancer and renal cell carcinoma. For these and other indications, we plan to use multispecific CARs and explore the use of both iNK and iT cells to identify the best cell platform to build the product candidate.</w:t>
      </w:r>
    </w:p>
    <w:p>
      <w:pPr>
        <w:spacing w:after="0" w:line="129"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Our strategy</w:t>
      </w:r>
    </w:p>
    <w:p>
      <w:pPr>
        <w:spacing w:after="0" w:line="122" w:lineRule="exact"/>
        <w:rPr>
          <w:sz w:val="20"/>
          <w:szCs w:val="20"/>
          <w:color w:val="auto"/>
        </w:rPr>
      </w:pPr>
    </w:p>
    <w:p>
      <w:pPr>
        <w:ind w:left="1240" w:right="1379"/>
        <w:spacing w:after="0" w:line="260" w:lineRule="auto"/>
        <w:rPr>
          <w:sz w:val="20"/>
          <w:szCs w:val="20"/>
          <w:color w:val="auto"/>
        </w:rPr>
      </w:pPr>
      <w:r>
        <w:rPr>
          <w:rFonts w:ascii="Arial" w:cs="Arial" w:eastAsia="Arial" w:hAnsi="Arial"/>
          <w:sz w:val="14"/>
          <w:szCs w:val="14"/>
          <w:color w:val="auto"/>
        </w:rPr>
        <w:t>Our vision is to be a leader in the treatment of both solid tumor and hematological malignancies that address unmet medical needs by developing innovative allogeneic cell therapy products derived from our proprietary technologies. We are initially focused on advancing the clinical development and commercialization of tumor-targeted iNK and iT cell therapeutics. We believe that our iPSC-derived allogeneic cell therapy platforms have the potential to overcome the limitations of existing therapies, lower manufacturing costs and improve patient outcomes. To deliver on our mission, we intend to:</w:t>
      </w:r>
    </w:p>
    <w:p>
      <w:pPr>
        <w:spacing w:after="0" w:line="241" w:lineRule="exact"/>
        <w:rPr>
          <w:sz w:val="20"/>
          <w:szCs w:val="20"/>
          <w:color w:val="auto"/>
        </w:rPr>
      </w:pPr>
    </w:p>
    <w:p>
      <w:pPr>
        <w:ind w:left="1360" w:right="1259" w:hanging="122"/>
        <w:spacing w:after="0" w:line="313" w:lineRule="auto"/>
        <w:tabs>
          <w:tab w:leader="none" w:pos="136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Build a leading cell therapy company leveraging our comprehensive iPSC-derived allogeneic cell therapy platforms designed to overcome the limitations of existing cancer therapies.</w:t>
      </w:r>
    </w:p>
    <w:p>
      <w:pPr>
        <w:spacing w:after="0" w:line="216" w:lineRule="exact"/>
        <w:rPr>
          <w:rFonts w:ascii="Arial" w:cs="Arial" w:eastAsia="Arial" w:hAnsi="Arial"/>
          <w:sz w:val="14"/>
          <w:szCs w:val="14"/>
          <w:color w:val="auto"/>
        </w:rPr>
      </w:pPr>
    </w:p>
    <w:p>
      <w:pPr>
        <w:ind w:left="1360" w:right="1819" w:hanging="122"/>
        <w:spacing w:after="0" w:line="316" w:lineRule="auto"/>
        <w:tabs>
          <w:tab w:leader="none" w:pos="136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Maximize the potential to treat a broad range of cancers by exploiting the distinct biologies of both NK and T cells.</w:t>
      </w:r>
    </w:p>
    <w:p>
      <w:pPr>
        <w:spacing w:after="0" w:line="3" w:lineRule="exact"/>
        <w:rPr>
          <w:rFonts w:ascii="Arial" w:cs="Arial" w:eastAsia="Arial" w:hAnsi="Arial"/>
          <w:sz w:val="14"/>
          <w:szCs w:val="14"/>
          <w:color w:val="auto"/>
        </w:rPr>
      </w:pPr>
    </w:p>
    <w:p>
      <w:pPr>
        <w:ind w:left="1360" w:right="1699" w:hanging="122"/>
        <w:spacing w:after="0" w:line="252" w:lineRule="auto"/>
        <w:tabs>
          <w:tab w:leader="none" w:pos="136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Leverage our Allo-Evasion</w:t>
      </w:r>
      <w:r>
        <w:rPr>
          <w:rFonts w:ascii="Arial" w:cs="Arial" w:eastAsia="Arial" w:hAnsi="Arial"/>
          <w:sz w:val="21"/>
          <w:szCs w:val="21"/>
          <w:b w:val="1"/>
          <w:bCs w:val="1"/>
          <w:color w:val="auto"/>
          <w:vertAlign w:val="superscript"/>
        </w:rPr>
        <w:t>TM</w:t>
      </w:r>
      <w:r>
        <w:rPr>
          <w:rFonts w:ascii="Arial" w:cs="Arial" w:eastAsia="Arial" w:hAnsi="Arial"/>
          <w:sz w:val="14"/>
          <w:szCs w:val="14"/>
          <w:b w:val="1"/>
          <w:bCs w:val="1"/>
          <w:color w:val="auto"/>
        </w:rPr>
        <w:t xml:space="preserve"> technology across our product platform to avoid host rejection and enable repeat dosing.</w:t>
      </w:r>
    </w:p>
    <w:p>
      <w:pPr>
        <w:spacing w:after="0" w:line="67" w:lineRule="exact"/>
        <w:rPr>
          <w:rFonts w:ascii="Arial" w:cs="Arial" w:eastAsia="Arial" w:hAnsi="Arial"/>
          <w:sz w:val="14"/>
          <w:szCs w:val="14"/>
          <w:color w:val="auto"/>
        </w:rPr>
      </w:pPr>
    </w:p>
    <w:p>
      <w:pPr>
        <w:ind w:left="1360" w:right="1919" w:hanging="122"/>
        <w:spacing w:after="0" w:line="316" w:lineRule="auto"/>
        <w:tabs>
          <w:tab w:leader="none" w:pos="136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Exploit serial gene editing of iPSCs to create product candidates with enhanced functionalities and fit for purpose product characteristics.</w:t>
      </w:r>
    </w:p>
    <w:p>
      <w:pPr>
        <w:spacing w:after="0" w:line="29" w:lineRule="exact"/>
        <w:rPr>
          <w:rFonts w:ascii="Arial" w:cs="Arial" w:eastAsia="Arial" w:hAnsi="Arial"/>
          <w:sz w:val="14"/>
          <w:szCs w:val="14"/>
          <w:color w:val="auto"/>
        </w:rPr>
      </w:pPr>
    </w:p>
    <w:p>
      <w:pPr>
        <w:ind w:left="1360" w:right="2219" w:hanging="122"/>
        <w:spacing w:after="0" w:line="316" w:lineRule="auto"/>
        <w:tabs>
          <w:tab w:leader="none" w:pos="1360"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Leverage our own future manufacturing infrastructure, product and process understanding, and scale-up technologies to minimize manufacturing risk.</w:t>
      </w:r>
    </w:p>
    <w:p>
      <w:pPr>
        <w:spacing w:after="0" w:line="9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Our team</w:t>
      </w:r>
    </w:p>
    <w:p>
      <w:pPr>
        <w:spacing w:after="0" w:line="122" w:lineRule="exact"/>
        <w:rPr>
          <w:sz w:val="20"/>
          <w:szCs w:val="20"/>
          <w:color w:val="auto"/>
        </w:rPr>
      </w:pPr>
    </w:p>
    <w:p>
      <w:pPr>
        <w:ind w:left="1240" w:right="1239"/>
        <w:spacing w:after="0" w:line="258" w:lineRule="auto"/>
        <w:rPr>
          <w:sz w:val="20"/>
          <w:szCs w:val="20"/>
          <w:color w:val="auto"/>
        </w:rPr>
      </w:pPr>
      <w:r>
        <w:rPr>
          <w:rFonts w:ascii="Arial" w:cs="Arial" w:eastAsia="Arial" w:hAnsi="Arial"/>
          <w:sz w:val="14"/>
          <w:szCs w:val="14"/>
          <w:color w:val="auto"/>
        </w:rPr>
        <w:t>We are led by pioneers and subject-matter experts with decades of collective experience in cell therapy and oncology drug development. Dr. Osvaldo Flores, our Chief Executive Officer, has over 25 years of experience in pharmaceutical research and development. Prior to Century, he was Vice President of R&amp;D at Janssen after the acquisition of Novira Therapeutics, where he was a co-founder, President, and Chief Science Officer. Earlier in his career, he held senior positions at Merck &amp; Co. and Tularik Inc. Dr. Hyam Levitsky, our President of Research and Development, previously held key R&amp;D positions at Juno Therapeutics and Roche. Dr. Adrienne Farid, our Chief Operations Officer, has over 25 years of drug development experience and previously worked at Celgene, Roche, and SmithKline Beecham. Dr. Greg Russotti, our Chief Technology Officer, has over 30 years of experience and previously worked at Celgene and Merck. Dr. Luis Borges, our Chief Scientific Officer, has over 25 years of experience, with precedent positions in Cell Medica, Five Prime Therapeutics, Amgen, and Immunex. Dr. Michael Diem, our Chief Business Officer, has more than 15 years of experience in the pharmaceutical industry and held business and investment roles at Amicus, AstraZeneca, Aevi Genomics, GlaxoSmithKline, and SR One.</w:t>
      </w:r>
    </w:p>
    <w:p>
      <w:pPr>
        <w:spacing w:after="0" w:line="286" w:lineRule="exact"/>
        <w:rPr>
          <w:sz w:val="20"/>
          <w:szCs w:val="20"/>
          <w:color w:val="auto"/>
        </w:rPr>
      </w:pPr>
    </w:p>
    <w:p>
      <w:pPr>
        <w:ind w:left="1240" w:right="1339"/>
        <w:spacing w:after="0" w:line="260" w:lineRule="auto"/>
        <w:rPr>
          <w:sz w:val="20"/>
          <w:szCs w:val="20"/>
          <w:color w:val="auto"/>
        </w:rPr>
      </w:pPr>
      <w:r>
        <w:rPr>
          <w:rFonts w:ascii="Arial" w:cs="Arial" w:eastAsia="Arial" w:hAnsi="Arial"/>
          <w:sz w:val="14"/>
          <w:szCs w:val="14"/>
          <w:color w:val="auto"/>
        </w:rPr>
        <w:t>Our board of directors includes members with extensive experience leading companies in the fields of biotechnology and biopharmaceuticals, including Joseph Jimenez, former Chief Executive Officer of Novartis, and Toshikazu Ban, Corporate Vice President and Senior Deputy General Manager of the pharmaceutical product division at FUJIFILM Corporation Ltd. Our internal abilities are further underpinned by our Scientific Advisory Board, which consists of world-renowned scientists, clinicians, and key opinion leaders with decades of experience in the fields of stem cell biology, immunology, oncology, and cell therapy.</w:t>
      </w:r>
    </w:p>
    <w:p>
      <w:pPr>
        <w:spacing w:after="0" w:line="106" w:lineRule="exact"/>
        <w:rPr>
          <w:sz w:val="20"/>
          <w:szCs w:val="20"/>
          <w:color w:val="auto"/>
        </w:rPr>
      </w:pPr>
    </w:p>
    <w:p>
      <w:pPr>
        <w:ind w:left="1240" w:right="1419"/>
        <w:spacing w:after="0" w:line="261" w:lineRule="auto"/>
        <w:rPr>
          <w:sz w:val="20"/>
          <w:szCs w:val="20"/>
          <w:color w:val="auto"/>
        </w:rPr>
      </w:pPr>
      <w:r>
        <w:rPr>
          <w:rFonts w:ascii="Arial" w:cs="Arial" w:eastAsia="Arial" w:hAnsi="Arial"/>
          <w:sz w:val="14"/>
          <w:szCs w:val="14"/>
          <w:color w:val="auto"/>
        </w:rPr>
        <w:t>Since our inception in 2018, we have raised gross proceeds of approximately $340 million. Our stockholders include premier life science and strategic investors, including Versant Ventures, Leaps by Bayer, FCDI, Casdin Capital, Fidelity Management &amp; Research LLC, the Federated Hermes Kauffmann Funds, RA Capital, Logos Capital, OrbiMed, Marshall Wace, Qatar Investment Authority, Avidity Partners, and Octagon Capital.</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 w:name="page9"/>
    <w:bookmarkEnd w:id="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04360" cy="7021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04360" cy="702183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Risks associated with our business</w:t>
      </w:r>
    </w:p>
    <w:p>
      <w:pPr>
        <w:spacing w:after="0" w:line="144" w:lineRule="exact"/>
        <w:rPr>
          <w:sz w:val="20"/>
          <w:szCs w:val="20"/>
          <w:color w:val="auto"/>
        </w:rPr>
      </w:pPr>
    </w:p>
    <w:p>
      <w:pPr>
        <w:ind w:left="1240" w:right="1239"/>
        <w:spacing w:after="0" w:line="283" w:lineRule="auto"/>
        <w:rPr>
          <w:sz w:val="20"/>
          <w:szCs w:val="20"/>
          <w:color w:val="auto"/>
        </w:rPr>
      </w:pPr>
      <w:r>
        <w:rPr>
          <w:rFonts w:ascii="Arial" w:cs="Arial" w:eastAsia="Arial" w:hAnsi="Arial"/>
          <w:sz w:val="14"/>
          <w:szCs w:val="14"/>
          <w:color w:val="auto"/>
        </w:rPr>
        <w:t>Our business is subject to a number of risks of which you should be aware before making a decision to invest in our common stock. These risks are more fully described in the section titled “Risk factors” immediately following this prospectus summary. These risks include, among others, the following:</w:t>
      </w:r>
    </w:p>
    <w:p>
      <w:pPr>
        <w:spacing w:after="0" w:line="251" w:lineRule="exact"/>
        <w:rPr>
          <w:sz w:val="20"/>
          <w:szCs w:val="20"/>
          <w:color w:val="auto"/>
        </w:rPr>
      </w:pPr>
    </w:p>
    <w:p>
      <w:pPr>
        <w:ind w:left="1360" w:right="1499" w:hanging="122"/>
        <w:spacing w:after="0" w:line="290" w:lineRule="auto"/>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have a limited operating history, have incurred significant losses since our inception, and anticipate that we will continue to incur significant losses in the foreseeable future;</w:t>
      </w:r>
    </w:p>
    <w:p>
      <w:pPr>
        <w:spacing w:after="0" w:line="74" w:lineRule="exact"/>
        <w:rPr>
          <w:rFonts w:ascii="Arial" w:cs="Arial" w:eastAsia="Arial" w:hAnsi="Arial"/>
          <w:sz w:val="14"/>
          <w:szCs w:val="14"/>
          <w:color w:val="auto"/>
        </w:rPr>
      </w:pPr>
    </w:p>
    <w:p>
      <w:pPr>
        <w:ind w:left="1360" w:right="1259" w:hanging="122"/>
        <w:spacing w:after="0" w:line="283" w:lineRule="auto"/>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are very early in our development efforts and our business is dependent on our ability to advance our current and future product candidates through preclinical studies and clinical trials, obtain marketing approval and ultimately commercialize our current and future product candidates;</w:t>
      </w:r>
    </w:p>
    <w:p>
      <w:pPr>
        <w:spacing w:after="0" w:line="250" w:lineRule="exact"/>
        <w:rPr>
          <w:rFonts w:ascii="Arial" w:cs="Arial" w:eastAsia="Arial" w:hAnsi="Arial"/>
          <w:sz w:val="14"/>
          <w:szCs w:val="14"/>
          <w:color w:val="auto"/>
        </w:rPr>
      </w:pPr>
    </w:p>
    <w:p>
      <w:pPr>
        <w:ind w:left="1360" w:right="1499" w:hanging="122"/>
        <w:spacing w:after="0" w:line="290" w:lineRule="auto"/>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will need to raise substantial additional financing to fund our operations and continue the development of our product candidates;</w:t>
      </w:r>
    </w:p>
    <w:p>
      <w:pPr>
        <w:spacing w:after="0" w:line="64" w:lineRule="exact"/>
        <w:rPr>
          <w:rFonts w:ascii="Arial" w:cs="Arial" w:eastAsia="Arial" w:hAnsi="Arial"/>
          <w:sz w:val="14"/>
          <w:szCs w:val="14"/>
          <w:color w:val="auto"/>
        </w:rPr>
      </w:pPr>
    </w:p>
    <w:p>
      <w:pPr>
        <w:ind w:left="1360" w:right="1299" w:hanging="122"/>
        <w:spacing w:after="0" w:line="281" w:lineRule="auto"/>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are highly dependent on our strategic relationships and collaborations and any termination or loss of significant rights under such arrangements with our strategic partners could seriously harm our business;</w:t>
      </w:r>
    </w:p>
    <w:p>
      <w:pPr>
        <w:spacing w:after="0" w:line="71" w:lineRule="exact"/>
        <w:rPr>
          <w:rFonts w:ascii="Arial" w:cs="Arial" w:eastAsia="Arial" w:hAnsi="Arial"/>
          <w:sz w:val="14"/>
          <w:szCs w:val="14"/>
          <w:color w:val="auto"/>
        </w:rPr>
      </w:pPr>
    </w:p>
    <w:p>
      <w:pPr>
        <w:ind w:left="1360" w:right="1499" w:hanging="122"/>
        <w:spacing w:after="0" w:line="295" w:lineRule="auto"/>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COVID-19 pandemic may materially and adversely affect our business and our financial results and could cause a disruption to our supply chain and the development of our product candidates;</w:t>
      </w:r>
    </w:p>
    <w:p>
      <w:pPr>
        <w:spacing w:after="0" w:line="251" w:lineRule="exact"/>
        <w:rPr>
          <w:rFonts w:ascii="Arial" w:cs="Arial" w:eastAsia="Arial" w:hAnsi="Arial"/>
          <w:sz w:val="14"/>
          <w:szCs w:val="14"/>
          <w:color w:val="auto"/>
        </w:rPr>
      </w:pPr>
    </w:p>
    <w:p>
      <w:pPr>
        <w:jc w:val="both"/>
        <w:ind w:left="1360" w:right="1219" w:hanging="122"/>
        <w:spacing w:after="0" w:line="281" w:lineRule="auto"/>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utilizing CAR-iNK and CAR-iT cells represents a novel approach to immuno-oncology treatment of cancer, and we must overcome significant challenges in order to develop, commercialize, and manufacture our product candidates;</w:t>
      </w:r>
    </w:p>
    <w:p>
      <w:pPr>
        <w:spacing w:after="0" w:line="71" w:lineRule="exact"/>
        <w:rPr>
          <w:rFonts w:ascii="Arial" w:cs="Arial" w:eastAsia="Arial" w:hAnsi="Arial"/>
          <w:sz w:val="14"/>
          <w:szCs w:val="14"/>
          <w:color w:val="auto"/>
        </w:rPr>
      </w:pPr>
    </w:p>
    <w:p>
      <w:pPr>
        <w:ind w:left="1360" w:right="1479" w:hanging="122"/>
        <w:spacing w:after="0" w:line="290" w:lineRule="auto"/>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manufacture and distribution of our iPSC-derived cell product candidates is complex and subject to a multitude of risks;</w:t>
      </w:r>
    </w:p>
    <w:p>
      <w:pPr>
        <w:spacing w:after="0" w:line="64" w:lineRule="exact"/>
        <w:rPr>
          <w:rFonts w:ascii="Arial" w:cs="Arial" w:eastAsia="Arial" w:hAnsi="Arial"/>
          <w:sz w:val="14"/>
          <w:szCs w:val="14"/>
          <w:color w:val="auto"/>
        </w:rPr>
      </w:pPr>
    </w:p>
    <w:p>
      <w:pPr>
        <w:ind w:left="1360" w:right="1239" w:hanging="122"/>
        <w:spacing w:after="0" w:line="281" w:lineRule="auto"/>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if we are unable to successfully commercialize our lead product candidate CNTY-101 or any of our other product candidates for which we receive regulatory approval, or experience significant delays in doing so, our business will be materially harmed; and</w:t>
      </w:r>
    </w:p>
    <w:p>
      <w:pPr>
        <w:spacing w:after="0" w:line="71" w:lineRule="exact"/>
        <w:rPr>
          <w:rFonts w:ascii="Arial" w:cs="Arial" w:eastAsia="Arial" w:hAnsi="Arial"/>
          <w:sz w:val="14"/>
          <w:szCs w:val="14"/>
          <w:color w:val="auto"/>
        </w:rPr>
      </w:pPr>
    </w:p>
    <w:p>
      <w:pPr>
        <w:ind w:left="1360" w:right="1639" w:hanging="122"/>
        <w:spacing w:after="0" w:line="290" w:lineRule="auto"/>
        <w:tabs>
          <w:tab w:leader="none" w:pos="1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may face difficulties in obtaining, protecting, maintaining, and enforcing our intellectual property rights, including intellectual property rights that are licensed to us.</w:t>
      </w:r>
    </w:p>
    <w:p>
      <w:pPr>
        <w:spacing w:after="0" w:line="113"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Recent developments</w:t>
      </w:r>
    </w:p>
    <w:p>
      <w:pPr>
        <w:spacing w:after="0" w:line="160" w:lineRule="exact"/>
        <w:rPr>
          <w:sz w:val="20"/>
          <w:szCs w:val="20"/>
          <w:color w:val="auto"/>
        </w:rPr>
      </w:pPr>
    </w:p>
    <w:p>
      <w:pPr>
        <w:ind w:left="1240"/>
        <w:spacing w:after="0"/>
        <w:rPr>
          <w:sz w:val="20"/>
          <w:szCs w:val="20"/>
          <w:color w:val="auto"/>
        </w:rPr>
      </w:pPr>
      <w:r>
        <w:rPr>
          <w:rFonts w:ascii="Arial" w:cs="Arial" w:eastAsia="Arial" w:hAnsi="Arial"/>
          <w:sz w:val="14"/>
          <w:szCs w:val="14"/>
          <w:b w:val="1"/>
          <w:bCs w:val="1"/>
          <w:i w:val="1"/>
          <w:iCs w:val="1"/>
          <w:color w:val="auto"/>
        </w:rPr>
        <w:t>Series C Preferred Stock Financing</w:t>
      </w:r>
    </w:p>
    <w:p>
      <w:pPr>
        <w:spacing w:after="0" w:line="146" w:lineRule="exact"/>
        <w:rPr>
          <w:sz w:val="20"/>
          <w:szCs w:val="20"/>
          <w:color w:val="auto"/>
        </w:rPr>
      </w:pPr>
    </w:p>
    <w:p>
      <w:pPr>
        <w:ind w:left="1240"/>
        <w:spacing w:after="0"/>
        <w:rPr>
          <w:sz w:val="20"/>
          <w:szCs w:val="20"/>
          <w:color w:val="auto"/>
        </w:rPr>
      </w:pPr>
      <w:r>
        <w:rPr>
          <w:rFonts w:ascii="Arial" w:cs="Arial" w:eastAsia="Arial" w:hAnsi="Arial"/>
          <w:sz w:val="14"/>
          <w:szCs w:val="14"/>
          <w:color w:val="auto"/>
        </w:rPr>
        <w:t>On February 25, 2021, we sold 24,721,999 shares of our Series C preferred stock, par value</w:t>
      </w:r>
    </w:p>
    <w:p>
      <w:pPr>
        <w:spacing w:after="0" w:line="22" w:lineRule="exact"/>
        <w:rPr>
          <w:sz w:val="20"/>
          <w:szCs w:val="20"/>
          <w:color w:val="auto"/>
        </w:rPr>
      </w:pPr>
    </w:p>
    <w:p>
      <w:pPr>
        <w:ind w:left="1240" w:right="1219"/>
        <w:spacing w:after="0" w:line="276" w:lineRule="auto"/>
        <w:rPr>
          <w:sz w:val="20"/>
          <w:szCs w:val="20"/>
          <w:color w:val="auto"/>
        </w:rPr>
      </w:pPr>
      <w:r>
        <w:rPr>
          <w:rFonts w:ascii="Arial" w:cs="Arial" w:eastAsia="Arial" w:hAnsi="Arial"/>
          <w:sz w:val="14"/>
          <w:szCs w:val="14"/>
          <w:color w:val="auto"/>
        </w:rPr>
        <w:t>$0.0001 per share, or the Series C preferred stock, to certain institutional investors at a price of approximately $6.472 per share, for gross proceeds of approximately $160 million, which we refer to herein as the Series C Financing. The shares of Series C preferred stock were sold pursuant to an exemption from registration under the Securities Act. Upon the closing of this offering, all outstanding shares of our preferred stock, including our Series C preferred stock, will be automatically converted into an aggregate of 85,865,789 shares of common stock.</w:t>
      </w:r>
    </w:p>
    <w:p>
      <w:pPr>
        <w:spacing w:after="0" w:line="125"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Our corporate information</w:t>
      </w:r>
    </w:p>
    <w:p>
      <w:pPr>
        <w:spacing w:after="0" w:line="144" w:lineRule="exact"/>
        <w:rPr>
          <w:sz w:val="20"/>
          <w:szCs w:val="20"/>
          <w:color w:val="auto"/>
        </w:rPr>
      </w:pPr>
    </w:p>
    <w:p>
      <w:pPr>
        <w:ind w:left="1240" w:right="1219"/>
        <w:spacing w:after="0" w:line="275" w:lineRule="auto"/>
        <w:rPr>
          <w:sz w:val="20"/>
          <w:szCs w:val="20"/>
          <w:color w:val="auto"/>
        </w:rPr>
      </w:pPr>
      <w:r>
        <w:rPr>
          <w:rFonts w:ascii="Arial" w:cs="Arial" w:eastAsia="Arial" w:hAnsi="Arial"/>
          <w:sz w:val="14"/>
          <w:szCs w:val="14"/>
          <w:color w:val="auto"/>
        </w:rPr>
        <w:t>We were formed in 2018 as Century Therapeutics, Inc., a Delaware corporation, or Prior Century. In connection with an investment in our Company by Bayer Healthcare LLC, in 2019, Prior Century contributed substantially all of its operating assets and cash to a newly formed entity, Century Therapeutics, LLC, or the LLC Entity, in exchange for units of the LLC Entity. We refer to this transaction as the 2019 Reorganization. From June 2019 to February 2021, our business was operated through the LLC Entity. On February 25, 2021, the LLC Entity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 w:name="page10"/>
    <w:bookmarkEnd w:id="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04360" cy="70904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04360" cy="709041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1240" w:right="1419"/>
        <w:spacing w:after="0" w:line="265" w:lineRule="auto"/>
        <w:rPr>
          <w:sz w:val="20"/>
          <w:szCs w:val="20"/>
          <w:color w:val="auto"/>
        </w:rPr>
      </w:pPr>
      <w:r>
        <w:rPr>
          <w:rFonts w:ascii="Arial" w:cs="Arial" w:eastAsia="Arial" w:hAnsi="Arial"/>
          <w:sz w:val="14"/>
          <w:szCs w:val="14"/>
          <w:color w:val="auto"/>
        </w:rPr>
        <w:t>connection with this merger, the holders of equity interests in Prior Century received equivalent equity interests in Century Therapeutics, Inc. We refer to these transactions on February 25, 2021 as the 2021 Reorganization.</w:t>
      </w:r>
    </w:p>
    <w:p>
      <w:pPr>
        <w:spacing w:after="0" w:line="93" w:lineRule="exact"/>
        <w:rPr>
          <w:sz w:val="20"/>
          <w:szCs w:val="20"/>
          <w:color w:val="auto"/>
        </w:rPr>
      </w:pPr>
    </w:p>
    <w:p>
      <w:pPr>
        <w:ind w:left="1240" w:right="1519"/>
        <w:spacing w:after="0" w:line="260" w:lineRule="auto"/>
        <w:rPr>
          <w:sz w:val="20"/>
          <w:szCs w:val="20"/>
          <w:color w:val="auto"/>
        </w:rPr>
      </w:pPr>
      <w:r>
        <w:rPr>
          <w:rFonts w:ascii="Arial" w:cs="Arial" w:eastAsia="Arial" w:hAnsi="Arial"/>
          <w:sz w:val="14"/>
          <w:szCs w:val="14"/>
          <w:color w:val="auto"/>
        </w:rPr>
        <w:t>Our principal executive offices are located at 3675 Market Street, Philadelphia, Pennsylvania 19104, and our telephone number is (267) 817-5790. Our corporate website is www.centurytx.com. Information contained on, or accessible through, our website shall not be deemed incorporated into and is not a part of this prospectus or the registration statement of which it forms a part. We have included our website in this prospectus solely as an inactive textual reference and do not intend it to be an active link to our website.</w:t>
      </w:r>
    </w:p>
    <w:p>
      <w:pPr>
        <w:spacing w:after="0" w:line="13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133" w:lineRule="exact"/>
        <w:rPr>
          <w:sz w:val="20"/>
          <w:szCs w:val="20"/>
          <w:color w:val="auto"/>
        </w:rPr>
      </w:pPr>
    </w:p>
    <w:p>
      <w:pPr>
        <w:ind w:left="1240" w:right="1299"/>
        <w:spacing w:after="0" w:line="260" w:lineRule="auto"/>
        <w:rPr>
          <w:sz w:val="20"/>
          <w:szCs w:val="20"/>
          <w:color w:val="auto"/>
        </w:rPr>
      </w:pPr>
      <w:r>
        <w:rPr>
          <w:rFonts w:ascii="Arial" w:cs="Arial" w:eastAsia="Arial" w:hAnsi="Arial"/>
          <w:sz w:val="14"/>
          <w:szCs w:val="14"/>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86" w:lineRule="exact"/>
        <w:rPr>
          <w:sz w:val="20"/>
          <w:szCs w:val="20"/>
          <w:color w:val="auto"/>
        </w:rPr>
      </w:pPr>
    </w:p>
    <w:p>
      <w:pPr>
        <w:ind w:left="1360" w:right="1299" w:hanging="122"/>
        <w:spacing w:after="0" w:line="281" w:lineRule="auto"/>
        <w:tabs>
          <w:tab w:leader="none" w:pos="1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71" w:lineRule="exact"/>
        <w:rPr>
          <w:rFonts w:ascii="Arial" w:cs="Arial" w:eastAsia="Arial" w:hAnsi="Arial"/>
          <w:sz w:val="14"/>
          <w:szCs w:val="14"/>
          <w:color w:val="auto"/>
        </w:rPr>
      </w:pPr>
    </w:p>
    <w:p>
      <w:pPr>
        <w:ind w:left="1360" w:right="1939" w:hanging="122"/>
        <w:spacing w:after="0" w:line="290" w:lineRule="auto"/>
        <w:tabs>
          <w:tab w:leader="none" w:pos="1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not being required to have our registered independent public accounting firm attest to management’s assessment of our internal control over financial reporting;</w:t>
      </w:r>
    </w:p>
    <w:p>
      <w:pPr>
        <w:spacing w:after="0" w:line="64" w:lineRule="exact"/>
        <w:rPr>
          <w:rFonts w:ascii="Arial" w:cs="Arial" w:eastAsia="Arial" w:hAnsi="Arial"/>
          <w:sz w:val="14"/>
          <w:szCs w:val="14"/>
          <w:color w:val="auto"/>
        </w:rPr>
      </w:pPr>
    </w:p>
    <w:p>
      <w:pPr>
        <w:ind w:left="1360" w:right="1479" w:hanging="122"/>
        <w:spacing w:after="0" w:line="281" w:lineRule="auto"/>
        <w:tabs>
          <w:tab w:leader="none" w:pos="1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71" w:lineRule="exact"/>
        <w:rPr>
          <w:rFonts w:ascii="Arial" w:cs="Arial" w:eastAsia="Arial" w:hAnsi="Arial"/>
          <w:sz w:val="14"/>
          <w:szCs w:val="14"/>
          <w:color w:val="auto"/>
        </w:rPr>
      </w:pPr>
    </w:p>
    <w:p>
      <w:pPr>
        <w:ind w:left="1360" w:hanging="122"/>
        <w:spacing w:after="0"/>
        <w:tabs>
          <w:tab w:leader="none" w:pos="1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presenting reduced disclosure about our executive compensation arrangements;</w:t>
      </w:r>
    </w:p>
    <w:p>
      <w:pPr>
        <w:spacing w:after="0" w:line="108" w:lineRule="exact"/>
        <w:rPr>
          <w:rFonts w:ascii="Arial" w:cs="Arial" w:eastAsia="Arial" w:hAnsi="Arial"/>
          <w:sz w:val="14"/>
          <w:szCs w:val="14"/>
          <w:color w:val="auto"/>
        </w:rPr>
      </w:pPr>
    </w:p>
    <w:p>
      <w:pPr>
        <w:ind w:left="1360" w:right="1539" w:hanging="122"/>
        <w:spacing w:after="0" w:line="290" w:lineRule="auto"/>
        <w:tabs>
          <w:tab w:leader="none" w:pos="1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not being required to hold non-binding advisory votes on executive compensation or golden parachute arrangements; and</w:t>
      </w:r>
    </w:p>
    <w:p>
      <w:pPr>
        <w:spacing w:after="0" w:line="64" w:lineRule="exact"/>
        <w:rPr>
          <w:rFonts w:ascii="Arial" w:cs="Arial" w:eastAsia="Arial" w:hAnsi="Arial"/>
          <w:sz w:val="14"/>
          <w:szCs w:val="14"/>
          <w:color w:val="auto"/>
        </w:rPr>
      </w:pPr>
    </w:p>
    <w:p>
      <w:pPr>
        <w:ind w:left="1360" w:hanging="122"/>
        <w:spacing w:after="0"/>
        <w:tabs>
          <w:tab w:leader="none" w:pos="1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extended transition periods for complying with new or revised accounting standards.</w:t>
      </w:r>
    </w:p>
    <w:p>
      <w:pPr>
        <w:spacing w:after="0" w:line="130" w:lineRule="exact"/>
        <w:rPr>
          <w:sz w:val="20"/>
          <w:szCs w:val="20"/>
          <w:color w:val="auto"/>
        </w:rPr>
      </w:pPr>
    </w:p>
    <w:p>
      <w:pPr>
        <w:ind w:left="1240" w:right="1419"/>
        <w:spacing w:after="0" w:line="278" w:lineRule="auto"/>
        <w:rPr>
          <w:sz w:val="20"/>
          <w:szCs w:val="20"/>
          <w:color w:val="auto"/>
        </w:rPr>
      </w:pPr>
      <w:r>
        <w:rPr>
          <w:rFonts w:ascii="Arial" w:cs="Arial" w:eastAsia="Arial" w:hAnsi="Arial"/>
          <w:sz w:val="14"/>
          <w:szCs w:val="14"/>
          <w:color w:val="auto"/>
        </w:rPr>
        <w:t>We have taken advantage of some of these reduced disclosure and other requirements in this prospectus. Accordingly, the information contained herein may be different than the information you receive from our competitors that are public companies or other public companies in which you hold stock.</w:t>
      </w:r>
    </w:p>
    <w:p>
      <w:pPr>
        <w:spacing w:after="0" w:line="106" w:lineRule="exact"/>
        <w:rPr>
          <w:sz w:val="20"/>
          <w:szCs w:val="20"/>
          <w:color w:val="auto"/>
        </w:rPr>
      </w:pPr>
    </w:p>
    <w:p>
      <w:pPr>
        <w:ind w:left="1240" w:right="1219"/>
        <w:spacing w:after="0" w:line="278" w:lineRule="auto"/>
        <w:rPr>
          <w:sz w:val="20"/>
          <w:szCs w:val="20"/>
          <w:color w:val="auto"/>
        </w:rPr>
      </w:pPr>
      <w:r>
        <w:rPr>
          <w:rFonts w:ascii="Arial" w:cs="Arial" w:eastAsia="Arial" w:hAnsi="Arial"/>
          <w:sz w:val="14"/>
          <w:szCs w:val="14"/>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w:t>
      </w:r>
    </w:p>
    <w:p>
      <w:pPr>
        <w:spacing w:after="0" w:line="106" w:lineRule="exact"/>
        <w:rPr>
          <w:sz w:val="20"/>
          <w:szCs w:val="20"/>
          <w:color w:val="auto"/>
        </w:rPr>
      </w:pPr>
    </w:p>
    <w:p>
      <w:pPr>
        <w:ind w:left="1240" w:right="1279"/>
        <w:spacing w:after="0" w:line="275" w:lineRule="auto"/>
        <w:rPr>
          <w:sz w:val="20"/>
          <w:szCs w:val="20"/>
          <w:color w:val="auto"/>
        </w:rPr>
      </w:pPr>
      <w:r>
        <w:rPr>
          <w:rFonts w:ascii="Arial" w:cs="Arial" w:eastAsia="Arial" w:hAnsi="Arial"/>
          <w:sz w:val="14"/>
          <w:szCs w:val="14"/>
          <w:color w:val="auto"/>
        </w:rPr>
        <w:t>We will remain an emerging growth company until the earliest of (1) the last day of the fiscal year following the fifth anniversary of the closing of this offering, (2) the last day of the fiscal year in which we have total annual gross revenue of at least $1.07 billion, (3)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00" w:lineRule="exact"/>
        <w:rPr>
          <w:sz w:val="20"/>
          <w:szCs w:val="20"/>
          <w:color w:val="auto"/>
        </w:rPr>
      </w:pPr>
    </w:p>
    <w:p>
      <w:pPr>
        <w:ind w:left="1240" w:right="1339"/>
        <w:spacing w:after="0" w:line="273" w:lineRule="auto"/>
        <w:rPr>
          <w:sz w:val="20"/>
          <w:szCs w:val="20"/>
          <w:color w:val="auto"/>
        </w:rPr>
      </w:pPr>
      <w:r>
        <w:rPr>
          <w:rFonts w:ascii="Arial" w:cs="Arial" w:eastAsia="Arial" w:hAnsi="Arial"/>
          <w:sz w:val="14"/>
          <w:szCs w:val="14"/>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w:t>
      </w:r>
    </w:p>
    <w:p>
      <w:pPr>
        <w:spacing w:after="0" w:line="1" w:lineRule="exact"/>
        <w:rPr>
          <w:sz w:val="20"/>
          <w:szCs w:val="20"/>
          <w:color w:val="auto"/>
        </w:rPr>
      </w:pPr>
    </w:p>
    <w:p>
      <w:pPr>
        <w:ind w:left="1240" w:right="1659"/>
        <w:spacing w:after="0" w:line="281" w:lineRule="auto"/>
        <w:rPr>
          <w:sz w:val="20"/>
          <w:szCs w:val="20"/>
          <w:color w:val="auto"/>
        </w:rPr>
      </w:pPr>
      <w:r>
        <w:rPr>
          <w:rFonts w:ascii="Arial" w:cs="Arial" w:eastAsia="Arial" w:hAnsi="Arial"/>
          <w:sz w:val="14"/>
          <w:szCs w:val="14"/>
          <w:color w:val="auto"/>
        </w:rPr>
        <w:t>$250.0 million or (ii) our annual revenue is less than $100.0 million during the most recently completed fiscal year and the market value of our stock held by non-affiliates is less than $700.0 million.</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 w:name="page11"/>
    <w:bookmarkEnd w:id="1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04360" cy="637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04360" cy="637794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1240" w:right="1259"/>
        <w:spacing w:after="0" w:line="276" w:lineRule="auto"/>
        <w:rPr>
          <w:sz w:val="20"/>
          <w:szCs w:val="20"/>
          <w:color w:val="auto"/>
        </w:rPr>
      </w:pPr>
      <w:r>
        <w:rPr>
          <w:rFonts w:ascii="Arial" w:cs="Arial" w:eastAsia="Arial" w:hAnsi="Arial"/>
          <w:sz w:val="14"/>
          <w:szCs w:val="14"/>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 w:name="page12"/>
    <w:bookmarkEnd w:id="11"/>
    <w:p>
      <w:pPr>
        <w:ind w:left="220"/>
        <w:spacing w:after="0"/>
        <w:rPr>
          <w:rFonts w:ascii="Arial" w:cs="Arial" w:eastAsia="Arial" w:hAnsi="Arial"/>
          <w:sz w:val="10"/>
          <w:szCs w:val="10"/>
          <w:color w:val="003366"/>
        </w:rPr>
      </w:pPr>
      <w:hyperlink w:anchor="page2">
        <w:r>
          <w:rPr>
            <w:rFonts w:ascii="Arial" w:cs="Arial" w:eastAsia="Arial" w:hAnsi="Arial"/>
            <w:sz w:val="10"/>
            <w:szCs w:val="10"/>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250190</wp:posOffset>
            </wp:positionV>
            <wp:extent cx="4404360" cy="67132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404360" cy="671322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The offering</w:t>
      </w:r>
    </w:p>
    <w:p>
      <w:pPr>
        <w:spacing w:after="0" w:line="83"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Common stock offered by us</w:t>
      </w:r>
    </w:p>
    <w:p>
      <w:pPr>
        <w:spacing w:after="0" w:line="109" w:lineRule="exact"/>
        <w:rPr>
          <w:sz w:val="20"/>
          <w:szCs w:val="20"/>
          <w:color w:val="auto"/>
        </w:rPr>
      </w:pPr>
    </w:p>
    <w:p>
      <w:pPr>
        <w:ind w:left="1240"/>
        <w:spacing w:after="0" w:line="300" w:lineRule="auto"/>
        <w:rPr>
          <w:sz w:val="20"/>
          <w:szCs w:val="20"/>
          <w:color w:val="auto"/>
        </w:rPr>
      </w:pPr>
      <w:r>
        <w:rPr>
          <w:rFonts w:ascii="Arial" w:cs="Arial" w:eastAsia="Arial" w:hAnsi="Arial"/>
          <w:sz w:val="14"/>
          <w:szCs w:val="14"/>
          <w:b w:val="1"/>
          <w:bCs w:val="1"/>
          <w:color w:val="auto"/>
        </w:rPr>
        <w:t>Underwriters’ option to purchase additional shares</w:t>
      </w:r>
    </w:p>
    <w:p>
      <w:pPr>
        <w:spacing w:after="0" w:line="40" w:lineRule="exact"/>
        <w:rPr>
          <w:sz w:val="20"/>
          <w:szCs w:val="20"/>
          <w:color w:val="auto"/>
        </w:rPr>
      </w:pPr>
    </w:p>
    <w:p>
      <w:pPr>
        <w:ind w:left="1240"/>
        <w:spacing w:after="0" w:line="300" w:lineRule="auto"/>
        <w:rPr>
          <w:sz w:val="20"/>
          <w:szCs w:val="20"/>
          <w:color w:val="auto"/>
        </w:rPr>
      </w:pPr>
      <w:r>
        <w:rPr>
          <w:rFonts w:ascii="Arial" w:cs="Arial" w:eastAsia="Arial" w:hAnsi="Arial"/>
          <w:sz w:val="14"/>
          <w:szCs w:val="14"/>
          <w:b w:val="1"/>
          <w:bCs w:val="1"/>
          <w:color w:val="auto"/>
        </w:rPr>
        <w:t>Common stock to be outstanding after this offering</w:t>
      </w:r>
    </w:p>
    <w:p>
      <w:pPr>
        <w:spacing w:after="0" w:line="200" w:lineRule="exact"/>
        <w:rPr>
          <w:sz w:val="20"/>
          <w:szCs w:val="20"/>
          <w:color w:val="auto"/>
        </w:rPr>
      </w:pPr>
    </w:p>
    <w:p>
      <w:pPr>
        <w:spacing w:after="0" w:line="207"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40" w:right="100"/>
        <w:spacing w:after="0" w:line="300" w:lineRule="auto"/>
        <w:rPr>
          <w:sz w:val="20"/>
          <w:szCs w:val="20"/>
          <w:color w:val="auto"/>
        </w:rPr>
      </w:pPr>
      <w:r>
        <w:rPr>
          <w:rFonts w:ascii="Arial" w:cs="Arial" w:eastAsia="Arial" w:hAnsi="Arial"/>
          <w:sz w:val="14"/>
          <w:szCs w:val="14"/>
          <w:b w:val="1"/>
          <w:bCs w:val="1"/>
          <w:color w:val="auto"/>
        </w:rPr>
        <w:t>Proposed Nasdaq Global Select Market trading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7"/>
        <w:spacing w:after="0"/>
        <w:rPr>
          <w:sz w:val="20"/>
          <w:szCs w:val="20"/>
          <w:color w:val="auto"/>
        </w:rPr>
      </w:pPr>
      <w:r>
        <w:rPr>
          <w:rFonts w:ascii="Arial" w:cs="Arial" w:eastAsia="Arial" w:hAnsi="Arial"/>
          <w:sz w:val="14"/>
          <w:szCs w:val="14"/>
          <w:color w:val="auto"/>
        </w:rPr>
        <w:t>shares.</w:t>
      </w:r>
    </w:p>
    <w:p>
      <w:pPr>
        <w:spacing w:after="0" w:line="281" w:lineRule="exact"/>
        <w:rPr>
          <w:sz w:val="20"/>
          <w:szCs w:val="20"/>
          <w:color w:val="auto"/>
        </w:rPr>
      </w:pPr>
    </w:p>
    <w:p>
      <w:pPr>
        <w:ind w:left="507"/>
        <w:spacing w:after="0"/>
        <w:rPr>
          <w:sz w:val="20"/>
          <w:szCs w:val="20"/>
          <w:color w:val="auto"/>
        </w:rPr>
      </w:pPr>
      <w:r>
        <w:rPr>
          <w:rFonts w:ascii="Arial" w:cs="Arial" w:eastAsia="Arial" w:hAnsi="Arial"/>
          <w:sz w:val="14"/>
          <w:szCs w:val="14"/>
          <w:color w:val="auto"/>
        </w:rPr>
        <w:t>shares.</w:t>
      </w:r>
    </w:p>
    <w:p>
      <w:pPr>
        <w:spacing w:after="0" w:line="281" w:lineRule="exact"/>
        <w:rPr>
          <w:sz w:val="20"/>
          <w:szCs w:val="20"/>
          <w:color w:val="auto"/>
        </w:rPr>
      </w:pPr>
    </w:p>
    <w:p>
      <w:pPr>
        <w:ind w:left="507"/>
        <w:spacing w:after="0"/>
        <w:tabs>
          <w:tab w:leader="none" w:pos="2006" w:val="left"/>
        </w:tabs>
        <w:rPr>
          <w:sz w:val="20"/>
          <w:szCs w:val="20"/>
          <w:color w:val="auto"/>
        </w:rPr>
      </w:pPr>
      <w:r>
        <w:rPr>
          <w:rFonts w:ascii="Arial" w:cs="Arial" w:eastAsia="Arial" w:hAnsi="Arial"/>
          <w:sz w:val="14"/>
          <w:szCs w:val="14"/>
          <w:color w:val="auto"/>
        </w:rPr>
        <w:t>shares (or</w:t>
      </w:r>
      <w:r>
        <w:rPr>
          <w:sz w:val="20"/>
          <w:szCs w:val="20"/>
          <w:color w:val="auto"/>
        </w:rPr>
        <w:tab/>
      </w:r>
      <w:r>
        <w:rPr>
          <w:rFonts w:ascii="Arial" w:cs="Arial" w:eastAsia="Arial" w:hAnsi="Arial"/>
          <w:sz w:val="14"/>
          <w:szCs w:val="14"/>
          <w:color w:val="auto"/>
        </w:rPr>
        <w:t>shares if the</w:t>
      </w:r>
    </w:p>
    <w:p>
      <w:pPr>
        <w:spacing w:after="0" w:line="22" w:lineRule="exact"/>
        <w:rPr>
          <w:sz w:val="20"/>
          <w:szCs w:val="20"/>
          <w:color w:val="auto"/>
        </w:rPr>
      </w:pPr>
    </w:p>
    <w:p>
      <w:pPr>
        <w:ind w:left="7" w:right="1379"/>
        <w:spacing w:after="0" w:line="290" w:lineRule="auto"/>
        <w:rPr>
          <w:sz w:val="20"/>
          <w:szCs w:val="20"/>
          <w:color w:val="auto"/>
        </w:rPr>
      </w:pPr>
      <w:r>
        <w:rPr>
          <w:rFonts w:ascii="Arial" w:cs="Arial" w:eastAsia="Arial" w:hAnsi="Arial"/>
          <w:sz w:val="14"/>
          <w:szCs w:val="14"/>
          <w:color w:val="auto"/>
        </w:rPr>
        <w:t>underwriters exercise in full their option to purchase additional shares).</w:t>
      </w:r>
    </w:p>
    <w:p>
      <w:pPr>
        <w:spacing w:after="0" w:line="64" w:lineRule="exact"/>
        <w:rPr>
          <w:sz w:val="20"/>
          <w:szCs w:val="20"/>
          <w:color w:val="auto"/>
        </w:rPr>
      </w:pPr>
    </w:p>
    <w:p>
      <w:pPr>
        <w:ind w:left="7"/>
        <w:spacing w:after="0"/>
        <w:rPr>
          <w:sz w:val="20"/>
          <w:szCs w:val="20"/>
          <w:color w:val="auto"/>
        </w:rPr>
      </w:pPr>
      <w:r>
        <w:rPr>
          <w:rFonts w:ascii="Arial" w:cs="Arial" w:eastAsia="Arial" w:hAnsi="Arial"/>
          <w:sz w:val="14"/>
          <w:szCs w:val="14"/>
          <w:color w:val="auto"/>
        </w:rPr>
        <w:t>We estimate that the net proceeds from this offering</w:t>
      </w:r>
    </w:p>
    <w:p>
      <w:pPr>
        <w:spacing w:after="0" w:line="22" w:lineRule="exact"/>
        <w:rPr>
          <w:sz w:val="20"/>
          <w:szCs w:val="20"/>
          <w:color w:val="auto"/>
        </w:rPr>
      </w:pPr>
    </w:p>
    <w:p>
      <w:pPr>
        <w:ind w:left="7"/>
        <w:spacing w:after="0"/>
        <w:tabs>
          <w:tab w:leader="none" w:pos="2026" w:val="left"/>
        </w:tabs>
        <w:rPr>
          <w:sz w:val="20"/>
          <w:szCs w:val="20"/>
          <w:color w:val="auto"/>
        </w:rPr>
      </w:pPr>
      <w:r>
        <w:rPr>
          <w:rFonts w:ascii="Arial" w:cs="Arial" w:eastAsia="Arial" w:hAnsi="Arial"/>
          <w:sz w:val="14"/>
          <w:szCs w:val="14"/>
          <w:color w:val="auto"/>
        </w:rPr>
        <w:t>will be approximately $</w:t>
      </w:r>
      <w:r>
        <w:rPr>
          <w:sz w:val="20"/>
          <w:szCs w:val="20"/>
          <w:color w:val="auto"/>
        </w:rPr>
        <w:tab/>
      </w:r>
      <w:r>
        <w:rPr>
          <w:rFonts w:ascii="Arial" w:cs="Arial" w:eastAsia="Arial" w:hAnsi="Arial"/>
          <w:sz w:val="14"/>
          <w:szCs w:val="14"/>
          <w:color w:val="auto"/>
        </w:rPr>
        <w:t>million (or</w:t>
      </w:r>
    </w:p>
    <w:p>
      <w:pPr>
        <w:spacing w:after="0" w:line="22" w:lineRule="exact"/>
        <w:rPr>
          <w:sz w:val="20"/>
          <w:szCs w:val="20"/>
          <w:color w:val="auto"/>
        </w:rPr>
      </w:pPr>
    </w:p>
    <w:p>
      <w:pPr>
        <w:ind w:left="7" w:right="1599"/>
        <w:spacing w:after="0" w:line="273" w:lineRule="auto"/>
        <w:rPr>
          <w:sz w:val="20"/>
          <w:szCs w:val="20"/>
          <w:color w:val="auto"/>
        </w:rPr>
      </w:pPr>
      <w:r>
        <w:rPr>
          <w:rFonts w:ascii="Arial" w:cs="Arial" w:eastAsia="Arial" w:hAnsi="Arial"/>
          <w:sz w:val="14"/>
          <w:szCs w:val="14"/>
          <w:color w:val="auto"/>
        </w:rPr>
        <w:t>approximately $ million if the underwriters exercise in full their option to purchase up to</w:t>
      </w:r>
    </w:p>
    <w:p>
      <w:pPr>
        <w:spacing w:after="0" w:line="1" w:lineRule="exact"/>
        <w:rPr>
          <w:sz w:val="20"/>
          <w:szCs w:val="20"/>
          <w:color w:val="auto"/>
        </w:rPr>
      </w:pPr>
    </w:p>
    <w:p>
      <w:pPr>
        <w:ind w:left="7" w:right="1399" w:firstLine="923"/>
        <w:spacing w:after="0" w:line="273" w:lineRule="auto"/>
        <w:rPr>
          <w:sz w:val="20"/>
          <w:szCs w:val="20"/>
          <w:color w:val="auto"/>
        </w:rPr>
      </w:pPr>
      <w:r>
        <w:rPr>
          <w:rFonts w:ascii="Arial" w:cs="Arial" w:eastAsia="Arial" w:hAnsi="Arial"/>
          <w:sz w:val="14"/>
          <w:szCs w:val="14"/>
          <w:color w:val="auto"/>
        </w:rPr>
        <w:t>additional shares of common stock), based on the assumed initial public offering price of</w:t>
      </w:r>
    </w:p>
    <w:p>
      <w:pPr>
        <w:spacing w:after="0" w:line="1" w:lineRule="exact"/>
        <w:rPr>
          <w:sz w:val="20"/>
          <w:szCs w:val="20"/>
          <w:color w:val="auto"/>
        </w:rPr>
      </w:pPr>
    </w:p>
    <w:p>
      <w:pPr>
        <w:ind w:left="7" w:right="1239" w:hanging="7"/>
        <w:spacing w:after="0" w:line="278" w:lineRule="auto"/>
        <w:tabs>
          <w:tab w:leader="none" w:pos="592" w:val="left"/>
        </w:tabs>
        <w:numPr>
          <w:ilvl w:val="0"/>
          <w:numId w:val="9"/>
        </w:numPr>
        <w:rPr>
          <w:rFonts w:ascii="Arial" w:cs="Arial" w:eastAsia="Arial" w:hAnsi="Arial"/>
          <w:sz w:val="14"/>
          <w:szCs w:val="14"/>
          <w:color w:val="auto"/>
        </w:rPr>
      </w:pPr>
      <w:r>
        <w:rPr>
          <w:rFonts w:ascii="Arial" w:cs="Arial" w:eastAsia="Arial" w:hAnsi="Arial"/>
          <w:sz w:val="14"/>
          <w:szCs w:val="14"/>
          <w:color w:val="auto"/>
        </w:rPr>
        <w:t>per share, the midpoint of the price range set forth on the cover page of this prospectus, after deducting underwriting discounts and commissions and estimated offering expenses payable by us.</w:t>
      </w:r>
    </w:p>
    <w:p>
      <w:pPr>
        <w:spacing w:after="0" w:line="106" w:lineRule="exact"/>
        <w:rPr>
          <w:sz w:val="20"/>
          <w:szCs w:val="20"/>
          <w:color w:val="auto"/>
        </w:rPr>
      </w:pPr>
    </w:p>
    <w:p>
      <w:pPr>
        <w:ind w:left="7" w:right="1279"/>
        <w:spacing w:after="0" w:line="291" w:lineRule="auto"/>
        <w:rPr>
          <w:sz w:val="20"/>
          <w:szCs w:val="20"/>
          <w:color w:val="auto"/>
        </w:rPr>
      </w:pPr>
      <w:r>
        <w:rPr>
          <w:rFonts w:ascii="Arial" w:cs="Arial" w:eastAsia="Arial" w:hAnsi="Arial"/>
          <w:sz w:val="14"/>
          <w:szCs w:val="14"/>
          <w:color w:val="auto"/>
        </w:rPr>
        <w:t>We intend to use the net proceeds from this offering to fund research and development of our product candidates and development programs, including our pre-clinical and clinical development of CNTY-101, CNTY-103, CNTY-102, and CNTY-104, to continue developing manufacturing capabilities for our product candidates, and for working capital and other general corporate purposes, including costs and expenses associated with being a public company.</w:t>
      </w:r>
    </w:p>
    <w:p>
      <w:pPr>
        <w:spacing w:after="0" w:line="110" w:lineRule="exact"/>
        <w:rPr>
          <w:sz w:val="20"/>
          <w:szCs w:val="20"/>
          <w:color w:val="auto"/>
        </w:rPr>
      </w:pPr>
    </w:p>
    <w:p>
      <w:pPr>
        <w:ind w:left="7" w:right="1279"/>
        <w:spacing w:after="0" w:line="306" w:lineRule="auto"/>
        <w:rPr>
          <w:sz w:val="20"/>
          <w:szCs w:val="20"/>
          <w:color w:val="auto"/>
        </w:rPr>
      </w:pPr>
      <w:r>
        <w:rPr>
          <w:rFonts w:ascii="Arial" w:cs="Arial" w:eastAsia="Arial" w:hAnsi="Arial"/>
          <w:sz w:val="14"/>
          <w:szCs w:val="14"/>
          <w:color w:val="auto"/>
        </w:rPr>
        <w:t>See the section titled “Use of proceeds” for additional information.</w:t>
      </w:r>
    </w:p>
    <w:p>
      <w:pPr>
        <w:spacing w:after="0" w:line="64" w:lineRule="exact"/>
        <w:rPr>
          <w:sz w:val="20"/>
          <w:szCs w:val="20"/>
          <w:color w:val="auto"/>
        </w:rPr>
      </w:pPr>
    </w:p>
    <w:p>
      <w:pPr>
        <w:ind w:left="7" w:right="1319"/>
        <w:spacing w:after="0" w:line="280" w:lineRule="auto"/>
        <w:rPr>
          <w:sz w:val="20"/>
          <w:szCs w:val="20"/>
          <w:color w:val="auto"/>
        </w:rPr>
      </w:pPr>
      <w:r>
        <w:rPr>
          <w:rFonts w:ascii="Arial" w:cs="Arial" w:eastAsia="Arial" w:hAnsi="Arial"/>
          <w:sz w:val="14"/>
          <w:szCs w:val="14"/>
          <w:color w:val="auto"/>
        </w:rPr>
        <w:t>You should read the section titled “Risk factors” for a discussion of factors to consider carefully, together with all the other information included in this prospectus, before deciding to invest in our common stock.</w:t>
      </w:r>
    </w:p>
    <w:p>
      <w:pPr>
        <w:spacing w:after="0" w:line="200" w:lineRule="exact"/>
        <w:rPr>
          <w:sz w:val="20"/>
          <w:szCs w:val="20"/>
          <w:color w:val="auto"/>
        </w:rPr>
      </w:pPr>
    </w:p>
    <w:p>
      <w:pPr>
        <w:spacing w:after="0" w:line="225" w:lineRule="exact"/>
        <w:rPr>
          <w:sz w:val="20"/>
          <w:szCs w:val="20"/>
          <w:color w:val="auto"/>
        </w:rPr>
      </w:pPr>
    </w:p>
    <w:p>
      <w:pPr>
        <w:ind w:left="7"/>
        <w:spacing w:after="0"/>
        <w:rPr>
          <w:sz w:val="20"/>
          <w:szCs w:val="20"/>
          <w:color w:val="auto"/>
        </w:rPr>
      </w:pPr>
      <w:r>
        <w:rPr>
          <w:rFonts w:ascii="Arial" w:cs="Arial" w:eastAsia="Arial" w:hAnsi="Arial"/>
          <w:sz w:val="14"/>
          <w:szCs w:val="14"/>
          <w:color w:val="auto"/>
        </w:rPr>
        <w:t>“IPSC”</w:t>
      </w:r>
    </w:p>
    <w:p>
      <w:pPr>
        <w:spacing w:after="0" w:line="130" w:lineRule="exact"/>
        <w:rPr>
          <w:sz w:val="20"/>
          <w:szCs w:val="20"/>
          <w:color w:val="auto"/>
        </w:rPr>
      </w:pPr>
    </w:p>
    <w:p>
      <w:pPr>
        <w:sectPr>
          <w:pgSz w:w="11900" w:h="16838" w:orient="portrait"/>
          <w:cols w:equalWidth="0" w:num="2">
            <w:col w:w="3620" w:space="553"/>
            <w:col w:w="4846"/>
          </w:cols>
          <w:pgMar w:left="1440" w:top="134" w:right="1440" w:bottom="1440" w:gutter="0" w:footer="0" w:header="0"/>
          <w:type w:val="continuous"/>
        </w:sectPr>
      </w:pPr>
    </w:p>
    <w:p>
      <w:pPr>
        <w:ind w:left="1240" w:right="1259"/>
        <w:spacing w:after="0" w:line="277" w:lineRule="auto"/>
        <w:rPr>
          <w:sz w:val="20"/>
          <w:szCs w:val="20"/>
          <w:color w:val="auto"/>
        </w:rPr>
      </w:pPr>
      <w:r>
        <w:rPr>
          <w:rFonts w:ascii="Arial" w:cs="Arial" w:eastAsia="Arial" w:hAnsi="Arial"/>
          <w:sz w:val="14"/>
          <w:szCs w:val="14"/>
          <w:color w:val="auto"/>
        </w:rPr>
        <w:t>The number of shares of our common stock to be outstanding after this offering is based on 110,247,171 shares of common stock outstanding as of March 31, 2021, (which includes 4,648,745 shares outstanding that are subject to forfeiture or our right to repurchase as of such date) assuming the conversion of all outstanding shares of our convertible preferred stock into an aggregate of 85,865,789 shares of common stock upon the closing of this offering, and excludes:</w:t>
      </w:r>
    </w:p>
    <w:p>
      <w:pPr>
        <w:spacing w:after="0" w:line="74" w:lineRule="exact"/>
        <w:rPr>
          <w:sz w:val="20"/>
          <w:szCs w:val="20"/>
          <w:color w:val="auto"/>
        </w:rPr>
      </w:pPr>
    </w:p>
    <w:p>
      <w:pPr>
        <w:ind w:left="1860" w:hanging="622"/>
        <w:spacing w:after="0"/>
        <w:tabs>
          <w:tab w:leader="none" w:pos="18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shares of our common stock issuable upon the exercise of stock options as of March 31,</w:t>
      </w:r>
    </w:p>
    <w:p>
      <w:pPr>
        <w:spacing w:after="0" w:line="22" w:lineRule="exact"/>
        <w:rPr>
          <w:sz w:val="20"/>
          <w:szCs w:val="20"/>
          <w:color w:val="auto"/>
        </w:rPr>
      </w:pPr>
    </w:p>
    <w:p>
      <w:pPr>
        <w:ind w:left="1360"/>
        <w:spacing w:after="0"/>
        <w:tabs>
          <w:tab w:leader="none" w:pos="5040" w:val="left"/>
        </w:tabs>
        <w:rPr>
          <w:sz w:val="20"/>
          <w:szCs w:val="20"/>
          <w:color w:val="auto"/>
        </w:rPr>
      </w:pPr>
      <w:r>
        <w:rPr>
          <w:rFonts w:ascii="Arial" w:cs="Arial" w:eastAsia="Arial" w:hAnsi="Arial"/>
          <w:sz w:val="14"/>
          <w:szCs w:val="14"/>
          <w:color w:val="auto"/>
        </w:rPr>
        <w:t>2021, at a weighted-average exercise price of $</w:t>
      </w:r>
      <w:r>
        <w:rPr>
          <w:sz w:val="20"/>
          <w:szCs w:val="20"/>
          <w:color w:val="auto"/>
        </w:rPr>
        <w:tab/>
      </w:r>
      <w:r>
        <w:rPr>
          <w:rFonts w:ascii="Arial" w:cs="Arial" w:eastAsia="Arial" w:hAnsi="Arial"/>
          <w:sz w:val="14"/>
          <w:szCs w:val="14"/>
          <w:color w:val="auto"/>
        </w:rPr>
        <w:t>per share;</w:t>
      </w:r>
    </w:p>
    <w:p>
      <w:pPr>
        <w:spacing w:after="0" w:line="109" w:lineRule="exact"/>
        <w:rPr>
          <w:sz w:val="20"/>
          <w:szCs w:val="20"/>
          <w:color w:val="auto"/>
        </w:rPr>
      </w:pPr>
    </w:p>
    <w:p>
      <w:pPr>
        <w:ind w:left="1360" w:right="1799" w:hanging="122"/>
        <w:spacing w:after="0" w:line="290" w:lineRule="auto"/>
        <w:tabs>
          <w:tab w:leader="none" w:pos="1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40,540 shares of our common stock issuable upon the exercise of warrants to purchase common stock, at a weighted-average exercise price of $5.55 per share;</w:t>
      </w:r>
    </w:p>
    <w:p>
      <w:pPr>
        <w:spacing w:after="0" w:line="64" w:lineRule="exact"/>
        <w:rPr>
          <w:rFonts w:ascii="Arial" w:cs="Arial" w:eastAsia="Arial" w:hAnsi="Arial"/>
          <w:sz w:val="14"/>
          <w:szCs w:val="14"/>
          <w:color w:val="auto"/>
        </w:rPr>
      </w:pPr>
    </w:p>
    <w:p>
      <w:pPr>
        <w:ind w:left="1360" w:right="1419" w:hanging="122"/>
        <w:spacing w:after="0" w:line="290" w:lineRule="auto"/>
        <w:tabs>
          <w:tab w:leader="none" w:pos="1861" w:val="left"/>
        </w:tabs>
        <w:numPr>
          <w:ilvl w:val="0"/>
          <w:numId w:val="11"/>
        </w:numPr>
        <w:rPr>
          <w:rFonts w:ascii="Arial" w:cs="Arial" w:eastAsia="Arial" w:hAnsi="Arial"/>
          <w:sz w:val="14"/>
          <w:szCs w:val="14"/>
          <w:color w:val="auto"/>
        </w:rPr>
      </w:pPr>
      <w:r>
        <w:rPr>
          <w:rFonts w:ascii="Arial" w:cs="Arial" w:eastAsia="Arial" w:hAnsi="Arial"/>
          <w:sz w:val="14"/>
          <w:szCs w:val="14"/>
          <w:color w:val="auto"/>
        </w:rPr>
        <w:t>shares of our common stock reserved for issuance pursuant to future awards as of March 31, 2021 under our 2018 Stock Option and Grant Plan, as amended, or the 2018 Plan;</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5458460"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2" w:name="page13"/>
    <w:bookmarkEnd w:id="1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04360" cy="6363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04360" cy="636397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both"/>
        <w:ind w:left="1360" w:right="1239" w:hanging="122"/>
        <w:spacing w:after="0" w:line="278" w:lineRule="auto"/>
        <w:tabs>
          <w:tab w:leader="none" w:pos="1861" w:val="left"/>
        </w:tabs>
        <w:numPr>
          <w:ilvl w:val="0"/>
          <w:numId w:val="12"/>
        </w:numPr>
        <w:rPr>
          <w:rFonts w:ascii="Arial" w:cs="Arial" w:eastAsia="Arial" w:hAnsi="Arial"/>
          <w:sz w:val="14"/>
          <w:szCs w:val="14"/>
          <w:color w:val="auto"/>
        </w:rPr>
      </w:pPr>
      <w:r>
        <w:rPr>
          <w:rFonts w:ascii="Arial" w:cs="Arial" w:eastAsia="Arial" w:hAnsi="Arial"/>
          <w:sz w:val="14"/>
          <w:szCs w:val="14"/>
          <w:color w:val="auto"/>
        </w:rPr>
        <w:t>shares of our common stock reserved for future issuance under the 2021 Plan which will become effective upon the effectiveness of the Registration Statement of which this prospectus forms a part, as well as any future increases in the number of shares of our common stock reserved for future issuance pursuant to the 2021 Plan; and</w:t>
      </w:r>
    </w:p>
    <w:p>
      <w:pPr>
        <w:spacing w:after="0" w:line="74" w:lineRule="exact"/>
        <w:rPr>
          <w:rFonts w:ascii="Arial" w:cs="Arial" w:eastAsia="Arial" w:hAnsi="Arial"/>
          <w:sz w:val="14"/>
          <w:szCs w:val="14"/>
          <w:color w:val="auto"/>
        </w:rPr>
      </w:pPr>
    </w:p>
    <w:p>
      <w:pPr>
        <w:ind w:left="1360" w:right="1279" w:hanging="122"/>
        <w:spacing w:after="0" w:line="278" w:lineRule="auto"/>
        <w:tabs>
          <w:tab w:leader="none" w:pos="1861" w:val="left"/>
        </w:tabs>
        <w:numPr>
          <w:ilvl w:val="0"/>
          <w:numId w:val="12"/>
        </w:numPr>
        <w:rPr>
          <w:rFonts w:ascii="Arial" w:cs="Arial" w:eastAsia="Arial" w:hAnsi="Arial"/>
          <w:sz w:val="14"/>
          <w:szCs w:val="14"/>
          <w:color w:val="auto"/>
        </w:rPr>
      </w:pPr>
      <w:r>
        <w:rPr>
          <w:rFonts w:ascii="Arial" w:cs="Arial" w:eastAsia="Arial" w:hAnsi="Arial"/>
          <w:sz w:val="14"/>
          <w:szCs w:val="14"/>
          <w:color w:val="auto"/>
        </w:rPr>
        <w:t>shares of our common stock reserved for future issuance under our Employee Stock Purchase Plan, or the ESPP, which will become effective upon the effectiveness of the Registration Statement of which this prospectus forms a part, as well as any future increases in the number of shares of common stock reserved for issuance under the ESPP.</w:t>
      </w:r>
    </w:p>
    <w:p>
      <w:pPr>
        <w:spacing w:after="0" w:line="96" w:lineRule="exact"/>
        <w:rPr>
          <w:sz w:val="20"/>
          <w:szCs w:val="20"/>
          <w:color w:val="auto"/>
        </w:rPr>
      </w:pPr>
    </w:p>
    <w:p>
      <w:pPr>
        <w:ind w:left="1240" w:right="1359"/>
        <w:spacing w:after="0" w:line="290" w:lineRule="auto"/>
        <w:rPr>
          <w:sz w:val="20"/>
          <w:szCs w:val="20"/>
          <w:color w:val="auto"/>
        </w:rPr>
      </w:pPr>
      <w:r>
        <w:rPr>
          <w:rFonts w:ascii="Arial" w:cs="Arial" w:eastAsia="Arial" w:hAnsi="Arial"/>
          <w:sz w:val="14"/>
          <w:szCs w:val="14"/>
          <w:color w:val="auto"/>
        </w:rPr>
        <w:t>Unless otherwise indicated, all information contained in this prospectus, including the number of shares of common stock that will be outstanding after this offering, assumes or gives effect to:</w:t>
      </w:r>
    </w:p>
    <w:p>
      <w:pPr>
        <w:spacing w:after="0" w:line="64" w:lineRule="exact"/>
        <w:rPr>
          <w:sz w:val="20"/>
          <w:szCs w:val="20"/>
          <w:color w:val="auto"/>
        </w:rPr>
      </w:pPr>
    </w:p>
    <w:p>
      <w:pPr>
        <w:ind w:left="1360" w:hanging="122"/>
        <w:spacing w:after="0"/>
        <w:tabs>
          <w:tab w:leader="none" w:pos="1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 exercise of the outstanding options or warrants described above;</w:t>
      </w:r>
    </w:p>
    <w:p>
      <w:pPr>
        <w:spacing w:after="0" w:line="108" w:lineRule="exact"/>
        <w:rPr>
          <w:rFonts w:ascii="Arial" w:cs="Arial" w:eastAsia="Arial" w:hAnsi="Arial"/>
          <w:sz w:val="14"/>
          <w:szCs w:val="14"/>
          <w:color w:val="auto"/>
        </w:rPr>
      </w:pPr>
    </w:p>
    <w:p>
      <w:pPr>
        <w:ind w:left="1360" w:right="1559" w:hanging="122"/>
        <w:spacing w:after="0" w:line="290" w:lineRule="auto"/>
        <w:tabs>
          <w:tab w:leader="none" w:pos="1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filing and effectiveness of our second amended and restated certificate of incorporation immediately prior to the closing of this offering;</w:t>
      </w:r>
    </w:p>
    <w:p>
      <w:pPr>
        <w:sectPr>
          <w:pgSz w:w="11900" w:h="16838" w:orient="portrait"/>
          <w:cols w:equalWidth="0" w:num="1">
            <w:col w:w="9019"/>
          </w:cols>
          <w:pgMar w:left="1440" w:top="133" w:right="1440" w:bottom="1440" w:gutter="0" w:footer="0" w:header="0"/>
        </w:sectPr>
      </w:pPr>
    </w:p>
    <w:p>
      <w:pPr>
        <w:spacing w:after="0" w:line="64" w:lineRule="exact"/>
        <w:rPr>
          <w:sz w:val="20"/>
          <w:szCs w:val="20"/>
          <w:color w:val="auto"/>
        </w:rPr>
      </w:pPr>
    </w:p>
    <w:p>
      <w:pPr>
        <w:ind w:left="1240"/>
        <w:spacing w:after="0"/>
        <w:tabs>
          <w:tab w:leader="none" w:pos="2300" w:val="left"/>
        </w:tabs>
        <w:rPr>
          <w:sz w:val="20"/>
          <w:szCs w:val="20"/>
          <w:color w:val="auto"/>
        </w:rPr>
      </w:pPr>
      <w:r>
        <w:rPr>
          <w:rFonts w:ascii="Arial" w:cs="Arial" w:eastAsia="Arial" w:hAnsi="Arial"/>
          <w:sz w:val="14"/>
          <w:szCs w:val="14"/>
          <w:color w:val="auto"/>
        </w:rPr>
        <w:t>• a</w:t>
      </w:r>
      <w:r>
        <w:rPr>
          <w:sz w:val="20"/>
          <w:szCs w:val="20"/>
          <w:color w:val="auto"/>
        </w:rPr>
        <w:tab/>
      </w:r>
      <w:r>
        <w:rPr>
          <w:rFonts w:ascii="Arial" w:cs="Arial" w:eastAsia="Arial" w:hAnsi="Arial"/>
          <w:sz w:val="14"/>
          <w:szCs w:val="14"/>
          <w:color w:val="auto"/>
        </w:rPr>
        <w:t>for</w:t>
      </w:r>
    </w:p>
    <w:p>
      <w:pPr>
        <w:spacing w:after="0" w:line="22"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closing of this offering;</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reverse stock split of our common stock to be effected prior to the</w:t>
      </w:r>
    </w:p>
    <w:p>
      <w:pPr>
        <w:spacing w:after="0" w:line="292" w:lineRule="exact"/>
        <w:rPr>
          <w:sz w:val="20"/>
          <w:szCs w:val="20"/>
          <w:color w:val="auto"/>
        </w:rPr>
      </w:pPr>
    </w:p>
    <w:p>
      <w:pPr>
        <w:sectPr>
          <w:pgSz w:w="11900" w:h="16838" w:orient="portrait"/>
          <w:cols w:equalWidth="0" w:num="2">
            <w:col w:w="2860" w:space="520"/>
            <w:col w:w="5639"/>
          </w:cols>
          <w:pgMar w:left="1440" w:top="133" w:right="1440" w:bottom="1440" w:gutter="0" w:footer="0" w:header="0"/>
          <w:type w:val="continuous"/>
        </w:sectPr>
      </w:pPr>
    </w:p>
    <w:p>
      <w:pPr>
        <w:ind w:left="1360" w:right="1279" w:hanging="122"/>
        <w:spacing w:after="0" w:line="290" w:lineRule="auto"/>
        <w:tabs>
          <w:tab w:leader="none" w:pos="1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automatic conversion of all our preferred stock outstanding into an aggregate of 85,865,789 shares of our common stock upon the closing of this offering; and</w:t>
      </w:r>
    </w:p>
    <w:p>
      <w:pPr>
        <w:sectPr>
          <w:pgSz w:w="11900" w:h="16838" w:orient="portrait"/>
          <w:cols w:equalWidth="0" w:num="1">
            <w:col w:w="9019"/>
          </w:cols>
          <w:pgMar w:left="1440" w:top="133" w:right="1440" w:bottom="1440" w:gutter="0" w:footer="0" w:header="0"/>
          <w:type w:val="continuous"/>
        </w:sectPr>
      </w:pPr>
    </w:p>
    <w:p>
      <w:pPr>
        <w:spacing w:after="0" w:line="64" w:lineRule="exact"/>
        <w:rPr>
          <w:sz w:val="20"/>
          <w:szCs w:val="20"/>
          <w:color w:val="auto"/>
        </w:rPr>
      </w:pPr>
    </w:p>
    <w:p>
      <w:pPr>
        <w:ind w:left="1360" w:right="260" w:hanging="114"/>
        <w:spacing w:after="0" w:line="290" w:lineRule="auto"/>
        <w:rPr>
          <w:sz w:val="20"/>
          <w:szCs w:val="20"/>
          <w:color w:val="auto"/>
        </w:rPr>
      </w:pPr>
      <w:r>
        <w:rPr>
          <w:rFonts w:ascii="Arial" w:cs="Arial" w:eastAsia="Arial" w:hAnsi="Arial"/>
          <w:sz w:val="14"/>
          <w:szCs w:val="14"/>
          <w:color w:val="auto"/>
        </w:rPr>
        <w:t>• no exercise by the underwriters of their option to purchase up to of our common stock.</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additional shares</w:t>
      </w:r>
    </w:p>
    <w:p>
      <w:pPr>
        <w:spacing w:after="0" w:line="428" w:lineRule="exact"/>
        <w:rPr>
          <w:sz w:val="20"/>
          <w:szCs w:val="20"/>
          <w:color w:val="auto"/>
        </w:rPr>
      </w:pPr>
    </w:p>
    <w:p>
      <w:pPr>
        <w:sectPr>
          <w:pgSz w:w="11900" w:h="16838" w:orient="portrait"/>
          <w:cols w:equalWidth="0" w:num="2">
            <w:col w:w="5900" w:space="720"/>
            <w:col w:w="2399"/>
          </w:cols>
          <w:pgMar w:left="1440" w:top="1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type w:val="continuous"/>
        </w:sectPr>
      </w:pPr>
    </w:p>
    <w:bookmarkStart w:id="13" w:name="page14"/>
    <w:bookmarkEnd w:id="1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42460" cy="6363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42460" cy="636397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240"/>
        <w:spacing w:after="0"/>
        <w:rPr>
          <w:sz w:val="20"/>
          <w:szCs w:val="20"/>
          <w:color w:val="auto"/>
        </w:rPr>
      </w:pPr>
      <w:r>
        <w:rPr>
          <w:rFonts w:ascii="Arial" w:cs="Arial" w:eastAsia="Arial" w:hAnsi="Arial"/>
          <w:sz w:val="23"/>
          <w:szCs w:val="23"/>
          <w:b w:val="1"/>
          <w:bCs w:val="1"/>
          <w:color w:val="auto"/>
        </w:rPr>
        <w:t>Summary consolidated financial data</w:t>
      </w:r>
    </w:p>
    <w:p>
      <w:pPr>
        <w:spacing w:after="0" w:line="144" w:lineRule="exact"/>
        <w:rPr>
          <w:sz w:val="20"/>
          <w:szCs w:val="20"/>
          <w:color w:val="auto"/>
        </w:rPr>
      </w:pPr>
    </w:p>
    <w:p>
      <w:pPr>
        <w:ind w:left="1240" w:right="1259"/>
        <w:spacing w:after="0" w:line="273" w:lineRule="auto"/>
        <w:rPr>
          <w:sz w:val="20"/>
          <w:szCs w:val="20"/>
          <w:color w:val="auto"/>
        </w:rPr>
      </w:pPr>
      <w:r>
        <w:rPr>
          <w:rFonts w:ascii="Arial" w:cs="Arial" w:eastAsia="Arial" w:hAnsi="Arial"/>
          <w:sz w:val="14"/>
          <w:szCs w:val="14"/>
          <w:color w:val="auto"/>
        </w:rPr>
        <w:t>The following tables set forth our selected consolidated financial data for the periods and as of the dates indicated. The year ended December 31, 2020 and the period of June 21, 2019 through December 31, 2019 are referred to herein as Successor and the period of January 1, 2019 through June 20, 2019 is referred to herein as Predecessor. We have derived the selected consolidated statements of operations data for the Year Ended December 31, 2020 (Successor), the period from June 21, 2019 through December 31, 2019 (Successor) and the period from January 1, 2019 through June 20, 2019 (Predecessor), and the selected consolidated balance sheet data as of December 31, 2020 and 2019 (Successor) from our audited consolidated financial statements and related notes included elsewhere in this prospectus. For interim periods, we have derived our selected statements of operations data for the three months ended</w:t>
      </w:r>
    </w:p>
    <w:p>
      <w:pPr>
        <w:spacing w:after="0" w:line="3" w:lineRule="exact"/>
        <w:rPr>
          <w:sz w:val="20"/>
          <w:szCs w:val="20"/>
          <w:color w:val="auto"/>
        </w:rPr>
      </w:pPr>
    </w:p>
    <w:p>
      <w:pPr>
        <w:ind w:left="1240" w:right="1239"/>
        <w:spacing w:after="0" w:line="275" w:lineRule="auto"/>
        <w:rPr>
          <w:sz w:val="20"/>
          <w:szCs w:val="20"/>
          <w:color w:val="auto"/>
        </w:rPr>
      </w:pPr>
      <w:r>
        <w:rPr>
          <w:rFonts w:ascii="Arial" w:cs="Arial" w:eastAsia="Arial" w:hAnsi="Arial"/>
          <w:sz w:val="14"/>
          <w:szCs w:val="14"/>
          <w:color w:val="auto"/>
        </w:rPr>
        <w:t>March 31, 2021 and 2020 and the selected balance sheet data as of March 31, 2021 from our unaudited condensed financial statements and related notes included elsewhere in this prospectus. The unaudited condensed financial statements were prepared on a basis consistent with our audited financial statements and include, in management’s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You should read the following consolidated financial data together with our audited consolidated financial statements and our unaudited condensed consolidated financial statements, and the related notes included elsewhere in this prospectus and the information in the section titled “Management’s Discussion and Analysis of Financial Condition and Results of Operations.”</w:t>
      </w:r>
    </w:p>
    <w:p>
      <w:pPr>
        <w:spacing w:after="0" w:line="366" w:lineRule="exact"/>
        <w:rPr>
          <w:sz w:val="20"/>
          <w:szCs w:val="20"/>
          <w:color w:val="auto"/>
        </w:rPr>
      </w:pPr>
    </w:p>
    <w:tbl>
      <w:tblPr>
        <w:tblLayout w:type="fixed"/>
        <w:tblInd w:w="124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Successor Predecessor</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2"/>
                <w:szCs w:val="12"/>
                <w:b w:val="1"/>
                <w:bCs w:val="1"/>
                <w:color w:val="auto"/>
              </w:rPr>
              <w:t>period from</w:t>
            </w:r>
          </w:p>
        </w:tc>
        <w:tc>
          <w:tcPr>
            <w:tcW w:w="80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period from</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tcPr>
          <w:p>
            <w:pPr>
              <w:jc w:val="right"/>
              <w:ind w:right="21"/>
              <w:spacing w:after="0"/>
              <w:rPr>
                <w:sz w:val="20"/>
                <w:szCs w:val="20"/>
                <w:color w:val="auto"/>
              </w:rPr>
            </w:pPr>
            <w:r>
              <w:rPr>
                <w:rFonts w:ascii="Arial" w:cs="Arial" w:eastAsia="Arial" w:hAnsi="Arial"/>
                <w:sz w:val="12"/>
                <w:szCs w:val="12"/>
                <w:b w:val="1"/>
                <w:bCs w:val="1"/>
                <w:color w:val="auto"/>
              </w:rPr>
              <w:t>June 21, 2019</w:t>
            </w:r>
          </w:p>
        </w:tc>
        <w:tc>
          <w:tcPr>
            <w:tcW w:w="10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January 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March 31,</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tcPr>
          <w:p>
            <w:pPr>
              <w:jc w:val="right"/>
              <w:ind w:right="21"/>
              <w:spacing w:after="0"/>
              <w:rPr>
                <w:sz w:val="20"/>
                <w:szCs w:val="20"/>
                <w:color w:val="auto"/>
              </w:rPr>
            </w:pPr>
            <w:r>
              <w:rPr>
                <w:rFonts w:ascii="Arial" w:cs="Arial" w:eastAsia="Arial" w:hAnsi="Arial"/>
                <w:sz w:val="12"/>
                <w:szCs w:val="12"/>
                <w:b w:val="1"/>
                <w:bCs w:val="1"/>
                <w:color w:val="auto"/>
              </w:rPr>
              <w:t>(Inception) to</w:t>
            </w:r>
          </w:p>
        </w:tc>
        <w:tc>
          <w:tcPr>
            <w:tcW w:w="10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2019 to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740" w:type="dxa"/>
            <w:vAlign w:val="bottom"/>
            <w:gridSpan w:val="4"/>
          </w:tcPr>
          <w:p>
            <w:pPr>
              <w:jc w:val="right"/>
              <w:ind w:right="21"/>
              <w:spacing w:after="0" w:line="101" w:lineRule="exact"/>
              <w:rPr>
                <w:sz w:val="20"/>
                <w:szCs w:val="20"/>
                <w:color w:val="auto"/>
              </w:rPr>
            </w:pPr>
            <w:r>
              <w:rPr>
                <w:rFonts w:ascii="Arial" w:cs="Arial" w:eastAsia="Arial" w:hAnsi="Arial"/>
                <w:sz w:val="11"/>
                <w:szCs w:val="11"/>
                <w:b w:val="1"/>
                <w:bCs w:val="1"/>
                <w:color w:val="auto"/>
              </w:rPr>
              <w:t>December 31, December 31,</w:t>
            </w:r>
          </w:p>
        </w:tc>
        <w:tc>
          <w:tcPr>
            <w:tcW w:w="100" w:type="dxa"/>
            <w:vAlign w:val="bottom"/>
          </w:tcPr>
          <w:p>
            <w:pPr>
              <w:spacing w:after="0"/>
              <w:rPr>
                <w:sz w:val="9"/>
                <w:szCs w:val="9"/>
                <w:color w:val="auto"/>
              </w:rPr>
            </w:pPr>
          </w:p>
        </w:tc>
        <w:tc>
          <w:tcPr>
            <w:tcW w:w="700" w:type="dxa"/>
            <w:vAlign w:val="bottom"/>
            <w:gridSpan w:val="2"/>
          </w:tcPr>
          <w:p>
            <w:pPr>
              <w:jc w:val="right"/>
              <w:ind w:right="80"/>
              <w:spacing w:after="0" w:line="101" w:lineRule="exact"/>
              <w:rPr>
                <w:sz w:val="20"/>
                <w:szCs w:val="20"/>
                <w:color w:val="auto"/>
              </w:rPr>
            </w:pPr>
            <w:r>
              <w:rPr>
                <w:rFonts w:ascii="Arial" w:cs="Arial" w:eastAsia="Arial" w:hAnsi="Arial"/>
                <w:sz w:val="11"/>
                <w:szCs w:val="11"/>
                <w:b w:val="1"/>
                <w:bCs w:val="1"/>
                <w:color w:val="auto"/>
              </w:rPr>
              <w:t>June 20,</w:t>
            </w:r>
          </w:p>
        </w:tc>
        <w:tc>
          <w:tcPr>
            <w:tcW w:w="0" w:type="dxa"/>
            <w:vAlign w:val="bottom"/>
          </w:tcPr>
          <w:p>
            <w:pPr>
              <w:spacing w:after="0"/>
              <w:rPr>
                <w:sz w:val="1"/>
                <w:szCs w:val="1"/>
                <w:color w:val="auto"/>
              </w:rPr>
            </w:pPr>
          </w:p>
        </w:tc>
      </w:tr>
      <w:tr>
        <w:trPr>
          <w:trHeight w:val="191"/>
        </w:trPr>
        <w:tc>
          <w:tcPr>
            <w:tcW w:w="2880" w:type="dxa"/>
            <w:vAlign w:val="bottom"/>
            <w:gridSpan w:val="2"/>
          </w:tcPr>
          <w:p>
            <w:pPr>
              <w:spacing w:after="0"/>
              <w:rPr>
                <w:sz w:val="20"/>
                <w:szCs w:val="20"/>
                <w:color w:val="auto"/>
              </w:rPr>
            </w:pPr>
            <w:r>
              <w:rPr>
                <w:rFonts w:ascii="Arial" w:cs="Arial" w:eastAsia="Arial" w:hAnsi="Arial"/>
                <w:sz w:val="12"/>
                <w:szCs w:val="12"/>
                <w:b w:val="1"/>
                <w:bCs w:val="1"/>
                <w:color w:val="auto"/>
              </w:rPr>
              <w:t>(in thousands, except share and per share data)</w:t>
            </w:r>
          </w:p>
        </w:tc>
        <w:tc>
          <w:tcPr>
            <w:tcW w:w="200" w:type="dxa"/>
            <w:vAlign w:val="bottom"/>
          </w:tcPr>
          <w:p>
            <w:pPr>
              <w:spacing w:after="0"/>
              <w:rPr>
                <w:sz w:val="16"/>
                <w:szCs w:val="16"/>
                <w:color w:val="auto"/>
              </w:rPr>
            </w:pPr>
          </w:p>
        </w:tc>
        <w:tc>
          <w:tcPr>
            <w:tcW w:w="840" w:type="dxa"/>
            <w:vAlign w:val="bottom"/>
          </w:tcPr>
          <w:p>
            <w:pPr>
              <w:jc w:val="right"/>
              <w:ind w:right="261"/>
              <w:spacing w:after="0"/>
              <w:rPr>
                <w:sz w:val="20"/>
                <w:szCs w:val="20"/>
                <w:color w:val="auto"/>
              </w:rPr>
            </w:pPr>
            <w:r>
              <w:rPr>
                <w:rFonts w:ascii="Arial" w:cs="Arial" w:eastAsia="Arial" w:hAnsi="Arial"/>
                <w:sz w:val="12"/>
                <w:szCs w:val="12"/>
                <w:b w:val="1"/>
                <w:bCs w:val="1"/>
                <w:color w:val="auto"/>
              </w:rPr>
              <w:t>2021</w:t>
            </w:r>
          </w:p>
        </w:tc>
        <w:tc>
          <w:tcPr>
            <w:tcW w:w="380" w:type="dxa"/>
            <w:vAlign w:val="bottom"/>
          </w:tcPr>
          <w:p>
            <w:pPr>
              <w:jc w:val="right"/>
              <w:spacing w:after="0"/>
              <w:rPr>
                <w:sz w:val="20"/>
                <w:szCs w:val="20"/>
                <w:color w:val="auto"/>
              </w:rPr>
            </w:pPr>
            <w:r>
              <w:rPr>
                <w:rFonts w:ascii="Arial" w:cs="Arial" w:eastAsia="Arial" w:hAnsi="Arial"/>
                <w:sz w:val="12"/>
                <w:szCs w:val="12"/>
                <w:b w:val="1"/>
                <w:bCs w:val="1"/>
                <w:color w:val="auto"/>
              </w:rPr>
              <w:t>2020</w:t>
            </w:r>
          </w:p>
        </w:tc>
        <w:tc>
          <w:tcPr>
            <w:tcW w:w="260" w:type="dxa"/>
            <w:vAlign w:val="bottom"/>
          </w:tcPr>
          <w:p>
            <w:pPr>
              <w:spacing w:after="0"/>
              <w:rPr>
                <w:sz w:val="16"/>
                <w:szCs w:val="16"/>
                <w:color w:val="auto"/>
              </w:rPr>
            </w:pPr>
          </w:p>
        </w:tc>
        <w:tc>
          <w:tcPr>
            <w:tcW w:w="660" w:type="dxa"/>
            <w:vAlign w:val="bottom"/>
          </w:tcPr>
          <w:p>
            <w:pPr>
              <w:jc w:val="right"/>
              <w:ind w:right="21"/>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Consolidated Statements of Operations Data:</w:t>
            </w: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right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8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Research and development</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2"/>
                <w:szCs w:val="12"/>
                <w:color w:val="auto"/>
              </w:rPr>
              <w:t>15,374 $</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7,943</w:t>
            </w: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2"/>
                <w:szCs w:val="12"/>
                <w:color w:val="auto"/>
              </w:rPr>
              <w:t>39,681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10,107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4,159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60" w:type="dxa"/>
            <w:vAlign w:val="bottom"/>
          </w:tcPr>
          <w:p>
            <w:pPr>
              <w:ind w:left="100"/>
              <w:spacing w:after="0"/>
              <w:rPr>
                <w:sz w:val="20"/>
                <w:szCs w:val="20"/>
                <w:color w:val="auto"/>
              </w:rPr>
            </w:pPr>
            <w:r>
              <w:rPr>
                <w:rFonts w:ascii="Arial" w:cs="Arial" w:eastAsia="Arial" w:hAnsi="Arial"/>
                <w:sz w:val="12"/>
                <w:szCs w:val="12"/>
                <w:color w:val="auto"/>
              </w:rPr>
              <w:t>General and administrative</w:t>
            </w:r>
          </w:p>
        </w:tc>
        <w:tc>
          <w:tcPr>
            <w:tcW w:w="200" w:type="dxa"/>
            <w:vAlign w:val="bottom"/>
          </w:tcPr>
          <w:p>
            <w:pPr>
              <w:spacing w:after="0"/>
              <w:rPr>
                <w:sz w:val="13"/>
                <w:szCs w:val="13"/>
                <w:color w:val="auto"/>
              </w:rPr>
            </w:pPr>
          </w:p>
        </w:tc>
        <w:tc>
          <w:tcPr>
            <w:tcW w:w="840" w:type="dxa"/>
            <w:vAlign w:val="bottom"/>
          </w:tcPr>
          <w:p>
            <w:pPr>
              <w:jc w:val="right"/>
              <w:ind w:right="241"/>
              <w:spacing w:after="0"/>
              <w:rPr>
                <w:sz w:val="20"/>
                <w:szCs w:val="20"/>
                <w:color w:val="auto"/>
              </w:rPr>
            </w:pPr>
            <w:r>
              <w:rPr>
                <w:rFonts w:ascii="Arial" w:cs="Arial" w:eastAsia="Arial" w:hAnsi="Arial"/>
                <w:sz w:val="12"/>
                <w:szCs w:val="12"/>
                <w:color w:val="auto"/>
              </w:rPr>
              <w:t>2,688</w:t>
            </w:r>
          </w:p>
        </w:tc>
        <w:tc>
          <w:tcPr>
            <w:tcW w:w="380" w:type="dxa"/>
            <w:vAlign w:val="bottom"/>
          </w:tcPr>
          <w:p>
            <w:pPr>
              <w:jc w:val="right"/>
              <w:spacing w:after="0"/>
              <w:rPr>
                <w:sz w:val="20"/>
                <w:szCs w:val="20"/>
                <w:color w:val="auto"/>
              </w:rPr>
            </w:pPr>
            <w:r>
              <w:rPr>
                <w:rFonts w:ascii="Arial" w:cs="Arial" w:eastAsia="Arial" w:hAnsi="Arial"/>
                <w:sz w:val="12"/>
                <w:szCs w:val="12"/>
                <w:color w:val="auto"/>
              </w:rPr>
              <w:t>2,050</w:t>
            </w:r>
          </w:p>
        </w:tc>
        <w:tc>
          <w:tcPr>
            <w:tcW w:w="260" w:type="dxa"/>
            <w:vAlign w:val="bottom"/>
          </w:tcPr>
          <w:p>
            <w:pPr>
              <w:spacing w:after="0"/>
              <w:rPr>
                <w:sz w:val="13"/>
                <w:szCs w:val="13"/>
                <w:color w:val="auto"/>
              </w:rPr>
            </w:pPr>
          </w:p>
        </w:tc>
        <w:tc>
          <w:tcPr>
            <w:tcW w:w="660" w:type="dxa"/>
            <w:vAlign w:val="bottom"/>
          </w:tcPr>
          <w:p>
            <w:pPr>
              <w:jc w:val="right"/>
              <w:ind w:right="21"/>
              <w:spacing w:after="0"/>
              <w:rPr>
                <w:sz w:val="20"/>
                <w:szCs w:val="20"/>
                <w:color w:val="auto"/>
              </w:rPr>
            </w:pPr>
            <w:r>
              <w:rPr>
                <w:rFonts w:ascii="Arial" w:cs="Arial" w:eastAsia="Arial" w:hAnsi="Arial"/>
                <w:sz w:val="12"/>
                <w:szCs w:val="12"/>
                <w:color w:val="auto"/>
              </w:rPr>
              <w:t>9,495</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3,622</w:t>
            </w:r>
          </w:p>
        </w:tc>
        <w:tc>
          <w:tcPr>
            <w:tcW w:w="100" w:type="dxa"/>
            <w:vAlign w:val="bottom"/>
          </w:tcPr>
          <w:p>
            <w:pPr>
              <w:spacing w:after="0"/>
              <w:rPr>
                <w:sz w:val="13"/>
                <w:szCs w:val="13"/>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2,145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28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Write off of in-process research and development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41"/>
              <w:spacing w:after="0"/>
              <w:rPr>
                <w:sz w:val="20"/>
                <w:szCs w:val="20"/>
                <w:color w:val="auto"/>
              </w:rPr>
            </w:pPr>
            <w:r>
              <w:rPr>
                <w:rFonts w:ascii="Arial" w:cs="Arial" w:eastAsia="Arial" w:hAnsi="Arial"/>
                <w:sz w:val="12"/>
                <w:szCs w:val="12"/>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1"/>
              <w:spacing w:after="0"/>
              <w:rPr>
                <w:sz w:val="20"/>
                <w:szCs w:val="20"/>
                <w:color w:val="auto"/>
              </w:rPr>
            </w:pPr>
            <w:r>
              <w:rPr>
                <w:rFonts w:ascii="Arial" w:cs="Arial" w:eastAsia="Arial" w:hAnsi="Arial"/>
                <w:sz w:val="12"/>
                <w:szCs w:val="12"/>
                <w:color w:val="auto"/>
              </w:rPr>
              <w:t>4,722</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225,946</w:t>
            </w:r>
          </w:p>
        </w:tc>
        <w:tc>
          <w:tcPr>
            <w:tcW w:w="100" w:type="dxa"/>
            <w:vAlign w:val="bottom"/>
            <w:shd w:val="clear" w:color="auto" w:fill="CCEEFF"/>
          </w:tcPr>
          <w:p>
            <w:pPr>
              <w:spacing w:after="0"/>
              <w:rPr>
                <w:sz w:val="12"/>
                <w:szCs w:val="12"/>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asset</w:t>
            </w: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vMerge w:val="continue"/>
            <w:shd w:val="clear" w:color="auto" w:fill="CCEEFF"/>
          </w:tcPr>
          <w:p>
            <w:pPr>
              <w:spacing w:after="0"/>
              <w:rPr>
                <w:sz w:val="12"/>
                <w:szCs w:val="12"/>
                <w:color w:val="auto"/>
              </w:rPr>
            </w:pPr>
          </w:p>
        </w:tc>
        <w:tc>
          <w:tcPr>
            <w:tcW w:w="380" w:type="dxa"/>
            <w:vAlign w:val="bottom"/>
            <w:tcBorders>
              <w:bottom w:val="single" w:sz="8" w:color="auto"/>
            </w:tcBorders>
            <w:vMerge w:val="continue"/>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right w:val="single" w:sz="8" w:color="CCEEFF"/>
            </w:tcBorders>
            <w:vMerge w:val="continue"/>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860" w:type="dxa"/>
            <w:vAlign w:val="bottom"/>
          </w:tcPr>
          <w:p>
            <w:pPr>
              <w:ind w:left="220"/>
              <w:spacing w:after="0"/>
              <w:rPr>
                <w:sz w:val="20"/>
                <w:szCs w:val="20"/>
                <w:color w:val="auto"/>
              </w:rPr>
            </w:pPr>
            <w:r>
              <w:rPr>
                <w:rFonts w:ascii="Arial" w:cs="Arial" w:eastAsia="Arial" w:hAnsi="Arial"/>
                <w:sz w:val="12"/>
                <w:szCs w:val="12"/>
                <w:color w:val="auto"/>
              </w:rPr>
              <w:t>Total operating expenses</w:t>
            </w:r>
          </w:p>
        </w:tc>
        <w:tc>
          <w:tcPr>
            <w:tcW w:w="200" w:type="dxa"/>
            <w:vAlign w:val="bottom"/>
          </w:tcPr>
          <w:p>
            <w:pPr>
              <w:spacing w:after="0"/>
              <w:rPr>
                <w:sz w:val="11"/>
                <w:szCs w:val="11"/>
                <w:color w:val="auto"/>
              </w:rPr>
            </w:pPr>
          </w:p>
        </w:tc>
        <w:tc>
          <w:tcPr>
            <w:tcW w:w="840" w:type="dxa"/>
            <w:vAlign w:val="bottom"/>
          </w:tcPr>
          <w:p>
            <w:pPr>
              <w:jc w:val="right"/>
              <w:ind w:right="241"/>
              <w:spacing w:after="0"/>
              <w:rPr>
                <w:sz w:val="20"/>
                <w:szCs w:val="20"/>
                <w:color w:val="auto"/>
              </w:rPr>
            </w:pPr>
            <w:r>
              <w:rPr>
                <w:rFonts w:ascii="Arial" w:cs="Arial" w:eastAsia="Arial" w:hAnsi="Arial"/>
                <w:sz w:val="12"/>
                <w:szCs w:val="12"/>
                <w:color w:val="auto"/>
              </w:rPr>
              <w:t>18,062</w:t>
            </w:r>
          </w:p>
        </w:tc>
        <w:tc>
          <w:tcPr>
            <w:tcW w:w="380" w:type="dxa"/>
            <w:vAlign w:val="bottom"/>
          </w:tcPr>
          <w:p>
            <w:pPr>
              <w:jc w:val="right"/>
              <w:spacing w:after="0"/>
              <w:rPr>
                <w:sz w:val="20"/>
                <w:szCs w:val="20"/>
                <w:color w:val="auto"/>
              </w:rPr>
            </w:pPr>
            <w:r>
              <w:rPr>
                <w:rFonts w:ascii="Arial" w:cs="Arial" w:eastAsia="Arial" w:hAnsi="Arial"/>
                <w:sz w:val="12"/>
                <w:szCs w:val="12"/>
                <w:color w:val="auto"/>
              </w:rPr>
              <w:t>9,993</w:t>
            </w:r>
          </w:p>
        </w:tc>
        <w:tc>
          <w:tcPr>
            <w:tcW w:w="260" w:type="dxa"/>
            <w:vAlign w:val="bottom"/>
          </w:tcPr>
          <w:p>
            <w:pPr>
              <w:spacing w:after="0"/>
              <w:rPr>
                <w:sz w:val="11"/>
                <w:szCs w:val="11"/>
                <w:color w:val="auto"/>
              </w:rPr>
            </w:pPr>
          </w:p>
        </w:tc>
        <w:tc>
          <w:tcPr>
            <w:tcW w:w="660" w:type="dxa"/>
            <w:vAlign w:val="bottom"/>
          </w:tcPr>
          <w:p>
            <w:pPr>
              <w:jc w:val="right"/>
              <w:ind w:right="21"/>
              <w:spacing w:after="0"/>
              <w:rPr>
                <w:sz w:val="20"/>
                <w:szCs w:val="20"/>
                <w:color w:val="auto"/>
              </w:rPr>
            </w:pPr>
            <w:r>
              <w:rPr>
                <w:rFonts w:ascii="Arial" w:cs="Arial" w:eastAsia="Arial" w:hAnsi="Arial"/>
                <w:sz w:val="12"/>
                <w:szCs w:val="12"/>
                <w:color w:val="auto"/>
              </w:rPr>
              <w:t>53,898</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239,675</w:t>
            </w:r>
          </w:p>
        </w:tc>
        <w:tc>
          <w:tcPr>
            <w:tcW w:w="100" w:type="dxa"/>
            <w:vAlign w:val="bottom"/>
          </w:tcPr>
          <w:p>
            <w:pPr>
              <w:spacing w:after="0"/>
              <w:rPr>
                <w:sz w:val="11"/>
                <w:szCs w:val="11"/>
                <w:color w:val="auto"/>
              </w:rPr>
            </w:pPr>
          </w:p>
        </w:tc>
        <w:tc>
          <w:tcPr>
            <w:tcW w:w="660" w:type="dxa"/>
            <w:vAlign w:val="bottom"/>
          </w:tcPr>
          <w:p>
            <w:pPr>
              <w:jc w:val="right"/>
              <w:ind w:right="1"/>
              <w:spacing w:after="0"/>
              <w:rPr>
                <w:sz w:val="20"/>
                <w:szCs w:val="20"/>
                <w:color w:val="auto"/>
              </w:rPr>
            </w:pPr>
            <w:r>
              <w:rPr>
                <w:rFonts w:ascii="Arial" w:cs="Arial" w:eastAsia="Arial" w:hAnsi="Arial"/>
                <w:sz w:val="12"/>
                <w:szCs w:val="12"/>
                <w:color w:val="auto"/>
              </w:rPr>
              <w:t>6,304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2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2"/>
                <w:szCs w:val="12"/>
                <w:color w:val="auto"/>
              </w:rPr>
              <w:t>(18,062)</w:t>
            </w:r>
          </w:p>
        </w:tc>
        <w:tc>
          <w:tcPr>
            <w:tcW w:w="640" w:type="dxa"/>
            <w:vAlign w:val="bottom"/>
            <w:tcBorders>
              <w:bottom w:val="single" w:sz="8" w:color="CCEEFF"/>
            </w:tcBorders>
            <w:gridSpan w:val="2"/>
            <w:shd w:val="clear" w:color="auto" w:fill="CCEEFF"/>
          </w:tcPr>
          <w:p>
            <w:pPr>
              <w:jc w:val="right"/>
              <w:ind w:right="164"/>
              <w:spacing w:after="0"/>
              <w:rPr>
                <w:sz w:val="20"/>
                <w:szCs w:val="20"/>
                <w:color w:val="auto"/>
              </w:rPr>
            </w:pPr>
            <w:r>
              <w:rPr>
                <w:rFonts w:ascii="Arial" w:cs="Arial" w:eastAsia="Arial" w:hAnsi="Arial"/>
                <w:sz w:val="12"/>
                <w:szCs w:val="12"/>
                <w:color w:val="auto"/>
              </w:rPr>
              <w:t>(9,993)</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(53,898)</w:t>
            </w:r>
          </w:p>
        </w:tc>
        <w:tc>
          <w:tcPr>
            <w:tcW w:w="10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(239,675)</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(6,304)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80" w:type="dxa"/>
            <w:vAlign w:val="bottom"/>
            <w:gridSpan w:val="2"/>
          </w:tcPr>
          <w:p>
            <w:pPr>
              <w:spacing w:after="0"/>
              <w:rPr>
                <w:sz w:val="20"/>
                <w:szCs w:val="20"/>
                <w:color w:val="auto"/>
              </w:rPr>
            </w:pPr>
            <w:r>
              <w:rPr>
                <w:rFonts w:ascii="Arial" w:cs="Arial" w:eastAsia="Arial" w:hAnsi="Arial"/>
                <w:sz w:val="12"/>
                <w:szCs w:val="12"/>
                <w:color w:val="auto"/>
              </w:rPr>
              <w:t>Interest expense</w:t>
            </w:r>
          </w:p>
        </w:tc>
        <w:tc>
          <w:tcPr>
            <w:tcW w:w="200" w:type="dxa"/>
            <w:vAlign w:val="bottom"/>
          </w:tcPr>
          <w:p>
            <w:pPr>
              <w:spacing w:after="0"/>
              <w:rPr>
                <w:sz w:val="12"/>
                <w:szCs w:val="12"/>
                <w:color w:val="auto"/>
              </w:rPr>
            </w:pPr>
          </w:p>
        </w:tc>
        <w:tc>
          <w:tcPr>
            <w:tcW w:w="840" w:type="dxa"/>
            <w:vAlign w:val="bottom"/>
          </w:tcPr>
          <w:p>
            <w:pPr>
              <w:jc w:val="right"/>
              <w:ind w:right="201"/>
              <w:spacing w:after="0"/>
              <w:rPr>
                <w:sz w:val="20"/>
                <w:szCs w:val="20"/>
                <w:color w:val="auto"/>
              </w:rPr>
            </w:pPr>
            <w:r>
              <w:rPr>
                <w:rFonts w:ascii="Arial" w:cs="Arial" w:eastAsia="Arial" w:hAnsi="Arial"/>
                <w:sz w:val="12"/>
                <w:szCs w:val="12"/>
                <w:color w:val="auto"/>
              </w:rPr>
              <w:t>(314)</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(381)</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Other income, net</w:t>
            </w: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2"/>
                <w:szCs w:val="12"/>
                <w:color w:val="auto"/>
              </w:rPr>
              <w:t>28</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320</w:t>
            </w: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704</w:t>
            </w: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908</w:t>
            </w: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8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161"/>
              <w:spacing w:after="0"/>
              <w:rPr>
                <w:sz w:val="20"/>
                <w:szCs w:val="20"/>
                <w:color w:val="auto"/>
              </w:rPr>
            </w:pPr>
            <w:r>
              <w:rPr>
                <w:rFonts w:ascii="Arial" w:cs="Arial" w:eastAsia="Arial" w:hAnsi="Arial"/>
                <w:sz w:val="12"/>
                <w:szCs w:val="12"/>
                <w:color w:val="auto"/>
              </w:rPr>
              <w:t>(18,348)$</w:t>
            </w:r>
          </w:p>
        </w:tc>
        <w:tc>
          <w:tcPr>
            <w:tcW w:w="640" w:type="dxa"/>
            <w:vAlign w:val="bottom"/>
            <w:gridSpan w:val="2"/>
          </w:tcPr>
          <w:p>
            <w:pPr>
              <w:jc w:val="right"/>
              <w:ind w:right="104"/>
              <w:spacing w:after="0"/>
              <w:rPr>
                <w:sz w:val="20"/>
                <w:szCs w:val="20"/>
                <w:color w:val="auto"/>
              </w:rPr>
            </w:pPr>
            <w:r>
              <w:rPr>
                <w:rFonts w:ascii="Arial" w:cs="Arial" w:eastAsia="Arial" w:hAnsi="Arial"/>
                <w:sz w:val="12"/>
                <w:szCs w:val="12"/>
                <w:color w:val="auto"/>
              </w:rPr>
              <w:t>(9,673)$</w:t>
            </w:r>
          </w:p>
        </w:tc>
        <w:tc>
          <w:tcPr>
            <w:tcW w:w="660" w:type="dxa"/>
            <w:vAlign w:val="bottom"/>
          </w:tcPr>
          <w:p>
            <w:pPr>
              <w:jc w:val="right"/>
              <w:spacing w:after="0"/>
              <w:rPr>
                <w:sz w:val="20"/>
                <w:szCs w:val="20"/>
                <w:color w:val="auto"/>
              </w:rPr>
            </w:pPr>
            <w:r>
              <w:rPr>
                <w:rFonts w:ascii="Arial" w:cs="Arial" w:eastAsia="Arial" w:hAnsi="Arial"/>
                <w:sz w:val="12"/>
                <w:szCs w:val="12"/>
                <w:color w:val="auto"/>
              </w:rPr>
              <w:t>(53,575)</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(238,767)$</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(6,002)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860" w:type="dxa"/>
            <w:vAlign w:val="bottom"/>
            <w:tcBorders>
              <w:bottom w:val="single" w:sz="8" w:color="CCEEFF"/>
            </w:tcBorders>
            <w:shd w:val="clear" w:color="auto" w:fill="CCEEFF"/>
          </w:tcPr>
          <w:p>
            <w:pPr>
              <w:spacing w:after="0" w:line="103" w:lineRule="exact"/>
              <w:rPr>
                <w:sz w:val="20"/>
                <w:szCs w:val="20"/>
                <w:color w:val="auto"/>
              </w:rPr>
            </w:pPr>
            <w:r>
              <w:rPr>
                <w:rFonts w:ascii="Arial" w:cs="Arial" w:eastAsia="Arial" w:hAnsi="Arial"/>
                <w:sz w:val="11"/>
                <w:szCs w:val="11"/>
                <w:color w:val="auto"/>
              </w:rPr>
              <w:t>Net loss per common share</w:t>
            </w:r>
          </w:p>
        </w:tc>
        <w:tc>
          <w:tcPr>
            <w:tcW w:w="20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right w:val="single" w:sz="8" w:color="CCEEFF"/>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60" w:type="dxa"/>
            <w:vAlign w:val="bottom"/>
          </w:tcPr>
          <w:p>
            <w:pPr>
              <w:ind w:left="100"/>
              <w:spacing w:after="0" w:line="162" w:lineRule="exact"/>
              <w:rPr>
                <w:sz w:val="20"/>
                <w:szCs w:val="20"/>
                <w:color w:val="auto"/>
              </w:rPr>
            </w:pPr>
            <w:r>
              <w:rPr>
                <w:rFonts w:ascii="Arial" w:cs="Arial" w:eastAsia="Arial" w:hAnsi="Arial"/>
                <w:sz w:val="12"/>
                <w:szCs w:val="12"/>
                <w:color w:val="auto"/>
              </w:rPr>
              <w:t>Basic and Diluted</w:t>
            </w:r>
            <w:r>
              <w:rPr>
                <w:rFonts w:ascii="Arial" w:cs="Arial" w:eastAsia="Arial" w:hAnsi="Arial"/>
                <w:sz w:val="17"/>
                <w:szCs w:val="17"/>
                <w:color w:val="auto"/>
                <w:vertAlign w:val="superscript"/>
              </w:rPr>
              <w:t>(1)</w:t>
            </w:r>
          </w:p>
        </w:tc>
        <w:tc>
          <w:tcPr>
            <w:tcW w:w="200" w:type="dxa"/>
            <w:vAlign w:val="bottom"/>
          </w:tcPr>
          <w:p>
            <w:pPr>
              <w:jc w:val="right"/>
              <w:ind w:right="61"/>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161"/>
              <w:spacing w:after="0"/>
              <w:rPr>
                <w:sz w:val="20"/>
                <w:szCs w:val="20"/>
                <w:color w:val="auto"/>
              </w:rPr>
            </w:pPr>
            <w:r>
              <w:rPr>
                <w:rFonts w:ascii="Arial" w:cs="Arial" w:eastAsia="Arial" w:hAnsi="Arial"/>
                <w:sz w:val="12"/>
                <w:szCs w:val="12"/>
                <w:color w:val="auto"/>
              </w:rPr>
              <w:t>(0.95)$</w:t>
            </w:r>
          </w:p>
        </w:tc>
        <w:tc>
          <w:tcPr>
            <w:tcW w:w="640" w:type="dxa"/>
            <w:vAlign w:val="bottom"/>
            <w:gridSpan w:val="2"/>
          </w:tcPr>
          <w:p>
            <w:pPr>
              <w:jc w:val="right"/>
              <w:ind w:right="104"/>
              <w:spacing w:after="0"/>
              <w:rPr>
                <w:sz w:val="20"/>
                <w:szCs w:val="20"/>
                <w:color w:val="auto"/>
              </w:rPr>
            </w:pPr>
            <w:r>
              <w:rPr>
                <w:rFonts w:ascii="Arial" w:cs="Arial" w:eastAsia="Arial" w:hAnsi="Arial"/>
                <w:sz w:val="12"/>
                <w:szCs w:val="12"/>
                <w:color w:val="auto"/>
              </w:rPr>
              <w:t>(0.51)$</w:t>
            </w:r>
          </w:p>
        </w:tc>
        <w:tc>
          <w:tcPr>
            <w:tcW w:w="660" w:type="dxa"/>
            <w:vAlign w:val="bottom"/>
          </w:tcPr>
          <w:p>
            <w:pPr>
              <w:jc w:val="right"/>
              <w:spacing w:after="0"/>
              <w:rPr>
                <w:sz w:val="20"/>
                <w:szCs w:val="20"/>
                <w:color w:val="auto"/>
              </w:rPr>
            </w:pPr>
            <w:r>
              <w:rPr>
                <w:rFonts w:ascii="Arial" w:cs="Arial" w:eastAsia="Arial" w:hAnsi="Arial"/>
                <w:sz w:val="12"/>
                <w:szCs w:val="12"/>
                <w:color w:val="auto"/>
              </w:rPr>
              <w:t>(2.85)</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(12.68)$</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(0.40)</w:t>
            </w:r>
          </w:p>
        </w:tc>
        <w:tc>
          <w:tcPr>
            <w:tcW w:w="0" w:type="dxa"/>
            <w:vAlign w:val="bottom"/>
          </w:tcPr>
          <w:p>
            <w:pPr>
              <w:spacing w:after="0"/>
              <w:rPr>
                <w:sz w:val="1"/>
                <w:szCs w:val="1"/>
                <w:color w:val="auto"/>
              </w:rPr>
            </w:pPr>
          </w:p>
        </w:tc>
      </w:tr>
      <w:tr>
        <w:trPr>
          <w:trHeight w:val="110"/>
        </w:trPr>
        <w:tc>
          <w:tcPr>
            <w:tcW w:w="2880" w:type="dxa"/>
            <w:vAlign w:val="bottom"/>
            <w:gridSpan w:val="2"/>
          </w:tcPr>
          <w:p>
            <w:pPr>
              <w:spacing w:after="0" w:line="110" w:lineRule="exact"/>
              <w:rPr>
                <w:sz w:val="20"/>
                <w:szCs w:val="20"/>
                <w:color w:val="auto"/>
              </w:rPr>
            </w:pPr>
            <w:r>
              <w:rPr>
                <w:rFonts w:ascii="Arial" w:cs="Arial" w:eastAsia="Arial" w:hAnsi="Arial"/>
                <w:sz w:val="12"/>
                <w:szCs w:val="12"/>
                <w:color w:val="auto"/>
              </w:rPr>
              <w:t>Weighted average common shares outstanding</w:t>
            </w:r>
          </w:p>
        </w:tc>
        <w:tc>
          <w:tcPr>
            <w:tcW w:w="2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9019"/>
          </w:cols>
          <w:pgMar w:left="1440" w:top="133" w:right="1440" w:bottom="1440" w:gutter="0" w:footer="0" w:header="0"/>
        </w:sectPr>
      </w:pPr>
    </w:p>
    <w:p>
      <w:pPr>
        <w:ind w:left="1360"/>
        <w:spacing w:after="0"/>
        <w:rPr>
          <w:sz w:val="20"/>
          <w:szCs w:val="20"/>
          <w:color w:val="auto"/>
        </w:rPr>
      </w:pPr>
      <w:r>
        <w:rPr>
          <w:rFonts w:ascii="Arial" w:cs="Arial" w:eastAsia="Arial" w:hAnsi="Arial"/>
          <w:sz w:val="12"/>
          <w:szCs w:val="12"/>
          <w:color w:val="auto"/>
        </w:rPr>
        <w:t>Basic and Diluted</w:t>
      </w:r>
      <w:r>
        <w:rPr>
          <w:rFonts w:ascii="Arial" w:cs="Arial" w:eastAsia="Arial" w:hAnsi="Arial"/>
          <w:sz w:val="17"/>
          <w:szCs w:val="17"/>
          <w:color w:val="auto"/>
          <w:vertAlign w:val="superscript"/>
        </w:rPr>
        <w:t>(1)</w:t>
      </w:r>
    </w:p>
    <w:p>
      <w:pPr>
        <w:spacing w:after="0" w:line="13" w:lineRule="exact"/>
        <w:rPr>
          <w:sz w:val="20"/>
          <w:szCs w:val="20"/>
          <w:color w:val="auto"/>
        </w:rPr>
      </w:pPr>
    </w:p>
    <w:p>
      <w:pPr>
        <w:ind w:left="1360" w:hanging="117"/>
        <w:spacing w:after="0" w:line="225" w:lineRule="auto"/>
        <w:rPr>
          <w:sz w:val="20"/>
          <w:szCs w:val="20"/>
          <w:color w:val="auto"/>
        </w:rPr>
      </w:pPr>
      <w:r>
        <w:rPr>
          <w:rFonts w:ascii="Arial" w:cs="Arial" w:eastAsia="Arial" w:hAnsi="Arial"/>
          <w:sz w:val="12"/>
          <w:szCs w:val="12"/>
          <w:color w:val="auto"/>
        </w:rPr>
        <w:t>Pro forma net loss per share attributable to common stockholders – basic and diluted (unaudited)</w:t>
      </w:r>
      <w:r>
        <w:rPr>
          <w:rFonts w:ascii="Arial" w:cs="Arial" w:eastAsia="Arial" w:hAnsi="Arial"/>
          <w:sz w:val="17"/>
          <w:szCs w:val="17"/>
          <w:color w:val="auto"/>
          <w:vertAlign w:val="superscript"/>
        </w:rPr>
        <w:t>(2)</w:t>
      </w:r>
    </w:p>
    <w:p>
      <w:pPr>
        <w:ind w:left="1360" w:right="200" w:hanging="117"/>
        <w:spacing w:after="0" w:line="243" w:lineRule="auto"/>
        <w:rPr>
          <w:sz w:val="20"/>
          <w:szCs w:val="20"/>
          <w:color w:val="auto"/>
        </w:rPr>
      </w:pPr>
      <w:r>
        <w:rPr>
          <w:rFonts w:ascii="Arial" w:cs="Arial" w:eastAsia="Arial" w:hAnsi="Arial"/>
          <w:sz w:val="12"/>
          <w:szCs w:val="12"/>
          <w:color w:val="auto"/>
        </w:rPr>
        <w:t>Pro forma weighted-average number of common shares – basic and diluted (unaudited)</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19,278,887</w:t>
            </w: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18,825,136</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18,825,136</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18,825,136</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w w:val="96"/>
              </w:rPr>
              <w:t>15,029,240</w:t>
            </w:r>
          </w:p>
        </w:tc>
        <w:tc>
          <w:tcPr>
            <w:tcW w:w="60" w:type="dxa"/>
            <w:vAlign w:val="bottom"/>
            <w:tcBorders>
              <w:bottom w:val="single" w:sz="8" w:color="auto"/>
            </w:tcBorders>
          </w:tcPr>
          <w:p>
            <w:pPr>
              <w:spacing w:after="0"/>
              <w:rPr>
                <w:sz w:val="14"/>
                <w:szCs w:val="14"/>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44"/>
        </w:trPr>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(0.17)</w:t>
            </w:r>
          </w:p>
        </w:tc>
        <w:tc>
          <w:tcPr>
            <w:tcW w:w="6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(0.51)</w:t>
            </w: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
        </w:trPr>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1"/>
        </w:trPr>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w w:val="95"/>
              </w:rPr>
              <w:t>105,144,676</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104,690,925</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38" w:lineRule="exact"/>
        <w:rPr>
          <w:sz w:val="20"/>
          <w:szCs w:val="20"/>
          <w:color w:val="auto"/>
        </w:rPr>
      </w:pPr>
    </w:p>
    <w:p>
      <w:pPr>
        <w:sectPr>
          <w:pgSz w:w="11900" w:h="16838" w:orient="portrait"/>
          <w:cols w:equalWidth="0" w:num="2">
            <w:col w:w="4100" w:space="20"/>
            <w:col w:w="4899"/>
          </w:cols>
          <w:pgMar w:left="1440" w:top="133" w:right="1440" w:bottom="1440" w:gutter="0" w:footer="0" w:header="0"/>
          <w:type w:val="continuous"/>
        </w:sectPr>
      </w:pPr>
    </w:p>
    <w:p>
      <w:pPr>
        <w:ind w:left="1240" w:right="1239" w:hanging="2"/>
        <w:spacing w:after="0" w:line="232" w:lineRule="auto"/>
        <w:tabs>
          <w:tab w:leader="none" w:pos="1413" w:val="left"/>
        </w:tabs>
        <w:numPr>
          <w:ilvl w:val="0"/>
          <w:numId w:val="15"/>
        </w:numPr>
        <w:rPr>
          <w:rFonts w:ascii="Arial" w:cs="Arial" w:eastAsia="Arial" w:hAnsi="Arial"/>
          <w:sz w:val="11"/>
          <w:szCs w:val="11"/>
          <w:color w:val="auto"/>
        </w:rPr>
      </w:pPr>
      <w:r>
        <w:rPr>
          <w:rFonts w:ascii="Arial" w:cs="Arial" w:eastAsia="Arial" w:hAnsi="Arial"/>
          <w:sz w:val="11"/>
          <w:szCs w:val="11"/>
          <w:color w:val="auto"/>
        </w:rPr>
        <w:t>See Note 15 of our audited consolidated financial statements and Note 13 of our unaudited condensed consolidated financial statements included elsewhere in this prospectus for an explanation of the calculations of our basic and diluted net loss per share, and the weighted-average number of shares outstanding used in the computation of the per share amounts.</w:t>
      </w:r>
    </w:p>
    <w:p>
      <w:pPr>
        <w:spacing w:after="0" w:line="54" w:lineRule="exact"/>
        <w:rPr>
          <w:rFonts w:ascii="Arial" w:cs="Arial" w:eastAsia="Arial" w:hAnsi="Arial"/>
          <w:sz w:val="11"/>
          <w:szCs w:val="11"/>
          <w:color w:val="auto"/>
        </w:rPr>
      </w:pPr>
    </w:p>
    <w:p>
      <w:pPr>
        <w:ind w:left="1240" w:right="1239" w:hanging="2"/>
        <w:spacing w:after="0" w:line="232" w:lineRule="auto"/>
        <w:tabs>
          <w:tab w:leader="none" w:pos="1413" w:val="left"/>
        </w:tabs>
        <w:numPr>
          <w:ilvl w:val="0"/>
          <w:numId w:val="15"/>
        </w:numPr>
        <w:rPr>
          <w:rFonts w:ascii="Arial" w:cs="Arial" w:eastAsia="Arial" w:hAnsi="Arial"/>
          <w:sz w:val="11"/>
          <w:szCs w:val="11"/>
          <w:color w:val="auto"/>
        </w:rPr>
      </w:pPr>
      <w:r>
        <w:rPr>
          <w:rFonts w:ascii="Arial" w:cs="Arial" w:eastAsia="Arial" w:hAnsi="Arial"/>
          <w:sz w:val="11"/>
          <w:szCs w:val="11"/>
          <w:color w:val="auto"/>
        </w:rPr>
        <w:t>See the subsection titled “Management’s Discussion and Analysis of Financial Condition and Results of Operations— Unaudited Pro Forma Information” for an explanation of the calculations of our basic and diluted pro forma net loss per share, and the weighted-average number of shares outstanding used in the computation of the per share amounts.</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type w:val="continuous"/>
        </w:sectPr>
      </w:pPr>
    </w:p>
    <w:bookmarkStart w:id="14" w:name="page15"/>
    <w:bookmarkEnd w:id="1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235585</wp:posOffset>
            </wp:positionV>
            <wp:extent cx="4404360" cy="6363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04360" cy="636397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tbl>
      <w:tblPr>
        <w:tblLayout w:type="fixed"/>
        <w:tblInd w:w="124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640" w:type="dxa"/>
            <w:vAlign w:val="bottom"/>
          </w:tcPr>
          <w:p>
            <w:pPr>
              <w:jc w:val="right"/>
              <w:ind w:right="70"/>
              <w:spacing w:after="0"/>
              <w:rPr>
                <w:sz w:val="20"/>
                <w:szCs w:val="20"/>
                <w:color w:val="auto"/>
              </w:rPr>
            </w:pPr>
            <w:r>
              <w:rPr>
                <w:rFonts w:ascii="Arial" w:cs="Arial" w:eastAsia="Arial" w:hAnsi="Arial"/>
                <w:sz w:val="13"/>
                <w:szCs w:val="13"/>
                <w:b w:val="1"/>
                <w:bCs w:val="1"/>
                <w:color w:val="auto"/>
              </w:rPr>
              <w:t>March 31,</w:t>
            </w:r>
          </w:p>
        </w:tc>
        <w:tc>
          <w:tcPr>
            <w:tcW w:w="16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6"/>
        </w:trPr>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40" w:type="dxa"/>
            <w:vAlign w:val="bottom"/>
          </w:tcPr>
          <w:p>
            <w:pPr>
              <w:jc w:val="right"/>
              <w:ind w:right="30"/>
              <w:spacing w:after="0"/>
              <w:rPr>
                <w:sz w:val="20"/>
                <w:szCs w:val="20"/>
                <w:color w:val="auto"/>
              </w:rPr>
            </w:pPr>
            <w:r>
              <w:rPr>
                <w:rFonts w:ascii="Arial" w:cs="Arial" w:eastAsia="Arial" w:hAnsi="Arial"/>
                <w:sz w:val="13"/>
                <w:szCs w:val="13"/>
                <w:b w:val="1"/>
                <w:bCs w:val="1"/>
                <w:color w:val="auto"/>
              </w:rPr>
              <w:t>2021</w:t>
            </w: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6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640" w:type="dxa"/>
            <w:vAlign w:val="bottom"/>
          </w:tcPr>
          <w:p>
            <w:pPr>
              <w:jc w:val="right"/>
              <w:ind w:right="10"/>
              <w:spacing w:after="0"/>
              <w:rPr>
                <w:sz w:val="20"/>
                <w:szCs w:val="20"/>
                <w:color w:val="auto"/>
              </w:rPr>
            </w:pPr>
            <w:r>
              <w:rPr>
                <w:rFonts w:ascii="Arial" w:cs="Arial" w:eastAsia="Arial" w:hAnsi="Arial"/>
                <w:sz w:val="14"/>
                <w:szCs w:val="14"/>
                <w:color w:val="auto"/>
              </w:rPr>
              <w:t>$  79,483</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  27,211</w:t>
            </w:r>
          </w:p>
        </w:tc>
        <w:tc>
          <w:tcPr>
            <w:tcW w:w="720" w:type="dxa"/>
            <w:vAlign w:val="bottom"/>
          </w:tcPr>
          <w:p>
            <w:pPr>
              <w:jc w:val="right"/>
              <w:spacing w:after="0"/>
              <w:rPr>
                <w:sz w:val="20"/>
                <w:szCs w:val="20"/>
                <w:color w:val="auto"/>
              </w:rPr>
            </w:pPr>
            <w:r>
              <w:rPr>
                <w:rFonts w:ascii="Arial" w:cs="Arial" w:eastAsia="Arial" w:hAnsi="Arial"/>
                <w:sz w:val="14"/>
                <w:szCs w:val="14"/>
                <w:color w:val="auto"/>
              </w:rPr>
              <w:t>$  44,064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Working capital</w:t>
            </w:r>
            <w:r>
              <w:rPr>
                <w:rFonts w:ascii="Arial" w:cs="Arial" w:eastAsia="Arial" w:hAnsi="Arial"/>
                <w:sz w:val="21"/>
                <w:szCs w:val="21"/>
                <w:color w:val="auto"/>
                <w:vertAlign w:val="superscript"/>
              </w:rPr>
              <w:t>(1)</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172,387</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66,685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32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640" w:type="dxa"/>
            <w:vAlign w:val="bottom"/>
          </w:tcPr>
          <w:p>
            <w:pPr>
              <w:jc w:val="right"/>
              <w:ind w:right="10"/>
              <w:spacing w:after="0"/>
              <w:rPr>
                <w:sz w:val="20"/>
                <w:szCs w:val="20"/>
                <w:color w:val="auto"/>
              </w:rPr>
            </w:pPr>
            <w:r>
              <w:rPr>
                <w:rFonts w:ascii="Arial" w:cs="Arial" w:eastAsia="Arial" w:hAnsi="Arial"/>
                <w:sz w:val="14"/>
                <w:szCs w:val="14"/>
                <w:color w:val="auto"/>
              </w:rPr>
              <w:t>286,055</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106,776</w:t>
            </w:r>
          </w:p>
        </w:tc>
        <w:tc>
          <w:tcPr>
            <w:tcW w:w="720" w:type="dxa"/>
            <w:vAlign w:val="bottom"/>
          </w:tcPr>
          <w:p>
            <w:pPr>
              <w:jc w:val="right"/>
              <w:spacing w:after="0"/>
              <w:rPr>
                <w:sz w:val="20"/>
                <w:szCs w:val="20"/>
                <w:color w:val="auto"/>
              </w:rPr>
            </w:pPr>
            <w:r>
              <w:rPr>
                <w:rFonts w:ascii="Arial" w:cs="Arial" w:eastAsia="Arial" w:hAnsi="Arial"/>
                <w:sz w:val="14"/>
                <w:szCs w:val="14"/>
                <w:color w:val="auto"/>
              </w:rPr>
              <w:t>90,896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3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339,389</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179,761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179,761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20" w:type="dxa"/>
            <w:vAlign w:val="bottom"/>
            <w:gridSpan w:val="2"/>
          </w:tcPr>
          <w:p>
            <w:pPr>
              <w:spacing w:after="0"/>
              <w:rPr>
                <w:sz w:val="20"/>
                <w:szCs w:val="20"/>
                <w:color w:val="auto"/>
              </w:rPr>
            </w:pPr>
            <w:r>
              <w:rPr>
                <w:rFonts w:ascii="Arial" w:cs="Arial" w:eastAsia="Arial" w:hAnsi="Arial"/>
                <w:sz w:val="14"/>
                <w:szCs w:val="14"/>
                <w:color w:val="auto"/>
              </w:rPr>
              <w:t>Accumulated deficit</w:t>
            </w:r>
          </w:p>
        </w:tc>
        <w:tc>
          <w:tcPr>
            <w:tcW w:w="1640" w:type="dxa"/>
            <w:vAlign w:val="bottom"/>
          </w:tcPr>
          <w:p>
            <w:pPr>
              <w:jc w:val="right"/>
              <w:spacing w:after="0"/>
              <w:rPr>
                <w:sz w:val="20"/>
                <w:szCs w:val="20"/>
                <w:color w:val="auto"/>
              </w:rPr>
            </w:pPr>
            <w:r>
              <w:rPr>
                <w:rFonts w:ascii="Arial" w:cs="Arial" w:eastAsia="Arial" w:hAnsi="Arial"/>
                <w:sz w:val="14"/>
                <w:szCs w:val="14"/>
                <w:color w:val="auto"/>
              </w:rPr>
              <w:t>(310,690)</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(292,342)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(238,767)</w:t>
            </w:r>
          </w:p>
        </w:tc>
        <w:tc>
          <w:tcPr>
            <w:tcW w:w="0" w:type="dxa"/>
            <w:vAlign w:val="bottom"/>
          </w:tcPr>
          <w:p>
            <w:pPr>
              <w:spacing w:after="0"/>
              <w:rPr>
                <w:sz w:val="1"/>
                <w:szCs w:val="1"/>
                <w:color w:val="auto"/>
              </w:rPr>
            </w:pPr>
          </w:p>
        </w:tc>
      </w:tr>
      <w:tr>
        <w:trPr>
          <w:trHeight w:val="23"/>
        </w:trPr>
        <w:tc>
          <w:tcPr>
            <w:tcW w:w="33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stockholders’ deficit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(91,557)</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(106,412)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(91,859)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ind w:left="1240" w:right="1339" w:hanging="2"/>
        <w:spacing w:after="0" w:line="251" w:lineRule="auto"/>
        <w:tabs>
          <w:tab w:leader="none" w:pos="1413" w:val="left"/>
        </w:tabs>
        <w:numPr>
          <w:ilvl w:val="0"/>
          <w:numId w:val="16"/>
        </w:numPr>
        <w:rPr>
          <w:rFonts w:ascii="Arial" w:cs="Arial" w:eastAsia="Arial" w:hAnsi="Arial"/>
          <w:sz w:val="11"/>
          <w:szCs w:val="11"/>
          <w:color w:val="auto"/>
        </w:rPr>
      </w:pPr>
      <w:r>
        <w:rPr>
          <w:rFonts w:ascii="Arial" w:cs="Arial" w:eastAsia="Arial" w:hAnsi="Arial"/>
          <w:sz w:val="11"/>
          <w:szCs w:val="11"/>
          <w:color w:val="auto"/>
        </w:rPr>
        <w:t>We define working capital as current assets less current liabilities. See our audited consolidated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 w:name="page16"/>
    <w:bookmarkEnd w:id="1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Risk factors</w:t>
      </w:r>
    </w:p>
    <w:p>
      <w:pPr>
        <w:spacing w:after="0" w:line="119" w:lineRule="exact"/>
        <w:rPr>
          <w:sz w:val="20"/>
          <w:szCs w:val="20"/>
          <w:color w:val="auto"/>
        </w:rPr>
      </w:pPr>
    </w:p>
    <w:p>
      <w:pPr>
        <w:ind w:left="1220" w:right="1239"/>
        <w:spacing w:after="0" w:line="278" w:lineRule="auto"/>
        <w:rPr>
          <w:sz w:val="20"/>
          <w:szCs w:val="20"/>
          <w:color w:val="auto"/>
        </w:rPr>
      </w:pPr>
      <w:r>
        <w:rPr>
          <w:rFonts w:ascii="Arial" w:cs="Arial" w:eastAsia="Arial" w:hAnsi="Arial"/>
          <w:sz w:val="14"/>
          <w:szCs w:val="14"/>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have a material adverse effect on our business, financial condition, and results of operations.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Risks related to our financial position and capital requirements</w:t>
      </w:r>
    </w:p>
    <w:p>
      <w:pPr>
        <w:spacing w:after="0" w:line="128" w:lineRule="exact"/>
        <w:rPr>
          <w:sz w:val="20"/>
          <w:szCs w:val="20"/>
          <w:color w:val="auto"/>
        </w:rPr>
      </w:pPr>
    </w:p>
    <w:p>
      <w:pPr>
        <w:ind w:left="1220" w:right="1459"/>
        <w:spacing w:after="0" w:line="313" w:lineRule="auto"/>
        <w:rPr>
          <w:sz w:val="20"/>
          <w:szCs w:val="20"/>
          <w:color w:val="auto"/>
        </w:rPr>
      </w:pPr>
      <w:r>
        <w:rPr>
          <w:rFonts w:ascii="Arial" w:cs="Arial" w:eastAsia="Arial" w:hAnsi="Arial"/>
          <w:sz w:val="14"/>
          <w:szCs w:val="14"/>
          <w:b w:val="1"/>
          <w:bCs w:val="1"/>
          <w:i w:val="1"/>
          <w:iCs w:val="1"/>
          <w:color w:val="auto"/>
        </w:rPr>
        <w:t>Our limited operating history may make it difficult for you to evaluate the success of our business to date and to assess our future viability.</w:t>
      </w:r>
    </w:p>
    <w:p>
      <w:pPr>
        <w:spacing w:after="0" w:line="82"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We are a preclinical stage biopharmaceutical company with a limited operating history on which to base your investment decision. 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in-licensing intellectual property, and establishing manufacturing processes and arrangements with third parties for the manufacture of initial quantities of our product candidates and component materials. All of our product candidates are still in the discovery and preclinical testing phase. We do not expect to submit an Investigational New Drug Application, or IND, for any of our product candidates until mid 2022. We have not yet demonstrated our ability to successfully commence or complete a clinical trial, submit an IND, or submit a biologics license application, or BLA, for a product candidate, obtain regulatory approval for any product candidate, manufacture a product at a commercial-scale or arrange for a third party to do so on our behalf, or conduct sales, marketing, and distribution activities necessary for successful product commercialization. Consequently, any assumptions you make about our future success or viability may not be as informed as they could be if we had a longer operating history.</w:t>
      </w:r>
    </w:p>
    <w:p>
      <w:pPr>
        <w:spacing w:after="0" w:line="270" w:lineRule="exact"/>
        <w:rPr>
          <w:sz w:val="20"/>
          <w:szCs w:val="20"/>
          <w:color w:val="auto"/>
        </w:rPr>
      </w:pPr>
    </w:p>
    <w:p>
      <w:pPr>
        <w:ind w:left="1220" w:right="1639"/>
        <w:spacing w:after="0" w:line="313" w:lineRule="auto"/>
        <w:rPr>
          <w:sz w:val="20"/>
          <w:szCs w:val="20"/>
          <w:color w:val="auto"/>
        </w:rPr>
      </w:pPr>
      <w:r>
        <w:rPr>
          <w:rFonts w:ascii="Arial" w:cs="Arial" w:eastAsia="Arial" w:hAnsi="Arial"/>
          <w:sz w:val="14"/>
          <w:szCs w:val="14"/>
          <w:b w:val="1"/>
          <w:bCs w:val="1"/>
          <w:i w:val="1"/>
          <w:iCs w:val="1"/>
          <w:color w:val="auto"/>
        </w:rPr>
        <w:t>We have incurred significant operating losses since our inception and expect to incur significant losses for the foreseeable future.</w:t>
      </w:r>
    </w:p>
    <w:p>
      <w:pPr>
        <w:spacing w:after="0" w:line="82"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We have incurred significant operating losses since our inception. If our product candidates are not successfully developed and approved, we may never generate any revenue. Our net losses were $6.0 million, $238.8 million, $53.6 million, and $18.3 million for the period from January 1, 2019 through June 20, 2019 (our predecessor, Century Therapeutics, Inc., or Prior Century), the period from June 21, 2019 through December 31, 2019 (our successor after the completion of the 2019 Reorganization (as defined herein), or the Successor), the year ended December 31, 2020 (Successor) and the quarter ended March 31, 2021 (Successor), respectively. We had an accumulated deficit of $310.7 million as of March 31, 2021. Our net loss for the period from June 21, 2019 through December 31, 2019 (Successor) and our members’ deficit as of December 31, 2020 (Successor) included a charge to expense of $225.9 million related to in-process research and development assets, or IPR&amp;D, acquired from Prior Century. Substantially all of our losses have resulted from expenses incurred in connection with our research and development programs, the acquisition of IPR&amp;D from Prior Century and from general and administrative costs associated with our operations. All of our product candidates will require the expenditure of substantial additional development time and resources before we would be able to apply for or receive regulatory approvals and begin realizing product sales. We expect to continue to incur losses for the foreseeable future, and we anticipate these losses will increase as we continue our development of, seek regulatory approval for, and potentially commercialize any of our product candidates and seek to identify, assess, acquire, in-license, or develop additional product candidates. Our prior losses, combined with expected future losses, have had and will continue to have a negative effect on our stockholders’ deficit and working capital.</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 w:name="page17"/>
    <w:bookmarkEnd w:id="1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559"/>
        <w:spacing w:after="0" w:line="274" w:lineRule="auto"/>
        <w:rPr>
          <w:sz w:val="20"/>
          <w:szCs w:val="20"/>
          <w:color w:val="auto"/>
        </w:rPr>
      </w:pPr>
      <w:r>
        <w:rPr>
          <w:rFonts w:ascii="Arial" w:cs="Arial" w:eastAsia="Arial" w:hAnsi="Arial"/>
          <w:sz w:val="14"/>
          <w:szCs w:val="14"/>
          <w:color w:val="auto"/>
        </w:rPr>
        <w:t>We expect that it will be several years, if ever, before we have a commercialized product. We anticipate that our expenses will increase substantially if, and as, we:</w:t>
      </w:r>
    </w:p>
    <w:p>
      <w:pPr>
        <w:spacing w:after="0" w:line="64" w:lineRule="exact"/>
        <w:rPr>
          <w:sz w:val="20"/>
          <w:szCs w:val="20"/>
          <w:color w:val="auto"/>
        </w:rPr>
      </w:pPr>
    </w:p>
    <w:p>
      <w:pPr>
        <w:ind w:left="1340" w:right="1279" w:hanging="116"/>
        <w:spacing w:after="0" w:line="290" w:lineRule="auto"/>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continue to advance our induced pluripotent stem cells, or iPSC-derived allogeneic, cell therapy platforms;</w:t>
      </w:r>
    </w:p>
    <w:p>
      <w:pPr>
        <w:spacing w:after="0" w:line="64" w:lineRule="exact"/>
        <w:rPr>
          <w:rFonts w:ascii="Arial" w:cs="Arial" w:eastAsia="Arial" w:hAnsi="Arial"/>
          <w:sz w:val="14"/>
          <w:szCs w:val="14"/>
          <w:color w:val="auto"/>
        </w:rPr>
      </w:pPr>
    </w:p>
    <w:p>
      <w:pPr>
        <w:ind w:left="1340" w:right="1619" w:hanging="116"/>
        <w:spacing w:after="0" w:line="290" w:lineRule="auto"/>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continue preclinical development of, and initiate clinical development of CNTY-101 and our other product candidates;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seek to discover and develop additional product candidates;</w:t>
      </w:r>
    </w:p>
    <w:p>
      <w:pPr>
        <w:spacing w:after="0" w:line="108" w:lineRule="exact"/>
        <w:rPr>
          <w:rFonts w:ascii="Arial" w:cs="Arial" w:eastAsia="Arial" w:hAnsi="Arial"/>
          <w:sz w:val="14"/>
          <w:szCs w:val="14"/>
          <w:color w:val="auto"/>
        </w:rPr>
      </w:pPr>
    </w:p>
    <w:p>
      <w:pPr>
        <w:ind w:left="1340" w:right="1479" w:hanging="116"/>
        <w:spacing w:after="0" w:line="290" w:lineRule="auto"/>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establish and validate our own clinical-scale current good manufacturing practices, or cGMP, facilities;</w:t>
      </w:r>
    </w:p>
    <w:p>
      <w:pPr>
        <w:spacing w:after="0" w:line="53" w:lineRule="exact"/>
        <w:rPr>
          <w:rFonts w:ascii="Arial" w:cs="Arial" w:eastAsia="Arial" w:hAnsi="Arial"/>
          <w:sz w:val="14"/>
          <w:szCs w:val="14"/>
          <w:color w:val="auto"/>
        </w:rPr>
      </w:pPr>
    </w:p>
    <w:p>
      <w:pPr>
        <w:ind w:left="1340" w:right="1479" w:hanging="116"/>
        <w:spacing w:after="0" w:line="290" w:lineRule="auto"/>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seek regulatory approvals for any of our other product candidates that successfully complete clinical trials;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maintain, expand, protect, and enforce our intellectual property portfolio;</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acquire or in-license other product candidates and technologies;</w:t>
      </w:r>
    </w:p>
    <w:p>
      <w:pPr>
        <w:spacing w:after="0" w:line="97" w:lineRule="exact"/>
        <w:rPr>
          <w:rFonts w:ascii="Arial" w:cs="Arial" w:eastAsia="Arial" w:hAnsi="Arial"/>
          <w:sz w:val="14"/>
          <w:szCs w:val="14"/>
          <w:color w:val="auto"/>
        </w:rPr>
      </w:pPr>
    </w:p>
    <w:p>
      <w:pPr>
        <w:ind w:left="1340" w:right="1479" w:hanging="116"/>
        <w:spacing w:after="0" w:line="278" w:lineRule="auto"/>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incur additional costs associated with operating as a public company, which will require us to add operational, financial, and management information systems and personnel, including personnel to support our drug development, any future commercialization efforts, and our transition to a public company; and</w:t>
      </w:r>
    </w:p>
    <w:p>
      <w:pPr>
        <w:spacing w:after="0" w:line="74" w:lineRule="exact"/>
        <w:rPr>
          <w:rFonts w:ascii="Arial" w:cs="Arial" w:eastAsia="Arial" w:hAnsi="Arial"/>
          <w:sz w:val="14"/>
          <w:szCs w:val="14"/>
          <w:color w:val="auto"/>
        </w:rPr>
      </w:pPr>
    </w:p>
    <w:p>
      <w:pPr>
        <w:ind w:left="1340" w:hanging="116"/>
        <w:spacing w:after="0"/>
        <w:tabs>
          <w:tab w:leader="none" w:pos="1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increase our employee headcount and related expenses to support these activities.</w:t>
      </w:r>
    </w:p>
    <w:p>
      <w:pPr>
        <w:spacing w:after="0" w:line="141" w:lineRule="exact"/>
        <w:rPr>
          <w:sz w:val="20"/>
          <w:szCs w:val="20"/>
          <w:color w:val="auto"/>
        </w:rPr>
      </w:pPr>
    </w:p>
    <w:p>
      <w:pPr>
        <w:ind w:left="1220" w:right="1239"/>
        <w:spacing w:after="0" w:line="290" w:lineRule="auto"/>
        <w:rPr>
          <w:sz w:val="20"/>
          <w:szCs w:val="20"/>
          <w:color w:val="auto"/>
        </w:rPr>
      </w:pPr>
      <w:r>
        <w:rPr>
          <w:rFonts w:ascii="Arial" w:cs="Arial" w:eastAsia="Arial" w:hAnsi="Arial"/>
          <w:sz w:val="14"/>
          <w:szCs w:val="14"/>
          <w:color w:val="auto"/>
        </w:rPr>
        <w:t>We may never succeed in any or all of these activities and, even if we do, we may never generate revenue.</w:t>
      </w:r>
    </w:p>
    <w:p>
      <w:pPr>
        <w:spacing w:after="0" w:line="70" w:lineRule="exact"/>
        <w:rPr>
          <w:sz w:val="20"/>
          <w:szCs w:val="20"/>
          <w:color w:val="auto"/>
        </w:rPr>
      </w:pPr>
    </w:p>
    <w:p>
      <w:pPr>
        <w:ind w:left="1220" w:right="1399"/>
        <w:spacing w:after="0" w:line="313" w:lineRule="auto"/>
        <w:rPr>
          <w:sz w:val="20"/>
          <w:szCs w:val="20"/>
          <w:color w:val="auto"/>
        </w:rPr>
      </w:pPr>
      <w:r>
        <w:rPr>
          <w:rFonts w:ascii="Arial" w:cs="Arial" w:eastAsia="Arial" w:hAnsi="Arial"/>
          <w:sz w:val="14"/>
          <w:szCs w:val="14"/>
          <w:b w:val="1"/>
          <w:bCs w:val="1"/>
          <w:i w:val="1"/>
          <w:iCs w:val="1"/>
          <w:color w:val="auto"/>
        </w:rPr>
        <w:t>We have never generated revenue from product sales and may never achieve or maintain profitability.</w:t>
      </w:r>
    </w:p>
    <w:p>
      <w:pPr>
        <w:spacing w:after="0" w:line="71"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We have no product candidates in clinical development or approved for commercial sale and have not generated any revenue. To become and remain profitable, we must develop and eventually commercialize product candidates with significant market potential, which will require us to be successful in a range of challenging activities. These activities can include completing preclinical studies and initiating and completing clinical trials of our product candidates, obtaining marketing approval for these product candidates, manufacturing, marketing, and selling those products that are approved and satisfying any post-marketing requirements. We may never succeed in any or all of these activities and, even if we do, we may never generate sufficient revenues to achieve profitability. Because of the numerous risks and uncertainties associated with biologics product development, we are unable to accurately predict the timing or amount of increased expenses or when, or if, we will be able to achieve profitability.</w:t>
      </w:r>
    </w:p>
    <w:p>
      <w:pPr>
        <w:spacing w:after="0" w:line="107" w:lineRule="exact"/>
        <w:rPr>
          <w:sz w:val="20"/>
          <w:szCs w:val="20"/>
          <w:color w:val="auto"/>
        </w:rPr>
      </w:pPr>
    </w:p>
    <w:p>
      <w:pPr>
        <w:jc w:val="both"/>
        <w:ind w:left="1220" w:right="1559"/>
        <w:spacing w:after="0" w:line="262" w:lineRule="auto"/>
        <w:rPr>
          <w:sz w:val="20"/>
          <w:szCs w:val="20"/>
          <w:color w:val="auto"/>
        </w:rPr>
      </w:pPr>
      <w:r>
        <w:rPr>
          <w:rFonts w:ascii="Arial" w:cs="Arial" w:eastAsia="Arial" w:hAnsi="Arial"/>
          <w:sz w:val="14"/>
          <w:szCs w:val="14"/>
          <w:color w:val="auto"/>
        </w:rPr>
        <w:t>Even if we do achieve profitability, we may not be able to sustain or increase profitability. Our failure to become and remain profitable would decrease the value of our company and could impair our ability to raise capital, maintain our research and development efforts, expand our business, or continue our operations.</w:t>
      </w:r>
    </w:p>
    <w:p>
      <w:pPr>
        <w:spacing w:after="0" w:line="79" w:lineRule="exact"/>
        <w:rPr>
          <w:sz w:val="20"/>
          <w:szCs w:val="20"/>
          <w:color w:val="auto"/>
        </w:rPr>
      </w:pPr>
    </w:p>
    <w:p>
      <w:pPr>
        <w:ind w:left="1220" w:right="1399"/>
        <w:spacing w:after="0" w:line="277" w:lineRule="auto"/>
        <w:rPr>
          <w:sz w:val="20"/>
          <w:szCs w:val="20"/>
          <w:color w:val="auto"/>
        </w:rPr>
      </w:pPr>
      <w:r>
        <w:rPr>
          <w:rFonts w:ascii="Arial" w:cs="Arial" w:eastAsia="Arial" w:hAnsi="Arial"/>
          <w:sz w:val="14"/>
          <w:szCs w:val="14"/>
          <w:b w:val="1"/>
          <w:bCs w:val="1"/>
          <w:i w:val="1"/>
          <w:iCs w:val="1"/>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95" w:lineRule="exact"/>
        <w:rPr>
          <w:sz w:val="20"/>
          <w:szCs w:val="20"/>
          <w:color w:val="auto"/>
        </w:rPr>
      </w:pPr>
    </w:p>
    <w:p>
      <w:pPr>
        <w:ind w:left="1220" w:right="1319"/>
        <w:spacing w:after="0" w:line="258" w:lineRule="auto"/>
        <w:rPr>
          <w:sz w:val="20"/>
          <w:szCs w:val="20"/>
          <w:color w:val="auto"/>
        </w:rPr>
      </w:pPr>
      <w:r>
        <w:rPr>
          <w:rFonts w:ascii="Arial" w:cs="Arial" w:eastAsia="Arial" w:hAnsi="Arial"/>
          <w:sz w:val="14"/>
          <w:szCs w:val="14"/>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preclinical and clinical trials of, and seek regulatory and marketing approval for, our product candidates. Even if one or more of our product candidates is approved for commercial sale, we anticipate incurring significant costs associated with commercializing any approved product candidate. We have financed our operations primarily through private placements of our securities. We intend to use the proceeds from this offering to, among other uses, fund research and development of our product candidates and development programs, including our preclinical and clinical development of CNTY-101, CNTY-103, CNTY-102, and CNTY-104. Our research and development expenses increased from $14.3 million for the year ended December 31, 2019 to $39.7 million for the year ended December 31, 2020 and from $7.9 million for the quarter ended March 31, 2020 to $15.4 million for the quarter ended March 31, 2021. As of March 31, 2021,</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7" w:name="page18"/>
    <w:bookmarkEnd w:id="1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39"/>
        <w:spacing w:after="0" w:line="273" w:lineRule="auto"/>
        <w:rPr>
          <w:sz w:val="20"/>
          <w:szCs w:val="20"/>
          <w:color w:val="auto"/>
        </w:rPr>
      </w:pPr>
      <w:r>
        <w:rPr>
          <w:rFonts w:ascii="Arial" w:cs="Arial" w:eastAsia="Arial" w:hAnsi="Arial"/>
          <w:sz w:val="14"/>
          <w:szCs w:val="14"/>
          <w:color w:val="auto"/>
        </w:rPr>
        <w:t>we had cash, and cash equivalents of $79.5 million and marketable securities of $166.6 million. Based on our current business plans, we believe that the net proceeds from this offering, together with our existing cash and cash equivalents, will be sufficient for us to fund our operating</w:t>
      </w:r>
    </w:p>
    <w:p>
      <w:pPr>
        <w:spacing w:after="0" w:line="1" w:lineRule="exact"/>
        <w:rPr>
          <w:sz w:val="20"/>
          <w:szCs w:val="20"/>
          <w:color w:val="auto"/>
        </w:rPr>
      </w:pPr>
    </w:p>
    <w:p>
      <w:pPr>
        <w:ind w:left="1220"/>
        <w:spacing w:after="0"/>
        <w:tabs>
          <w:tab w:leader="none" w:pos="6140" w:val="left"/>
        </w:tabs>
        <w:rPr>
          <w:sz w:val="20"/>
          <w:szCs w:val="20"/>
          <w:color w:val="auto"/>
        </w:rPr>
      </w:pPr>
      <w:r>
        <w:rPr>
          <w:rFonts w:ascii="Arial" w:cs="Arial" w:eastAsia="Arial" w:hAnsi="Arial"/>
          <w:sz w:val="14"/>
          <w:szCs w:val="14"/>
          <w:color w:val="auto"/>
        </w:rPr>
        <w:t>expenses and capital expenditures requirements for the next</w:t>
      </w:r>
      <w:r>
        <w:rPr>
          <w:sz w:val="20"/>
          <w:szCs w:val="20"/>
          <w:color w:val="auto"/>
        </w:rPr>
        <w:tab/>
      </w:r>
      <w:r>
        <w:rPr>
          <w:rFonts w:ascii="Arial" w:cs="Arial" w:eastAsia="Arial" w:hAnsi="Arial"/>
          <w:sz w:val="14"/>
          <w:szCs w:val="14"/>
          <w:color w:val="auto"/>
        </w:rPr>
        <w:t>months after this filing.</w:t>
      </w:r>
    </w:p>
    <w:p>
      <w:pPr>
        <w:spacing w:after="0" w:line="130"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Attempting to secure additional financing will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due to the COVID-19 pandemic or other causes, and we may need to seek additional funds sooner than planned. If we are unable to obtain funding on a timely basis or at all, we may be required to significantly curtail or stop one or more of our research or development programs.</w:t>
      </w:r>
    </w:p>
    <w:p>
      <w:pPr>
        <w:spacing w:after="0" w:line="274" w:lineRule="exact"/>
        <w:rPr>
          <w:sz w:val="20"/>
          <w:szCs w:val="20"/>
          <w:color w:val="auto"/>
        </w:rPr>
      </w:pPr>
    </w:p>
    <w:p>
      <w:pPr>
        <w:jc w:val="both"/>
        <w:ind w:left="1220" w:right="1259"/>
        <w:spacing w:after="0" w:line="293" w:lineRule="auto"/>
        <w:rPr>
          <w:sz w:val="20"/>
          <w:szCs w:val="20"/>
          <w:color w:val="auto"/>
        </w:rPr>
      </w:pPr>
      <w:r>
        <w:rPr>
          <w:rFonts w:ascii="Arial" w:cs="Arial" w:eastAsia="Arial" w:hAnsi="Arial"/>
          <w:sz w:val="14"/>
          <w:szCs w:val="14"/>
          <w:b w:val="1"/>
          <w:bCs w:val="1"/>
          <w:i w:val="1"/>
          <w:iCs w:val="1"/>
          <w:color w:val="auto"/>
        </w:rPr>
        <w:t>Raising additional capital may cause dilution to our stockholders, including purchasers of our common stock in this offering, restrict our operations or require us to relinquish rights to our technologies or product candidates.</w:t>
      </w:r>
    </w:p>
    <w:p>
      <w:pPr>
        <w:spacing w:after="0" w:line="95"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Until and unless we can generate substantial product revenue, we expect to finance our cash needs through the proceeds from this offering,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in this offering. If we sell equity or equity-linked securities, our current stockholders, including investors in this offering,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and impede our ability to conduct our business. Furthermore, the issuance of additional securities, whether equity or debt, by us, or the possibility of such issuance, may cause the market price of our common stock to decline.</w:t>
      </w:r>
    </w:p>
    <w:p>
      <w:pPr>
        <w:spacing w:after="0" w:line="285"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If we raise additional funds through licensing or collaboration arrangements with third parties, we may have to relinquish valuable rights to our product candidates or grant licenses under our intellectual property on terms that are not favorable to us. In addition, we may seek additional capital due to favorable market conditions or strategic considerations even if we believe we have sufficient funds for our current or future operating plans. Because of the numerous risks and uncertainties associated with product development, we are unable to predict the timing or amount of increased expenses or when or if we will be able to achieve or maintain profitability.</w:t>
      </w:r>
    </w:p>
    <w:p>
      <w:pPr>
        <w:spacing w:after="0" w:line="91" w:lineRule="exact"/>
        <w:rPr>
          <w:sz w:val="20"/>
          <w:szCs w:val="20"/>
          <w:color w:val="auto"/>
        </w:rPr>
      </w:pPr>
    </w:p>
    <w:p>
      <w:pPr>
        <w:ind w:left="1220" w:right="1439"/>
        <w:spacing w:after="0" w:line="313" w:lineRule="auto"/>
        <w:rPr>
          <w:sz w:val="20"/>
          <w:szCs w:val="20"/>
          <w:color w:val="auto"/>
        </w:rPr>
      </w:pPr>
      <w:r>
        <w:rPr>
          <w:rFonts w:ascii="Arial" w:cs="Arial" w:eastAsia="Arial" w:hAnsi="Arial"/>
          <w:sz w:val="14"/>
          <w:szCs w:val="14"/>
          <w:b w:val="1"/>
          <w:bCs w:val="1"/>
          <w:i w:val="1"/>
          <w:iCs w:val="1"/>
          <w:color w:val="auto"/>
        </w:rPr>
        <w:t>Our ability to utilize our net operating loss carryforwards and certain other tax attributes may be limited.</w:t>
      </w:r>
    </w:p>
    <w:p>
      <w:pPr>
        <w:spacing w:after="0" w:line="82" w:lineRule="exact"/>
        <w:rPr>
          <w:sz w:val="20"/>
          <w:szCs w:val="20"/>
          <w:color w:val="auto"/>
        </w:rPr>
      </w:pPr>
    </w:p>
    <w:p>
      <w:pPr>
        <w:ind w:left="1220" w:right="1359"/>
        <w:spacing w:after="0" w:line="275" w:lineRule="auto"/>
        <w:rPr>
          <w:sz w:val="20"/>
          <w:szCs w:val="20"/>
          <w:color w:val="auto"/>
        </w:rPr>
      </w:pPr>
      <w:r>
        <w:rPr>
          <w:rFonts w:ascii="Arial" w:cs="Arial" w:eastAsia="Arial" w:hAnsi="Arial"/>
          <w:sz w:val="14"/>
          <w:szCs w:val="14"/>
          <w:color w:val="auto"/>
        </w:rPr>
        <w:t>The net operating losses of Prior Century carried over to us as a result of the merger of Prior Century with and into us on February 25, 2021 in the amount of approximately $5.0 million of federal net operating loss carryforwards, and approximately $9.5 million of state and local net operating loss carryforwards. To the extent that we continue to generate taxable losses, subject to certain limitations, unused losses will carryforward to offset future taxable income, if any, until such unused losses expire. Under Section 382 of the Internal Revenue Code of 1986, as amended, or the Code, if a corporation undergoes an ownership change (generally defined as a greater than 50 percentage points change (by value) in its equity ownership over a rolling three-year period), the corporation’s ability to use its pre-change net operating losses and other pre-change tax attributes to offset its post-change income may be limited. We believe that Prior Century or we may have experienced an ownership change in the past, which may affect our ability to utilize our net operating loss carryforwards. In addition, we may experience ownership changes in the future as a result of this offering or subsequent shifts in our stock</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8" w:name="page19"/>
    <w:bookmarkEnd w:id="1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519"/>
        <w:spacing w:after="0" w:line="290" w:lineRule="auto"/>
        <w:rPr>
          <w:sz w:val="20"/>
          <w:szCs w:val="20"/>
          <w:color w:val="auto"/>
        </w:rPr>
      </w:pPr>
      <w:r>
        <w:rPr>
          <w:rFonts w:ascii="Arial" w:cs="Arial" w:eastAsia="Arial" w:hAnsi="Arial"/>
          <w:sz w:val="14"/>
          <w:szCs w:val="14"/>
          <w:color w:val="auto"/>
        </w:rPr>
        <w:t>ownership, some of which are outside our control. Similar limitations will apply to our ability to carry forward any unused tax credits to offset future taxable income.</w:t>
      </w:r>
    </w:p>
    <w:p>
      <w:pPr>
        <w:spacing w:after="0" w:line="70" w:lineRule="exact"/>
        <w:rPr>
          <w:sz w:val="20"/>
          <w:szCs w:val="20"/>
          <w:color w:val="auto"/>
        </w:rPr>
      </w:pPr>
    </w:p>
    <w:p>
      <w:pPr>
        <w:ind w:left="1220" w:right="1579"/>
        <w:spacing w:after="0" w:line="293" w:lineRule="auto"/>
        <w:rPr>
          <w:sz w:val="20"/>
          <w:szCs w:val="20"/>
          <w:color w:val="auto"/>
        </w:rPr>
      </w:pPr>
      <w:r>
        <w:rPr>
          <w:rFonts w:ascii="Arial" w:cs="Arial" w:eastAsia="Arial" w:hAnsi="Arial"/>
          <w:sz w:val="14"/>
          <w:szCs w:val="14"/>
          <w:b w:val="1"/>
          <w:bCs w:val="1"/>
          <w:i w:val="1"/>
          <w:iCs w:val="1"/>
          <w:color w:val="auto"/>
        </w:rPr>
        <w:t>Our Option Agreement with Bayer HealthCare LLC may require us to sell certain of our product candidates, which may limit the value we could generate from our product candidates.</w:t>
      </w:r>
    </w:p>
    <w:p>
      <w:pPr>
        <w:spacing w:after="0" w:line="95" w:lineRule="exact"/>
        <w:rPr>
          <w:sz w:val="20"/>
          <w:szCs w:val="20"/>
          <w:color w:val="auto"/>
        </w:rPr>
      </w:pPr>
    </w:p>
    <w:p>
      <w:pPr>
        <w:ind w:left="1220" w:right="1359"/>
        <w:spacing w:after="0" w:line="275" w:lineRule="auto"/>
        <w:rPr>
          <w:sz w:val="20"/>
          <w:szCs w:val="20"/>
          <w:color w:val="auto"/>
        </w:rPr>
      </w:pPr>
      <w:r>
        <w:rPr>
          <w:rFonts w:ascii="Arial" w:cs="Arial" w:eastAsia="Arial" w:hAnsi="Arial"/>
          <w:sz w:val="14"/>
          <w:szCs w:val="14"/>
          <w:color w:val="auto"/>
        </w:rPr>
        <w:t>We are party to an option agreement, or the Option Agreement, with Bayer HealthCare LLC, or Bayer,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Under the Option Agreement, Bayer was granted a right of first refusal, or ROFR, to submit bids for the transfer or license of rights to research, develop and/or commercialize certain Research Products, which we refer to as the Research Product Rights. The Research Products include CNTY-101, CNTY-103 and any other product candidate comprised of iNK cells that we develop in the future. Bayer may exercise its ROFR for up to four of the first ten Research Products for which an IND is submitted, subject to certain limitations.</w:t>
      </w:r>
    </w:p>
    <w:p>
      <w:pPr>
        <w:spacing w:after="0" w:line="292" w:lineRule="exact"/>
        <w:rPr>
          <w:sz w:val="20"/>
          <w:szCs w:val="20"/>
          <w:color w:val="auto"/>
        </w:rPr>
      </w:pPr>
    </w:p>
    <w:p>
      <w:pPr>
        <w:ind w:left="1220" w:right="1259"/>
        <w:spacing w:after="0" w:line="290" w:lineRule="auto"/>
        <w:rPr>
          <w:sz w:val="20"/>
          <w:szCs w:val="20"/>
          <w:color w:val="auto"/>
        </w:rPr>
      </w:pPr>
      <w:r>
        <w:rPr>
          <w:rFonts w:ascii="Arial" w:cs="Arial" w:eastAsia="Arial" w:hAnsi="Arial"/>
          <w:sz w:val="14"/>
          <w:szCs w:val="14"/>
          <w:color w:val="auto"/>
        </w:rPr>
        <w:t>For a more complete description of the Option Agreement, please see the section titled “Business —Licensing Partnerships and Collaborations—Bayer Healthcare LLC” in this prospectus.</w:t>
      </w:r>
    </w:p>
    <w:p>
      <w:pPr>
        <w:spacing w:after="0" w:line="86"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If Bayer exercises its ROFR for one of our Research Products, we may be required to transfer such Research Product (by sale, license, or other structure to be negotiated) to Bayer for a market value as determined by our board of directors, and such determination of market value may ultimately prove to be lower than the actual realizable value of applicable Research Product. There can be no guarantee that we will utilize the proceeds received in connection with the exercise of Bayer’s ROFR in a manner which will provide us with greater value than if we had retained the Research Product or sold such Research Product to another party. Any failure to realize or utilize the full value of our Research Products due to the Option Agreement could have a material adverse effect on our business, financial condition, and results of operation.</w:t>
      </w:r>
    </w:p>
    <w:p>
      <w:pPr>
        <w:spacing w:after="0" w:line="93" w:lineRule="exact"/>
        <w:rPr>
          <w:sz w:val="20"/>
          <w:szCs w:val="20"/>
          <w:color w:val="auto"/>
        </w:rPr>
      </w:pPr>
    </w:p>
    <w:p>
      <w:pPr>
        <w:ind w:left="1220" w:right="1239"/>
        <w:spacing w:after="0" w:line="313" w:lineRule="auto"/>
        <w:rPr>
          <w:sz w:val="20"/>
          <w:szCs w:val="20"/>
          <w:color w:val="auto"/>
        </w:rPr>
      </w:pPr>
      <w:r>
        <w:rPr>
          <w:rFonts w:ascii="Arial" w:cs="Arial" w:eastAsia="Arial" w:hAnsi="Arial"/>
          <w:sz w:val="14"/>
          <w:szCs w:val="14"/>
          <w:b w:val="1"/>
          <w:bCs w:val="1"/>
          <w:i w:val="1"/>
          <w:iCs w:val="1"/>
          <w:color w:val="auto"/>
        </w:rPr>
        <w:t>Unstable market and economic conditions may have serious adverse consequences on our business, financial condition, and stock price.</w:t>
      </w:r>
    </w:p>
    <w:p>
      <w:pPr>
        <w:spacing w:after="0" w:line="82"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Global financial markets have experienced, as a result of the COVID-19 pandemic, and have in the past experienced, extreme volatility and disruptions,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and ability to raise capital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286"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In addition, the stock markets have experienced extreme price and volume fluctuations that have affected and continue to affect the market prices of equity securities of many companies, including very recently in connection with the ongoing COVID-19 pandemic, which has resulted in decreased stock prices for many companies notwithstanding the lack of a fundamental change in their underlying business models or prospects. These fluctuations have often been unrelated or disproportionate to the operating performance of those companies. Broad market and industry factors, including potentially worsening economic conditions and other adverse effects, or developments relating to the ongoing COVID-19 pandemic, political, regulatory, and other market conditions, may negatively affect the market price of shares of our common stock, regardless of our actual operating performance.</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9" w:name="page20"/>
    <w:bookmarkEnd w:id="1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17" w:lineRule="exact"/>
        <w:rPr>
          <w:sz w:val="20"/>
          <w:szCs w:val="20"/>
          <w:color w:val="auto"/>
        </w:rPr>
      </w:pPr>
    </w:p>
    <w:p>
      <w:pPr>
        <w:ind w:left="1220" w:right="1279"/>
        <w:spacing w:after="0" w:line="293" w:lineRule="auto"/>
        <w:rPr>
          <w:sz w:val="20"/>
          <w:szCs w:val="20"/>
          <w:color w:val="auto"/>
        </w:rPr>
      </w:pPr>
      <w:r>
        <w:rPr>
          <w:rFonts w:ascii="Arial" w:cs="Arial" w:eastAsia="Arial" w:hAnsi="Arial"/>
          <w:sz w:val="14"/>
          <w:szCs w:val="14"/>
          <w:b w:val="1"/>
          <w:bCs w:val="1"/>
          <w:i w:val="1"/>
          <w:iCs w:val="1"/>
          <w:color w:val="auto"/>
        </w:rPr>
        <w:t>We are very early in our development efforts. Our business is dependent on our ability to advance our current and future product candidates through preclinical studies and clinical trials, obtain marketing approval, and ultimately commercialize them.</w:t>
      </w:r>
    </w:p>
    <w:p>
      <w:pPr>
        <w:spacing w:after="0" w:line="95"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We are very early in our development efforts and all of our product candidates are still in preclinical development. We expect to file an IND for our lead product candidate CNTY-101, in mid 2022 and we expect to file an IND for CNTY-103 in the first half of 2023. Additionally, we are actively engaged in a number of earlier stage discovery programs that may never advance to clinical-stage development. Our ability to generate product revenue, which we do not expect will occur for many years, if ever, will depend heavily on the successful development and eventual commercialization of our product candidates, which may never occur. We currently generate no revenue from product sales and we may never be able to develop or commercialize a marketable product.</w:t>
      </w:r>
    </w:p>
    <w:p>
      <w:pPr>
        <w:spacing w:after="0" w:line="288" w:lineRule="exact"/>
        <w:rPr>
          <w:sz w:val="20"/>
          <w:szCs w:val="20"/>
          <w:color w:val="auto"/>
        </w:rPr>
      </w:pPr>
    </w:p>
    <w:p>
      <w:pPr>
        <w:ind w:left="1220" w:right="1459"/>
        <w:spacing w:after="0" w:line="276" w:lineRule="auto"/>
        <w:rPr>
          <w:sz w:val="20"/>
          <w:szCs w:val="20"/>
          <w:color w:val="auto"/>
        </w:rPr>
      </w:pPr>
      <w:r>
        <w:rPr>
          <w:rFonts w:ascii="Arial" w:cs="Arial" w:eastAsia="Arial" w:hAnsi="Arial"/>
          <w:sz w:val="14"/>
          <w:szCs w:val="14"/>
          <w:color w:val="auto"/>
        </w:rPr>
        <w:t>Each of our product candidates will require additional preclinical and/or clinical development, regulatory approval in multiple jurisdictions, obtaining manufacturing supply, capacity and expertise, building a commercial organization, or successfully outsourcing commercialization, substantial investment, and significant marketing efforts before we generate any revenue from product sales. Our product candidates must be authorized for marketing by the FDA, or certain other foreign regulatory agencies before we may commercialize our product candidates.</w:t>
      </w:r>
    </w:p>
    <w:p>
      <w:pPr>
        <w:spacing w:after="0" w:line="98" w:lineRule="exact"/>
        <w:rPr>
          <w:sz w:val="20"/>
          <w:szCs w:val="20"/>
          <w:color w:val="auto"/>
        </w:rPr>
      </w:pPr>
    </w:p>
    <w:p>
      <w:pPr>
        <w:ind w:left="1220" w:right="1499"/>
        <w:spacing w:after="0" w:line="290" w:lineRule="auto"/>
        <w:rPr>
          <w:sz w:val="20"/>
          <w:szCs w:val="20"/>
          <w:color w:val="auto"/>
        </w:rPr>
      </w:pPr>
      <w:r>
        <w:rPr>
          <w:rFonts w:ascii="Arial" w:cs="Arial" w:eastAsia="Arial" w:hAnsi="Arial"/>
          <w:sz w:val="14"/>
          <w:szCs w:val="14"/>
          <w:color w:val="auto"/>
        </w:rPr>
        <w:t>The clinical and commercial success of our product candidates will depend on several factors, including the following:</w:t>
      </w:r>
    </w:p>
    <w:p>
      <w:pPr>
        <w:spacing w:after="0" w:line="64" w:lineRule="exact"/>
        <w:rPr>
          <w:sz w:val="20"/>
          <w:szCs w:val="20"/>
          <w:color w:val="auto"/>
        </w:rPr>
      </w:pPr>
    </w:p>
    <w:p>
      <w:pPr>
        <w:ind w:left="1340" w:right="1559" w:hanging="116"/>
        <w:spacing w:after="0" w:line="290" w:lineRule="auto"/>
        <w:tabs>
          <w:tab w:leader="none" w:pos="1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timely and successful completion of preclinical studies, including toxicology studies, biodistribution studies, and minimally efficacious dose studies in animals, where applicable;</w:t>
      </w:r>
    </w:p>
    <w:p>
      <w:pPr>
        <w:spacing w:after="0" w:line="74" w:lineRule="exact"/>
        <w:rPr>
          <w:rFonts w:ascii="Arial" w:cs="Arial" w:eastAsia="Arial" w:hAnsi="Arial"/>
          <w:sz w:val="14"/>
          <w:szCs w:val="14"/>
          <w:color w:val="auto"/>
        </w:rPr>
      </w:pPr>
    </w:p>
    <w:p>
      <w:pPr>
        <w:ind w:left="1340" w:right="1559" w:hanging="116"/>
        <w:spacing w:after="0" w:line="290" w:lineRule="auto"/>
        <w:tabs>
          <w:tab w:leader="none" w:pos="1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effective INDs or comparable foreign applications that allow commencement of our planned clinical trials or future clinical trials for our product candidates;</w:t>
      </w:r>
    </w:p>
    <w:p>
      <w:pPr>
        <w:spacing w:after="0" w:line="64" w:lineRule="exact"/>
        <w:rPr>
          <w:rFonts w:ascii="Arial" w:cs="Arial" w:eastAsia="Arial" w:hAnsi="Arial"/>
          <w:sz w:val="14"/>
          <w:szCs w:val="14"/>
          <w:color w:val="auto"/>
        </w:rPr>
      </w:pPr>
    </w:p>
    <w:p>
      <w:pPr>
        <w:ind w:left="1340" w:right="1379" w:hanging="116"/>
        <w:spacing w:after="0" w:line="290" w:lineRule="auto"/>
        <w:tabs>
          <w:tab w:leader="none" w:pos="1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successful enrollment and completion of clinical trials, including under the FDA’s current Good Clinical Practices, or cGCPs, and current Good Laboratory Practices, or GLPs;</w:t>
      </w:r>
    </w:p>
    <w:p>
      <w:pPr>
        <w:spacing w:after="0" w:line="64" w:lineRule="exact"/>
        <w:rPr>
          <w:rFonts w:ascii="Arial" w:cs="Arial" w:eastAsia="Arial" w:hAnsi="Arial"/>
          <w:sz w:val="14"/>
          <w:szCs w:val="14"/>
          <w:color w:val="auto"/>
        </w:rPr>
      </w:pPr>
    </w:p>
    <w:p>
      <w:pPr>
        <w:ind w:left="1340" w:right="1479" w:hanging="116"/>
        <w:spacing w:after="0" w:line="295" w:lineRule="auto"/>
        <w:tabs>
          <w:tab w:leader="none" w:pos="1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positive results from our future clinical programs that support a finding of safety and effectiveness and an acceptable risk-benefit profile of our product candidates in the intended populations;</w:t>
      </w:r>
    </w:p>
    <w:p>
      <w:pPr>
        <w:spacing w:after="0" w:line="240" w:lineRule="exact"/>
        <w:rPr>
          <w:rFonts w:ascii="Arial" w:cs="Arial" w:eastAsia="Arial" w:hAnsi="Arial"/>
          <w:sz w:val="14"/>
          <w:szCs w:val="14"/>
          <w:color w:val="auto"/>
        </w:rPr>
      </w:pPr>
    </w:p>
    <w:p>
      <w:pPr>
        <w:ind w:left="1340" w:hanging="116"/>
        <w:spacing w:after="0"/>
        <w:tabs>
          <w:tab w:leader="none" w:pos="1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receipt of marketing approvals from applicable regulatory authorities;</w:t>
      </w:r>
    </w:p>
    <w:p>
      <w:pPr>
        <w:spacing w:after="0" w:line="108" w:lineRule="exact"/>
        <w:rPr>
          <w:rFonts w:ascii="Arial" w:cs="Arial" w:eastAsia="Arial" w:hAnsi="Arial"/>
          <w:sz w:val="14"/>
          <w:szCs w:val="14"/>
          <w:color w:val="auto"/>
        </w:rPr>
      </w:pPr>
    </w:p>
    <w:p>
      <w:pPr>
        <w:ind w:left="1340" w:right="1239" w:hanging="116"/>
        <w:spacing w:after="0" w:line="290" w:lineRule="auto"/>
        <w:tabs>
          <w:tab w:leader="none" w:pos="1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establishment of arrangements with CMOs for clinical supply and, where applicable, commercial manufacturing capabilities;</w:t>
      </w:r>
    </w:p>
    <w:p>
      <w:pPr>
        <w:spacing w:after="0" w:line="64" w:lineRule="exact"/>
        <w:rPr>
          <w:rFonts w:ascii="Arial" w:cs="Arial" w:eastAsia="Arial" w:hAnsi="Arial"/>
          <w:sz w:val="14"/>
          <w:szCs w:val="14"/>
          <w:color w:val="auto"/>
        </w:rPr>
      </w:pPr>
    </w:p>
    <w:p>
      <w:pPr>
        <w:ind w:left="1340" w:right="1819" w:hanging="116"/>
        <w:spacing w:after="0" w:line="290" w:lineRule="auto"/>
        <w:tabs>
          <w:tab w:leader="none" w:pos="1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establishment and maintenance of patent and trade secret protection, and/or regulatory exclusivity for our product candidates;</w:t>
      </w:r>
    </w:p>
    <w:p>
      <w:pPr>
        <w:spacing w:after="0" w:line="64" w:lineRule="exact"/>
        <w:rPr>
          <w:rFonts w:ascii="Arial" w:cs="Arial" w:eastAsia="Arial" w:hAnsi="Arial"/>
          <w:sz w:val="14"/>
          <w:szCs w:val="14"/>
          <w:color w:val="auto"/>
        </w:rPr>
      </w:pPr>
    </w:p>
    <w:p>
      <w:pPr>
        <w:ind w:left="1340" w:right="1539" w:hanging="116"/>
        <w:spacing w:after="0" w:line="290" w:lineRule="auto"/>
        <w:tabs>
          <w:tab w:leader="none" w:pos="1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commercial launch of our product candidates, if approved, whether alone or in collaboration with others;</w:t>
      </w:r>
    </w:p>
    <w:p>
      <w:pPr>
        <w:spacing w:after="0" w:line="64" w:lineRule="exact"/>
        <w:rPr>
          <w:rFonts w:ascii="Arial" w:cs="Arial" w:eastAsia="Arial" w:hAnsi="Arial"/>
          <w:sz w:val="14"/>
          <w:szCs w:val="14"/>
          <w:color w:val="auto"/>
        </w:rPr>
      </w:pPr>
    </w:p>
    <w:p>
      <w:pPr>
        <w:ind w:left="1340" w:right="1699" w:hanging="116"/>
        <w:spacing w:after="0" w:line="281" w:lineRule="auto"/>
        <w:tabs>
          <w:tab w:leader="none" w:pos="1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acceptance of the benefits and use of our product candidates, including method of administration, if and when approved, by patients, the medical community, and third-party payors;</w:t>
      </w:r>
    </w:p>
    <w:p>
      <w:pPr>
        <w:spacing w:after="0" w:line="81" w:lineRule="exact"/>
        <w:rPr>
          <w:rFonts w:ascii="Arial" w:cs="Arial" w:eastAsia="Arial" w:hAnsi="Arial"/>
          <w:sz w:val="14"/>
          <w:szCs w:val="14"/>
          <w:color w:val="auto"/>
        </w:rPr>
      </w:pPr>
    </w:p>
    <w:p>
      <w:pPr>
        <w:ind w:left="1340" w:hanging="116"/>
        <w:spacing w:after="0"/>
        <w:tabs>
          <w:tab w:leader="none" w:pos="1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effective competition with other therapies;</w:t>
      </w:r>
    </w:p>
    <w:p>
      <w:pPr>
        <w:spacing w:after="0" w:line="108" w:lineRule="exact"/>
        <w:rPr>
          <w:rFonts w:ascii="Arial" w:cs="Arial" w:eastAsia="Arial" w:hAnsi="Arial"/>
          <w:sz w:val="14"/>
          <w:szCs w:val="14"/>
          <w:color w:val="auto"/>
        </w:rPr>
      </w:pPr>
    </w:p>
    <w:p>
      <w:pPr>
        <w:ind w:left="1340" w:right="1659" w:hanging="116"/>
        <w:spacing w:after="0" w:line="281" w:lineRule="auto"/>
        <w:tabs>
          <w:tab w:leader="none" w:pos="1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establishment and maintenance of healthcare coverage and adequate reimbursement and patients’ willingness to pay out-of-pocket in the absence of such coverage and adequate reimbursement;</w:t>
      </w:r>
    </w:p>
    <w:p>
      <w:pPr>
        <w:spacing w:after="0" w:line="71" w:lineRule="exact"/>
        <w:rPr>
          <w:rFonts w:ascii="Arial" w:cs="Arial" w:eastAsia="Arial" w:hAnsi="Arial"/>
          <w:sz w:val="14"/>
          <w:szCs w:val="14"/>
          <w:color w:val="auto"/>
        </w:rPr>
      </w:pPr>
    </w:p>
    <w:p>
      <w:pPr>
        <w:ind w:left="1340" w:right="1659" w:hanging="116"/>
        <w:spacing w:after="0" w:line="290" w:lineRule="auto"/>
        <w:tabs>
          <w:tab w:leader="none" w:pos="1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establishment of a physician training system and network for administration of our product candidates;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enforcement and defense of intellectual property rights and claims; and</w:t>
      </w:r>
    </w:p>
    <w:p>
      <w:pPr>
        <w:spacing w:after="0" w:line="108" w:lineRule="exact"/>
        <w:rPr>
          <w:rFonts w:ascii="Arial" w:cs="Arial" w:eastAsia="Arial" w:hAnsi="Arial"/>
          <w:sz w:val="14"/>
          <w:szCs w:val="14"/>
          <w:color w:val="auto"/>
        </w:rPr>
      </w:pPr>
    </w:p>
    <w:p>
      <w:pPr>
        <w:ind w:left="1340" w:right="1499" w:hanging="116"/>
        <w:spacing w:after="0" w:line="290" w:lineRule="auto"/>
        <w:tabs>
          <w:tab w:leader="none" w:pos="1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maintenance of a continued acceptable safety, tolerability, and efficacy profile of our product candidates following approval.</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 w:name="page21"/>
    <w:bookmarkEnd w:id="2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39"/>
        <w:spacing w:after="0" w:line="261" w:lineRule="auto"/>
        <w:rPr>
          <w:sz w:val="20"/>
          <w:szCs w:val="20"/>
          <w:color w:val="auto"/>
        </w:rPr>
      </w:pPr>
      <w:r>
        <w:rPr>
          <w:rFonts w:ascii="Arial" w:cs="Arial" w:eastAsia="Arial" w:hAnsi="Arial"/>
          <w:sz w:val="14"/>
          <w:szCs w:val="14"/>
          <w:color w:val="auto"/>
        </w:rPr>
        <w:t>If we do not succeed in one or more of these factors in a timely manner or at all, we could experience significant delays or an inability to successfully commercialize our product candidates, which would materially harm our business. If we are unable to advance our product candidates to clinical development, obtain regulatory approval, and ultimately commercialize our product candidates, or experience significant delays in doing so, our business will be materially harmed.</w:t>
      </w:r>
    </w:p>
    <w:p>
      <w:pPr>
        <w:spacing w:after="0" w:line="80" w:lineRule="exact"/>
        <w:rPr>
          <w:sz w:val="20"/>
          <w:szCs w:val="20"/>
          <w:color w:val="auto"/>
        </w:rPr>
      </w:pPr>
    </w:p>
    <w:p>
      <w:pPr>
        <w:ind w:left="1220" w:right="1279"/>
        <w:spacing w:after="0" w:line="297" w:lineRule="auto"/>
        <w:rPr>
          <w:sz w:val="20"/>
          <w:szCs w:val="20"/>
          <w:color w:val="auto"/>
        </w:rPr>
      </w:pPr>
      <w:r>
        <w:rPr>
          <w:rFonts w:ascii="Arial" w:cs="Arial" w:eastAsia="Arial" w:hAnsi="Arial"/>
          <w:sz w:val="14"/>
          <w:szCs w:val="14"/>
          <w:b w:val="1"/>
          <w:bCs w:val="1"/>
          <w:i w:val="1"/>
          <w:iCs w:val="1"/>
          <w:color w:val="auto"/>
        </w:rPr>
        <w:t>Our business is highly dependent on the success of our lead product candidate, CNTY-101 and our other product candidates.</w:t>
      </w:r>
    </w:p>
    <w:p>
      <w:pPr>
        <w:spacing w:after="0" w:line="92" w:lineRule="exact"/>
        <w:rPr>
          <w:sz w:val="20"/>
          <w:szCs w:val="20"/>
          <w:color w:val="auto"/>
        </w:rPr>
      </w:pPr>
    </w:p>
    <w:p>
      <w:pPr>
        <w:ind w:left="1220" w:right="1299"/>
        <w:spacing w:after="0" w:line="274" w:lineRule="auto"/>
        <w:rPr>
          <w:sz w:val="20"/>
          <w:szCs w:val="20"/>
          <w:color w:val="auto"/>
        </w:rPr>
      </w:pPr>
      <w:r>
        <w:rPr>
          <w:rFonts w:ascii="Arial" w:cs="Arial" w:eastAsia="Arial" w:hAnsi="Arial"/>
          <w:sz w:val="14"/>
          <w:szCs w:val="14"/>
          <w:color w:val="auto"/>
        </w:rPr>
        <w:t>We cannot guarantee that an IND application will be cleared by the FDA for CNTY-101 or our other product candidates or that CNTY-101 or our other product candidates will be approved for commercialization, on a timely basis or at all. Although certain of our employees have prior experience with clinical trials and regulatory approvals, we have not previously completed any clinical trials or submitted an IND or a BLA to the FDA, or similar regulatory approval filings to comparable foreign authorities, for any product candidate, and we cannot be certain that CNTY-101 or our other product candidates will be successful in clinical trials or receive regulatory approval. The FDA and other comparable global regulatory authorities can delay, limit, or deny approval of a product candidate for many reasons. Any delay in obtaining, or inability to obtain, applicable regulatory approval will delay or harm our ability to successfully initiate clinical trials and commercialize CNTY-101 or our other product candidates and materially adversely affect our business, financial condition, results of operations, and growth prospects.</w:t>
      </w:r>
    </w:p>
    <w:p>
      <w:pPr>
        <w:spacing w:after="0" w:line="114" w:lineRule="exact"/>
        <w:rPr>
          <w:sz w:val="20"/>
          <w:szCs w:val="20"/>
          <w:color w:val="auto"/>
        </w:rPr>
      </w:pPr>
    </w:p>
    <w:p>
      <w:pPr>
        <w:ind w:left="1220" w:right="1259"/>
        <w:spacing w:after="0" w:line="280" w:lineRule="auto"/>
        <w:rPr>
          <w:sz w:val="20"/>
          <w:szCs w:val="20"/>
          <w:color w:val="auto"/>
        </w:rPr>
      </w:pPr>
      <w:r>
        <w:rPr>
          <w:rFonts w:ascii="Arial" w:cs="Arial" w:eastAsia="Arial" w:hAnsi="Arial"/>
          <w:sz w:val="14"/>
          <w:szCs w:val="14"/>
          <w:color w:val="auto"/>
        </w:rPr>
        <w:t>Furthermore, if our clinical trials of CNTY-101 or our other product candidates encounter safety, efficacy, or manufacturing problems, development delays, regulatory issues, or other problems, our development plans for such product candidates in our pipeline could be significantly impaired, which could materially adversely affect our business, financial condition, results of operations, and growth prospects.</w:t>
      </w:r>
    </w:p>
    <w:p>
      <w:pPr>
        <w:spacing w:after="0" w:line="274" w:lineRule="exact"/>
        <w:rPr>
          <w:sz w:val="20"/>
          <w:szCs w:val="20"/>
          <w:color w:val="auto"/>
        </w:rPr>
      </w:pPr>
    </w:p>
    <w:p>
      <w:pPr>
        <w:ind w:left="1220" w:right="1319"/>
        <w:spacing w:after="0" w:line="277" w:lineRule="auto"/>
        <w:rPr>
          <w:sz w:val="20"/>
          <w:szCs w:val="20"/>
          <w:color w:val="auto"/>
        </w:rPr>
      </w:pPr>
      <w:r>
        <w:rPr>
          <w:rFonts w:ascii="Arial" w:cs="Arial" w:eastAsia="Arial" w:hAnsi="Arial"/>
          <w:sz w:val="14"/>
          <w:szCs w:val="14"/>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or combination therapy, we may be unable to obtain approval of or market our product candidates.</w:t>
      </w:r>
    </w:p>
    <w:p>
      <w:pPr>
        <w:spacing w:after="0" w:line="272" w:lineRule="exact"/>
        <w:rPr>
          <w:sz w:val="20"/>
          <w:szCs w:val="20"/>
          <w:color w:val="auto"/>
        </w:rPr>
      </w:pPr>
    </w:p>
    <w:p>
      <w:pPr>
        <w:ind w:left="1220" w:right="1739"/>
        <w:spacing w:after="0" w:line="313" w:lineRule="auto"/>
        <w:rPr>
          <w:sz w:val="20"/>
          <w:szCs w:val="20"/>
          <w:color w:val="auto"/>
        </w:rPr>
      </w:pPr>
      <w:r>
        <w:rPr>
          <w:rFonts w:ascii="Arial" w:cs="Arial" w:eastAsia="Arial" w:hAnsi="Arial"/>
          <w:sz w:val="14"/>
          <w:szCs w:val="14"/>
          <w:b w:val="1"/>
          <w:bCs w:val="1"/>
          <w:i w:val="1"/>
          <w:iCs w:val="1"/>
          <w:color w:val="auto"/>
        </w:rPr>
        <w:t>Our business depends upon the success of our iPSC-derived allogeneic cell therapy platforms.</w:t>
      </w:r>
    </w:p>
    <w:p>
      <w:pPr>
        <w:spacing w:after="0" w:line="82"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Our success depends on our ability to utilize our iPSC-derived allogeneic cell therapy platforms to generate chimeric antigen receptors, or CAR-iNK and CAR-iT cell product candidates, to obtain regulatory approval for product candidates derived from it, and to then commercialize our product candidates addressing one or more indications. Though iPSC-derived cell therapy product candidates have been evaluated by others in clinical trials, our product candidates have never been evaluated in human clinical trials, and we may experience unexpected or adverse results in the future. We are exposed to a number of unforeseen risks and it is difficult to predict the types of challenges and risks that we may encounter during development of our product candidates. All of our product candidates developed from our iPSC allogeneic cell therapy platforms will require significant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iPSC technology.</w:t>
      </w:r>
    </w:p>
    <w:p>
      <w:pPr>
        <w:spacing w:after="0" w:line="286" w:lineRule="exact"/>
        <w:rPr>
          <w:sz w:val="20"/>
          <w:szCs w:val="20"/>
          <w:color w:val="auto"/>
        </w:rPr>
      </w:pPr>
    </w:p>
    <w:p>
      <w:pPr>
        <w:ind w:left="1220" w:right="1259"/>
        <w:spacing w:after="0" w:line="277" w:lineRule="auto"/>
        <w:rPr>
          <w:sz w:val="20"/>
          <w:szCs w:val="20"/>
          <w:color w:val="auto"/>
        </w:rPr>
      </w:pPr>
      <w:r>
        <w:rPr>
          <w:rFonts w:ascii="Arial" w:cs="Arial" w:eastAsia="Arial" w:hAnsi="Arial"/>
          <w:sz w:val="14"/>
          <w:szCs w:val="14"/>
          <w:color w:val="auto"/>
        </w:rPr>
        <w:t>Additionally, a key element of our strategy is to use and expand our iPSC allogeneic cell therapy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we may not be able to develop product</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1" w:name="page22"/>
    <w:bookmarkEnd w:id="2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39"/>
        <w:spacing w:after="0" w:line="260" w:lineRule="auto"/>
        <w:rPr>
          <w:sz w:val="20"/>
          <w:szCs w:val="20"/>
          <w:color w:val="auto"/>
        </w:rPr>
      </w:pPr>
      <w:r>
        <w:rPr>
          <w:rFonts w:ascii="Arial" w:cs="Arial" w:eastAsia="Arial" w:hAnsi="Arial"/>
          <w:sz w:val="14"/>
          <w:szCs w:val="14"/>
          <w:color w:val="auto"/>
        </w:rPr>
        <w:t>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and achieve market acceptance. If we do not continue to successfully develop, get approval for, and begin to commercialize any product candidates, we will face difficulty in obtaining product revenue in future periods, which could result in significant harm to our financial position and adversely affect our share price.</w:t>
      </w:r>
    </w:p>
    <w:p>
      <w:pPr>
        <w:spacing w:after="0" w:line="79" w:lineRule="exact"/>
        <w:rPr>
          <w:sz w:val="20"/>
          <w:szCs w:val="20"/>
          <w:color w:val="auto"/>
        </w:rPr>
      </w:pPr>
    </w:p>
    <w:p>
      <w:pPr>
        <w:jc w:val="both"/>
        <w:ind w:left="1220" w:right="1579"/>
        <w:spacing w:after="0" w:line="277" w:lineRule="auto"/>
        <w:rPr>
          <w:sz w:val="20"/>
          <w:szCs w:val="20"/>
          <w:color w:val="auto"/>
        </w:rPr>
      </w:pPr>
      <w:r>
        <w:rPr>
          <w:rFonts w:ascii="Arial" w:cs="Arial" w:eastAsia="Arial" w:hAnsi="Arial"/>
          <w:sz w:val="14"/>
          <w:szCs w:val="14"/>
          <w:b w:val="1"/>
          <w:bCs w:val="1"/>
          <w:i w:val="1"/>
          <w:iCs w:val="1"/>
          <w:color w:val="auto"/>
        </w:rPr>
        <w:t>Utilizing CAR-iNK and CAR-iT cells represents a novel approach to immuno-oncology treatment of cancer, and we must overcome significant challenges in order to develop, commercialize, and manufacture our product candidates.</w:t>
      </w:r>
    </w:p>
    <w:p>
      <w:pPr>
        <w:spacing w:after="0" w:line="95"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We have concentrated our research and development efforts on developing CAR-iNK and CAR-iT cell therapies. To date, the FDA has only approved 19 cell-based therapies for commercialization. The processes and requirements imposed by the FDA or other applicable regulatory authorities may cause delays and additional costs in obtaining approvals for our product candidates. Because our iPSC-derived allogeneic cell therapy platforms are novel, and cell-based therapies are relatively new, regulatory agencies may lack experience in evaluating our product candidates utilizing CAR-iNK and CAR-iT cells. This novelty may lengthen the regulatory review process, including the time it takes for the FDA to review our IND applications, if and when submitted, increase our development costs, and delay or prevent commercialization of our iPSC-derived allogeneic cell therapy platform products. Additionally, advancing novel immuno-oncology cell therapies creates significant challenges for us, including:</w:t>
      </w:r>
    </w:p>
    <w:p>
      <w:pPr>
        <w:spacing w:after="0" w:line="259" w:lineRule="exact"/>
        <w:rPr>
          <w:sz w:val="20"/>
          <w:szCs w:val="20"/>
          <w:color w:val="auto"/>
        </w:rPr>
      </w:pPr>
    </w:p>
    <w:p>
      <w:pPr>
        <w:ind w:left="1340" w:right="1239" w:hanging="116"/>
        <w:spacing w:after="0" w:line="290" w:lineRule="auto"/>
        <w:tabs>
          <w:tab w:leader="none" w:pos="1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developing a manufacturing process to produce our cells on a large scale and in a cost-effective manner;</w:t>
      </w:r>
    </w:p>
    <w:p>
      <w:pPr>
        <w:spacing w:after="0" w:line="53" w:lineRule="exact"/>
        <w:rPr>
          <w:rFonts w:ascii="Arial" w:cs="Arial" w:eastAsia="Arial" w:hAnsi="Arial"/>
          <w:sz w:val="14"/>
          <w:szCs w:val="14"/>
          <w:color w:val="auto"/>
        </w:rPr>
      </w:pPr>
    </w:p>
    <w:p>
      <w:pPr>
        <w:ind w:left="1340" w:right="1419" w:hanging="116"/>
        <w:spacing w:after="0" w:line="290" w:lineRule="auto"/>
        <w:tabs>
          <w:tab w:leader="none" w:pos="1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educating medical personnel regarding the potential side-effect profile of our cells and, as the clinical program progresses, on any observed side effects with the therapy;</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unanticipated technical limitations of our CRISPR-MAD7 gene editing technology; and</w:t>
      </w:r>
    </w:p>
    <w:p>
      <w:pPr>
        <w:spacing w:after="0" w:line="97" w:lineRule="exact"/>
        <w:rPr>
          <w:rFonts w:ascii="Arial" w:cs="Arial" w:eastAsia="Arial" w:hAnsi="Arial"/>
          <w:sz w:val="14"/>
          <w:szCs w:val="14"/>
          <w:color w:val="auto"/>
        </w:rPr>
      </w:pPr>
    </w:p>
    <w:p>
      <w:pPr>
        <w:ind w:left="1340" w:right="1499" w:hanging="116"/>
        <w:spacing w:after="0" w:line="290" w:lineRule="auto"/>
        <w:tabs>
          <w:tab w:leader="none" w:pos="1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establishing sales and marketing capabilities, as well as developing a distribution network to support the commercialization of any approved products.</w:t>
      </w:r>
    </w:p>
    <w:p>
      <w:pPr>
        <w:spacing w:after="0" w:line="86" w:lineRule="exact"/>
        <w:rPr>
          <w:sz w:val="20"/>
          <w:szCs w:val="20"/>
          <w:color w:val="auto"/>
        </w:rPr>
      </w:pPr>
    </w:p>
    <w:p>
      <w:pPr>
        <w:ind w:left="1220" w:right="1499"/>
        <w:spacing w:after="0" w:line="274" w:lineRule="auto"/>
        <w:rPr>
          <w:sz w:val="20"/>
          <w:szCs w:val="20"/>
          <w:color w:val="auto"/>
        </w:rPr>
      </w:pPr>
      <w:r>
        <w:rPr>
          <w:rFonts w:ascii="Arial" w:cs="Arial" w:eastAsia="Arial" w:hAnsi="Arial"/>
          <w:sz w:val="14"/>
          <w:szCs w:val="14"/>
          <w:color w:val="auto"/>
        </w:rPr>
        <w:t>We must be able to overcome these challenges in order for us to develop, commercialize, and manufacture our product candidates utilizing CAR-iNK and CAR-iT cells.</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We have not yet demonstrated long-term stability of cryopreserved CAR-iNK cells.</w:t>
      </w:r>
    </w:p>
    <w:p>
      <w:pPr>
        <w:spacing w:after="0" w:line="136"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We have not yet demonstrated long-term stability of cryopreserved CAR-iNK cells and, therefore, do not know if we will be able to store the cryopreserved cells for extended periods of time. If we are unable to demonstrate long-term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 We may also encounter difficulties not only in developing freezing and thawing methodologies for large-scale use, but also in obtaining the necessary regulatory approvals for using such methodologies in treatment. If we cannot adequately demonstrate similarity of our frozen product to the unfrozen form to the satisfaction of the FDA, we could face substantial delays in our regulatory approvals.</w:t>
      </w:r>
    </w:p>
    <w:p>
      <w:pPr>
        <w:spacing w:after="0" w:line="309" w:lineRule="exact"/>
        <w:rPr>
          <w:sz w:val="20"/>
          <w:szCs w:val="20"/>
          <w:color w:val="auto"/>
        </w:rPr>
      </w:pPr>
    </w:p>
    <w:p>
      <w:pPr>
        <w:ind w:left="1220" w:right="1279"/>
        <w:spacing w:after="0" w:line="245" w:lineRule="auto"/>
        <w:rPr>
          <w:sz w:val="20"/>
          <w:szCs w:val="20"/>
          <w:color w:val="auto"/>
        </w:rPr>
      </w:pPr>
      <w:r>
        <w:rPr>
          <w:rFonts w:ascii="Arial" w:cs="Arial" w:eastAsia="Arial" w:hAnsi="Arial"/>
          <w:sz w:val="14"/>
          <w:szCs w:val="14"/>
          <w:b w:val="1"/>
          <w:bCs w:val="1"/>
          <w:i w:val="1"/>
          <w:iCs w:val="1"/>
          <w:color w:val="auto"/>
        </w:rPr>
        <w:t>Gene-editing is a rapidly developing technology, and our success is dependent upon our ability to effectively utilize this technology in our product candidates and implement future technological advancements in gene-editing.</w:t>
      </w:r>
    </w:p>
    <w:p>
      <w:pPr>
        <w:spacing w:after="0" w:line="95"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We use CRISPR-based nuclease to enable precise editing of the iPSC genome. For CNTY-101, we used the nuclease Cpf-1 but have shifted to CRISPR-MAD7 for all subsequent product candidates, and we may utilize CRISPR-MAD7 for CNTY-101 in the future. We decided to shift to CRISPR-MAD7 because we entered into a license agreement with Inscripta, Inc. and obtained a non-exclusive, royalty-free, irrevocable license to a patent portfolio covering the composition, production and use of CRISPR-MAD7. We have optimized the protocols to produce CRISPR-MAD7 and have achieved similar cutting and HDR efficiencies compared to Cpf-1, but we don’t have as much experimental data with CRISPR-MAD7 as we do with Cpf1. We may encounter technical liabilities</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2" w:name="page23"/>
    <w:bookmarkEnd w:id="2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539"/>
        <w:spacing w:after="0" w:line="265" w:lineRule="auto"/>
        <w:rPr>
          <w:sz w:val="20"/>
          <w:szCs w:val="20"/>
          <w:color w:val="auto"/>
        </w:rPr>
      </w:pPr>
      <w:r>
        <w:rPr>
          <w:rFonts w:ascii="Arial" w:cs="Arial" w:eastAsia="Arial" w:hAnsi="Arial"/>
          <w:sz w:val="14"/>
          <w:szCs w:val="14"/>
          <w:color w:val="auto"/>
        </w:rPr>
        <w:t>associated with CRISPR-MAD7 that could force us to use a different CRISPR nuclease which could delay our programs and require us to enter into a license agreement for additional technology, which may not be available on commercially reasonable terms or at all.</w:t>
      </w:r>
    </w:p>
    <w:p>
      <w:pPr>
        <w:spacing w:after="0" w:line="93" w:lineRule="exact"/>
        <w:rPr>
          <w:sz w:val="20"/>
          <w:szCs w:val="20"/>
          <w:color w:val="auto"/>
        </w:rPr>
      </w:pPr>
    </w:p>
    <w:p>
      <w:pPr>
        <w:ind w:left="1220" w:right="1359"/>
        <w:spacing w:after="0" w:line="262" w:lineRule="auto"/>
        <w:rPr>
          <w:sz w:val="20"/>
          <w:szCs w:val="20"/>
          <w:color w:val="auto"/>
        </w:rPr>
      </w:pPr>
      <w:r>
        <w:rPr>
          <w:rFonts w:ascii="Arial" w:cs="Arial" w:eastAsia="Arial" w:hAnsi="Arial"/>
          <w:sz w:val="14"/>
          <w:szCs w:val="14"/>
          <w:color w:val="auto"/>
        </w:rPr>
        <w:t>Our gene-editing technology may create unintended changes to the DNA such as a non-target site gene-edit, a large deletion, or a DNA translocation, any of which could impact timelines for new product generation. We have developed various genome characterization assays to identify deletions/insertions that can occur as a result of gene editing.</w:t>
      </w:r>
    </w:p>
    <w:p>
      <w:pPr>
        <w:spacing w:after="0" w:line="106" w:lineRule="exact"/>
        <w:rPr>
          <w:sz w:val="20"/>
          <w:szCs w:val="20"/>
          <w:color w:val="auto"/>
        </w:rPr>
      </w:pPr>
    </w:p>
    <w:p>
      <w:pPr>
        <w:ind w:left="1220" w:right="1339"/>
        <w:spacing w:after="0" w:line="262" w:lineRule="auto"/>
        <w:rPr>
          <w:sz w:val="20"/>
          <w:szCs w:val="20"/>
          <w:color w:val="auto"/>
        </w:rPr>
      </w:pPr>
      <w:r>
        <w:rPr>
          <w:rFonts w:ascii="Arial" w:cs="Arial" w:eastAsia="Arial" w:hAnsi="Arial"/>
          <w:sz w:val="14"/>
          <w:szCs w:val="14"/>
          <w:color w:val="auto"/>
        </w:rPr>
        <w:t>Although we believe CAR-iNK and CAR-iT based therapies do not require further modification to avoid the risk of graft versus host disease, or GvHD, the gene-editing of our product candidates utilizing CAR-iNK and CAR-iT cells may not be successful in limiting the risk of GvHD or premature rejection by patients.</w:t>
      </w:r>
    </w:p>
    <w:p>
      <w:pPr>
        <w:spacing w:after="0" w:line="106"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In addition, the cell therapy industry is rapidly developing, and our competitors may introduce new gene-editing technologies that render our technology less attractive. Competitive pressures may force us to implement new gene-editing technologies at a substantial cost or delay in our clinical development process. In addition, our competitors may have greater financial, technical and personnel resources that allow them to implement new gene-editing technologies before we can. We cannot be certain that we will be able to implement new gene-editing technologies on a timely basis or at a cost that is acceptable to us. If we are unable to implement technological advancements consistent with industry standards, our operations and financial condition may be adversely affected.</w:t>
      </w:r>
    </w:p>
    <w:p>
      <w:pPr>
        <w:spacing w:after="0" w:line="310" w:lineRule="exact"/>
        <w:rPr>
          <w:sz w:val="20"/>
          <w:szCs w:val="20"/>
          <w:color w:val="auto"/>
        </w:rPr>
      </w:pPr>
    </w:p>
    <w:p>
      <w:pPr>
        <w:ind w:left="1220" w:right="1539"/>
        <w:spacing w:after="0" w:line="265" w:lineRule="auto"/>
        <w:rPr>
          <w:sz w:val="20"/>
          <w:szCs w:val="20"/>
          <w:color w:val="auto"/>
        </w:rPr>
      </w:pPr>
      <w:r>
        <w:rPr>
          <w:rFonts w:ascii="Arial" w:cs="Arial" w:eastAsia="Arial" w:hAnsi="Arial"/>
          <w:sz w:val="14"/>
          <w:szCs w:val="14"/>
          <w:b w:val="1"/>
          <w:bCs w:val="1"/>
          <w:i w:val="1"/>
          <w:iCs w:val="1"/>
          <w:color w:val="auto"/>
        </w:rPr>
        <w:t>Our product candidates for which we intend to seek approval as biologic products may face competition sooner than anticipated.</w:t>
      </w:r>
    </w:p>
    <w:p>
      <w:pPr>
        <w:spacing w:after="0" w:line="81"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The Affordable Care Act, or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In addition, complexities associated with the larger, and often more complex, structures of biological products such as cell and gene products we are developing, as well as the processes by which such products are manufactured, pose significant hurdles to implementation of the abbreviated approval pathway that are still being worked out by the FDA.</w:t>
      </w:r>
    </w:p>
    <w:p>
      <w:pPr>
        <w:spacing w:after="0" w:line="200" w:lineRule="exact"/>
        <w:rPr>
          <w:sz w:val="20"/>
          <w:szCs w:val="20"/>
          <w:color w:val="auto"/>
        </w:rPr>
      </w:pPr>
    </w:p>
    <w:p>
      <w:pPr>
        <w:spacing w:after="0" w:line="257"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81" w:lineRule="exact"/>
        <w:rPr>
          <w:sz w:val="20"/>
          <w:szCs w:val="20"/>
          <w:color w:val="auto"/>
        </w:rPr>
      </w:pPr>
    </w:p>
    <w:p>
      <w:pPr>
        <w:ind w:left="1220" w:right="1659"/>
        <w:spacing w:after="0" w:line="261" w:lineRule="auto"/>
        <w:rPr>
          <w:sz w:val="20"/>
          <w:szCs w:val="20"/>
          <w:color w:val="auto"/>
        </w:rPr>
      </w:pPr>
      <w:r>
        <w:rPr>
          <w:rFonts w:ascii="Arial" w:cs="Arial" w:eastAsia="Arial" w:hAnsi="Arial"/>
          <w:sz w:val="14"/>
          <w:szCs w:val="14"/>
          <w:color w:val="auto"/>
        </w:rPr>
        <w:t>Jurisdictions in addition to the United States have established abbreviated pathways for regulatory approval of biological products that are biosimilar to earlier approved reference products. For example, the European Union has had an established regulatory pathway for biosimilars since 2004. However, biosimilars can only be authorized once the period of data exclusivity on the reference biological medicine has expired.</w:t>
      </w:r>
    </w:p>
    <w:p>
      <w:pPr>
        <w:spacing w:after="0" w:line="96" w:lineRule="exact"/>
        <w:rPr>
          <w:sz w:val="20"/>
          <w:szCs w:val="20"/>
          <w:color w:val="auto"/>
        </w:rPr>
      </w:pPr>
    </w:p>
    <w:p>
      <w:pPr>
        <w:jc w:val="both"/>
        <w:ind w:left="1220" w:right="1479"/>
        <w:spacing w:after="0" w:line="265" w:lineRule="auto"/>
        <w:rPr>
          <w:sz w:val="20"/>
          <w:szCs w:val="20"/>
          <w:color w:val="auto"/>
        </w:rPr>
      </w:pPr>
      <w:r>
        <w:rPr>
          <w:rFonts w:ascii="Arial" w:cs="Arial" w:eastAsia="Arial" w:hAnsi="Arial"/>
          <w:sz w:val="14"/>
          <w:szCs w:val="14"/>
          <w:color w:val="auto"/>
        </w:rPr>
        <w:t>The increased likelihood of biosimilar competition has increased the risk of loss of innovators’ market exclusivity. Due to this risk, and uncertainties regarding patent protection, if our clinical candidates are approved for</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 w:name="page24"/>
    <w:bookmarkEnd w:id="2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and we may not generate adequate or sufficient revenues from them or be able to reach or sustain profitability.</w:t>
      </w:r>
    </w:p>
    <w:p>
      <w:pPr>
        <w:spacing w:after="0" w:line="135" w:lineRule="exact"/>
        <w:rPr>
          <w:sz w:val="20"/>
          <w:szCs w:val="20"/>
          <w:color w:val="auto"/>
        </w:rPr>
      </w:pPr>
    </w:p>
    <w:p>
      <w:pPr>
        <w:ind w:left="1220" w:right="1399"/>
        <w:spacing w:after="0" w:line="239" w:lineRule="auto"/>
        <w:rPr>
          <w:sz w:val="20"/>
          <w:szCs w:val="20"/>
          <w:color w:val="auto"/>
        </w:rPr>
      </w:pPr>
      <w:r>
        <w:rPr>
          <w:rFonts w:ascii="Arial" w:cs="Arial" w:eastAsia="Arial" w:hAnsi="Arial"/>
          <w:sz w:val="14"/>
          <w:szCs w:val="14"/>
          <w:b w:val="1"/>
          <w:bCs w:val="1"/>
          <w:i w:val="1"/>
          <w:iCs w:val="1"/>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98"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All of our product candidates are in preclinical development and their risk of failure is high. It is impossible to predict when or if any of our discovery or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Failure can occur at any time during the clinical trial process.</w:t>
      </w:r>
    </w:p>
    <w:p>
      <w:pPr>
        <w:spacing w:after="0" w:line="10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The results of preclinical studies and early clinical trials or early cohorts of our clinical trials of our product candidates may not be predictive of the results of later-stage clinical trials or later cohorts of our clinical trials. Our initial clinical trials will begin with relatively small cohorts before expanding in size in subsequent cohorts. The initial cohorts of early-stage clinical trials often involve enrollment of a small number of patients and may not be as predictive as trials with larger cohorts. Additionally, if safety issues arise in an early cohort, we may be delayed or prevented from subsequently expanding into larger trial cohorts. We may be unable to establish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w:t>
      </w:r>
    </w:p>
    <w:p>
      <w:pPr>
        <w:spacing w:after="0" w:line="280"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Moreover, clinical data is often susceptible to varying interpretations and analyses, and many companies that have believed their product candidates performed satisfactorily in clinical trials have nonetheless failed to obtain marketing approval of their products. A number of companies in the biopharmaceutical industry have suffered significant setbacks in advanced clinical trials due to lack of efficacy or unfavorable safety profiles, notwithstanding promising results in earlier trials. There is typically a high rate of failure of product candidates proceeding through clinical trials. Most product candidates that commence clinical trials are never approved as products and there can be no assurance that any of our future clinical trials will ultimately be successful or support clinical development of our current or any of our future product candidates.</w:t>
      </w:r>
    </w:p>
    <w:p>
      <w:pPr>
        <w:spacing w:after="0" w:line="98" w:lineRule="exact"/>
        <w:rPr>
          <w:sz w:val="20"/>
          <w:szCs w:val="20"/>
          <w:color w:val="auto"/>
        </w:rPr>
      </w:pPr>
    </w:p>
    <w:p>
      <w:pPr>
        <w:ind w:left="1220" w:right="1259"/>
        <w:spacing w:after="0" w:line="262" w:lineRule="auto"/>
        <w:rPr>
          <w:sz w:val="20"/>
          <w:szCs w:val="20"/>
          <w:color w:val="auto"/>
        </w:rPr>
      </w:pPr>
      <w:r>
        <w:rPr>
          <w:rFonts w:ascii="Arial" w:cs="Arial" w:eastAsia="Arial" w:hAnsi="Arial"/>
          <w:sz w:val="14"/>
          <w:szCs w:val="14"/>
          <w:color w:val="auto"/>
        </w:rPr>
        <w:t>We may experience delays in initiating or completing clinical trials. We also may experience numerous unforeseen events during, or as a result of, any future clinical trials that we could conduct that could delay or prevent our ability to receive marketing approval or commercialize our lead product candidates or any future product candidates, including:</w:t>
      </w:r>
    </w:p>
    <w:p>
      <w:pPr>
        <w:spacing w:after="0" w:line="85" w:lineRule="exact"/>
        <w:rPr>
          <w:sz w:val="20"/>
          <w:szCs w:val="20"/>
          <w:color w:val="auto"/>
        </w:rPr>
      </w:pPr>
    </w:p>
    <w:p>
      <w:pPr>
        <w:ind w:left="1340" w:right="1679" w:hanging="116"/>
        <w:spacing w:after="0" w:line="281" w:lineRule="auto"/>
        <w:tabs>
          <w:tab w:leader="none" w:pos="1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regulators or institutional review boards, or IRBs, the FDA, or ethics committees may not authorize us or our investigators to commence a clinical trial or conduct a clinical trial at a prospective trial site;</w:t>
      </w:r>
    </w:p>
    <w:p>
      <w:pPr>
        <w:spacing w:after="0" w:line="60" w:lineRule="exact"/>
        <w:rPr>
          <w:rFonts w:ascii="Arial" w:cs="Arial" w:eastAsia="Arial" w:hAnsi="Arial"/>
          <w:sz w:val="14"/>
          <w:szCs w:val="14"/>
          <w:color w:val="auto"/>
        </w:rPr>
      </w:pPr>
    </w:p>
    <w:p>
      <w:pPr>
        <w:ind w:left="1340" w:right="1339" w:hanging="116"/>
        <w:spacing w:after="0" w:line="281" w:lineRule="auto"/>
        <w:tabs>
          <w:tab w:leader="none" w:pos="1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may experience delays in reaching, or fail to reach, agreement on acceptable terms with prospective trial sites and prospective CROs as the terms of which can be subject to extensive negotiation and may vary significantly among different CROs and trial sites;</w:t>
      </w:r>
    </w:p>
    <w:p>
      <w:pPr>
        <w:spacing w:after="0" w:line="71" w:lineRule="exact"/>
        <w:rPr>
          <w:rFonts w:ascii="Arial" w:cs="Arial" w:eastAsia="Arial" w:hAnsi="Arial"/>
          <w:sz w:val="14"/>
          <w:szCs w:val="14"/>
          <w:color w:val="auto"/>
        </w:rPr>
      </w:pPr>
    </w:p>
    <w:p>
      <w:pPr>
        <w:ind w:left="1340" w:hanging="116"/>
        <w:spacing w:after="0"/>
        <w:tabs>
          <w:tab w:leader="none" w:pos="1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clinical trial sites deviating from trial protocol or dropping out of a trial;</w:t>
      </w:r>
    </w:p>
    <w:p>
      <w:pPr>
        <w:spacing w:after="0" w:line="108" w:lineRule="exact"/>
        <w:rPr>
          <w:rFonts w:ascii="Arial" w:cs="Arial" w:eastAsia="Arial" w:hAnsi="Arial"/>
          <w:sz w:val="14"/>
          <w:szCs w:val="14"/>
          <w:color w:val="auto"/>
        </w:rPr>
      </w:pPr>
    </w:p>
    <w:p>
      <w:pPr>
        <w:ind w:left="1340" w:right="1339" w:hanging="116"/>
        <w:spacing w:after="0" w:line="283" w:lineRule="auto"/>
        <w:tabs>
          <w:tab w:leader="none" w:pos="1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250" w:lineRule="exact"/>
        <w:rPr>
          <w:rFonts w:ascii="Arial" w:cs="Arial" w:eastAsia="Arial" w:hAnsi="Arial"/>
          <w:sz w:val="14"/>
          <w:szCs w:val="14"/>
          <w:color w:val="auto"/>
        </w:rPr>
      </w:pPr>
    </w:p>
    <w:p>
      <w:pPr>
        <w:ind w:left="1340" w:right="1359" w:hanging="116"/>
        <w:spacing w:after="0" w:line="278" w:lineRule="auto"/>
        <w:tabs>
          <w:tab w:leader="none" w:pos="1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number of subjects required for clinical trials of any product candidates may be larger than we anticipate, enrollment in these clinical trials may be slower than we anticipate, or subjects may drop out of these clinical trials or fail to return for post-treatment follow-up at a higher rate than we anticipate;</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 w:name="page25"/>
    <w:bookmarkEnd w:id="2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459" w:hanging="116"/>
        <w:spacing w:after="0" w:line="283" w:lineRule="auto"/>
        <w:tabs>
          <w:tab w:leader="none" w:pos="1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250" w:lineRule="exact"/>
        <w:rPr>
          <w:rFonts w:ascii="Arial" w:cs="Arial" w:eastAsia="Arial" w:hAnsi="Arial"/>
          <w:sz w:val="14"/>
          <w:szCs w:val="14"/>
          <w:color w:val="auto"/>
        </w:rPr>
      </w:pPr>
    </w:p>
    <w:p>
      <w:pPr>
        <w:ind w:left="1340" w:right="1479" w:hanging="116"/>
        <w:spacing w:after="0" w:line="278" w:lineRule="auto"/>
        <w:tabs>
          <w:tab w:leader="none" w:pos="1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spacing w:after="0" w:line="74" w:lineRule="exact"/>
        <w:rPr>
          <w:rFonts w:ascii="Arial" w:cs="Arial" w:eastAsia="Arial" w:hAnsi="Arial"/>
          <w:sz w:val="14"/>
          <w:szCs w:val="14"/>
          <w:color w:val="auto"/>
        </w:rPr>
      </w:pPr>
    </w:p>
    <w:p>
      <w:pPr>
        <w:ind w:left="1340" w:hanging="116"/>
        <w:spacing w:after="0"/>
        <w:tabs>
          <w:tab w:leader="none" w:pos="1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cost of clinical trials of any of our product candidates may be greater than we anticipate;</w:t>
      </w:r>
    </w:p>
    <w:p>
      <w:pPr>
        <w:spacing w:after="0" w:line="108" w:lineRule="exact"/>
        <w:rPr>
          <w:rFonts w:ascii="Arial" w:cs="Arial" w:eastAsia="Arial" w:hAnsi="Arial"/>
          <w:sz w:val="14"/>
          <w:szCs w:val="14"/>
          <w:color w:val="auto"/>
        </w:rPr>
      </w:pPr>
    </w:p>
    <w:p>
      <w:pPr>
        <w:ind w:left="1340" w:right="1479" w:hanging="116"/>
        <w:spacing w:after="0" w:line="290" w:lineRule="auto"/>
        <w:tabs>
          <w:tab w:leader="none" w:pos="1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quality of our product candidates or other materials necessary to conduct clinical trials of our product candidates may be inadequate to initiate or complete a given clinical trial;</w:t>
      </w:r>
    </w:p>
    <w:p>
      <w:pPr>
        <w:spacing w:after="0" w:line="64" w:lineRule="exact"/>
        <w:rPr>
          <w:rFonts w:ascii="Arial" w:cs="Arial" w:eastAsia="Arial" w:hAnsi="Arial"/>
          <w:sz w:val="14"/>
          <w:szCs w:val="14"/>
          <w:color w:val="auto"/>
        </w:rPr>
      </w:pPr>
    </w:p>
    <w:p>
      <w:pPr>
        <w:ind w:left="1340" w:right="1579" w:hanging="116"/>
        <w:spacing w:after="0" w:line="265" w:lineRule="auto"/>
        <w:tabs>
          <w:tab w:leader="none" w:pos="1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inability to manufacture sufficient quantities of our product candidates for use in clinical trials;</w:t>
      </w:r>
    </w:p>
    <w:p>
      <w:pPr>
        <w:spacing w:after="0" w:line="275" w:lineRule="exact"/>
        <w:rPr>
          <w:rFonts w:ascii="Arial" w:cs="Arial" w:eastAsia="Arial" w:hAnsi="Arial"/>
          <w:sz w:val="14"/>
          <w:szCs w:val="14"/>
          <w:color w:val="auto"/>
        </w:rPr>
      </w:pPr>
    </w:p>
    <w:p>
      <w:pPr>
        <w:ind w:left="1340" w:right="1419" w:hanging="116"/>
        <w:spacing w:after="0" w:line="290" w:lineRule="auto"/>
        <w:tabs>
          <w:tab w:leader="none" w:pos="1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reports from clinical testing of other therapies may raise safety or efficacy concerns about our product candidates;</w:t>
      </w:r>
    </w:p>
    <w:p>
      <w:pPr>
        <w:spacing w:after="0" w:line="64" w:lineRule="exact"/>
        <w:rPr>
          <w:rFonts w:ascii="Arial" w:cs="Arial" w:eastAsia="Arial" w:hAnsi="Arial"/>
          <w:sz w:val="14"/>
          <w:szCs w:val="14"/>
          <w:color w:val="auto"/>
        </w:rPr>
      </w:pPr>
    </w:p>
    <w:p>
      <w:pPr>
        <w:jc w:val="both"/>
        <w:ind w:left="1340" w:right="1299" w:hanging="116"/>
        <w:spacing w:after="0" w:line="281" w:lineRule="auto"/>
        <w:tabs>
          <w:tab w:leader="none" w:pos="1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failure to establish an appropriate safety profile for a product candidate based on clinical or preclinical data for such product candidate as well as data emerging from other studies or trials in the same class as our product candidate; and</w:t>
      </w:r>
    </w:p>
    <w:p>
      <w:pPr>
        <w:spacing w:after="0" w:line="81" w:lineRule="exact"/>
        <w:rPr>
          <w:rFonts w:ascii="Arial" w:cs="Arial" w:eastAsia="Arial" w:hAnsi="Arial"/>
          <w:sz w:val="14"/>
          <w:szCs w:val="14"/>
          <w:color w:val="auto"/>
        </w:rPr>
      </w:pPr>
    </w:p>
    <w:p>
      <w:pPr>
        <w:ind w:left="1340" w:right="1259" w:hanging="116"/>
        <w:spacing w:after="0" w:line="295" w:lineRule="auto"/>
        <w:tabs>
          <w:tab w:leader="none" w:pos="1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FDA or applicable foreign regulatory agencies may require us to submit additional data such as long-term toxicology studies, or impose other requirements before permitting us to initiate a clinical trial.</w:t>
      </w:r>
    </w:p>
    <w:p>
      <w:pPr>
        <w:spacing w:after="0" w:line="262"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Patient enrollment, a significant factor in the timing of clinical trials, is affected by many factors including the size and nature of the patient population, the number and location of clinical sites we enroll, the proximity of patients to clinical sites, the eligibility and exclusion criteria for the trial, the design of the clinical trial, the inability to obtain and maintain patient consents, the risk that enrolled participants will drop out before completion, competing clinical trials, and clinicians’ and patients’ perceptions as to the potential advantages of the product candidate being studied in relation to other available therapies, including any new drugs or therapeutic biologics that may be approved for the indications being investigated by us. Furthermore, we expect to rely on our collaborators, CROs, and clinical trial sites to ensure the proper and timely conduct of our future clinical trials, including the patient enrollment process, and we have limited influence over their performance. Additionally, we could encounter delays if treating physicians encounter unresolved ethical issues associated with enrolling patients in future clinical trials of our product candidates in lieu of prescribing existing treatments that have established safety and efficacy profiles.</w:t>
      </w:r>
    </w:p>
    <w:p>
      <w:pPr>
        <w:spacing w:after="0" w:line="114"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We could also encounter delays if a clinical trial is suspended or terminated by us, the IRBs of the institutions in which such trials are being conducted, or the FDA or other regulatory authorities, or if a clinical trial is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studies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286" w:lineRule="exact"/>
        <w:rPr>
          <w:sz w:val="20"/>
          <w:szCs w:val="20"/>
          <w:color w:val="auto"/>
        </w:rPr>
      </w:pPr>
    </w:p>
    <w:p>
      <w:pPr>
        <w:ind w:left="1220" w:right="1319"/>
        <w:spacing w:after="0" w:line="278" w:lineRule="auto"/>
        <w:rPr>
          <w:sz w:val="20"/>
          <w:szCs w:val="20"/>
          <w:color w:val="auto"/>
        </w:rPr>
      </w:pPr>
      <w:r>
        <w:rPr>
          <w:rFonts w:ascii="Arial" w:cs="Arial" w:eastAsia="Arial" w:hAnsi="Arial"/>
          <w:sz w:val="14"/>
          <w:szCs w:val="14"/>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545846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 w:name="page26"/>
    <w:bookmarkEnd w:id="2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39"/>
        <w:spacing w:after="0" w:line="261" w:lineRule="auto"/>
        <w:rPr>
          <w:sz w:val="20"/>
          <w:szCs w:val="20"/>
          <w:color w:val="auto"/>
        </w:rPr>
      </w:pPr>
      <w:r>
        <w:rPr>
          <w:rFonts w:ascii="Arial" w:cs="Arial" w:eastAsia="Arial" w:hAnsi="Arial"/>
          <w:sz w:val="14"/>
          <w:szCs w:val="14"/>
          <w:color w:val="auto"/>
        </w:rPr>
        <w:t>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34" w:lineRule="exact"/>
        <w:rPr>
          <w:sz w:val="20"/>
          <w:szCs w:val="20"/>
          <w:color w:val="auto"/>
        </w:rPr>
      </w:pPr>
    </w:p>
    <w:p>
      <w:pPr>
        <w:ind w:left="1220" w:right="1319"/>
        <w:spacing w:after="0"/>
        <w:rPr>
          <w:sz w:val="20"/>
          <w:szCs w:val="20"/>
          <w:color w:val="auto"/>
        </w:rPr>
      </w:pPr>
      <w:r>
        <w:rPr>
          <w:rFonts w:ascii="Arial" w:cs="Arial" w:eastAsia="Arial" w:hAnsi="Arial"/>
          <w:sz w:val="14"/>
          <w:szCs w:val="14"/>
          <w:b w:val="1"/>
          <w:bCs w:val="1"/>
          <w:i w:val="1"/>
          <w:iCs w:val="1"/>
          <w:color w:val="auto"/>
        </w:rPr>
        <w:t>As an organization, we have no experience designing or implementing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w:t>
      </w:r>
    </w:p>
    <w:p>
      <w:pPr>
        <w:spacing w:after="0" w:line="235"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The design and implementation of clinical trials is a complex process. While the employees who will implement our clinical trials have experience in the field, we, as an organization, have no experience designing and no experience implementing clinical trials, and we may not successfully or cost-effectively 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w:t>
      </w:r>
    </w:p>
    <w:p>
      <w:pPr>
        <w:spacing w:after="0" w:line="306" w:lineRule="exact"/>
        <w:rPr>
          <w:sz w:val="20"/>
          <w:szCs w:val="20"/>
          <w:color w:val="auto"/>
        </w:rPr>
      </w:pPr>
    </w:p>
    <w:p>
      <w:pPr>
        <w:ind w:left="1220" w:right="1539"/>
        <w:spacing w:after="0" w:line="239" w:lineRule="auto"/>
        <w:rPr>
          <w:sz w:val="20"/>
          <w:szCs w:val="20"/>
          <w:color w:val="auto"/>
        </w:rPr>
      </w:pPr>
      <w:r>
        <w:rPr>
          <w:rFonts w:ascii="Arial" w:cs="Arial" w:eastAsia="Arial" w:hAnsi="Arial"/>
          <w:sz w:val="14"/>
          <w:szCs w:val="14"/>
          <w:b w:val="1"/>
          <w:bCs w:val="1"/>
          <w:i w:val="1"/>
          <w:iCs w:val="1"/>
          <w:color w:val="auto"/>
        </w:rPr>
        <w:t>Interim, topline, or preliminary data from our clinical trials that we announce or publish from time to time may change as more patient data becomes available or as we make changes to our manufacturing processes and are subject to audit and verification procedures that could result in material changes in the final data.</w:t>
      </w:r>
    </w:p>
    <w:p>
      <w:pPr>
        <w:spacing w:after="0" w:line="87" w:lineRule="exact"/>
        <w:rPr>
          <w:sz w:val="20"/>
          <w:szCs w:val="20"/>
          <w:color w:val="auto"/>
        </w:rPr>
      </w:pPr>
    </w:p>
    <w:p>
      <w:pPr>
        <w:ind w:left="1220" w:right="1279"/>
        <w:spacing w:after="0" w:line="258" w:lineRule="auto"/>
        <w:rPr>
          <w:sz w:val="20"/>
          <w:szCs w:val="20"/>
          <w:color w:val="auto"/>
        </w:rPr>
      </w:pPr>
      <w:r>
        <w:rPr>
          <w:rFonts w:ascii="Arial" w:cs="Arial" w:eastAsia="Arial" w:hAnsi="Arial"/>
          <w:sz w:val="14"/>
          <w:szCs w:val="14"/>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Further, modifications or improvements to our manufacturing processes for a therapy may result in changes to the characteristics or behavior of the product candidate that could cause our product candidates to perform differently and affect the results of our ongoing clinical trials. As a result, the topline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topline data should be viewed with caution until the final data is available.</w:t>
      </w:r>
    </w:p>
    <w:p>
      <w:pPr>
        <w:spacing w:after="0" w:line="286" w:lineRule="exact"/>
        <w:rPr>
          <w:sz w:val="20"/>
          <w:szCs w:val="20"/>
          <w:color w:val="auto"/>
        </w:rPr>
      </w:pPr>
    </w:p>
    <w:p>
      <w:pPr>
        <w:ind w:left="1220" w:right="1339"/>
        <w:spacing w:after="0" w:line="261" w:lineRule="auto"/>
        <w:rPr>
          <w:sz w:val="20"/>
          <w:szCs w:val="20"/>
          <w:color w:val="auto"/>
        </w:rPr>
      </w:pPr>
      <w:r>
        <w:rPr>
          <w:rFonts w:ascii="Arial" w:cs="Arial" w:eastAsia="Arial" w:hAnsi="Arial"/>
          <w:sz w:val="14"/>
          <w:szCs w:val="14"/>
          <w:color w:val="auto"/>
        </w:rPr>
        <w:t>Preliminary or interim data from clinical trials is subject to the risk that one or more of the clinical outcomes may materially change as patient enrollment continues and more patient data become available. Adverse differences between preliminary or interim data and final data could significantly harm our business prospects. Additionally, disclosure of preliminary or interim data by us or by our competitors could result in volatility in the price of our common stock.</w:t>
      </w:r>
    </w:p>
    <w:p>
      <w:pPr>
        <w:spacing w:after="0" w:line="106"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that we report differs from actual results, or if others, including regulatory authorities, disagree with the conclusions reached, our ability to obtain approval for, and commercialize, any of our potential product candidates may be harmed, which could harm our business, operating results, prospects, or financial condition.</w:t>
      </w:r>
    </w:p>
    <w:p>
      <w:pPr>
        <w:spacing w:after="0" w:line="306" w:lineRule="exact"/>
        <w:rPr>
          <w:sz w:val="20"/>
          <w:szCs w:val="20"/>
          <w:color w:val="auto"/>
        </w:rPr>
      </w:pPr>
    </w:p>
    <w:p>
      <w:pPr>
        <w:ind w:left="1220" w:right="1279"/>
        <w:spacing w:after="0" w:line="265" w:lineRule="auto"/>
        <w:rPr>
          <w:sz w:val="20"/>
          <w:szCs w:val="20"/>
          <w:color w:val="auto"/>
        </w:rPr>
      </w:pPr>
      <w:r>
        <w:rPr>
          <w:rFonts w:ascii="Arial" w:cs="Arial" w:eastAsia="Arial" w:hAnsi="Arial"/>
          <w:sz w:val="14"/>
          <w:szCs w:val="14"/>
          <w:b w:val="1"/>
          <w:bCs w:val="1"/>
          <w:i w:val="1"/>
          <w:iCs w:val="1"/>
          <w:color w:val="auto"/>
        </w:rPr>
        <w:t>We may not be able to file our INDs to commence clinical trials on the timelines we expect, and even if we are able to, the FDA may not permit us to proceed.</w:t>
      </w:r>
    </w:p>
    <w:p>
      <w:pPr>
        <w:spacing w:after="0" w:line="70" w:lineRule="exact"/>
        <w:rPr>
          <w:sz w:val="20"/>
          <w:szCs w:val="20"/>
          <w:color w:val="auto"/>
        </w:rPr>
      </w:pPr>
    </w:p>
    <w:p>
      <w:pPr>
        <w:ind w:left="1220" w:right="1379"/>
        <w:spacing w:after="0" w:line="265" w:lineRule="auto"/>
        <w:rPr>
          <w:sz w:val="20"/>
          <w:szCs w:val="20"/>
          <w:color w:val="auto"/>
        </w:rPr>
      </w:pPr>
      <w:r>
        <w:rPr>
          <w:rFonts w:ascii="Arial" w:cs="Arial" w:eastAsia="Arial" w:hAnsi="Arial"/>
          <w:sz w:val="14"/>
          <w:szCs w:val="14"/>
          <w:color w:val="auto"/>
        </w:rPr>
        <w:t>We expect our pipeline to yield multiple INDs, including INDs for our CNTY-101, CNTY-103, and CNTY-102 product candidates from our iPSC-derived allogeneic cell therapy platforms. We cannot be sure that submission</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6" w:name="page27"/>
    <w:bookmarkEnd w:id="2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59"/>
        <w:spacing w:after="0" w:line="260" w:lineRule="auto"/>
        <w:rPr>
          <w:sz w:val="20"/>
          <w:szCs w:val="20"/>
          <w:color w:val="auto"/>
        </w:rPr>
      </w:pPr>
      <w:r>
        <w:rPr>
          <w:rFonts w:ascii="Arial" w:cs="Arial" w:eastAsia="Arial" w:hAnsi="Arial"/>
          <w:sz w:val="14"/>
          <w:szCs w:val="14"/>
          <w:color w:val="auto"/>
        </w:rPr>
        <w:t>of an IND will result in the FDA allowing testing and clinical trials to begin, or that, once begun, issues will not arise that suspend or terminate such clinical trials. The manufacturing of our product candidates remains an emerging and evolving field. Accordingly, we expect chemistry, manufacturing and control related topics, including product specifications, will be a focus of IND reviews, which may delay the clearance of INDs. Additionally, even if such regulatory authorities agree with the design and implementation of the clinical trials set forth in an IND or clinical trial application, we cannot guarantee that such regulatory authorities will not change their requirements in the future.</w:t>
      </w:r>
    </w:p>
    <w:p>
      <w:pPr>
        <w:spacing w:after="0" w:line="306" w:lineRule="exact"/>
        <w:rPr>
          <w:sz w:val="20"/>
          <w:szCs w:val="20"/>
          <w:color w:val="auto"/>
        </w:rPr>
      </w:pPr>
    </w:p>
    <w:p>
      <w:pPr>
        <w:ind w:left="1220" w:right="1259"/>
        <w:spacing w:after="0" w:line="233" w:lineRule="auto"/>
        <w:rPr>
          <w:sz w:val="20"/>
          <w:szCs w:val="20"/>
          <w:color w:val="auto"/>
        </w:rPr>
      </w:pPr>
      <w:r>
        <w:rPr>
          <w:rFonts w:ascii="Arial" w:cs="Arial" w:eastAsia="Arial" w:hAnsi="Arial"/>
          <w:sz w:val="14"/>
          <w:szCs w:val="14"/>
          <w:b w:val="1"/>
          <w:bCs w:val="1"/>
          <w:i w:val="1"/>
          <w:iCs w:val="1"/>
          <w:color w:val="auto"/>
        </w:rPr>
        <w:t>We are pursuing multiple programs and product candidates in our novel cell therapy development pipeline using an approach that is designed to enable rapid incorporation of new product features. If we elect to incorporate these new features into next-generation product candidates, this may render our existing product candidates obsolete, and we may devote our limited resources in pursuit of a particular program for which there is a greater potential for success and fail to capitalize on development opportunities or product candidates including those which may be more advanced in development.</w:t>
      </w:r>
    </w:p>
    <w:p>
      <w:pPr>
        <w:spacing w:after="0" w:line="98"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We focus on the development of programmed cellular immunotherapies for patients with cancer, including off-the-shelf NK- and T-cell product candidates derived from clonal master engineered iPSC lines. Because our iPSC-derived allogeneic cell therapy platforms are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 abandon or delay the pursuit of opportunities with existing or future product candidates, including those that may be more advanced in development than those we ultimately elect to pursue. Due to these factors, our spending on current and future research and development programs and product candidates and the scientific innovation arising from these expenditures may not yield commercially viable product candidates.</w:t>
      </w:r>
    </w:p>
    <w:p>
      <w:pPr>
        <w:spacing w:after="0" w:line="306" w:lineRule="exact"/>
        <w:rPr>
          <w:sz w:val="20"/>
          <w:szCs w:val="20"/>
          <w:color w:val="auto"/>
        </w:rPr>
      </w:pPr>
    </w:p>
    <w:p>
      <w:pPr>
        <w:ind w:left="1220" w:right="1519"/>
        <w:spacing w:after="0" w:line="245" w:lineRule="auto"/>
        <w:rPr>
          <w:sz w:val="20"/>
          <w:szCs w:val="20"/>
          <w:color w:val="auto"/>
        </w:rPr>
      </w:pPr>
      <w:r>
        <w:rPr>
          <w:rFonts w:ascii="Arial" w:cs="Arial" w:eastAsia="Arial" w:hAnsi="Arial"/>
          <w:sz w:val="14"/>
          <w:szCs w:val="14"/>
          <w:b w:val="1"/>
          <w:bCs w:val="1"/>
          <w:i w:val="1"/>
          <w:iCs w:val="1"/>
          <w:color w:val="auto"/>
        </w:rPr>
        <w:t>We intend to study our product candidates in patient populations with significant comorbidities that may result in deaths or serious adverse events or unacceptable side effects and require us to abandon or limit our clinical development activities.</w:t>
      </w:r>
    </w:p>
    <w:p>
      <w:pPr>
        <w:spacing w:after="0" w:line="106"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Patients we intend to treat with our product candidates may also receive chemotherapy, radiation, and/or other cell therapy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The inclusion of critically ill patients in our clinical studies may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Any inability to advance our existing product candidates or any other product candidate through clinical development would have a material adverse effect on our business.</w:t>
      </w:r>
    </w:p>
    <w:p>
      <w:pPr>
        <w:spacing w:after="0" w:line="306" w:lineRule="exact"/>
        <w:rPr>
          <w:sz w:val="20"/>
          <w:szCs w:val="20"/>
          <w:color w:val="auto"/>
        </w:rPr>
      </w:pPr>
    </w:p>
    <w:p>
      <w:pPr>
        <w:jc w:val="both"/>
        <w:ind w:left="1220" w:right="1639"/>
        <w:spacing w:after="0" w:line="245" w:lineRule="auto"/>
        <w:rPr>
          <w:sz w:val="20"/>
          <w:szCs w:val="20"/>
          <w:color w:val="auto"/>
        </w:rPr>
      </w:pPr>
      <w:r>
        <w:rPr>
          <w:rFonts w:ascii="Arial" w:cs="Arial" w:eastAsia="Arial" w:hAnsi="Arial"/>
          <w:sz w:val="14"/>
          <w:szCs w:val="14"/>
          <w:b w:val="1"/>
          <w:bCs w:val="1"/>
          <w:i w:val="1"/>
          <w:iCs w:val="1"/>
          <w:color w:val="auto"/>
        </w:rPr>
        <w:t>We may experience difficulties identifying and enrolling patients in our clinical trials. Difficulty in enrolling patients could delay or prevent clinical trials of CNTY-101 or our other product candidates.</w:t>
      </w:r>
    </w:p>
    <w:p>
      <w:pPr>
        <w:spacing w:after="0" w:line="106"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Identifying and qualifying patients to participate in clinical trials of CNTY-101 is critical to our success. The timing of our clinical trials depends in part on the speed at which we can recruit patients to participate in testing CNTY-101, and we may experience delays in our clinical trials if we encounter difficulties in enrollment. The eligibility criteria of our clinical trials may limit the pool of available study participants as it will require patients to have specific characteristics that we can measure to ensure their disease is either severe enough or not too advanced to include them in a clinical trial. The process of finding and diagnosing patients may prove costly. We also may not be able to identify, recruit, and enroll a sufficient number of appropriate patients to complete our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competing therapies and clinical trials can also adversely impact enrollment. If patients are unwilling to participate in our trials for any reason, the</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7" w:name="page28"/>
    <w:bookmarkEnd w:id="2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timeline for recruiting patients, conducting trials, and obtaining regulatory approval of potential products may be delayed, the commercial prospects of CNTY-101 or our other product candidates will be harmed, and our ability to generate product revenue from any of these product candidates could be delayed or prevented. Furthermore, our inability to enroll a sufficient number of patients for our clinical trials could result in significant delays or may require us to abandon one or more clinical trials altogether. Enrollment delays in our clinical trials may result in increased development costs and jeopardize our ability to achieve our clinical development timeline and goals, including the dates by which we will commence, complete, and receive results from clinical trials. Enrollment delays in our clinical trials may also jeopardize our ability to commence sales of and generate revenues from CNTY-101 or our other product candidates. Any of these occurrences may harm our business, financial condition, and prospects significantly.</w:t>
      </w:r>
    </w:p>
    <w:p>
      <w:pPr>
        <w:spacing w:after="0" w:line="80" w:lineRule="exact"/>
        <w:rPr>
          <w:sz w:val="20"/>
          <w:szCs w:val="20"/>
          <w:color w:val="auto"/>
        </w:rPr>
      </w:pPr>
    </w:p>
    <w:p>
      <w:pPr>
        <w:ind w:left="1220" w:right="1279"/>
        <w:spacing w:after="0" w:line="270" w:lineRule="auto"/>
        <w:rPr>
          <w:sz w:val="20"/>
          <w:szCs w:val="20"/>
          <w:color w:val="auto"/>
        </w:rPr>
      </w:pPr>
      <w:r>
        <w:rPr>
          <w:rFonts w:ascii="Arial" w:cs="Arial" w:eastAsia="Arial" w:hAnsi="Arial"/>
          <w:sz w:val="14"/>
          <w:szCs w:val="14"/>
          <w:b w:val="1"/>
          <w:bCs w:val="1"/>
          <w:i w:val="1"/>
          <w:iCs w:val="1"/>
          <w:color w:val="auto"/>
        </w:rPr>
        <w:t>CNTY-101 and our other product candidates may cause adverse events or undesirable side effects that could delay or prevent its regulatory approval, limit the commercial profile of an approved label, or result in significant negative consequences following marketing approval, if any.</w:t>
      </w:r>
    </w:p>
    <w:p>
      <w:pPr>
        <w:spacing w:after="0" w:line="101" w:lineRule="exact"/>
        <w:rPr>
          <w:sz w:val="20"/>
          <w:szCs w:val="20"/>
          <w:color w:val="auto"/>
        </w:rPr>
      </w:pPr>
    </w:p>
    <w:p>
      <w:pPr>
        <w:ind w:left="1220" w:right="1279"/>
        <w:spacing w:after="0" w:line="262" w:lineRule="auto"/>
        <w:rPr>
          <w:sz w:val="20"/>
          <w:szCs w:val="20"/>
          <w:color w:val="auto"/>
        </w:rPr>
      </w:pPr>
      <w:r>
        <w:rPr>
          <w:rFonts w:ascii="Arial" w:cs="Arial" w:eastAsia="Arial" w:hAnsi="Arial"/>
          <w:sz w:val="14"/>
          <w:szCs w:val="14"/>
          <w:color w:val="auto"/>
        </w:rPr>
        <w:t>Cell therapy is still a relatively new approach to disease treatment and adverse side effects could develop. There also is the potential risk of delayed adverse events following exposure to cell therapy products due to persistent biologic activity of the genetic material or other components of products used to carry the genetic material.</w:t>
      </w:r>
    </w:p>
    <w:p>
      <w:pPr>
        <w:spacing w:after="0" w:line="106" w:lineRule="exact"/>
        <w:rPr>
          <w:sz w:val="20"/>
          <w:szCs w:val="20"/>
          <w:color w:val="auto"/>
        </w:rPr>
      </w:pPr>
    </w:p>
    <w:p>
      <w:pPr>
        <w:ind w:left="1220" w:right="1319"/>
        <w:spacing w:after="0" w:line="259" w:lineRule="auto"/>
        <w:rPr>
          <w:sz w:val="20"/>
          <w:szCs w:val="20"/>
          <w:color w:val="auto"/>
        </w:rPr>
      </w:pPr>
      <w:r>
        <w:rPr>
          <w:rFonts w:ascii="Arial" w:cs="Arial" w:eastAsia="Arial" w:hAnsi="Arial"/>
          <w:sz w:val="14"/>
          <w:szCs w:val="14"/>
          <w:color w:val="auto"/>
        </w:rPr>
        <w:t>We are collecting data about CNTY-101 in preclinical studies and will continue to do so in clinical trials, if and when they begin. To date, we have only evaluated CNTY-101 in preclinical mouse models and we therefore do not know the side effect profile of our products in humans. Accordingly, we may experience unexpected side effects and/or higher levels of known side effects in clinical trials, including adverse events known in cell therapies. These include the potential for, among others, cytokine release syndrome, or CRS, and neurotoxicity, or immune effector cell-associated neurotoxicity syndrome. B-cell directed therapies may also demonstrate infusion reactions/hypersensitivity, serious infections, prolonged cytopenias, hypogammaglobulinemia/B-cell aplasia, and secondary malignancies.</w:t>
      </w:r>
    </w:p>
    <w:p>
      <w:pPr>
        <w:spacing w:after="0" w:line="272" w:lineRule="exact"/>
        <w:rPr>
          <w:sz w:val="20"/>
          <w:szCs w:val="20"/>
          <w:color w:val="auto"/>
        </w:rPr>
      </w:pPr>
    </w:p>
    <w:p>
      <w:pPr>
        <w:ind w:left="1220" w:right="1299"/>
        <w:spacing w:after="0" w:line="258" w:lineRule="auto"/>
        <w:rPr>
          <w:sz w:val="20"/>
          <w:szCs w:val="20"/>
          <w:color w:val="auto"/>
        </w:rPr>
      </w:pPr>
      <w:r>
        <w:rPr>
          <w:rFonts w:ascii="Arial" w:cs="Arial" w:eastAsia="Arial" w:hAnsi="Arial"/>
          <w:sz w:val="14"/>
          <w:szCs w:val="14"/>
          <w:color w:val="auto"/>
        </w:rPr>
        <w:t>Any adverse events or undesirable side effects caused by, or other unexpected properties of, CNTY-101 or our other product candidates could cause us, any future collaborators, an IRB, or ethics committee or regulatory authorities to interrupt, delay, or halt clinical trials of our product candidates and could result in a more restrictive label or the delay or denial of regulatory approval by the FDA or other regulatory authorities. It is possible that as we progress CNTY-101 or our other product candidates through preclinical and clinical development, or as the use of CNTY-101 or our other product candidates become more widespread if it receives regulatory approval, illnesses, injuries, discomforts, and other adverse events that were not observed in preclinical studies or clinical trials, as well as conditions that did not occur or went undetected, will be reported by patients. If such side effects become known later in development or after approval, such findings may harm our business, financial condition, and prospects significantly. Further, if a serious safety issue is identified in connection with the use of CNTY-101 or our other product candidates commercially or in third-party clinical trials elsewhere, such issues may adversely affect the development potential of CNTY-101 or our other product candidates or result in regulatory authorities restricting our ability to develop or commercialize CNTY-101 or our other product candidates.</w:t>
      </w:r>
    </w:p>
    <w:p>
      <w:pPr>
        <w:spacing w:after="0" w:line="285" w:lineRule="exact"/>
        <w:rPr>
          <w:sz w:val="20"/>
          <w:szCs w:val="20"/>
          <w:color w:val="auto"/>
        </w:rPr>
      </w:pPr>
    </w:p>
    <w:p>
      <w:pPr>
        <w:ind w:left="1220" w:right="1379"/>
        <w:spacing w:after="0" w:line="265" w:lineRule="auto"/>
        <w:rPr>
          <w:sz w:val="20"/>
          <w:szCs w:val="20"/>
          <w:color w:val="auto"/>
        </w:rPr>
      </w:pPr>
      <w:r>
        <w:rPr>
          <w:rFonts w:ascii="Arial" w:cs="Arial" w:eastAsia="Arial" w:hAnsi="Arial"/>
          <w:sz w:val="14"/>
          <w:szCs w:val="14"/>
          <w:color w:val="auto"/>
        </w:rPr>
        <w:t>Further, if CNTY-101 or any of our other product candidates were to receive regulatory approval and we or others identify undesirable side effects caused by the product (or any other product) after the approval, a number of potentially significant negative consequences could result, including:</w:t>
      </w:r>
    </w:p>
    <w:p>
      <w:pPr>
        <w:spacing w:after="0" w:line="254" w:lineRule="exact"/>
        <w:rPr>
          <w:sz w:val="20"/>
          <w:szCs w:val="20"/>
          <w:color w:val="auto"/>
        </w:rPr>
      </w:pPr>
    </w:p>
    <w:p>
      <w:pPr>
        <w:ind w:left="1340" w:right="1539" w:hanging="116"/>
        <w:spacing w:after="0" w:line="290" w:lineRule="auto"/>
        <w:tabs>
          <w:tab w:leader="none" w:pos="1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regulatory authorities may request that we recall or withdraw the product from the market or may limit the approval of the product through labeling or other means;</w:t>
      </w:r>
    </w:p>
    <w:p>
      <w:pPr>
        <w:spacing w:after="0" w:line="53" w:lineRule="exact"/>
        <w:rPr>
          <w:rFonts w:ascii="Arial" w:cs="Arial" w:eastAsia="Arial" w:hAnsi="Arial"/>
          <w:sz w:val="14"/>
          <w:szCs w:val="14"/>
          <w:color w:val="auto"/>
        </w:rPr>
      </w:pPr>
    </w:p>
    <w:p>
      <w:pPr>
        <w:ind w:left="1340" w:right="1539" w:hanging="116"/>
        <w:spacing w:after="0" w:line="290" w:lineRule="auto"/>
        <w:tabs>
          <w:tab w:leader="none" w:pos="1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regulatory authorities may require the addition of labeling statements, such as a “black box” warning or a contraindication or a precaution;</w:t>
      </w:r>
    </w:p>
    <w:p>
      <w:pPr>
        <w:spacing w:after="0" w:line="64" w:lineRule="exact"/>
        <w:rPr>
          <w:rFonts w:ascii="Arial" w:cs="Arial" w:eastAsia="Arial" w:hAnsi="Arial"/>
          <w:sz w:val="14"/>
          <w:szCs w:val="14"/>
          <w:color w:val="auto"/>
        </w:rPr>
      </w:pPr>
    </w:p>
    <w:p>
      <w:pPr>
        <w:ind w:left="1340" w:right="1679" w:hanging="116"/>
        <w:spacing w:after="0" w:line="290" w:lineRule="auto"/>
        <w:tabs>
          <w:tab w:leader="none" w:pos="1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may be required to change the way the product is distributed or administered, conduct additional clinical trials, or change the labeling of the product;</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may decide to recall or remove the product from the marketplace;</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8" w:name="page29"/>
    <w:bookmarkEnd w:id="2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539" w:hanging="116"/>
        <w:spacing w:after="0" w:line="290" w:lineRule="auto"/>
        <w:tabs>
          <w:tab w:leader="none" w:pos="1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could be sued and/or held liable for injury caused to individuals exposed to or taking our product candidates;</w:t>
      </w:r>
    </w:p>
    <w:p>
      <w:pPr>
        <w:spacing w:after="0" w:line="31" w:lineRule="exact"/>
        <w:rPr>
          <w:rFonts w:ascii="Arial" w:cs="Arial" w:eastAsia="Arial" w:hAnsi="Arial"/>
          <w:sz w:val="14"/>
          <w:szCs w:val="14"/>
          <w:color w:val="auto"/>
        </w:rPr>
      </w:pPr>
    </w:p>
    <w:p>
      <w:pPr>
        <w:ind w:left="1340" w:hanging="116"/>
        <w:spacing w:after="0"/>
        <w:tabs>
          <w:tab w:leader="none" w:pos="1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damage to the public perception of the safety of CNTY-101 or our other product candidates; and</w:t>
      </w:r>
    </w:p>
    <w:p>
      <w:pPr>
        <w:spacing w:after="0" w:line="76" w:lineRule="exact"/>
        <w:rPr>
          <w:rFonts w:ascii="Arial" w:cs="Arial" w:eastAsia="Arial" w:hAnsi="Arial"/>
          <w:sz w:val="14"/>
          <w:szCs w:val="14"/>
          <w:color w:val="auto"/>
        </w:rPr>
      </w:pPr>
    </w:p>
    <w:p>
      <w:pPr>
        <w:ind w:left="1340" w:hanging="116"/>
        <w:spacing w:after="0"/>
        <w:tabs>
          <w:tab w:leader="none" w:pos="1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reputation may suffer.</w:t>
      </w:r>
    </w:p>
    <w:p>
      <w:pPr>
        <w:spacing w:after="0" w:line="120" w:lineRule="exact"/>
        <w:rPr>
          <w:sz w:val="20"/>
          <w:szCs w:val="20"/>
          <w:color w:val="auto"/>
        </w:rPr>
      </w:pPr>
    </w:p>
    <w:p>
      <w:pPr>
        <w:ind w:left="1220" w:right="1359"/>
        <w:spacing w:after="0" w:line="261" w:lineRule="auto"/>
        <w:rPr>
          <w:sz w:val="20"/>
          <w:szCs w:val="20"/>
          <w:color w:val="auto"/>
        </w:rPr>
      </w:pPr>
      <w:r>
        <w:rPr>
          <w:rFonts w:ascii="Arial" w:cs="Arial" w:eastAsia="Arial" w:hAnsi="Arial"/>
          <w:sz w:val="14"/>
          <w:szCs w:val="14"/>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 all of which would materially adversely affect our business, financial condition, and results of operations.</w:t>
      </w:r>
    </w:p>
    <w:p>
      <w:pPr>
        <w:spacing w:after="0" w:line="134" w:lineRule="exact"/>
        <w:rPr>
          <w:sz w:val="20"/>
          <w:szCs w:val="20"/>
          <w:color w:val="auto"/>
        </w:rPr>
      </w:pPr>
    </w:p>
    <w:p>
      <w:pPr>
        <w:ind w:left="1220" w:right="1299"/>
        <w:spacing w:after="0" w:line="239" w:lineRule="auto"/>
        <w:rPr>
          <w:sz w:val="20"/>
          <w:szCs w:val="20"/>
          <w:color w:val="auto"/>
        </w:rPr>
      </w:pPr>
      <w:r>
        <w:rPr>
          <w:rFonts w:ascii="Arial" w:cs="Arial" w:eastAsia="Arial" w:hAnsi="Arial"/>
          <w:sz w:val="14"/>
          <w:szCs w:val="14"/>
          <w:b w:val="1"/>
          <w:bCs w:val="1"/>
          <w:i w:val="1"/>
          <w:iCs w:val="1"/>
          <w:color w:val="auto"/>
        </w:rPr>
        <w:t>Public opinion and scrutiny of cell-based immuno-oncology therapies for treating cancer, or negative clinical trial results from our cell-based therapy competitors, may impact public perception of our company and product candidates, or impair our ability to conduct our business.</w:t>
      </w:r>
    </w:p>
    <w:p>
      <w:pPr>
        <w:spacing w:after="0" w:line="98"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Our iPSC-derived allogeneic cell therapy platforms utilize a relatively novel technology involving the genetic modification of iPSC’s and utilization of those modified cells in other individuals, and no iNK cell-based immunotherapy has been approved to date. Public perception may be influenced by claims, such as claims that cell-based immunotherapy is unsafe, unethical, or immoral and, consequently, our approach may not gain the acceptance of the public or the medical community. Negative public reaction to cell-based immunotherapy in general, or negative clinical trial results from our cell-based therapy competitors,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313" w:lineRule="exact"/>
        <w:rPr>
          <w:sz w:val="20"/>
          <w:szCs w:val="20"/>
          <w:color w:val="auto"/>
        </w:rPr>
      </w:pPr>
    </w:p>
    <w:p>
      <w:pPr>
        <w:ind w:left="1220" w:right="1819"/>
        <w:spacing w:after="0" w:line="265" w:lineRule="auto"/>
        <w:rPr>
          <w:sz w:val="20"/>
          <w:szCs w:val="20"/>
          <w:color w:val="auto"/>
        </w:rPr>
      </w:pPr>
      <w:r>
        <w:rPr>
          <w:rFonts w:ascii="Arial" w:cs="Arial" w:eastAsia="Arial" w:hAnsi="Arial"/>
          <w:sz w:val="14"/>
          <w:szCs w:val="14"/>
          <w:b w:val="1"/>
          <w:bCs w:val="1"/>
          <w:i w:val="1"/>
          <w:iCs w:val="1"/>
          <w:color w:val="auto"/>
        </w:rPr>
        <w:t>Our research and development activities could be affected or delayed as a result of possible restrictions on animal testing.</w:t>
      </w:r>
    </w:p>
    <w:p>
      <w:pPr>
        <w:spacing w:after="0" w:line="70"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lobbying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308" w:lineRule="exact"/>
        <w:rPr>
          <w:sz w:val="20"/>
          <w:szCs w:val="20"/>
          <w:color w:val="auto"/>
        </w:rPr>
      </w:pPr>
    </w:p>
    <w:p>
      <w:pPr>
        <w:ind w:left="1220" w:right="1299"/>
        <w:spacing w:after="0" w:line="265" w:lineRule="auto"/>
        <w:rPr>
          <w:sz w:val="20"/>
          <w:szCs w:val="20"/>
          <w:color w:val="auto"/>
        </w:rPr>
      </w:pPr>
      <w:r>
        <w:rPr>
          <w:rFonts w:ascii="Arial" w:cs="Arial" w:eastAsia="Arial" w:hAnsi="Arial"/>
          <w:sz w:val="14"/>
          <w:szCs w:val="14"/>
          <w:b w:val="1"/>
          <w:bCs w:val="1"/>
          <w:i w:val="1"/>
          <w:iCs w:val="1"/>
          <w:color w:val="auto"/>
        </w:rPr>
        <w:t>If we do not achieve our projected development goals in the time frames we announce and expect, the commercialization of our products may be delayed.</w:t>
      </w:r>
    </w:p>
    <w:p>
      <w:pPr>
        <w:spacing w:after="0" w:line="70" w:lineRule="exact"/>
        <w:rPr>
          <w:sz w:val="20"/>
          <w:szCs w:val="20"/>
          <w:color w:val="auto"/>
        </w:rPr>
      </w:pPr>
    </w:p>
    <w:p>
      <w:pPr>
        <w:ind w:left="1220" w:right="1339"/>
        <w:spacing w:after="0" w:line="259" w:lineRule="auto"/>
        <w:rPr>
          <w:sz w:val="20"/>
          <w:szCs w:val="20"/>
          <w:color w:val="auto"/>
        </w:rPr>
      </w:pPr>
      <w:r>
        <w:rPr>
          <w:rFonts w:ascii="Arial" w:cs="Arial" w:eastAsia="Arial" w:hAnsi="Arial"/>
          <w:sz w:val="14"/>
          <w:szCs w:val="14"/>
          <w:color w:val="auto"/>
        </w:rPr>
        <w:t>From time to time, we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our product candidates.</w:t>
      </w:r>
    </w:p>
    <w:p>
      <w:pPr>
        <w:spacing w:after="0" w:line="309" w:lineRule="exact"/>
        <w:rPr>
          <w:sz w:val="20"/>
          <w:szCs w:val="20"/>
          <w:color w:val="auto"/>
        </w:rPr>
      </w:pPr>
    </w:p>
    <w:p>
      <w:pPr>
        <w:ind w:left="1220" w:right="1239"/>
        <w:spacing w:after="0" w:line="236" w:lineRule="auto"/>
        <w:rPr>
          <w:sz w:val="20"/>
          <w:szCs w:val="20"/>
          <w:color w:val="auto"/>
        </w:rPr>
      </w:pPr>
      <w:r>
        <w:rPr>
          <w:rFonts w:ascii="Arial" w:cs="Arial" w:eastAsia="Arial" w:hAnsi="Arial"/>
          <w:sz w:val="14"/>
          <w:szCs w:val="14"/>
          <w:b w:val="1"/>
          <w:bCs w:val="1"/>
          <w:i w:val="1"/>
          <w:iCs w:val="1"/>
          <w:color w:val="auto"/>
        </w:rPr>
        <w:t>Changes in regulatory requirements, guidance from the FDA and other regulatory authorities, or unanticipated events during our clinical trials of CNTY-101 or our other product candidates may result in changes to preclinical studies or clinical trials or additional preclinical or clinical trial requirements, which could result in increased costs to us and could delay our development timeline.</w:t>
      </w:r>
    </w:p>
    <w:p>
      <w:pPr>
        <w:spacing w:after="0" w:line="88" w:lineRule="exact"/>
        <w:rPr>
          <w:sz w:val="20"/>
          <w:szCs w:val="20"/>
          <w:color w:val="auto"/>
        </w:rPr>
      </w:pPr>
    </w:p>
    <w:p>
      <w:pPr>
        <w:ind w:left="1220" w:right="1399"/>
        <w:spacing w:after="0" w:line="262" w:lineRule="auto"/>
        <w:rPr>
          <w:sz w:val="20"/>
          <w:szCs w:val="20"/>
          <w:color w:val="auto"/>
        </w:rPr>
      </w:pPr>
      <w:r>
        <w:rPr>
          <w:rFonts w:ascii="Arial" w:cs="Arial" w:eastAsia="Arial" w:hAnsi="Arial"/>
          <w:sz w:val="14"/>
          <w:szCs w:val="14"/>
          <w:color w:val="auto"/>
        </w:rPr>
        <w:t>Regulatory requirements governing biologic drug products, including cell therapy products, are still evolving and it is difficult to determine how long it will take or how much it will cost to obtain regulatory approvals for CNTY-101 or our other product candidates. Changes in regulatory requirements, FDA guidance or guidance from other</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9" w:name="page30"/>
    <w:bookmarkEnd w:id="2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459"/>
        <w:spacing w:after="0" w:line="274" w:lineRule="auto"/>
        <w:rPr>
          <w:sz w:val="20"/>
          <w:szCs w:val="20"/>
          <w:color w:val="auto"/>
        </w:rPr>
      </w:pPr>
      <w:r>
        <w:rPr>
          <w:rFonts w:ascii="Arial" w:cs="Arial" w:eastAsia="Arial" w:hAnsi="Arial"/>
          <w:sz w:val="14"/>
          <w:szCs w:val="14"/>
          <w:color w:val="auto"/>
        </w:rPr>
        <w:t>regulatory agencies, or unanticipated events during our preclinical studies or clinical trials may force us to terminate or adjust our development program.</w:t>
      </w:r>
    </w:p>
    <w:p>
      <w:pPr>
        <w:spacing w:after="0" w:line="86"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In addition, the clinical trial requirements of the FDA and foreign regulatory authorities and the criteria these regulators use to determine the safety and efficacy of a product candidate vary substantially according to the type, complexity, novelty, intended use, and market of such product candidates. The regulatory approval process for novel product candidates such as ours can be more expensive and take longer than for other, better known or more extensively studied product candidates. The FDA, or the applicable regulatory authorities, may impose additional preclinical or clinical trial requirements. Amendments to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preclinical or clinical trials, the commercial prospects for CNTY-101 or our other product candidates may be harmed and our ability to generate product revenue will be delayed, and it would materially adversely affect our business, financial condition, and results of operations.</w:t>
      </w:r>
    </w:p>
    <w:p>
      <w:pPr>
        <w:spacing w:after="0" w:line="286" w:lineRule="exact"/>
        <w:rPr>
          <w:sz w:val="20"/>
          <w:szCs w:val="20"/>
          <w:color w:val="auto"/>
        </w:rPr>
      </w:pPr>
    </w:p>
    <w:p>
      <w:pPr>
        <w:ind w:left="1220" w:right="1359"/>
        <w:spacing w:after="0" w:line="260" w:lineRule="auto"/>
        <w:rPr>
          <w:sz w:val="20"/>
          <w:szCs w:val="20"/>
          <w:color w:val="auto"/>
        </w:rPr>
      </w:pPr>
      <w:r>
        <w:rPr>
          <w:rFonts w:ascii="Arial" w:cs="Arial" w:eastAsia="Arial" w:hAnsi="Arial"/>
          <w:sz w:val="14"/>
          <w:szCs w:val="14"/>
          <w:color w:val="auto"/>
        </w:rPr>
        <w:t>In order to market any product outside of the United States, we must comply with numerous and varying regulatory requirements of other countries regarding biologic development and commercialization.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306" w:lineRule="exact"/>
        <w:rPr>
          <w:sz w:val="20"/>
          <w:szCs w:val="20"/>
          <w:color w:val="auto"/>
        </w:rPr>
      </w:pPr>
    </w:p>
    <w:p>
      <w:pPr>
        <w:ind w:left="1220" w:right="1279"/>
        <w:spacing w:after="0" w:line="236" w:lineRule="auto"/>
        <w:rPr>
          <w:sz w:val="20"/>
          <w:szCs w:val="20"/>
          <w:color w:val="auto"/>
        </w:rPr>
      </w:pPr>
      <w:r>
        <w:rPr>
          <w:rFonts w:ascii="Arial" w:cs="Arial" w:eastAsia="Arial" w:hAnsi="Arial"/>
          <w:sz w:val="14"/>
          <w:szCs w:val="14"/>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spacing w:after="0" w:line="109" w:lineRule="exact"/>
        <w:rPr>
          <w:sz w:val="20"/>
          <w:szCs w:val="20"/>
          <w:color w:val="auto"/>
        </w:rPr>
      </w:pPr>
    </w:p>
    <w:p>
      <w:pPr>
        <w:ind w:left="1220" w:right="1359"/>
        <w:spacing w:after="0" w:line="258" w:lineRule="auto"/>
        <w:rPr>
          <w:sz w:val="20"/>
          <w:szCs w:val="20"/>
          <w:color w:val="auto"/>
        </w:rPr>
      </w:pPr>
      <w:r>
        <w:rPr>
          <w:rFonts w:ascii="Arial" w:cs="Arial" w:eastAsia="Arial" w:hAnsi="Arial"/>
          <w:sz w:val="14"/>
          <w:szCs w:val="14"/>
          <w:color w:val="auto"/>
        </w:rPr>
        <w:t>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such as the ongoing COVID-19 pandemic,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 For example, over the last several years, including for 35 days beginning on December 22, 2018, the United States government has shut down several times and certain regulatory agencies, such as the FDA, have had to furlough critical FDA employees and stop critical activities.</w:t>
      </w:r>
    </w:p>
    <w:p>
      <w:pPr>
        <w:spacing w:after="0" w:line="275"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0" w:name="page31"/>
    <w:bookmarkEnd w:id="3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220" w:right="1279"/>
        <w:spacing w:after="0" w:line="245" w:lineRule="auto"/>
        <w:rPr>
          <w:sz w:val="20"/>
          <w:szCs w:val="20"/>
          <w:color w:val="auto"/>
        </w:rPr>
      </w:pPr>
      <w:r>
        <w:rPr>
          <w:rFonts w:ascii="Arial" w:cs="Arial" w:eastAsia="Arial" w:hAnsi="Arial"/>
          <w:sz w:val="14"/>
          <w:szCs w:val="14"/>
          <w:b w:val="1"/>
          <w:bCs w:val="1"/>
          <w:i w:val="1"/>
          <w:iCs w:val="1"/>
          <w:color w:val="auto"/>
        </w:rPr>
        <w:t>We rely, and expect to continue to rely, on third parties to conduct, supervise, and monitor our preclinical studies, and we will rely on third parties to conduct, supervise, and monitor future clinical trials for our product candidates.</w:t>
      </w:r>
    </w:p>
    <w:p>
      <w:pPr>
        <w:spacing w:after="0" w:line="95" w:lineRule="exact"/>
        <w:rPr>
          <w:sz w:val="20"/>
          <w:szCs w:val="20"/>
          <w:color w:val="auto"/>
        </w:rPr>
      </w:pPr>
    </w:p>
    <w:p>
      <w:pPr>
        <w:ind w:left="1220" w:right="1279"/>
        <w:spacing w:after="0" w:line="258" w:lineRule="auto"/>
        <w:rPr>
          <w:sz w:val="20"/>
          <w:szCs w:val="20"/>
          <w:color w:val="auto"/>
        </w:rPr>
      </w:pPr>
      <w:r>
        <w:rPr>
          <w:rFonts w:ascii="Arial" w:cs="Arial" w:eastAsia="Arial" w:hAnsi="Arial"/>
          <w:sz w:val="14"/>
          <w:szCs w:val="14"/>
          <w:color w:val="auto"/>
        </w:rPr>
        <w:t>We rely on third-party CROs, study sites, and others to conduct, supervise, and monitor our preclinical studies for our product candidates and we expect to rely on third parties to similarly conduct, supervise, and monitor any future clinical trials for our product candidates. We expect to continue to rely on third parties, such as CROs, clinical data management organizations, medical institutions, and clinical investigators, to conduct our preclinical studies, and intend to rely on third parties in connection with the commencement of future clinical trials of our product candidates. Although we have agreements with these third parties governing their activities, we have limited influence over their actual performance and control only certain aspects of their activities. The failure of these third parties to successfully carry out their contractual duties or meet expected deadlines, including as a result of the impact of the COVID-19 pandemic, could substantially harm our business because we may be delayed in completing or unable to complete the studies required to support future approval of CNTY-101 and our other product candidates, or we may not obtain marketing approval for, or commercialize, CNTY-101 and our other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and prospects may be materially harmed.</w:t>
      </w:r>
    </w:p>
    <w:p>
      <w:pPr>
        <w:spacing w:after="0" w:line="284"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Our reliance on these third parties for development activities reduces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preclinical trials and future clinical trials is conducted in accordance with the general investigational plan and protocols for such trial. We must also ensure that our preclinical and future clinical trials are conducted in accordance with cGLP regulations, as appropriate. Moreover, the FDA and comparable foreign regulatory authorities require us to comply with cGCPs for conducting, recording, and reporting the results of clinical trials to ensure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cGCPs or other regulatory requirements, we or they may be subject to enforcement or other legal actions, the data generated in our preclinical trials and future clinical trials may be deemed unreliable and the FDA, or comparable foreign regulatory authorities may require us to perform additional studies.</w:t>
      </w:r>
    </w:p>
    <w:p>
      <w:pPr>
        <w:spacing w:after="0" w:line="285" w:lineRule="exact"/>
        <w:rPr>
          <w:sz w:val="20"/>
          <w:szCs w:val="20"/>
          <w:color w:val="auto"/>
        </w:rPr>
      </w:pPr>
    </w:p>
    <w:p>
      <w:pPr>
        <w:ind w:left="1220" w:right="1359"/>
        <w:spacing w:after="0" w:line="262" w:lineRule="auto"/>
        <w:rPr>
          <w:sz w:val="20"/>
          <w:szCs w:val="20"/>
          <w:color w:val="auto"/>
        </w:rPr>
      </w:pPr>
      <w:r>
        <w:rPr>
          <w:rFonts w:ascii="Arial" w:cs="Arial" w:eastAsia="Arial" w:hAnsi="Arial"/>
          <w:sz w:val="14"/>
          <w:szCs w:val="14"/>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95"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We cannot assure you that upon inspection by a given regulatory authority, such regulatory authority will determine that any of our clinical trials will comply with the applicable regulatory requirements. In addition, our clinical trials must be conducted with product candidates that were produced under cGMP regulations.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www.clinicaltrials.gov, within specified timeframes. Failure to do so can result in enforcement actions and adverse publicity.</w:t>
      </w:r>
    </w:p>
    <w:p>
      <w:pPr>
        <w:spacing w:after="0" w:line="279"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our ongoing developmental and preclinical programs. If these third parties do not successfully carry out their contractual duties, meet expected deadlines, or conduct our preclinical studies or</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1" w:name="page32"/>
    <w:bookmarkEnd w:id="3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future clinical trials in accordance with regulatory requirements or our stated protocols, if these parties are adversely impacted by the COVID-19 pandemic limiting or materially affecting their ability to carry out their contractual duties, if they need to be replaced or if the quality or accuracy of the data they obtain is compromised due to the failure to adhere to our protocols, regulatory requirements or for other reasons, our preclinical and future clinical trials may be repeated, extended, delayed, or terminated; we may not be able to obtain, or may be delayed in obtaining, marketing approvals for CNTY-101 and our other product candidates; we may not be able to, or may be delayed in our efforts to, successfully commercialize CNTY-101 or our other product candidates; or we or they may be subject to regulatory enforcement actions. As a result, our results of operations and the commercial prospects for CNTY-101 and our other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and prospects may be materially harmed.</w:t>
      </w:r>
    </w:p>
    <w:p>
      <w:pPr>
        <w:spacing w:after="0" w:line="275" w:lineRule="exact"/>
        <w:rPr>
          <w:sz w:val="20"/>
          <w:szCs w:val="20"/>
          <w:color w:val="auto"/>
        </w:rPr>
      </w:pPr>
    </w:p>
    <w:p>
      <w:pPr>
        <w:ind w:left="1220" w:right="1259"/>
        <w:spacing w:after="0" w:line="261" w:lineRule="auto"/>
        <w:rPr>
          <w:sz w:val="20"/>
          <w:szCs w:val="20"/>
          <w:color w:val="auto"/>
        </w:rPr>
      </w:pPr>
      <w:r>
        <w:rPr>
          <w:rFonts w:ascii="Arial" w:cs="Arial" w:eastAsia="Arial" w:hAnsi="Arial"/>
          <w:sz w:val="14"/>
          <w:szCs w:val="14"/>
          <w:color w:val="auto"/>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our ability to meet our desired development timelines.</w:t>
      </w:r>
    </w:p>
    <w:p>
      <w:pPr>
        <w:spacing w:after="0" w:line="306" w:lineRule="exact"/>
        <w:rPr>
          <w:sz w:val="20"/>
          <w:szCs w:val="20"/>
          <w:color w:val="auto"/>
        </w:rPr>
      </w:pPr>
    </w:p>
    <w:p>
      <w:pPr>
        <w:ind w:left="1220" w:right="1599"/>
        <w:spacing w:after="0" w:line="245" w:lineRule="auto"/>
        <w:rPr>
          <w:sz w:val="20"/>
          <w:szCs w:val="20"/>
          <w:color w:val="auto"/>
        </w:rPr>
      </w:pPr>
      <w:r>
        <w:rPr>
          <w:rFonts w:ascii="Arial" w:cs="Arial" w:eastAsia="Arial" w:hAnsi="Arial"/>
          <w:sz w:val="14"/>
          <w:szCs w:val="14"/>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16"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Because we have limited financial and managerial resources, we focus on research programs, therapeutic platforms, and product candidates that we identify for specific indications. As a result, we may forego or delay our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including intellectual property rights, to that product candidate through collaboration, licensing, or other royalty arrangements in cases in which it would have been more advantageous for us to retain sole development and commercialization rights.</w:t>
      </w:r>
    </w:p>
    <w:p>
      <w:pPr>
        <w:spacing w:after="0" w:line="307" w:lineRule="exact"/>
        <w:rPr>
          <w:sz w:val="20"/>
          <w:szCs w:val="20"/>
          <w:color w:val="auto"/>
        </w:rPr>
      </w:pPr>
    </w:p>
    <w:p>
      <w:pPr>
        <w:jc w:val="both"/>
        <w:ind w:left="1220" w:right="1319"/>
        <w:spacing w:after="0" w:line="245" w:lineRule="auto"/>
        <w:rPr>
          <w:sz w:val="20"/>
          <w:szCs w:val="20"/>
          <w:color w:val="auto"/>
        </w:rPr>
      </w:pPr>
      <w:r>
        <w:rPr>
          <w:rFonts w:ascii="Arial" w:cs="Arial" w:eastAsia="Arial" w:hAnsi="Arial"/>
          <w:sz w:val="14"/>
          <w:szCs w:val="14"/>
          <w:b w:val="1"/>
          <w:bCs w:val="1"/>
          <w:i w:val="1"/>
          <w:iCs w:val="1"/>
          <w:color w:val="auto"/>
        </w:rPr>
        <w:t>We may explore strategic collaborations that may never materialize or we may be required to relinquish important rights to and control over the development and commercialization of our product candidates to any future collaborators.</w:t>
      </w:r>
    </w:p>
    <w:p>
      <w:pPr>
        <w:spacing w:after="0" w:line="116" w:lineRule="exact"/>
        <w:rPr>
          <w:sz w:val="20"/>
          <w:szCs w:val="20"/>
          <w:color w:val="auto"/>
        </w:rPr>
      </w:pPr>
    </w:p>
    <w:p>
      <w:pPr>
        <w:ind w:left="1220" w:right="1339"/>
        <w:spacing w:after="0" w:line="276" w:lineRule="auto"/>
        <w:rPr>
          <w:sz w:val="20"/>
          <w:szCs w:val="20"/>
          <w:color w:val="auto"/>
        </w:rPr>
      </w:pPr>
      <w:r>
        <w:rPr>
          <w:rFonts w:ascii="Arial" w:cs="Arial" w:eastAsia="Arial" w:hAnsi="Arial"/>
          <w:sz w:val="14"/>
          <w:szCs w:val="14"/>
          <w:color w:val="auto"/>
        </w:rPr>
        <w:t>Our business strategy includes leveraging our strategic partnership with FCDI, and may include additional future partnerships for manufacturing, product development, product commercialization, or other strategic objectives. As a result, we may in the future determine to collaborate with additional companies for development and potential commercialization of one or more therapeutic products. At the current time however, we cannot predict what form such a strategic collaboration might take. We are likely to face significant competition in seeking appropriate strategic collaborators, and strategic collaborations can be complicated and time-consuming to negotiate and document.</w:t>
      </w:r>
    </w:p>
    <w:p>
      <w:pPr>
        <w:spacing w:after="0" w:line="279" w:lineRule="exact"/>
        <w:rPr>
          <w:sz w:val="20"/>
          <w:szCs w:val="20"/>
          <w:color w:val="auto"/>
        </w:rPr>
      </w:pPr>
    </w:p>
    <w:p>
      <w:pPr>
        <w:ind w:left="1220" w:right="1299"/>
        <w:spacing w:after="0" w:line="275" w:lineRule="auto"/>
        <w:rPr>
          <w:sz w:val="20"/>
          <w:szCs w:val="20"/>
          <w:color w:val="auto"/>
        </w:rPr>
      </w:pPr>
      <w:r>
        <w:rPr>
          <w:rFonts w:ascii="Arial" w:cs="Arial" w:eastAsia="Arial" w:hAnsi="Arial"/>
          <w:sz w:val="14"/>
          <w:szCs w:val="14"/>
          <w:color w:val="auto"/>
        </w:rPr>
        <w:t>We may not be able to negotiate strategic collaborations on acceptable terms, if at all.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one or more of our other development programs, delay our potential commercialization or reduce the scope of any sales or marketing activities, or increase our expenditures and undertake development or commercialization activities at our own expense. If we elect to fund and undertake development or commercialization activities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2" w:name="page33"/>
    <w:bookmarkEnd w:id="3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61" w:lineRule="auto"/>
        <w:rPr>
          <w:sz w:val="20"/>
          <w:szCs w:val="20"/>
          <w:color w:val="auto"/>
        </w:rPr>
      </w:pPr>
      <w:r>
        <w:rPr>
          <w:rFonts w:ascii="Arial" w:cs="Arial" w:eastAsia="Arial" w:hAnsi="Arial"/>
          <w:sz w:val="14"/>
          <w:szCs w:val="14"/>
          <w:color w:val="auto"/>
        </w:rPr>
        <w:t>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technology platforms and our business may be materially and adversely affected.</w:t>
      </w:r>
    </w:p>
    <w:p>
      <w:pPr>
        <w:spacing w:after="0" w:line="268" w:lineRule="exact"/>
        <w:rPr>
          <w:sz w:val="20"/>
          <w:szCs w:val="20"/>
          <w:color w:val="auto"/>
        </w:rPr>
      </w:pPr>
    </w:p>
    <w:p>
      <w:pPr>
        <w:ind w:left="1220" w:right="1299"/>
        <w:spacing w:after="0" w:line="261" w:lineRule="auto"/>
        <w:rPr>
          <w:sz w:val="20"/>
          <w:szCs w:val="20"/>
          <w:color w:val="auto"/>
        </w:rPr>
      </w:pPr>
      <w:r>
        <w:rPr>
          <w:rFonts w:ascii="Arial" w:cs="Arial" w:eastAsia="Arial" w:hAnsi="Arial"/>
          <w:sz w:val="14"/>
          <w:szCs w:val="14"/>
          <w:color w:val="auto"/>
        </w:rPr>
        <w:t>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spacing w:after="0" w:line="85" w:lineRule="exact"/>
        <w:rPr>
          <w:sz w:val="20"/>
          <w:szCs w:val="20"/>
          <w:color w:val="auto"/>
        </w:rPr>
      </w:pPr>
    </w:p>
    <w:p>
      <w:pPr>
        <w:ind w:left="1340" w:hanging="116"/>
        <w:spacing w:after="0"/>
        <w:tabs>
          <w:tab w:leader="none" w:pos="1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expenditure of substantial operational, financial and management resources;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dilutive issuances of our securities;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substantial actual or contingent liabilities; and</w:t>
      </w:r>
    </w:p>
    <w:p>
      <w:pPr>
        <w:spacing w:after="0" w:line="108" w:lineRule="exact"/>
        <w:rPr>
          <w:rFonts w:ascii="Arial" w:cs="Arial" w:eastAsia="Arial" w:hAnsi="Arial"/>
          <w:sz w:val="14"/>
          <w:szCs w:val="14"/>
          <w:color w:val="auto"/>
        </w:rPr>
      </w:pPr>
    </w:p>
    <w:p>
      <w:pPr>
        <w:ind w:left="1340" w:right="1639" w:hanging="116"/>
        <w:spacing w:after="0" w:line="290" w:lineRule="auto"/>
        <w:tabs>
          <w:tab w:leader="none" w:pos="1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termination or expiration of the arrangement, which would delay the development and may increase the cost of developing our product candidates.</w:t>
      </w:r>
    </w:p>
    <w:p>
      <w:pPr>
        <w:spacing w:after="0" w:line="96" w:lineRule="exact"/>
        <w:rPr>
          <w:sz w:val="20"/>
          <w:szCs w:val="20"/>
          <w:color w:val="auto"/>
        </w:rPr>
      </w:pPr>
    </w:p>
    <w:p>
      <w:pPr>
        <w:ind w:left="1220" w:right="1239"/>
        <w:spacing w:after="0" w:line="277" w:lineRule="auto"/>
        <w:rPr>
          <w:sz w:val="20"/>
          <w:szCs w:val="20"/>
          <w:color w:val="auto"/>
        </w:rPr>
      </w:pPr>
      <w:r>
        <w:rPr>
          <w:rFonts w:ascii="Arial" w:cs="Arial" w:eastAsia="Arial" w:hAnsi="Arial"/>
          <w:sz w:val="14"/>
          <w:szCs w:val="14"/>
          <w:color w:val="auto"/>
        </w:rPr>
        <w:t>Strategic partners may also delay clinical trials, experience financial difficulties, provide insufficient funding, terminate a clinical trial, or abandon a product candidate, which could negatively impact our development efforts.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spacing w:after="0" w:line="277"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All of the risks relating to product development, regulatory approval, and commercialization described in this prospectus also apply to the activities of our program collaborators. Additionally, subject to its contractual obligations to us, if one of our collaborators is involved in a business combination, the collaborator may deemphasize or terminate the development or commercialization of any product candidate licensed to it by us. If our collaborator terminates its agreement with us, it may find it more difficult to attract new collaborators.</w:t>
      </w:r>
    </w:p>
    <w:p>
      <w:pPr>
        <w:spacing w:after="0" w:line="30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Risks related to manufacturing</w:t>
      </w:r>
    </w:p>
    <w:p>
      <w:pPr>
        <w:spacing w:after="0" w:line="160" w:lineRule="exact"/>
        <w:rPr>
          <w:sz w:val="20"/>
          <w:szCs w:val="20"/>
          <w:color w:val="auto"/>
        </w:rPr>
      </w:pPr>
    </w:p>
    <w:p>
      <w:pPr>
        <w:jc w:val="both"/>
        <w:ind w:left="1220" w:right="1319"/>
        <w:spacing w:after="0" w:line="245" w:lineRule="auto"/>
        <w:rPr>
          <w:sz w:val="20"/>
          <w:szCs w:val="20"/>
          <w:color w:val="auto"/>
        </w:rPr>
      </w:pPr>
      <w:r>
        <w:rPr>
          <w:rFonts w:ascii="Arial" w:cs="Arial" w:eastAsia="Arial" w:hAnsi="Arial"/>
          <w:sz w:val="14"/>
          <w:szCs w:val="14"/>
          <w:b w:val="1"/>
          <w:bCs w:val="1"/>
          <w:i w:val="1"/>
          <w:iCs w:val="1"/>
          <w:color w:val="auto"/>
        </w:rPr>
        <w:t>The manufacture and distribution of our iPSC-derived cell product candidates is complex and subject to a multitude of risks. These risks could substantially increase our costs and limit the clinical and commercial supply of our product candidates.</w:t>
      </w:r>
    </w:p>
    <w:p>
      <w:pPr>
        <w:spacing w:after="0" w:line="116" w:lineRule="exact"/>
        <w:rPr>
          <w:sz w:val="20"/>
          <w:szCs w:val="20"/>
          <w:color w:val="auto"/>
        </w:rPr>
      </w:pPr>
    </w:p>
    <w:p>
      <w:pPr>
        <w:ind w:left="1220" w:right="1319"/>
        <w:spacing w:after="0" w:line="275" w:lineRule="auto"/>
        <w:rPr>
          <w:sz w:val="20"/>
          <w:szCs w:val="20"/>
          <w:color w:val="auto"/>
        </w:rPr>
      </w:pPr>
      <w:r>
        <w:rPr>
          <w:rFonts w:ascii="Arial" w:cs="Arial" w:eastAsia="Arial" w:hAnsi="Arial"/>
          <w:sz w:val="14"/>
          <w:szCs w:val="14"/>
          <w:color w:val="auto"/>
        </w:rPr>
        <w:t>The manufacture and supply of our product candidates involve novel processes that are more complex than those required for most drugs, biologics and other cellular immunotherapies and, accordingly, present significant challenges and are subject to multiple risks. These complex processes include reprogramming human somatic cells to obtain iPSCs, genetically engineering these iPSCs, and differentiating the iPSCs to obtain the desired product candidate. As a result of the complexities in manufacturing biologics and distributing cell therapies, the cost to manufacture and distribute biologics and cell therapies in general, and our cell product candidates in particular, is generally higher than traditional small molecule chemical compounds. In addition, our cost of goods development is at an early stage. The actual cost to manufacture and process our product candidates could be greater than we expect and could materially and adversely affect the commercial viability of our product candidates.</w:t>
      </w:r>
    </w:p>
    <w:p>
      <w:pPr>
        <w:spacing w:after="0" w:line="292" w:lineRule="exact"/>
        <w:rPr>
          <w:sz w:val="20"/>
          <w:szCs w:val="20"/>
          <w:color w:val="auto"/>
        </w:rPr>
      </w:pPr>
    </w:p>
    <w:p>
      <w:pPr>
        <w:ind w:left="1220" w:right="1319"/>
        <w:spacing w:after="0" w:line="278" w:lineRule="auto"/>
        <w:rPr>
          <w:sz w:val="20"/>
          <w:szCs w:val="20"/>
          <w:color w:val="auto"/>
        </w:rPr>
      </w:pPr>
      <w:r>
        <w:rPr>
          <w:rFonts w:ascii="Arial" w:cs="Arial" w:eastAsia="Arial" w:hAnsi="Arial"/>
          <w:sz w:val="14"/>
          <w:szCs w:val="14"/>
          <w:color w:val="auto"/>
        </w:rPr>
        <w:t>We have no direct experience in the manufacture of cell-based therapies. We are still developing with third parties optimized and reproducible manufacturing processes for clinical and commercial-scale manufacturing of our product candidates, and none of our manufacturing processes have been validated for commercial production</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3" w:name="page34"/>
    <w:bookmarkEnd w:id="3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59"/>
        <w:spacing w:after="0" w:line="261" w:lineRule="auto"/>
        <w:rPr>
          <w:sz w:val="20"/>
          <w:szCs w:val="20"/>
          <w:color w:val="auto"/>
        </w:rPr>
      </w:pPr>
      <w:r>
        <w:rPr>
          <w:rFonts w:ascii="Arial" w:cs="Arial" w:eastAsia="Arial" w:hAnsi="Arial"/>
          <w:sz w:val="14"/>
          <w:szCs w:val="14"/>
          <w:color w:val="auto"/>
        </w:rPr>
        <w:t>of our product candidates. In addition, we are still optimizing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w:t>
      </w:r>
    </w:p>
    <w:p>
      <w:pPr>
        <w:spacing w:after="0" w:line="9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We may make changes as we continue to develop and refine the manufacturing and distribution processes for our product candidates for clinical trials and commercialization, and we cannot be sure that even minor changes in these processes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preclinical or comparability studies, or to collect additional clinical data from patients prior to 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spacing w:after="0" w:line="307" w:lineRule="exact"/>
        <w:rPr>
          <w:sz w:val="20"/>
          <w:szCs w:val="20"/>
          <w:color w:val="auto"/>
        </w:rPr>
      </w:pPr>
    </w:p>
    <w:p>
      <w:pPr>
        <w:ind w:left="1220" w:right="1339"/>
        <w:spacing w:after="0" w:line="234" w:lineRule="auto"/>
        <w:rPr>
          <w:sz w:val="20"/>
          <w:szCs w:val="20"/>
          <w:color w:val="auto"/>
        </w:rPr>
      </w:pPr>
      <w:r>
        <w:rPr>
          <w:rFonts w:ascii="Arial" w:cs="Arial" w:eastAsia="Arial" w:hAnsi="Arial"/>
          <w:sz w:val="14"/>
          <w:szCs w:val="14"/>
          <w:b w:val="1"/>
          <w:bCs w:val="1"/>
          <w:i w:val="1"/>
          <w:iCs w:val="1"/>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 required for the manufacture of our product candidates and do not have supply arrangements for certain of these components.</w:t>
      </w:r>
    </w:p>
    <w:p>
      <w:pPr>
        <w:spacing w:after="0" w:line="78"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Manufacturing our product candidates requires many reagents and other specialty materials and equipment, some of which are manufactured or supplied by small companies with limited resources and experience to support commercial biologics production. To date, we and our clinical cell processing facilities and CMOs have purchased equipment, materials, and disposables, such as automated cell washing devices, automated cell warming units, commercially available media, and cell transfer and wash sets, used for the manufacture of our existing product candidates from third-party suppliers. Some of these suppliers may not have the capacity to support commercial products manufactured under cGMP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 party for the supply of certain required components, including our pharmacologic modulators and components for our cell processing media. As a result of the COVID-19 pandemic, the business and operations of our suppliers may be disrupted or delayed, and we in turn may experience disruptions or delays in our supply chain. An inability to continue to source product from any of these suppliers, which could be due to the impacts of the COVID-19 pandemic,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200" w:lineRule="exact"/>
        <w:rPr>
          <w:sz w:val="20"/>
          <w:szCs w:val="20"/>
          <w:color w:val="auto"/>
        </w:rPr>
      </w:pPr>
    </w:p>
    <w:p>
      <w:pPr>
        <w:spacing w:after="0" w:line="254"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our clinical development of our product candidates and harm our business.</w:t>
      </w:r>
    </w:p>
    <w:p>
      <w:pPr>
        <w:spacing w:after="0" w:line="310" w:lineRule="exact"/>
        <w:rPr>
          <w:sz w:val="20"/>
          <w:szCs w:val="20"/>
          <w:color w:val="auto"/>
        </w:rPr>
      </w:pPr>
    </w:p>
    <w:p>
      <w:pPr>
        <w:ind w:left="1220" w:right="1459"/>
        <w:spacing w:after="0" w:line="245" w:lineRule="auto"/>
        <w:rPr>
          <w:sz w:val="20"/>
          <w:szCs w:val="20"/>
          <w:color w:val="auto"/>
        </w:rPr>
      </w:pPr>
      <w:r>
        <w:rPr>
          <w:rFonts w:ascii="Arial" w:cs="Arial" w:eastAsia="Arial" w:hAnsi="Arial"/>
          <w:sz w:val="14"/>
          <w:szCs w:val="14"/>
          <w:b w:val="1"/>
          <w:bCs w:val="1"/>
          <w:i w:val="1"/>
          <w:iCs w:val="1"/>
          <w:color w:val="auto"/>
        </w:rPr>
        <w:t>We currently rely on third parties for the manufacture of our product candidates for development, however, we intend to operate our own manufacturing facility in the future for the production of certain of our product candidates.</w:t>
      </w:r>
    </w:p>
    <w:p>
      <w:pPr>
        <w:spacing w:after="0" w:line="73" w:lineRule="exact"/>
        <w:rPr>
          <w:sz w:val="20"/>
          <w:szCs w:val="20"/>
          <w:color w:val="auto"/>
        </w:rPr>
      </w:pPr>
    </w:p>
    <w:p>
      <w:pPr>
        <w:ind w:left="1220" w:right="1359"/>
        <w:spacing w:after="0" w:line="265" w:lineRule="auto"/>
        <w:rPr>
          <w:sz w:val="20"/>
          <w:szCs w:val="20"/>
          <w:color w:val="auto"/>
        </w:rPr>
      </w:pPr>
      <w:r>
        <w:rPr>
          <w:rFonts w:ascii="Arial" w:cs="Arial" w:eastAsia="Arial" w:hAnsi="Arial"/>
          <w:sz w:val="14"/>
          <w:szCs w:val="14"/>
          <w:color w:val="auto"/>
        </w:rPr>
        <w:t>We currently do not operate manufacturing facilities and rely on FCDI for the manufacture of our product candidates and CMOs for the manufacture of related raw materials for clinical and preclinical development. If we</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4" w:name="page35"/>
    <w:bookmarkEnd w:id="3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are unable to successfully construct our own manufacturing facilities, we expect to rely on third parties for commercial manufacture if any of our product candidates receive marketing approval. We have partnered with FCDI for the manufacture and supply of our product candidates for future clinical development, as well as to establish commercial supplies of our product candidates, if approved. If either of our Manufacturing Agreement or Master Collaboration Agreement with FCDI terminates, and if we need to enter into alternative arrangements, our product development activities would be delayed and our business, financial condition, results of operations, and prospects may be materially harmed. See “Business--Licensing, partnerships and collaboration— Fujifilm Cellular Dynamics, Inc.—Manufacturing and Supply Agreement” and “Business— Licensing, partnerships and collaboration—Fujifilm Cellular Dynamics, Inc.—Master Collaboration Agreement” for a description of our Manufacturing Agreement and Master Collaboration Agreement with FCDI. We are investing in the construction of our own 53,000 square foot cell therapy manufacturing facility in Branchburg, New Jersey, but there can be no assurance our manufacturing facility will become operational on schedule or at all.</w:t>
      </w:r>
    </w:p>
    <w:p>
      <w:pPr>
        <w:spacing w:after="0" w:line="275"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The facilities used by us, FCDI, and any other manufacturers with which we may collaborate must be approved by the FDA pursuant to inspections that will be conducted after we submit a BLA to the FDA. For manufacturing facilities in which we do not operate, we do not control the manufacturing process of, and are completely dependent on, CMOs for compliance with cGMP requirements for the manufacture of biologic products. If these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CMOs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CMO,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 candidates.</w:t>
      </w:r>
    </w:p>
    <w:p>
      <w:pPr>
        <w:spacing w:after="0" w:line="200" w:lineRule="exact"/>
        <w:rPr>
          <w:sz w:val="20"/>
          <w:szCs w:val="20"/>
          <w:color w:val="auto"/>
        </w:rPr>
      </w:pPr>
    </w:p>
    <w:p>
      <w:pPr>
        <w:spacing w:after="0" w:line="257" w:lineRule="exact"/>
        <w:rPr>
          <w:sz w:val="20"/>
          <w:szCs w:val="20"/>
          <w:color w:val="auto"/>
        </w:rPr>
      </w:pPr>
    </w:p>
    <w:p>
      <w:pPr>
        <w:ind w:left="1220" w:right="1379"/>
        <w:spacing w:after="0" w:line="265" w:lineRule="auto"/>
        <w:rPr>
          <w:sz w:val="20"/>
          <w:szCs w:val="20"/>
          <w:color w:val="auto"/>
        </w:rPr>
      </w:pPr>
      <w:r>
        <w:rPr>
          <w:rFonts w:ascii="Arial" w:cs="Arial" w:eastAsia="Arial" w:hAnsi="Arial"/>
          <w:sz w:val="14"/>
          <w:szCs w:val="14"/>
          <w:color w:val="auto"/>
        </w:rPr>
        <w:t>Our or a CMO’s failure to execute on our manufacturing requirements, to do so on commercially reasonable terms and comply with cGMP could adversely affect our business in a number of ways, including:</w:t>
      </w:r>
    </w:p>
    <w:p>
      <w:pPr>
        <w:spacing w:after="0" w:line="71" w:lineRule="exact"/>
        <w:rPr>
          <w:sz w:val="20"/>
          <w:szCs w:val="20"/>
          <w:color w:val="auto"/>
        </w:rPr>
      </w:pPr>
    </w:p>
    <w:p>
      <w:pPr>
        <w:ind w:left="1340" w:right="1579" w:hanging="116"/>
        <w:spacing w:after="0" w:line="290" w:lineRule="auto"/>
        <w:tabs>
          <w:tab w:leader="none" w:pos="1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 inability to initiate or continue clinical trials of CNTY-101 or our other product candidates under development;</w:t>
      </w:r>
    </w:p>
    <w:p>
      <w:pPr>
        <w:spacing w:after="0" w:line="64" w:lineRule="exact"/>
        <w:rPr>
          <w:rFonts w:ascii="Arial" w:cs="Arial" w:eastAsia="Arial" w:hAnsi="Arial"/>
          <w:sz w:val="14"/>
          <w:szCs w:val="14"/>
          <w:color w:val="auto"/>
        </w:rPr>
      </w:pPr>
    </w:p>
    <w:p>
      <w:pPr>
        <w:ind w:left="1340" w:right="1499" w:hanging="116"/>
        <w:spacing w:after="0" w:line="290" w:lineRule="auto"/>
        <w:tabs>
          <w:tab w:leader="none" w:pos="1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delay in submitting regulatory applications, or receiving marketing approvals, for our product candidates;</w:t>
      </w:r>
    </w:p>
    <w:p>
      <w:pPr>
        <w:spacing w:after="0" w:line="53" w:lineRule="exact"/>
        <w:rPr>
          <w:rFonts w:ascii="Arial" w:cs="Arial" w:eastAsia="Arial" w:hAnsi="Arial"/>
          <w:sz w:val="14"/>
          <w:szCs w:val="14"/>
          <w:color w:val="auto"/>
        </w:rPr>
      </w:pPr>
    </w:p>
    <w:p>
      <w:pPr>
        <w:ind w:left="1340" w:right="1779" w:hanging="116"/>
        <w:spacing w:after="0" w:line="290" w:lineRule="auto"/>
        <w:tabs>
          <w:tab w:leader="none" w:pos="1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subjecting third-party manufacturing facilities or our manufacturing facilities to additional inspections by regulatory authorities;</w:t>
      </w:r>
    </w:p>
    <w:p>
      <w:pPr>
        <w:spacing w:after="0" w:line="53" w:lineRule="exact"/>
        <w:rPr>
          <w:rFonts w:ascii="Arial" w:cs="Arial" w:eastAsia="Arial" w:hAnsi="Arial"/>
          <w:sz w:val="14"/>
          <w:szCs w:val="14"/>
          <w:color w:val="auto"/>
        </w:rPr>
      </w:pPr>
    </w:p>
    <w:p>
      <w:pPr>
        <w:ind w:left="1340" w:hanging="116"/>
        <w:spacing w:after="0"/>
        <w:tabs>
          <w:tab w:leader="none" w:pos="1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requirements to cease development or to recall batches of our product candidates; and</w:t>
      </w:r>
    </w:p>
    <w:p>
      <w:pPr>
        <w:spacing w:after="0" w:line="108" w:lineRule="exact"/>
        <w:rPr>
          <w:rFonts w:ascii="Arial" w:cs="Arial" w:eastAsia="Arial" w:hAnsi="Arial"/>
          <w:sz w:val="14"/>
          <w:szCs w:val="14"/>
          <w:color w:val="auto"/>
        </w:rPr>
      </w:pPr>
    </w:p>
    <w:p>
      <w:pPr>
        <w:ind w:left="1340" w:right="1779" w:hanging="116"/>
        <w:spacing w:after="0" w:line="281" w:lineRule="auto"/>
        <w:tabs>
          <w:tab w:leader="none" w:pos="1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 the event of approval to market and commercialize CNTY-101 or our other product candidates, an inability to meet commercial demands for CNTY-101 or our other product candidates.</w:t>
      </w:r>
    </w:p>
    <w:p>
      <w:pPr>
        <w:spacing w:after="0" w:line="82" w:lineRule="exact"/>
        <w:rPr>
          <w:sz w:val="20"/>
          <w:szCs w:val="20"/>
          <w:color w:val="auto"/>
        </w:rPr>
      </w:pPr>
    </w:p>
    <w:p>
      <w:pPr>
        <w:ind w:left="1220" w:right="1379"/>
        <w:spacing w:after="0" w:line="262" w:lineRule="auto"/>
        <w:rPr>
          <w:sz w:val="20"/>
          <w:szCs w:val="20"/>
          <w:color w:val="auto"/>
        </w:rPr>
      </w:pPr>
      <w:r>
        <w:rPr>
          <w:rFonts w:ascii="Arial" w:cs="Arial" w:eastAsia="Arial" w:hAnsi="Arial"/>
          <w:sz w:val="14"/>
          <w:szCs w:val="14"/>
          <w:color w:val="auto"/>
        </w:rPr>
        <w:t>Any performance failure on the part of us or our existing or future CMOs could delay clinical development or marketing approval, and any related remedial measures may be costly or time-consuming to implement. If our current CMOs cannot perform as agreed, we may be required to replace such manufacturers and we may be unable to replace them on a timely basis or at all.</w:t>
      </w:r>
    </w:p>
    <w:p>
      <w:pPr>
        <w:spacing w:after="0" w:line="106" w:lineRule="exact"/>
        <w:rPr>
          <w:sz w:val="20"/>
          <w:szCs w:val="20"/>
          <w:color w:val="auto"/>
        </w:rPr>
      </w:pPr>
    </w:p>
    <w:p>
      <w:pPr>
        <w:ind w:left="1220" w:right="1439"/>
        <w:spacing w:after="0" w:line="265" w:lineRule="auto"/>
        <w:rPr>
          <w:sz w:val="20"/>
          <w:szCs w:val="20"/>
          <w:color w:val="auto"/>
        </w:rPr>
      </w:pPr>
      <w:r>
        <w:rPr>
          <w:rFonts w:ascii="Arial" w:cs="Arial" w:eastAsia="Arial" w:hAnsi="Arial"/>
          <w:sz w:val="14"/>
          <w:szCs w:val="14"/>
          <w:color w:val="auto"/>
        </w:rPr>
        <w:t>Our current and anticipated future dependence upon CMOs for the manufacture of our product candidates or products may adversely affect our future profit margins and our ability to commercialize any products that receive marketing approval on a timely and competitive basis.</w:t>
      </w:r>
    </w:p>
    <w:p>
      <w:pPr>
        <w:spacing w:after="0" w:line="130" w:lineRule="exact"/>
        <w:rPr>
          <w:sz w:val="20"/>
          <w:szCs w:val="20"/>
          <w:color w:val="auto"/>
        </w:rPr>
      </w:pPr>
    </w:p>
    <w:p>
      <w:pPr>
        <w:jc w:val="both"/>
        <w:ind w:left="1220" w:right="1739"/>
        <w:spacing w:after="0" w:line="245" w:lineRule="auto"/>
        <w:rPr>
          <w:sz w:val="20"/>
          <w:szCs w:val="20"/>
          <w:color w:val="auto"/>
        </w:rPr>
      </w:pPr>
      <w:r>
        <w:rPr>
          <w:rFonts w:ascii="Arial" w:cs="Arial" w:eastAsia="Arial" w:hAnsi="Arial"/>
          <w:sz w:val="14"/>
          <w:szCs w:val="14"/>
          <w:b w:val="1"/>
          <w:bCs w:val="1"/>
          <w:i w:val="1"/>
          <w:iCs w:val="1"/>
          <w:color w:val="auto"/>
        </w:rPr>
        <w:t>Delays in commissioning and receiving regulatory approvals for our manufacturing facilities could delay our development plans and thereby limit our ability to generate revenues.</w:t>
      </w:r>
    </w:p>
    <w:p>
      <w:pPr>
        <w:spacing w:after="0" w:line="106" w:lineRule="exact"/>
        <w:rPr>
          <w:sz w:val="20"/>
          <w:szCs w:val="20"/>
          <w:color w:val="auto"/>
        </w:rPr>
      </w:pPr>
    </w:p>
    <w:p>
      <w:pPr>
        <w:ind w:left="1220" w:right="1479"/>
        <w:spacing w:after="0" w:line="265" w:lineRule="auto"/>
        <w:rPr>
          <w:sz w:val="20"/>
          <w:szCs w:val="20"/>
          <w:color w:val="auto"/>
        </w:rPr>
      </w:pPr>
      <w:r>
        <w:rPr>
          <w:rFonts w:ascii="Arial" w:cs="Arial" w:eastAsia="Arial" w:hAnsi="Arial"/>
          <w:sz w:val="14"/>
          <w:szCs w:val="14"/>
          <w:color w:val="auto"/>
        </w:rPr>
        <w:t>We believe that internal cGMP manufacturing is important to facilitate clinical product supply, lower the risk of manufacturing disruptions, and enable more cost-effective manufacturing. We believe our Branchburg, New Jersey</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5" w:name="page36"/>
    <w:bookmarkEnd w:id="3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79"/>
        <w:spacing w:after="0" w:line="262" w:lineRule="auto"/>
        <w:rPr>
          <w:sz w:val="20"/>
          <w:szCs w:val="20"/>
          <w:color w:val="auto"/>
        </w:rPr>
      </w:pPr>
      <w:r>
        <w:rPr>
          <w:rFonts w:ascii="Arial" w:cs="Arial" w:eastAsia="Arial" w:hAnsi="Arial"/>
          <w:sz w:val="14"/>
          <w:szCs w:val="14"/>
          <w:color w:val="auto"/>
        </w:rPr>
        <w:t>facility, once complete, will allow us to supply certain of our product candidates needed for our early-stage clinical trials and preclinical studies. The design, construction, qualification, and regulatory approvals for such facilities require substantial capital and technical expertise and any delay could limit our development activities and our opportunities for growth, or negatively impact our financial results.</w:t>
      </w:r>
    </w:p>
    <w:p>
      <w:pPr>
        <w:spacing w:after="0" w:line="268"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Furthermore, our manufacturing facility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product candidates, delays, suspension or withdrawal of approvals, license revocation, seizures or recalls of product candidates, operating restrictions, and criminal prosecutions, any of which could materially adversely affect our business, financial condition, results of operations, and growth prospects.</w:t>
      </w:r>
    </w:p>
    <w:p>
      <w:pPr>
        <w:spacing w:after="0" w:line="29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We also may encounter problems with the following:</w:t>
      </w:r>
    </w:p>
    <w:p>
      <w:pPr>
        <w:spacing w:after="0" w:line="98" w:lineRule="exact"/>
        <w:rPr>
          <w:sz w:val="20"/>
          <w:szCs w:val="20"/>
          <w:color w:val="auto"/>
        </w:rPr>
      </w:pPr>
    </w:p>
    <w:p>
      <w:pPr>
        <w:ind w:left="1340" w:right="1679" w:hanging="116"/>
        <w:spacing w:after="0" w:line="290" w:lineRule="auto"/>
        <w:tabs>
          <w:tab w:leader="none" w:pos="1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complying with regulations regarding donor traceability, manufacturing, release of product candidates and other requirements from regulatory authorities outside the United States;</w:t>
      </w:r>
    </w:p>
    <w:p>
      <w:pPr>
        <w:spacing w:after="0" w:line="64" w:lineRule="exact"/>
        <w:rPr>
          <w:rFonts w:ascii="Arial" w:cs="Arial" w:eastAsia="Arial" w:hAnsi="Arial"/>
          <w:sz w:val="14"/>
          <w:szCs w:val="14"/>
          <w:color w:val="auto"/>
        </w:rPr>
      </w:pPr>
    </w:p>
    <w:p>
      <w:pPr>
        <w:ind w:left="1340" w:right="1779" w:hanging="116"/>
        <w:spacing w:after="0" w:line="290" w:lineRule="auto"/>
        <w:tabs>
          <w:tab w:leader="none" w:pos="1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achieving adequate or clinical-grade materials that meet regulatory agency standards or specifications with consistent and acceptable production yield and costs;</w:t>
      </w:r>
    </w:p>
    <w:p>
      <w:pPr>
        <w:spacing w:after="0" w:line="53" w:lineRule="exact"/>
        <w:rPr>
          <w:rFonts w:ascii="Arial" w:cs="Arial" w:eastAsia="Arial" w:hAnsi="Arial"/>
          <w:sz w:val="14"/>
          <w:szCs w:val="14"/>
          <w:color w:val="auto"/>
        </w:rPr>
      </w:pPr>
    </w:p>
    <w:p>
      <w:pPr>
        <w:ind w:left="1340" w:hanging="116"/>
        <w:spacing w:after="0"/>
        <w:tabs>
          <w:tab w:leader="none" w:pos="1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bacterial, fungal, or viral contamination in our manufacturing facility; and</w:t>
      </w:r>
    </w:p>
    <w:p>
      <w:pPr>
        <w:spacing w:after="0" w:line="97" w:lineRule="exact"/>
        <w:rPr>
          <w:rFonts w:ascii="Arial" w:cs="Arial" w:eastAsia="Arial" w:hAnsi="Arial"/>
          <w:sz w:val="14"/>
          <w:szCs w:val="14"/>
          <w:color w:val="auto"/>
        </w:rPr>
      </w:pPr>
    </w:p>
    <w:p>
      <w:pPr>
        <w:ind w:left="1340" w:hanging="116"/>
        <w:spacing w:after="0"/>
        <w:tabs>
          <w:tab w:leader="none" w:pos="1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shortages of qualified personnel, raw materials, or key contractors.</w:t>
      </w:r>
    </w:p>
    <w:p>
      <w:pPr>
        <w:spacing w:after="0" w:line="130"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135" w:lineRule="exact"/>
        <w:rPr>
          <w:sz w:val="20"/>
          <w:szCs w:val="20"/>
          <w:color w:val="auto"/>
        </w:rPr>
      </w:pPr>
    </w:p>
    <w:p>
      <w:pPr>
        <w:ind w:left="1220" w:right="1399"/>
        <w:spacing w:after="0" w:line="265" w:lineRule="auto"/>
        <w:rPr>
          <w:sz w:val="20"/>
          <w:szCs w:val="20"/>
          <w:color w:val="auto"/>
        </w:rPr>
      </w:pPr>
      <w:r>
        <w:rPr>
          <w:rFonts w:ascii="Arial" w:cs="Arial" w:eastAsia="Arial" w:hAnsi="Arial"/>
          <w:sz w:val="14"/>
          <w:szCs w:val="14"/>
          <w:b w:val="1"/>
          <w:bCs w:val="1"/>
          <w:i w:val="1"/>
          <w:iCs w:val="1"/>
          <w:color w:val="auto"/>
        </w:rPr>
        <w:t>We are dependent on third parties to store our CAR-iNK and CAR-iT cells and master and working cell banks of the engineered iPSC cells.</w:t>
      </w:r>
    </w:p>
    <w:p>
      <w:pPr>
        <w:spacing w:after="0" w:line="81"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The CAR-iNK and CAR-iT cells and the master and working cell banks of the engineered iPSC cells are stored in freezers at third-party biorepositories and will also be stored in our freezers at our production facility if and when it becomes operational. If these materials are damaged at these facilities, including by the loss or malfunction of these freezers or our back-up power systems, as well as by damage from fire, power loss or other natural disasters, we would need to establish replacement CAR-iNK and CAR-iT cells and master and working cell banks of the engineered iPSC cells, which would impact clinical supply and delay patient treatment. If we are unable to establish replacement materials, we could incur significant additional expenses and liability to patients whose treatment is delayed, and our business could suffer.</w:t>
      </w:r>
    </w:p>
    <w:p>
      <w:pPr>
        <w:spacing w:after="0" w:line="13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Risks related to commercialization of our product candidates</w:t>
      </w:r>
    </w:p>
    <w:p>
      <w:pPr>
        <w:spacing w:after="0" w:line="160" w:lineRule="exact"/>
        <w:rPr>
          <w:sz w:val="20"/>
          <w:szCs w:val="20"/>
          <w:color w:val="auto"/>
        </w:rPr>
      </w:pPr>
    </w:p>
    <w:p>
      <w:pPr>
        <w:ind w:left="1220" w:right="1479"/>
        <w:spacing w:after="0" w:line="245" w:lineRule="auto"/>
        <w:rPr>
          <w:sz w:val="20"/>
          <w:szCs w:val="20"/>
          <w:color w:val="auto"/>
        </w:rPr>
      </w:pPr>
      <w:r>
        <w:rPr>
          <w:rFonts w:ascii="Arial" w:cs="Arial" w:eastAsia="Arial" w:hAnsi="Arial"/>
          <w:sz w:val="14"/>
          <w:szCs w:val="14"/>
          <w:b w:val="1"/>
          <w:bCs w:val="1"/>
          <w:i w:val="1"/>
          <w:iCs w:val="1"/>
          <w:color w:val="auto"/>
        </w:rPr>
        <w:t>If we are unable to successfully commercialize CNTY- 101 or any of our other product candidates for which we receive regulatory approval, or experience significant delays in doing so, our business will be materially harmed.</w:t>
      </w:r>
    </w:p>
    <w:p>
      <w:pPr>
        <w:spacing w:after="0" w:line="106" w:lineRule="exact"/>
        <w:rPr>
          <w:sz w:val="20"/>
          <w:szCs w:val="20"/>
          <w:color w:val="auto"/>
        </w:rPr>
      </w:pPr>
    </w:p>
    <w:p>
      <w:pPr>
        <w:jc w:val="both"/>
        <w:ind w:left="1220" w:right="1559"/>
        <w:spacing w:after="0" w:line="265" w:lineRule="auto"/>
        <w:rPr>
          <w:sz w:val="20"/>
          <w:szCs w:val="20"/>
          <w:color w:val="auto"/>
        </w:rPr>
      </w:pPr>
      <w:r>
        <w:rPr>
          <w:rFonts w:ascii="Arial" w:cs="Arial" w:eastAsia="Arial" w:hAnsi="Arial"/>
          <w:sz w:val="14"/>
          <w:szCs w:val="14"/>
          <w:color w:val="auto"/>
        </w:rPr>
        <w:t>If we are successful in obtaining marketing approval from applicable regulatory authorities for CNTY-101 or any of our other product candidates, our ability to generate revenues from such product candidates will depend on our success in:</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6" w:name="page37"/>
    <w:bookmarkEnd w:id="3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479" w:hanging="116"/>
        <w:spacing w:after="0" w:line="265" w:lineRule="auto"/>
        <w:tabs>
          <w:tab w:leader="none" w:pos="1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launching commercial sales of our product candidates, whether alone or in collaboration with others;</w:t>
      </w:r>
    </w:p>
    <w:p>
      <w:pPr>
        <w:spacing w:after="0" w:line="275" w:lineRule="exact"/>
        <w:rPr>
          <w:rFonts w:ascii="Arial" w:cs="Arial" w:eastAsia="Arial" w:hAnsi="Arial"/>
          <w:sz w:val="14"/>
          <w:szCs w:val="14"/>
          <w:color w:val="auto"/>
        </w:rPr>
      </w:pPr>
    </w:p>
    <w:p>
      <w:pPr>
        <w:ind w:left="1340" w:right="1339" w:hanging="116"/>
        <w:spacing w:after="0" w:line="281" w:lineRule="auto"/>
        <w:tabs>
          <w:tab w:leader="none" w:pos="1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receiving an approved label with claims that are necessary or desirable for successful marketing, and that does not contain safety or other limitations that would impede our ability to market our product candidates;</w:t>
      </w:r>
    </w:p>
    <w:p>
      <w:pPr>
        <w:spacing w:after="0" w:line="60" w:lineRule="exact"/>
        <w:rPr>
          <w:rFonts w:ascii="Arial" w:cs="Arial" w:eastAsia="Arial" w:hAnsi="Arial"/>
          <w:sz w:val="14"/>
          <w:szCs w:val="14"/>
          <w:color w:val="auto"/>
        </w:rPr>
      </w:pPr>
    </w:p>
    <w:p>
      <w:pPr>
        <w:ind w:left="1340" w:right="1479" w:hanging="116"/>
        <w:spacing w:after="0" w:line="290" w:lineRule="auto"/>
        <w:tabs>
          <w:tab w:leader="none" w:pos="1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creating market demand for our product candidates through marketing, sales, and promotion activities;</w:t>
      </w:r>
    </w:p>
    <w:p>
      <w:pPr>
        <w:spacing w:after="0" w:line="64" w:lineRule="exact"/>
        <w:rPr>
          <w:rFonts w:ascii="Arial" w:cs="Arial" w:eastAsia="Arial" w:hAnsi="Arial"/>
          <w:sz w:val="14"/>
          <w:szCs w:val="14"/>
          <w:color w:val="auto"/>
        </w:rPr>
      </w:pPr>
    </w:p>
    <w:p>
      <w:pPr>
        <w:ind w:left="1340" w:right="1479" w:hanging="116"/>
        <w:spacing w:after="0" w:line="290" w:lineRule="auto"/>
        <w:tabs>
          <w:tab w:leader="none" w:pos="1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hiring, training, and deploying a sales force or contracting with third parties to commercialize our product candidates;</w:t>
      </w:r>
    </w:p>
    <w:p>
      <w:pPr>
        <w:spacing w:after="0" w:line="64" w:lineRule="exact"/>
        <w:rPr>
          <w:rFonts w:ascii="Arial" w:cs="Arial" w:eastAsia="Arial" w:hAnsi="Arial"/>
          <w:sz w:val="14"/>
          <w:szCs w:val="14"/>
          <w:color w:val="auto"/>
        </w:rPr>
      </w:pPr>
    </w:p>
    <w:p>
      <w:pPr>
        <w:ind w:left="1340" w:right="1719" w:hanging="116"/>
        <w:spacing w:after="0" w:line="281" w:lineRule="auto"/>
        <w:tabs>
          <w:tab w:leader="none" w:pos="1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manufacturing, either on our own or through third parties, product candidates in sufficient quantities and at acceptable quality and cost to meet commercial demand at launch and thereafter;</w:t>
      </w:r>
    </w:p>
    <w:p>
      <w:pPr>
        <w:spacing w:after="0" w:line="71" w:lineRule="exact"/>
        <w:rPr>
          <w:rFonts w:ascii="Arial" w:cs="Arial" w:eastAsia="Arial" w:hAnsi="Arial"/>
          <w:sz w:val="14"/>
          <w:szCs w:val="14"/>
          <w:color w:val="auto"/>
        </w:rPr>
      </w:pPr>
    </w:p>
    <w:p>
      <w:pPr>
        <w:ind w:left="1340" w:right="1399" w:hanging="116"/>
        <w:spacing w:after="0" w:line="290" w:lineRule="auto"/>
        <w:tabs>
          <w:tab w:leader="none" w:pos="1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establishing and maintaining agreements with wholesalers, distributors, and group purchasing organizations on commercially reasonable terms;</w:t>
      </w:r>
    </w:p>
    <w:p>
      <w:pPr>
        <w:spacing w:after="0" w:line="64" w:lineRule="exact"/>
        <w:rPr>
          <w:rFonts w:ascii="Arial" w:cs="Arial" w:eastAsia="Arial" w:hAnsi="Arial"/>
          <w:sz w:val="14"/>
          <w:szCs w:val="14"/>
          <w:color w:val="auto"/>
        </w:rPr>
      </w:pPr>
    </w:p>
    <w:p>
      <w:pPr>
        <w:ind w:left="1340" w:right="1639" w:hanging="116"/>
        <w:spacing w:after="0" w:line="290" w:lineRule="auto"/>
        <w:tabs>
          <w:tab w:leader="none" w:pos="1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creating partnerships with, or offering licenses to, third parties to promote and sell product candidates in foreign markets where we receive marketing approval;</w:t>
      </w:r>
    </w:p>
    <w:p>
      <w:pPr>
        <w:spacing w:after="0" w:line="64" w:lineRule="exact"/>
        <w:rPr>
          <w:rFonts w:ascii="Arial" w:cs="Arial" w:eastAsia="Arial" w:hAnsi="Arial"/>
          <w:sz w:val="14"/>
          <w:szCs w:val="14"/>
          <w:color w:val="auto"/>
        </w:rPr>
      </w:pPr>
    </w:p>
    <w:p>
      <w:pPr>
        <w:ind w:left="1340" w:right="1839" w:hanging="116"/>
        <w:spacing w:after="0" w:line="290" w:lineRule="auto"/>
        <w:tabs>
          <w:tab w:leader="none" w:pos="1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obtaining, maintaining, protecting, and enforcing patent and trade secret protection and regulatory exclusivity for our product candidates;</w:t>
      </w:r>
    </w:p>
    <w:p>
      <w:pPr>
        <w:spacing w:after="0" w:line="64" w:lineRule="exact"/>
        <w:rPr>
          <w:rFonts w:ascii="Arial" w:cs="Arial" w:eastAsia="Arial" w:hAnsi="Arial"/>
          <w:sz w:val="14"/>
          <w:szCs w:val="14"/>
          <w:color w:val="auto"/>
        </w:rPr>
      </w:pPr>
    </w:p>
    <w:p>
      <w:pPr>
        <w:ind w:left="1340" w:right="1519" w:hanging="116"/>
        <w:spacing w:after="0" w:line="290" w:lineRule="auto"/>
        <w:tabs>
          <w:tab w:leader="none" w:pos="1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achieving market acceptance of our product candidates by patients, the medical community, and third-party payors;</w:t>
      </w:r>
    </w:p>
    <w:p>
      <w:pPr>
        <w:spacing w:after="0" w:line="53" w:lineRule="exact"/>
        <w:rPr>
          <w:rFonts w:ascii="Arial" w:cs="Arial" w:eastAsia="Arial" w:hAnsi="Arial"/>
          <w:sz w:val="14"/>
          <w:szCs w:val="14"/>
          <w:color w:val="auto"/>
        </w:rPr>
      </w:pPr>
    </w:p>
    <w:p>
      <w:pPr>
        <w:ind w:left="1340" w:hanging="116"/>
        <w:spacing w:after="0"/>
        <w:tabs>
          <w:tab w:leader="none" w:pos="1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achieving appropriate reimbursement for our product candidates;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effectively competing with other therapies; and</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maintaining an acceptable tolerability profile of our product candidates following launch.</w:t>
      </w:r>
    </w:p>
    <w:p>
      <w:pPr>
        <w:spacing w:after="0" w:line="130" w:lineRule="exact"/>
        <w:rPr>
          <w:sz w:val="20"/>
          <w:szCs w:val="20"/>
          <w:color w:val="auto"/>
        </w:rPr>
      </w:pPr>
    </w:p>
    <w:p>
      <w:pPr>
        <w:ind w:left="1220" w:right="1299"/>
        <w:spacing w:after="0" w:line="274" w:lineRule="auto"/>
        <w:rPr>
          <w:sz w:val="20"/>
          <w:szCs w:val="20"/>
          <w:color w:val="auto"/>
        </w:rPr>
      </w:pPr>
      <w:r>
        <w:rPr>
          <w:rFonts w:ascii="Arial" w:cs="Arial" w:eastAsia="Arial" w:hAnsi="Arial"/>
          <w:sz w:val="14"/>
          <w:szCs w:val="14"/>
          <w:color w:val="auto"/>
        </w:rPr>
        <w:t>To the extent we are not able to do any of the foregoing, our business, financial condition, results of operations, and prospects will be materially harmed.</w:t>
      </w:r>
    </w:p>
    <w:p>
      <w:pPr>
        <w:spacing w:after="0" w:line="124" w:lineRule="exact"/>
        <w:rPr>
          <w:sz w:val="20"/>
          <w:szCs w:val="20"/>
          <w:color w:val="auto"/>
        </w:rPr>
      </w:pPr>
    </w:p>
    <w:p>
      <w:pPr>
        <w:ind w:left="1220" w:right="1399"/>
        <w:spacing w:after="0" w:line="245" w:lineRule="auto"/>
        <w:rPr>
          <w:sz w:val="20"/>
          <w:szCs w:val="20"/>
          <w:color w:val="auto"/>
        </w:rPr>
      </w:pPr>
      <w:r>
        <w:rPr>
          <w:rFonts w:ascii="Arial" w:cs="Arial" w:eastAsia="Arial" w:hAnsi="Arial"/>
          <w:sz w:val="14"/>
          <w:szCs w:val="14"/>
          <w:b w:val="1"/>
          <w:bCs w:val="1"/>
          <w:i w:val="1"/>
          <w:iCs w:val="1"/>
          <w:color w:val="auto"/>
        </w:rPr>
        <w:t>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06"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The biopharmaceutical and pharmaceutical industries are characterized by rapid innovation, intense and dynamic competition and a strong emphasis on proprietary and novel products and product candidates. While we believe that our technology, scientific knowledge, and experience in the field of cellular immunotherapy provide us with competitive advantages, we face potential competition from many different sources, including major pharmaceutical, specialty pharmaceutical and biopharmaceutical companies, academic institutions, governmental agencies, and public and private research institutions, as well as standard-of-care treatments, and new products undergoing development and combinations of existing and new therapies. Any product candidates that we successfully develop and commercialize will compete with existing therapies and new therapies, including combinations thereof, that may become available in the future. We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297"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We are developing off-the-shelf cell therapies by differentiating engineered iPSC into NK-, T-, or other immune cells for the treatment of various cancers. While we believe our genetically-engineered immune effector cell therapies derived from iPSC are highly differentiated, a number of companies are currently focused on the development of cellular immunotherapies for the treatment of cancer. In addition, because reprogramming technology and gene editing technology are available on a non-exclusive basis, the number of companies developing iPSC-derived products and products using gene editing technology is expected to increase, which will</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7" w:name="page38"/>
    <w:bookmarkEnd w:id="3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99"/>
        <w:spacing w:after="0" w:line="262" w:lineRule="auto"/>
        <w:rPr>
          <w:sz w:val="20"/>
          <w:szCs w:val="20"/>
          <w:color w:val="auto"/>
        </w:rPr>
      </w:pPr>
      <w:r>
        <w:rPr>
          <w:rFonts w:ascii="Arial" w:cs="Arial" w:eastAsia="Arial" w:hAnsi="Arial"/>
          <w:sz w:val="14"/>
          <w:szCs w:val="14"/>
          <w:color w:val="auto"/>
        </w:rPr>
        <w:t>increase competitive pressure on us. Moreover, the reprogramming technology licensed to us from FCDI and the gene editing technology licensed to us from Inscripta, Inc. are each licensed to us on a non-exclusive basis, and therefore third parties may obtain licenses to the same technology to compete with us.</w:t>
      </w:r>
    </w:p>
    <w:p>
      <w:pPr>
        <w:spacing w:after="0" w:line="95"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Our competitors also may obtain FDA or other regulatory approval for their products more rapidly than we may obtain approval for ours, which could result in our competitors establishing a strong market position before we are able to enter the market.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312" w:lineRule="exact"/>
        <w:rPr>
          <w:sz w:val="20"/>
          <w:szCs w:val="20"/>
          <w:color w:val="auto"/>
        </w:rPr>
      </w:pPr>
    </w:p>
    <w:p>
      <w:pPr>
        <w:ind w:left="1220" w:right="1279"/>
        <w:spacing w:after="0" w:line="265" w:lineRule="auto"/>
        <w:rPr>
          <w:sz w:val="20"/>
          <w:szCs w:val="20"/>
          <w:color w:val="auto"/>
        </w:rPr>
      </w:pPr>
      <w:r>
        <w:rPr>
          <w:rFonts w:ascii="Arial" w:cs="Arial" w:eastAsia="Arial" w:hAnsi="Arial"/>
          <w:sz w:val="14"/>
          <w:szCs w:val="14"/>
          <w:b w:val="1"/>
          <w:bCs w:val="1"/>
          <w:i w:val="1"/>
          <w:iCs w:val="1"/>
          <w:color w:val="auto"/>
        </w:rPr>
        <w:t>We expect to face uncertainty regarding the pricing of our existing product candidates and any other product candidates that we may develop.</w:t>
      </w:r>
    </w:p>
    <w:p>
      <w:pPr>
        <w:spacing w:after="0" w:line="92"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Due to the novel nature of our product candidates, we face significant uncertainty as to the pricing of any such products for which we may receive marketing approval. While we anticipate that pricing for any product candidates that we develop will be relatively high due to their anticipated use in the prevention or treatment of life-threatening diseases where therapeutic options are limited, the biopharmaceutical industry has recently experienced significant pricing pressures, including in the area of orphan drug products.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w:t>
      </w:r>
    </w:p>
    <w:p>
      <w:pPr>
        <w:spacing w:after="0" w:line="281"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In addition, we expect to experience pricing pressures in connection with the pricing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310" w:lineRule="exact"/>
        <w:rPr>
          <w:sz w:val="20"/>
          <w:szCs w:val="20"/>
          <w:color w:val="auto"/>
        </w:rPr>
      </w:pPr>
    </w:p>
    <w:p>
      <w:pPr>
        <w:ind w:left="1220" w:right="1559"/>
        <w:spacing w:after="0" w:line="245" w:lineRule="auto"/>
        <w:rPr>
          <w:sz w:val="20"/>
          <w:szCs w:val="20"/>
          <w:color w:val="auto"/>
        </w:rPr>
      </w:pPr>
      <w:r>
        <w:rPr>
          <w:rFonts w:ascii="Arial" w:cs="Arial" w:eastAsia="Arial" w:hAnsi="Arial"/>
          <w:sz w:val="14"/>
          <w:szCs w:val="14"/>
          <w:b w:val="1"/>
          <w:bCs w:val="1"/>
          <w:i w:val="1"/>
          <w:iCs w:val="1"/>
          <w:color w:val="auto"/>
        </w:rPr>
        <w:t>The insurance coverage and reimbursement status of newly-approved products is uncertain. Failure to obtain or maintain adequate coverage and reimbursement for new products could limit our product revenues.</w:t>
      </w:r>
    </w:p>
    <w:p>
      <w:pPr>
        <w:spacing w:after="0" w:line="95" w:lineRule="exact"/>
        <w:rPr>
          <w:sz w:val="20"/>
          <w:szCs w:val="20"/>
          <w:color w:val="auto"/>
        </w:rPr>
      </w:pPr>
    </w:p>
    <w:p>
      <w:pPr>
        <w:ind w:left="1220" w:right="1299"/>
        <w:spacing w:after="0" w:line="258" w:lineRule="auto"/>
        <w:rPr>
          <w:sz w:val="20"/>
          <w:szCs w:val="20"/>
          <w:color w:val="auto"/>
        </w:rPr>
      </w:pPr>
      <w:r>
        <w:rPr>
          <w:rFonts w:ascii="Arial" w:cs="Arial" w:eastAsia="Arial" w:hAnsi="Arial"/>
          <w:sz w:val="14"/>
          <w:szCs w:val="14"/>
          <w:color w:val="auto"/>
        </w:rPr>
        <w:t>Our ability to commercialize any of our product candidates successfully will depend in part on the extent to which reimbursement for these products and related treatments will be available from government health administration authorities, private health insurers, and other organizations. In the United States, the principal decisions about reimbursement for new therapies are typically made by Centers for Medicare and Medicaid Services, or CMS, an agency within the United States Department of Health and Human Services. CMS decides whether and to what extent a new therapy will be covered and reimbursed under Medicare, and private payors tend to follow CMS determinations to a substantial degree. The availability and extent of reimbursement by governmental and private payers is essential for most patients to be able to afford expensive treatments, such as cellular immunotherapy. There is significant uncertainty related to the insurance coverage and reimbursement of newly approved products by government and third-party payers. In particular, there is no body of established practices and precedents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8" w:name="page39"/>
    <w:bookmarkEnd w:id="3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for reimbursement of cellular immunotherapies, and it is difficult to predict what the regulatory authority or private payer will decide with respect to reimbursement levels for novel products such as ours. Our products may not qualify for coverage or direct reimbursement, or may be subject to limited reimbursement. If reimbursement or insurance coverage is not available, or is available only to limited levels, we may not be able to successfully commercialize our product candidates. Even if coverage is provided, the approved reimbursement amount may not be sufficient to allow us to establish or maintain pricing to generate income.</w:t>
      </w:r>
    </w:p>
    <w:p>
      <w:pPr>
        <w:spacing w:after="0" w:line="95"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In addition, reimbursement agencies in foreign jurisdictions may be more conservative than those in the United States. Accordingly, in markets outside the United States, the reimbursement for our products may be reduced compared with the United States and may be insufficient to generate commercially reasonable revenues and profits. Moreover, increasing efforts by governmental and third-party payers, in the United States and abroad, to cap or reduce healthcare costs may cause such organizations 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spacing w:after="0" w:line="307" w:lineRule="exact"/>
        <w:rPr>
          <w:sz w:val="20"/>
          <w:szCs w:val="20"/>
          <w:color w:val="auto"/>
        </w:rPr>
      </w:pPr>
    </w:p>
    <w:p>
      <w:pPr>
        <w:ind w:left="1220" w:right="1379"/>
        <w:spacing w:after="0" w:line="265" w:lineRule="auto"/>
        <w:rPr>
          <w:sz w:val="20"/>
          <w:szCs w:val="20"/>
          <w:color w:val="auto"/>
        </w:rPr>
      </w:pPr>
      <w:r>
        <w:rPr>
          <w:rFonts w:ascii="Arial" w:cs="Arial" w:eastAsia="Arial" w:hAnsi="Arial"/>
          <w:sz w:val="14"/>
          <w:szCs w:val="14"/>
          <w:b w:val="1"/>
          <w:bCs w:val="1"/>
          <w:i w:val="1"/>
          <w:iCs w:val="1"/>
          <w:color w:val="auto"/>
        </w:rPr>
        <w:t>Even if we obtain regulatory and marketing approval for a product candidate, our product candidates will remain subject to regulatory oversight.</w:t>
      </w:r>
    </w:p>
    <w:p>
      <w:pPr>
        <w:spacing w:after="0" w:line="92"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Even if we receive marketing and regulatory approval for CNTY-101 or any of our other product candidates, regulatory authorities may still impose significant restrictions on the indicated uses or marketing or impose ongoing requirements for potentially costly post-approval studies. CNTY-101 and our other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biologic. Any regulatory approvals that we receive for CNTY-101 or our other product candidates may also be subject to a risk evaluation and mitigation strategy, or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is obligated to monitor and report adverse events and any failure of a product to meet the specifications in the BLA.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200" w:lineRule="exact"/>
        <w:rPr>
          <w:sz w:val="20"/>
          <w:szCs w:val="20"/>
          <w:color w:val="auto"/>
        </w:rPr>
      </w:pPr>
    </w:p>
    <w:p>
      <w:pPr>
        <w:spacing w:after="0" w:line="256"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discover(s)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283" w:lineRule="exact"/>
        <w:rPr>
          <w:sz w:val="20"/>
          <w:szCs w:val="20"/>
          <w:color w:val="auto"/>
        </w:rPr>
      </w:pPr>
    </w:p>
    <w:p>
      <w:pPr>
        <w:ind w:left="1220" w:right="1359"/>
        <w:spacing w:after="0" w:line="290" w:lineRule="auto"/>
        <w:rPr>
          <w:sz w:val="20"/>
          <w:szCs w:val="20"/>
          <w:color w:val="auto"/>
        </w:rPr>
      </w:pPr>
      <w:r>
        <w:rPr>
          <w:rFonts w:ascii="Arial" w:cs="Arial" w:eastAsia="Arial" w:hAnsi="Arial"/>
          <w:sz w:val="14"/>
          <w:szCs w:val="14"/>
          <w:color w:val="auto"/>
        </w:rPr>
        <w:t>If we or our contractors fail to comply with applicable regulatory requirements following approval of CNTY-101 or our other product candidates, a regulatory authority may:</w:t>
      </w:r>
    </w:p>
    <w:p>
      <w:pPr>
        <w:spacing w:after="0" w:line="64" w:lineRule="exact"/>
        <w:rPr>
          <w:sz w:val="20"/>
          <w:szCs w:val="20"/>
          <w:color w:val="auto"/>
        </w:rPr>
      </w:pPr>
    </w:p>
    <w:p>
      <w:pPr>
        <w:ind w:left="1340" w:hanging="116"/>
        <w:spacing w:after="0"/>
        <w:tabs>
          <w:tab w:leader="none" w:pos="1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issue a warning letter asserting that we are in violation of the law;</w:t>
      </w:r>
    </w:p>
    <w:p>
      <w:pPr>
        <w:spacing w:after="0" w:line="22" w:lineRule="exact"/>
        <w:rPr>
          <w:rFonts w:ascii="Arial" w:cs="Arial" w:eastAsia="Arial" w:hAnsi="Arial"/>
          <w:sz w:val="14"/>
          <w:szCs w:val="14"/>
          <w:color w:val="auto"/>
        </w:rPr>
      </w:pPr>
    </w:p>
    <w:p>
      <w:pPr>
        <w:ind w:left="1340" w:hanging="116"/>
        <w:spacing w:after="0"/>
        <w:tabs>
          <w:tab w:leader="none" w:pos="1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request voluntary product recalls;</w:t>
      </w:r>
    </w:p>
    <w:p>
      <w:pPr>
        <w:spacing w:after="0" w:line="22" w:lineRule="exact"/>
        <w:rPr>
          <w:rFonts w:ascii="Arial" w:cs="Arial" w:eastAsia="Arial" w:hAnsi="Arial"/>
          <w:sz w:val="14"/>
          <w:szCs w:val="14"/>
          <w:color w:val="auto"/>
        </w:rPr>
      </w:pPr>
    </w:p>
    <w:p>
      <w:pPr>
        <w:ind w:left="1340" w:hanging="116"/>
        <w:spacing w:after="0"/>
        <w:tabs>
          <w:tab w:leader="none" w:pos="1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seek an injunction or impose administrative, civil, or criminal penalties or monetary fines;</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39" w:name="page40"/>
    <w:bookmarkEnd w:id="3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hanging="116"/>
        <w:spacing w:after="0"/>
        <w:tabs>
          <w:tab w:leader="none" w:pos="1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suspend or withdraw regulatory approval;</w:t>
      </w:r>
    </w:p>
    <w:p>
      <w:pPr>
        <w:spacing w:after="0" w:line="22" w:lineRule="exact"/>
        <w:rPr>
          <w:rFonts w:ascii="Arial" w:cs="Arial" w:eastAsia="Arial" w:hAnsi="Arial"/>
          <w:sz w:val="14"/>
          <w:szCs w:val="14"/>
          <w:color w:val="auto"/>
        </w:rPr>
      </w:pPr>
    </w:p>
    <w:p>
      <w:pPr>
        <w:ind w:left="1340" w:hanging="116"/>
        <w:spacing w:after="0"/>
        <w:tabs>
          <w:tab w:leader="none" w:pos="1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suspend any ongoing clinical trials;</w:t>
      </w:r>
    </w:p>
    <w:p>
      <w:pPr>
        <w:spacing w:after="0" w:line="22" w:lineRule="exact"/>
        <w:rPr>
          <w:rFonts w:ascii="Arial" w:cs="Arial" w:eastAsia="Arial" w:hAnsi="Arial"/>
          <w:sz w:val="14"/>
          <w:szCs w:val="14"/>
          <w:color w:val="auto"/>
        </w:rPr>
      </w:pPr>
    </w:p>
    <w:p>
      <w:pPr>
        <w:ind w:left="1340" w:right="1959" w:hanging="116"/>
        <w:spacing w:after="0" w:line="273" w:lineRule="auto"/>
        <w:tabs>
          <w:tab w:leader="none" w:pos="1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refuse to approve a pending BLA or comparable foreign marketing application (or any supplements thereto);</w:t>
      </w:r>
    </w:p>
    <w:p>
      <w:pPr>
        <w:ind w:left="1340" w:hanging="116"/>
        <w:spacing w:after="0"/>
        <w:tabs>
          <w:tab w:leader="none" w:pos="1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restrict the marketing or manufacturing of the product;</w:t>
      </w:r>
    </w:p>
    <w:p>
      <w:pPr>
        <w:spacing w:after="0" w:line="22" w:lineRule="exact"/>
        <w:rPr>
          <w:rFonts w:ascii="Arial" w:cs="Arial" w:eastAsia="Arial" w:hAnsi="Arial"/>
          <w:sz w:val="14"/>
          <w:szCs w:val="14"/>
          <w:color w:val="auto"/>
        </w:rPr>
      </w:pPr>
    </w:p>
    <w:p>
      <w:pPr>
        <w:ind w:left="1340" w:hanging="116"/>
        <w:spacing w:after="0"/>
        <w:tabs>
          <w:tab w:leader="none" w:pos="1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seize or detain the product or otherwise require the withdrawal of the product from the market;</w:t>
      </w:r>
    </w:p>
    <w:p>
      <w:pPr>
        <w:spacing w:after="0" w:line="22" w:lineRule="exact"/>
        <w:rPr>
          <w:rFonts w:ascii="Arial" w:cs="Arial" w:eastAsia="Arial" w:hAnsi="Arial"/>
          <w:sz w:val="14"/>
          <w:szCs w:val="14"/>
          <w:color w:val="auto"/>
        </w:rPr>
      </w:pPr>
    </w:p>
    <w:p>
      <w:pPr>
        <w:ind w:left="1340" w:hanging="116"/>
        <w:spacing w:after="0"/>
        <w:tabs>
          <w:tab w:leader="none" w:pos="1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refuse to permit the import or export of product candidates; or</w:t>
      </w:r>
    </w:p>
    <w:p>
      <w:pPr>
        <w:spacing w:after="0" w:line="22" w:lineRule="exact"/>
        <w:rPr>
          <w:rFonts w:ascii="Arial" w:cs="Arial" w:eastAsia="Arial" w:hAnsi="Arial"/>
          <w:sz w:val="14"/>
          <w:szCs w:val="14"/>
          <w:color w:val="auto"/>
        </w:rPr>
      </w:pPr>
    </w:p>
    <w:p>
      <w:pPr>
        <w:ind w:left="1340" w:hanging="116"/>
        <w:spacing w:after="0"/>
        <w:tabs>
          <w:tab w:leader="none" w:pos="1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refuse to allow us to enter into supply contracts, including government contracts.</w:t>
      </w:r>
    </w:p>
    <w:p>
      <w:pPr>
        <w:spacing w:after="0" w:line="141" w:lineRule="exact"/>
        <w:rPr>
          <w:sz w:val="20"/>
          <w:szCs w:val="20"/>
          <w:color w:val="auto"/>
        </w:rPr>
      </w:pPr>
    </w:p>
    <w:p>
      <w:pPr>
        <w:ind w:left="1220" w:right="1339"/>
        <w:spacing w:after="0" w:line="280" w:lineRule="auto"/>
        <w:rPr>
          <w:sz w:val="20"/>
          <w:szCs w:val="20"/>
          <w:color w:val="auto"/>
        </w:rPr>
      </w:pPr>
      <w:r>
        <w:rPr>
          <w:rFonts w:ascii="Arial" w:cs="Arial" w:eastAsia="Arial" w:hAnsi="Arial"/>
          <w:sz w:val="14"/>
          <w:szCs w:val="14"/>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CNTY-101 or our other product candidates and adversely affect our business, financial condition, results of operations, and prospects.</w:t>
      </w:r>
    </w:p>
    <w:p>
      <w:pPr>
        <w:spacing w:after="0" w:line="301" w:lineRule="exact"/>
        <w:rPr>
          <w:sz w:val="20"/>
          <w:szCs w:val="20"/>
          <w:color w:val="auto"/>
        </w:rPr>
      </w:pPr>
    </w:p>
    <w:p>
      <w:pPr>
        <w:ind w:left="1220" w:right="1459"/>
        <w:spacing w:after="0" w:line="265" w:lineRule="auto"/>
        <w:rPr>
          <w:sz w:val="20"/>
          <w:szCs w:val="20"/>
          <w:color w:val="auto"/>
        </w:rPr>
      </w:pPr>
      <w:r>
        <w:rPr>
          <w:rFonts w:ascii="Arial" w:cs="Arial" w:eastAsia="Arial" w:hAnsi="Arial"/>
          <w:sz w:val="14"/>
          <w:szCs w:val="14"/>
          <w:b w:val="1"/>
          <w:bCs w:val="1"/>
          <w:i w:val="1"/>
          <w:iCs w:val="1"/>
          <w:color w:val="auto"/>
        </w:rPr>
        <w:t>Even if we receive marketing approval for CNTY-101 or our other product candidates, we may not achieve broad market acceptance.</w:t>
      </w:r>
    </w:p>
    <w:p>
      <w:pPr>
        <w:spacing w:after="0" w:line="103" w:lineRule="exact"/>
        <w:rPr>
          <w:sz w:val="20"/>
          <w:szCs w:val="20"/>
          <w:color w:val="auto"/>
        </w:rPr>
      </w:pPr>
    </w:p>
    <w:p>
      <w:pPr>
        <w:ind w:left="1220" w:right="1299"/>
        <w:spacing w:after="0" w:line="278" w:lineRule="auto"/>
        <w:rPr>
          <w:sz w:val="20"/>
          <w:szCs w:val="20"/>
          <w:color w:val="auto"/>
        </w:rPr>
      </w:pPr>
      <w:r>
        <w:rPr>
          <w:rFonts w:ascii="Arial" w:cs="Arial" w:eastAsia="Arial" w:hAnsi="Arial"/>
          <w:sz w:val="14"/>
          <w:szCs w:val="14"/>
          <w:color w:val="auto"/>
        </w:rPr>
        <w:t>The commercial success of CNTY-101 or our other product candidates, if developed and approved for marketing by the FDA or comparable foreign regulatory authority, will depend upon the awareness and acceptance of CNTY-101 or such other product candidate among the medical community, including physicians, patients, advocacy groups, and healthcare payors. Market acceptance of our product candidates, if approved, will depend on a number of factors, including, among others:</w:t>
      </w:r>
    </w:p>
    <w:p>
      <w:pPr>
        <w:spacing w:after="0" w:line="254" w:lineRule="exact"/>
        <w:rPr>
          <w:sz w:val="20"/>
          <w:szCs w:val="20"/>
          <w:color w:val="auto"/>
        </w:rPr>
      </w:pPr>
    </w:p>
    <w:p>
      <w:pPr>
        <w:ind w:left="1340" w:hanging="116"/>
        <w:spacing w:after="0"/>
        <w:tabs>
          <w:tab w:leader="none" w:pos="1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prevalence and severity of any adverse side effects associated with our product candidates;</w:t>
      </w:r>
    </w:p>
    <w:p>
      <w:pPr>
        <w:spacing w:after="0" w:line="108" w:lineRule="exact"/>
        <w:rPr>
          <w:rFonts w:ascii="Arial" w:cs="Arial" w:eastAsia="Arial" w:hAnsi="Arial"/>
          <w:sz w:val="14"/>
          <w:szCs w:val="14"/>
          <w:color w:val="auto"/>
        </w:rPr>
      </w:pPr>
    </w:p>
    <w:p>
      <w:pPr>
        <w:ind w:left="1340" w:right="1559" w:hanging="116"/>
        <w:spacing w:after="0" w:line="290" w:lineRule="auto"/>
        <w:tabs>
          <w:tab w:leader="none" w:pos="1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limitations or warnings contained in the labeling approved for our product candidates by the FDA or comparable foreign regulatory authority, such as a “black box” warning;</w:t>
      </w:r>
    </w:p>
    <w:p>
      <w:pPr>
        <w:spacing w:after="0" w:line="64" w:lineRule="exact"/>
        <w:rPr>
          <w:rFonts w:ascii="Arial" w:cs="Arial" w:eastAsia="Arial" w:hAnsi="Arial"/>
          <w:sz w:val="14"/>
          <w:szCs w:val="14"/>
          <w:color w:val="auto"/>
        </w:rPr>
      </w:pPr>
    </w:p>
    <w:p>
      <w:pPr>
        <w:ind w:left="1340" w:right="1479" w:hanging="116"/>
        <w:spacing w:after="0" w:line="290" w:lineRule="auto"/>
        <w:tabs>
          <w:tab w:leader="none" w:pos="1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availability of alternative treatments, including any competitive therapies in development that could be approved or commercially launched prior to approval of our product candidates;</w:t>
      </w:r>
    </w:p>
    <w:p>
      <w:pPr>
        <w:spacing w:after="0" w:line="64" w:lineRule="exact"/>
        <w:rPr>
          <w:rFonts w:ascii="Arial" w:cs="Arial" w:eastAsia="Arial" w:hAnsi="Arial"/>
          <w:sz w:val="14"/>
          <w:szCs w:val="14"/>
          <w:color w:val="auto"/>
        </w:rPr>
      </w:pPr>
    </w:p>
    <w:p>
      <w:pPr>
        <w:ind w:left="1340" w:right="1839" w:hanging="116"/>
        <w:spacing w:after="0" w:line="290" w:lineRule="auto"/>
        <w:tabs>
          <w:tab w:leader="none" w:pos="1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willingness of the target patient population to try new therapies and of physicians to prescribe these therapies;</w:t>
      </w:r>
    </w:p>
    <w:p>
      <w:pPr>
        <w:spacing w:after="0" w:line="64" w:lineRule="exact"/>
        <w:rPr>
          <w:rFonts w:ascii="Arial" w:cs="Arial" w:eastAsia="Arial" w:hAnsi="Arial"/>
          <w:sz w:val="14"/>
          <w:szCs w:val="14"/>
          <w:color w:val="auto"/>
        </w:rPr>
      </w:pPr>
    </w:p>
    <w:p>
      <w:pPr>
        <w:ind w:left="1340" w:right="1959" w:hanging="116"/>
        <w:spacing w:after="0" w:line="290" w:lineRule="auto"/>
        <w:tabs>
          <w:tab w:leader="none" w:pos="1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strength of marketing and distribution support and timing of market introduction of competitive products;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pricing;</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payor acceptance;</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impact of any future changes to the United States healthcare system;</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effectiveness of our sales and marketing strategies; and</w:t>
      </w:r>
    </w:p>
    <w:p>
      <w:pPr>
        <w:spacing w:after="0" w:line="108" w:lineRule="exact"/>
        <w:rPr>
          <w:rFonts w:ascii="Arial" w:cs="Arial" w:eastAsia="Arial" w:hAnsi="Arial"/>
          <w:sz w:val="14"/>
          <w:szCs w:val="14"/>
          <w:color w:val="auto"/>
        </w:rPr>
      </w:pPr>
    </w:p>
    <w:p>
      <w:pPr>
        <w:ind w:left="1340" w:right="1379" w:hanging="116"/>
        <w:spacing w:after="0" w:line="283" w:lineRule="auto"/>
        <w:tabs>
          <w:tab w:leader="none" w:pos="1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272"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If CNTY-101 or any of our other product candidates are approved but do not achieve an adequate level of acceptance by patients, advocacy groups, physicians and payors, we may not generate sufficient revenue to become or remain profitable and our business, financial condition, and results of operations could be materially adversely affected. Our efforts to educate the medical community and third-party payors about the benefits of CNTY-101 and our other product candidates may require significant resources and may never be successful.</w:t>
      </w:r>
    </w:p>
    <w:p>
      <w:pPr>
        <w:spacing w:after="0" w:line="125" w:lineRule="exact"/>
        <w:rPr>
          <w:sz w:val="20"/>
          <w:szCs w:val="20"/>
          <w:color w:val="auto"/>
        </w:rPr>
      </w:pPr>
    </w:p>
    <w:p>
      <w:pPr>
        <w:ind w:left="1220" w:right="1279"/>
        <w:spacing w:after="0" w:line="245" w:lineRule="auto"/>
        <w:rPr>
          <w:sz w:val="20"/>
          <w:szCs w:val="20"/>
          <w:color w:val="auto"/>
        </w:rPr>
      </w:pPr>
      <w:r>
        <w:rPr>
          <w:rFonts w:ascii="Arial" w:cs="Arial" w:eastAsia="Arial" w:hAnsi="Arial"/>
          <w:sz w:val="14"/>
          <w:szCs w:val="14"/>
          <w:b w:val="1"/>
          <w:bCs w:val="1"/>
          <w:i w:val="1"/>
          <w:iCs w:val="1"/>
          <w:color w:val="auto"/>
        </w:rPr>
        <w:t>Even if we receive marketing approval for CNTY-101 or our other product candidates in the United States, we may never receive regulatory approval to market CNTY-101 or our other product candidates outside of the United States.</w:t>
      </w:r>
    </w:p>
    <w:p>
      <w:pPr>
        <w:spacing w:after="0" w:line="116" w:lineRule="exact"/>
        <w:rPr>
          <w:sz w:val="20"/>
          <w:szCs w:val="20"/>
          <w:color w:val="auto"/>
        </w:rPr>
      </w:pPr>
    </w:p>
    <w:p>
      <w:pPr>
        <w:ind w:left="1220" w:right="1439"/>
        <w:spacing w:after="0" w:line="281" w:lineRule="auto"/>
        <w:rPr>
          <w:sz w:val="20"/>
          <w:szCs w:val="20"/>
          <w:color w:val="auto"/>
        </w:rPr>
      </w:pPr>
      <w:r>
        <w:rPr>
          <w:rFonts w:ascii="Arial" w:cs="Arial" w:eastAsia="Arial" w:hAnsi="Arial"/>
          <w:sz w:val="14"/>
          <w:szCs w:val="14"/>
          <w:color w:val="auto"/>
        </w:rPr>
        <w:t>In order to market any product outside of the United States, we must establish and comply with the numerous and varying safety, efficacy, and other regulatory requirements of other jurisdictions, including potential additional</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0" w:name="page41"/>
    <w:bookmarkEnd w:id="4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clinical trials and/or preclinical studies. Approval procedures vary among jurisdictions and can involve additional testing and additional administrative review periods. The time required to obtain approvals in other jurisdictions might differ from that required to obtain FDA approval. The marketing approval processes in other jurisdictions may implicate all of the risks detailed above regarding FDA approval in the United States as well as other risks. In particular, in many jurisdictions outside of the United States, products must receive pricing and reimbursement approval before the product can be commercialized. Obtaining this approval can result in substantial delays in bringing products to market in such jurisdictions. Marketing approval in one jurisdiction does not necessarily ensure marketing approval in another, but a failure or delay in obtaining marketing approval in one country may have a negative effect on the regulatory process or commercial activities in others. Failure to obtain marketing approval in other jurisdictions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spacing w:after="0" w:line="313" w:lineRule="exact"/>
        <w:rPr>
          <w:sz w:val="20"/>
          <w:szCs w:val="20"/>
          <w:color w:val="auto"/>
        </w:rPr>
      </w:pPr>
    </w:p>
    <w:p>
      <w:pPr>
        <w:ind w:left="1220" w:right="1379"/>
        <w:spacing w:after="0" w:line="245" w:lineRule="auto"/>
        <w:rPr>
          <w:sz w:val="20"/>
          <w:szCs w:val="20"/>
          <w:color w:val="auto"/>
        </w:rPr>
      </w:pPr>
      <w:r>
        <w:rPr>
          <w:rFonts w:ascii="Arial" w:cs="Arial" w:eastAsia="Arial" w:hAnsi="Arial"/>
          <w:sz w:val="14"/>
          <w:szCs w:val="14"/>
          <w:b w:val="1"/>
          <w:bCs w:val="1"/>
          <w:i w:val="1"/>
          <w:iCs w:val="1"/>
          <w:color w:val="auto"/>
        </w:rPr>
        <w:t>We may be unable to establish effective marketing, sales and distribution capabilities or enter into agreements with third parties to market and sell CNTY-101 or our other product candidates, if approved.</w:t>
      </w:r>
    </w:p>
    <w:p>
      <w:pPr>
        <w:spacing w:after="0" w:line="106"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We currently do not have a commercial infrastructure for the marketing, sale, and distribution of CNTY-101, or our other product candidates. If CNTY-101 or our other product candidates receive marketing approval, we intend to commercialize such product candidates in the United States and potentially in other geographies. In order to commercialize our products, we must build our marketing, sales, and distribution capabilities or make arrangements with third parties to perform these services. We may not be successful in doing so. Should we decide to move forward in developing our own marketing capabilities, we may incur expenses prior to product launch or even approval in order to recruit a sales force and develop a marketing and sales infrastructure. If a commercial launch is delayed as a result of the FDA’s or comparable foreign regulatory authority’s requirements or for other reasons, we would incur these expenses prior to being able to realize any revenue from sales of CNTY-101 and our other product candidates. Even if we are able to effectively hire a sales force and develop a marketing and sales infrastructure, our sales force and marketing teams may not be successful in commercializing CNTY-101 or our other product candidates. This may be costly, and our investment would be lost if we cannot retain or reposition our sales and marketing personnel.</w:t>
      </w:r>
    </w:p>
    <w:p>
      <w:pPr>
        <w:spacing w:after="0" w:line="297" w:lineRule="exact"/>
        <w:rPr>
          <w:sz w:val="20"/>
          <w:szCs w:val="20"/>
          <w:color w:val="auto"/>
        </w:rPr>
      </w:pPr>
    </w:p>
    <w:p>
      <w:pPr>
        <w:ind w:left="1220" w:right="1359"/>
        <w:spacing w:after="0" w:line="275" w:lineRule="auto"/>
        <w:rPr>
          <w:sz w:val="20"/>
          <w:szCs w:val="20"/>
          <w:color w:val="auto"/>
        </w:rPr>
      </w:pPr>
      <w:r>
        <w:rPr>
          <w:rFonts w:ascii="Arial" w:cs="Arial" w:eastAsia="Arial" w:hAnsi="Arial"/>
          <w:sz w:val="14"/>
          <w:szCs w:val="14"/>
          <w:color w:val="auto"/>
        </w:rPr>
        <w:t>We may also or alternatively decide to collaborate with third-party marketing and sales organizations to commercialize any approved product candidates in the United States,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spacing w:after="0" w:line="110"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We have no prior experience in the marketing, sale, and distribution of biopharmaceutical products, and there are significant risks involved in building and managing a commercial infrastructure. The establishment and development of commercial capabilities, including compliance plans, to market any products we may develop will be expensive and time-consuming and could delay any product launch, and we may not be able to successfully develop this capability. We will have to compete with other biopharmaceutical and pharmaceutical companies to recruit, hire, train, manage, and retain marketing and sales personnel, which is expensive and time-consuming and could delay any product launch. Developing our sales capabilities may also divert resources and management attention away from product development.</w:t>
      </w:r>
    </w:p>
    <w:p>
      <w:pPr>
        <w:spacing w:after="0" w:line="98" w:lineRule="exact"/>
        <w:rPr>
          <w:sz w:val="20"/>
          <w:szCs w:val="20"/>
          <w:color w:val="auto"/>
        </w:rPr>
      </w:pPr>
    </w:p>
    <w:p>
      <w:pPr>
        <w:ind w:left="1220" w:right="1239"/>
        <w:spacing w:after="0" w:line="278" w:lineRule="auto"/>
        <w:rPr>
          <w:sz w:val="20"/>
          <w:szCs w:val="20"/>
          <w:color w:val="auto"/>
        </w:rPr>
      </w:pPr>
      <w:r>
        <w:rPr>
          <w:rFonts w:ascii="Arial" w:cs="Arial" w:eastAsia="Arial" w:hAnsi="Arial"/>
          <w:sz w:val="14"/>
          <w:szCs w:val="14"/>
          <w:color w:val="auto"/>
        </w:rPr>
        <w:t>In the event we are unable to develop a marketing and sales infrastructure, we may not be able to commercialize CNTY-101 or our other product candidates in the United States or elsewhere, which could limit our ability to generate product revenues and materially harm our business, financial condition, results of operations, and prospects.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1" w:name="page42"/>
    <w:bookmarkEnd w:id="4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right="1719"/>
        <w:spacing w:after="0" w:line="265" w:lineRule="auto"/>
        <w:rPr>
          <w:sz w:val="20"/>
          <w:szCs w:val="20"/>
          <w:color w:val="auto"/>
        </w:rPr>
      </w:pPr>
      <w:r>
        <w:rPr>
          <w:rFonts w:ascii="Arial" w:cs="Arial" w:eastAsia="Arial" w:hAnsi="Arial"/>
          <w:sz w:val="14"/>
          <w:szCs w:val="14"/>
          <w:b w:val="1"/>
          <w:bCs w:val="1"/>
          <w:i w:val="1"/>
          <w:iCs w:val="1"/>
          <w:color w:val="auto"/>
        </w:rPr>
        <w:t>If the market opportunities for our products are smaller than we believe they are, our revenue may be adversely affected, and our business may suffer.</w:t>
      </w:r>
    </w:p>
    <w:p>
      <w:pPr>
        <w:spacing w:after="0" w:line="92" w:lineRule="exact"/>
        <w:rPr>
          <w:sz w:val="20"/>
          <w:szCs w:val="20"/>
          <w:color w:val="auto"/>
        </w:rPr>
      </w:pPr>
    </w:p>
    <w:p>
      <w:pPr>
        <w:ind w:left="1220" w:right="1279"/>
        <w:spacing w:after="0" w:line="274" w:lineRule="auto"/>
        <w:rPr>
          <w:sz w:val="20"/>
          <w:szCs w:val="20"/>
          <w:color w:val="auto"/>
        </w:rPr>
      </w:pPr>
      <w:r>
        <w:rPr>
          <w:rFonts w:ascii="Arial" w:cs="Arial" w:eastAsia="Arial" w:hAnsi="Arial"/>
          <w:sz w:val="14"/>
          <w:szCs w:val="14"/>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Initial planned clinical trials are expected to enroll patients who have received other available therapies in order to first evaluate whether the product is safe and whether there is any activity. We do not know at this time whether CNTY-101 or any of our other product candidates will be safe for use in humans or whether they will demonstrate any anti-cancer activity. Subsequently, we plan to conduct additional clinical trials depending on the activity we note in the initial clinical trials. If the activity is sufficient, we may initially seek approval of any product candidates we develop as a therapy for patients who have received one or more prior treatments. Subsequently, for those products that prove to be sufficiently beneficial, if any, we would expect to seek approval potentially in earlier lines of therapy, but there is no guarantee that product candidates we develop, even if approved for later lines of therapy, would be approved for earlier lines of therapy, and, prior to any such approvals, we may have to conduct additional clinical trials.</w:t>
      </w:r>
    </w:p>
    <w:p>
      <w:pPr>
        <w:spacing w:after="0" w:line="297"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We focus our research and product development on differentiating engineered iPSC into NK-, T-, or other immune cells for the treatment of various cancers. Our projections of both the number of people who have these cancers, as well as the subset of people with these cancers who have the potential to benefit from treatment with our product candidates, are based on beliefs and estimates. These estimates have been derived from a variety of sources, including the scientific literature, surveys of clinics, patient foundations or market research, and may prove to be incorrect. Further, new trials may change the estimated incidence or prevalence of such cancers.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and biologic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313" w:lineRule="exact"/>
        <w:rPr>
          <w:sz w:val="20"/>
          <w:szCs w:val="20"/>
          <w:color w:val="auto"/>
        </w:rPr>
      </w:pPr>
    </w:p>
    <w:p>
      <w:pPr>
        <w:ind w:left="1220" w:right="1259"/>
        <w:spacing w:after="0" w:line="245" w:lineRule="auto"/>
        <w:rPr>
          <w:sz w:val="20"/>
          <w:szCs w:val="20"/>
          <w:color w:val="auto"/>
        </w:rPr>
      </w:pPr>
      <w:r>
        <w:rPr>
          <w:rFonts w:ascii="Arial" w:cs="Arial" w:eastAsia="Arial" w:hAnsi="Arial"/>
          <w:sz w:val="14"/>
          <w:szCs w:val="14"/>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16" w:lineRule="exact"/>
        <w:rPr>
          <w:sz w:val="20"/>
          <w:szCs w:val="20"/>
          <w:color w:val="auto"/>
        </w:rPr>
      </w:pPr>
    </w:p>
    <w:p>
      <w:pPr>
        <w:ind w:left="1220" w:right="1239"/>
        <w:spacing w:after="0" w:line="281" w:lineRule="auto"/>
        <w:rPr>
          <w:sz w:val="20"/>
          <w:szCs w:val="20"/>
          <w:color w:val="auto"/>
        </w:rPr>
      </w:pPr>
      <w:r>
        <w:rPr>
          <w:rFonts w:ascii="Arial" w:cs="Arial" w:eastAsia="Arial" w:hAnsi="Arial"/>
          <w:sz w:val="14"/>
          <w:szCs w:val="14"/>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71" w:lineRule="exact"/>
        <w:rPr>
          <w:sz w:val="20"/>
          <w:szCs w:val="20"/>
          <w:color w:val="auto"/>
        </w:rPr>
      </w:pPr>
    </w:p>
    <w:p>
      <w:pPr>
        <w:jc w:val="both"/>
        <w:ind w:left="1340" w:right="1359" w:hanging="116"/>
        <w:spacing w:after="0" w:line="281" w:lineRule="auto"/>
        <w:tabs>
          <w:tab w:leader="none" w:pos="1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timing and cost of, and level of investment in, research, development, regulatory approval, and commercialization activities relating to CNTY-101 and our other product candidates, which may change from time to time;</w:t>
      </w:r>
    </w:p>
    <w:p>
      <w:pPr>
        <w:spacing w:after="0" w:line="71" w:lineRule="exact"/>
        <w:rPr>
          <w:rFonts w:ascii="Arial" w:cs="Arial" w:eastAsia="Arial" w:hAnsi="Arial"/>
          <w:sz w:val="14"/>
          <w:szCs w:val="14"/>
          <w:color w:val="auto"/>
        </w:rPr>
      </w:pPr>
    </w:p>
    <w:p>
      <w:pPr>
        <w:ind w:left="1340" w:right="1319" w:hanging="116"/>
        <w:spacing w:after="0" w:line="290" w:lineRule="auto"/>
        <w:tabs>
          <w:tab w:leader="none" w:pos="1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coverage and reimbursement policies with respect to CNTY-101 and our other product candidates, if approved, and potential future drugs or biologics that compete with our products;</w:t>
      </w:r>
    </w:p>
    <w:p>
      <w:pPr>
        <w:spacing w:after="0" w:line="64" w:lineRule="exact"/>
        <w:rPr>
          <w:rFonts w:ascii="Arial" w:cs="Arial" w:eastAsia="Arial" w:hAnsi="Arial"/>
          <w:sz w:val="14"/>
          <w:szCs w:val="14"/>
          <w:color w:val="auto"/>
        </w:rPr>
      </w:pPr>
    </w:p>
    <w:p>
      <w:pPr>
        <w:ind w:left="1340" w:right="1839" w:hanging="116"/>
        <w:spacing w:after="0" w:line="290" w:lineRule="auto"/>
        <w:tabs>
          <w:tab w:leader="none" w:pos="1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cost of manufacturing CNTY-101 and our other product candidates, which may vary depending on the quantity of production and the terms of our agreements with CMOs;</w:t>
      </w:r>
    </w:p>
    <w:p>
      <w:pPr>
        <w:spacing w:after="0" w:line="64" w:lineRule="exact"/>
        <w:rPr>
          <w:rFonts w:ascii="Arial" w:cs="Arial" w:eastAsia="Arial" w:hAnsi="Arial"/>
          <w:sz w:val="14"/>
          <w:szCs w:val="14"/>
          <w:color w:val="auto"/>
        </w:rPr>
      </w:pPr>
    </w:p>
    <w:p>
      <w:pPr>
        <w:ind w:left="1340" w:right="1419" w:hanging="116"/>
        <w:spacing w:after="0" w:line="290" w:lineRule="auto"/>
        <w:tabs>
          <w:tab w:leader="none" w:pos="1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timing and amount of the milestone or other payments we must make to the licensors and other third parties from whom we have in-licensed or acquired our product candidates;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level of demand for any approved products, which may vary significantly;</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future accounting pronouncements or changes in our accounting policies; and</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2" w:name="page43"/>
    <w:bookmarkEnd w:id="4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439" w:hanging="116"/>
        <w:spacing w:after="0" w:line="290" w:lineRule="auto"/>
        <w:tabs>
          <w:tab w:leader="none" w:pos="1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other change in the competitive landscape of our industry, including consolidation among our competitors or partners.</w:t>
      </w:r>
    </w:p>
    <w:p>
      <w:pPr>
        <w:spacing w:after="0" w:line="86" w:lineRule="exact"/>
        <w:rPr>
          <w:sz w:val="20"/>
          <w:szCs w:val="20"/>
          <w:color w:val="auto"/>
        </w:rPr>
      </w:pPr>
    </w:p>
    <w:p>
      <w:pPr>
        <w:ind w:left="1220" w:right="1239"/>
        <w:spacing w:after="0" w:line="295" w:lineRule="auto"/>
        <w:rPr>
          <w:sz w:val="20"/>
          <w:szCs w:val="20"/>
          <w:color w:val="auto"/>
        </w:rPr>
      </w:pPr>
      <w:r>
        <w:rPr>
          <w:rFonts w:ascii="Arial" w:cs="Arial" w:eastAsia="Arial" w:hAnsi="Arial"/>
          <w:sz w:val="14"/>
          <w:szCs w:val="14"/>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04" w:lineRule="exact"/>
        <w:rPr>
          <w:sz w:val="20"/>
          <w:szCs w:val="20"/>
          <w:color w:val="auto"/>
        </w:rPr>
      </w:pPr>
    </w:p>
    <w:p>
      <w:pPr>
        <w:ind w:left="1220" w:right="1279"/>
        <w:spacing w:after="0" w:line="293" w:lineRule="auto"/>
        <w:rPr>
          <w:sz w:val="20"/>
          <w:szCs w:val="20"/>
          <w:color w:val="auto"/>
        </w:rPr>
      </w:pPr>
      <w:r>
        <w:rPr>
          <w:rFonts w:ascii="Arial" w:cs="Arial" w:eastAsia="Arial" w:hAnsi="Arial"/>
          <w:sz w:val="14"/>
          <w:szCs w:val="14"/>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316" w:lineRule="exact"/>
        <w:rPr>
          <w:sz w:val="20"/>
          <w:szCs w:val="20"/>
          <w:color w:val="auto"/>
        </w:rPr>
      </w:pPr>
    </w:p>
    <w:p>
      <w:pPr>
        <w:ind w:left="1220" w:right="1239"/>
        <w:spacing w:after="0" w:line="281" w:lineRule="auto"/>
        <w:rPr>
          <w:sz w:val="20"/>
          <w:szCs w:val="20"/>
          <w:color w:val="auto"/>
        </w:rPr>
      </w:pPr>
      <w:r>
        <w:rPr>
          <w:rFonts w:ascii="Arial" w:cs="Arial" w:eastAsia="Arial" w:hAnsi="Arial"/>
          <w:sz w:val="17"/>
          <w:szCs w:val="17"/>
          <w:b w:val="1"/>
          <w:bCs w:val="1"/>
          <w:color w:val="auto"/>
        </w:rPr>
        <w:t>Risks related to employee matters, managing growth and other risks related to our business</w:t>
      </w:r>
    </w:p>
    <w:p>
      <w:pPr>
        <w:spacing w:after="0" w:line="114" w:lineRule="exact"/>
        <w:rPr>
          <w:sz w:val="20"/>
          <w:szCs w:val="20"/>
          <w:color w:val="auto"/>
        </w:rPr>
      </w:pPr>
    </w:p>
    <w:p>
      <w:pPr>
        <w:ind w:left="1220" w:right="1619"/>
        <w:spacing w:after="0" w:line="261" w:lineRule="auto"/>
        <w:rPr>
          <w:sz w:val="20"/>
          <w:szCs w:val="20"/>
          <w:color w:val="auto"/>
        </w:rPr>
      </w:pPr>
      <w:r>
        <w:rPr>
          <w:rFonts w:ascii="Arial" w:cs="Arial" w:eastAsia="Arial" w:hAnsi="Arial"/>
          <w:sz w:val="14"/>
          <w:szCs w:val="14"/>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06" w:lineRule="exact"/>
        <w:rPr>
          <w:sz w:val="20"/>
          <w:szCs w:val="20"/>
          <w:color w:val="auto"/>
        </w:rPr>
      </w:pPr>
    </w:p>
    <w:p>
      <w:pPr>
        <w:ind w:left="1220" w:right="1399"/>
        <w:spacing w:after="0" w:line="291" w:lineRule="auto"/>
        <w:rPr>
          <w:sz w:val="20"/>
          <w:szCs w:val="20"/>
          <w:color w:val="auto"/>
        </w:rPr>
      </w:pPr>
      <w:r>
        <w:rPr>
          <w:rFonts w:ascii="Arial" w:cs="Arial" w:eastAsia="Arial" w:hAnsi="Arial"/>
          <w:sz w:val="14"/>
          <w:szCs w:val="14"/>
          <w:color w:val="auto"/>
        </w:rPr>
        <w:t>Our success depends in part on our continued ability to attract, retain, and motivate highly qualified management, clinical, and scientific personnel, many of whom have been instrumental for us and have substantial experience with our iPSC-derived allogeneic cell therapy platforms, underlying technologies, and related product candidates. Given the specialized nature of our iPSC-derived allogeneic cell therapy platforms and the fact that ours is a novel and emerging field, there is an inherent scarcity of experienced personnel in this field. As we continue developing our product candidates in our pipeline, we will require personnel with medical, scientific, or technical qualifications specific to each program.</w:t>
      </w:r>
    </w:p>
    <w:p>
      <w:pPr>
        <w:spacing w:after="0" w:line="100" w:lineRule="exact"/>
        <w:rPr>
          <w:sz w:val="20"/>
          <w:szCs w:val="20"/>
          <w:color w:val="auto"/>
        </w:rPr>
      </w:pPr>
    </w:p>
    <w:p>
      <w:pPr>
        <w:ind w:left="1220" w:right="1299"/>
        <w:spacing w:after="0" w:line="292" w:lineRule="auto"/>
        <w:rPr>
          <w:sz w:val="20"/>
          <w:szCs w:val="20"/>
          <w:color w:val="auto"/>
        </w:rPr>
      </w:pPr>
      <w:r>
        <w:rPr>
          <w:rFonts w:ascii="Arial" w:cs="Arial" w:eastAsia="Arial" w:hAnsi="Arial"/>
          <w:sz w:val="14"/>
          <w:szCs w:val="14"/>
          <w:color w:val="auto"/>
        </w:rPr>
        <w:t>We are highly dependent upon our senior management, particularly Osvaldo Flores, Ph.D., our Chief Executive Officer, as well as our senior scientists and other members of our executive team. The loss of services of any of these individuals could delay or prevent the successful development of our product pipeline, initiation or completion of our planned clinical trials, or the commercialization of CNTY-101 and our other product candidates.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298" w:lineRule="exact"/>
        <w:rPr>
          <w:sz w:val="20"/>
          <w:szCs w:val="20"/>
          <w:color w:val="auto"/>
        </w:rPr>
      </w:pPr>
    </w:p>
    <w:p>
      <w:pPr>
        <w:ind w:left="1220" w:right="1239"/>
        <w:spacing w:after="0" w:line="291" w:lineRule="auto"/>
        <w:rPr>
          <w:sz w:val="20"/>
          <w:szCs w:val="20"/>
          <w:color w:val="auto"/>
        </w:rPr>
      </w:pPr>
      <w:r>
        <w:rPr>
          <w:rFonts w:ascii="Arial" w:cs="Arial" w:eastAsia="Arial" w:hAnsi="Arial"/>
          <w:sz w:val="14"/>
          <w:szCs w:val="14"/>
          <w:color w:val="auto"/>
        </w:rPr>
        <w:t>Our research and development programs, clinical operations, and sales and marketing efforts depend on our ability to attract and retain highly skilled scientists, engineers, and sales professionals. The competition for qualified personnel in the biotechnology and pharmaceutical industries is intense,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3" w:name="page44"/>
    <w:bookmarkEnd w:id="4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right="1919"/>
        <w:spacing w:after="0" w:line="265" w:lineRule="auto"/>
        <w:rPr>
          <w:sz w:val="20"/>
          <w:szCs w:val="20"/>
          <w:color w:val="auto"/>
        </w:rPr>
      </w:pPr>
      <w:r>
        <w:rPr>
          <w:rFonts w:ascii="Arial" w:cs="Arial" w:eastAsia="Arial" w:hAnsi="Arial"/>
          <w:sz w:val="14"/>
          <w:szCs w:val="14"/>
          <w:b w:val="1"/>
          <w:bCs w:val="1"/>
          <w:i w:val="1"/>
          <w:iCs w:val="1"/>
          <w:color w:val="auto"/>
        </w:rPr>
        <w:t>We will need to increase the size and capabilities of our organization, and we may experience difficulties in managing our growth.</w:t>
      </w:r>
    </w:p>
    <w:p>
      <w:pPr>
        <w:spacing w:after="0" w:line="81" w:lineRule="exact"/>
        <w:rPr>
          <w:sz w:val="20"/>
          <w:szCs w:val="20"/>
          <w:color w:val="auto"/>
        </w:rPr>
      </w:pPr>
    </w:p>
    <w:p>
      <w:pPr>
        <w:ind w:left="1220" w:right="1299"/>
        <w:spacing w:after="0" w:line="261" w:lineRule="auto"/>
        <w:rPr>
          <w:sz w:val="20"/>
          <w:szCs w:val="20"/>
          <w:color w:val="auto"/>
        </w:rPr>
      </w:pPr>
      <w:r>
        <w:rPr>
          <w:rFonts w:ascii="Arial" w:cs="Arial" w:eastAsia="Arial" w:hAnsi="Arial"/>
          <w:sz w:val="14"/>
          <w:szCs w:val="14"/>
          <w:color w:val="auto"/>
        </w:rPr>
        <w:t>As of April 30, 2021, we had 107 employees and consultants and most of our employees are full-time. As our development and commercialization plans and strategies develop, and as we transition into operating as a public company, we must add a significant number of additional managerial, operational, financial, and other personnel. Future growth will impose significant added responsibilities on members of management, including:</w:t>
      </w:r>
    </w:p>
    <w:p>
      <w:pPr>
        <w:spacing w:after="0" w:line="85" w:lineRule="exact"/>
        <w:rPr>
          <w:sz w:val="20"/>
          <w:szCs w:val="20"/>
          <w:color w:val="auto"/>
        </w:rPr>
      </w:pPr>
    </w:p>
    <w:p>
      <w:pPr>
        <w:ind w:left="1340" w:hanging="116"/>
        <w:spacing w:after="0"/>
        <w:tabs>
          <w:tab w:leader="none" w:pos="1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identifying, recruiting, integrating, maintaining, and motivating additional employees;</w:t>
      </w:r>
    </w:p>
    <w:p>
      <w:pPr>
        <w:spacing w:after="0" w:line="108" w:lineRule="exact"/>
        <w:rPr>
          <w:rFonts w:ascii="Arial" w:cs="Arial" w:eastAsia="Arial" w:hAnsi="Arial"/>
          <w:sz w:val="14"/>
          <w:szCs w:val="14"/>
          <w:color w:val="auto"/>
        </w:rPr>
      </w:pPr>
    </w:p>
    <w:p>
      <w:pPr>
        <w:ind w:left="1340" w:right="1479" w:hanging="116"/>
        <w:spacing w:after="0" w:line="281" w:lineRule="auto"/>
        <w:tabs>
          <w:tab w:leader="none" w:pos="1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managing our internal development efforts effectively, including the clinical and FDA or other comparable authority review process for CNTY-101 and our other product candidates, while complying with our contractual obligations to contractors and other third parties; and</w:t>
      </w:r>
    </w:p>
    <w:p>
      <w:pPr>
        <w:spacing w:after="0" w:line="71" w:lineRule="exact"/>
        <w:rPr>
          <w:rFonts w:ascii="Arial" w:cs="Arial" w:eastAsia="Arial" w:hAnsi="Arial"/>
          <w:sz w:val="14"/>
          <w:szCs w:val="14"/>
          <w:color w:val="auto"/>
        </w:rPr>
      </w:pPr>
    </w:p>
    <w:p>
      <w:pPr>
        <w:ind w:left="1340" w:right="1879" w:hanging="116"/>
        <w:spacing w:after="0" w:line="290" w:lineRule="auto"/>
        <w:tabs>
          <w:tab w:leader="none" w:pos="1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improving our operational, financial, and management controls, reporting systems, and procedures.</w:t>
      </w:r>
    </w:p>
    <w:p>
      <w:pPr>
        <w:spacing w:after="0" w:line="86" w:lineRule="exact"/>
        <w:rPr>
          <w:sz w:val="20"/>
          <w:szCs w:val="20"/>
          <w:color w:val="auto"/>
        </w:rPr>
      </w:pPr>
    </w:p>
    <w:p>
      <w:pPr>
        <w:ind w:left="1220" w:right="1599"/>
        <w:spacing w:after="0" w:line="260" w:lineRule="auto"/>
        <w:rPr>
          <w:sz w:val="20"/>
          <w:szCs w:val="20"/>
          <w:color w:val="auto"/>
        </w:rPr>
      </w:pPr>
      <w:r>
        <w:rPr>
          <w:rFonts w:ascii="Arial" w:cs="Arial" w:eastAsia="Arial" w:hAnsi="Arial"/>
          <w:sz w:val="14"/>
          <w:szCs w:val="14"/>
          <w:color w:val="auto"/>
        </w:rPr>
        <w:t>Our future financial performance and our ability to commercialize CNTY-101 and our other product candidates, if approved, will depend, in part, on our ability to effectively manage any future growth, and our management may also have to divert a disproportionate amount of its attention away from day-to-day activities in order to devote a substantial amount of time to managing these growth activities. In addition, we expect to incur additional costs in hiring, training, and retaining such additional personnel.</w:t>
      </w:r>
    </w:p>
    <w:p>
      <w:pPr>
        <w:spacing w:after="0" w:line="97" w:lineRule="exact"/>
        <w:rPr>
          <w:sz w:val="20"/>
          <w:szCs w:val="20"/>
          <w:color w:val="auto"/>
        </w:rPr>
      </w:pPr>
    </w:p>
    <w:p>
      <w:pPr>
        <w:ind w:left="1220" w:right="1299"/>
        <w:spacing w:after="0" w:line="262" w:lineRule="auto"/>
        <w:rPr>
          <w:sz w:val="20"/>
          <w:szCs w:val="20"/>
          <w:color w:val="auto"/>
        </w:rPr>
      </w:pPr>
      <w:r>
        <w:rPr>
          <w:rFonts w:ascii="Arial" w:cs="Arial" w:eastAsia="Arial" w:hAnsi="Arial"/>
          <w:sz w:val="14"/>
          <w:szCs w:val="14"/>
          <w:color w:val="auto"/>
        </w:rPr>
        <w:t>If we are not able to effectively expand our organization by hiring new employees and expanding our groups of consultants and contractors, we may not be able to successfully implement the tasks necessary to further develop and commercialize CNTY-101 and our other product candidates and, accordingly, may not achieve our research, development, and commercialization goals.</w:t>
      </w:r>
    </w:p>
    <w:p>
      <w:pPr>
        <w:spacing w:after="0" w:line="306" w:lineRule="exact"/>
        <w:rPr>
          <w:sz w:val="20"/>
          <w:szCs w:val="20"/>
          <w:color w:val="auto"/>
        </w:rPr>
      </w:pPr>
    </w:p>
    <w:p>
      <w:pPr>
        <w:jc w:val="both"/>
        <w:ind w:left="1220" w:right="1519"/>
        <w:spacing w:after="0" w:line="245" w:lineRule="auto"/>
        <w:rPr>
          <w:sz w:val="20"/>
          <w:szCs w:val="20"/>
          <w:color w:val="auto"/>
        </w:rPr>
      </w:pPr>
      <w:r>
        <w:rPr>
          <w:rFonts w:ascii="Arial" w:cs="Arial" w:eastAsia="Arial" w:hAnsi="Arial"/>
          <w:sz w:val="14"/>
          <w:szCs w:val="14"/>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w:t>
      </w:r>
    </w:p>
    <w:p>
      <w:pPr>
        <w:spacing w:after="0" w:line="106"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Public health crises, such as pandemics or similar outbreaks, could adversely impact our business. A novel virus, severe acute respiratory syndrome coronavirus 2, or SARS-CpV-2 or coronavirus, which causes COVID-19 has spread to most countries across the world, including all 50 states within the United States and Canadian Provinces, including Philadelphia, Pennsylvania, Washington, and Hamilton, Ontario where our operations are located, and Madison, Wisconsin, where the manufacturing site for our product candidates is located. The coronavirus pandemic is evolving and has led to the implementation of various responses, including government-imposed quarantines, travel restrictions, and other public health safety measures. The extent to which the coronavirus impacts our operations or those of our consultants and collaborators, including FCDI, will depend on future developments, which are highly uncertain and cannot be predicted with confidence, including the duration of the outbreak, new information that will emerge concerning the severity of the coronavirus, new strains or mutations of the coronavirus, and the actions to contain the coronavirus or treat its impact, among others. In response to the spread of COVID-19, we have closed our executive offices with our administrative employees continuing their work outside of our offices and limited the number of staff in any given research and development laboratory and have taken other precautionary measures as well, including the periodic testing of our employees. We have experienced modest delays in our discovery and development activities as a result of the COVID-19 pandemic, primarily due to temporary and partial shutdowns at certain of our CROs and academic institutions that have since resumed operations, and due to the Pennsylvania, Washington, and Ontario stay-at-home orders.</w:t>
      </w:r>
    </w:p>
    <w:p>
      <w:pPr>
        <w:spacing w:after="0" w:line="29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Potential disruptions to our preclinical development efforts include, but are not limited to:</w:t>
      </w:r>
    </w:p>
    <w:p>
      <w:pPr>
        <w:spacing w:after="0" w:line="109" w:lineRule="exact"/>
        <w:rPr>
          <w:sz w:val="20"/>
          <w:szCs w:val="20"/>
          <w:color w:val="auto"/>
        </w:rPr>
      </w:pPr>
    </w:p>
    <w:p>
      <w:pPr>
        <w:ind w:left="1340" w:right="1319" w:hanging="116"/>
        <w:spacing w:after="0" w:line="281" w:lineRule="auto"/>
        <w:tabs>
          <w:tab w:leader="none" w:pos="1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delays or disruptions in preclinical experiments and IND-enabling studies due to restrictions of on-site staff, limited or no access to animal facilities, and unforeseen circumstances at contract research organizations (CROs) and vendors;</w:t>
      </w:r>
    </w:p>
    <w:p>
      <w:pPr>
        <w:spacing w:after="0" w:line="71" w:lineRule="exact"/>
        <w:rPr>
          <w:rFonts w:ascii="Arial" w:cs="Arial" w:eastAsia="Arial" w:hAnsi="Arial"/>
          <w:sz w:val="14"/>
          <w:szCs w:val="14"/>
          <w:color w:val="auto"/>
        </w:rPr>
      </w:pPr>
    </w:p>
    <w:p>
      <w:pPr>
        <w:ind w:left="1340" w:right="1339" w:hanging="116"/>
        <w:spacing w:after="0" w:line="281" w:lineRule="auto"/>
        <w:tabs>
          <w:tab w:leader="none" w:pos="1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limitations on employee or other resources that would otherwise be focused on the conduct of our preclinical work, including because of sickness of employees or their families, the desire of employees to avoid travel or</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4" w:name="page45"/>
    <w:bookmarkEnd w:id="4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739"/>
        <w:spacing w:after="0" w:line="290" w:lineRule="auto"/>
        <w:rPr>
          <w:sz w:val="20"/>
          <w:szCs w:val="20"/>
          <w:color w:val="auto"/>
        </w:rPr>
      </w:pPr>
      <w:r>
        <w:rPr>
          <w:rFonts w:ascii="Arial" w:cs="Arial" w:eastAsia="Arial" w:hAnsi="Arial"/>
          <w:sz w:val="14"/>
          <w:szCs w:val="14"/>
          <w:color w:val="auto"/>
        </w:rPr>
        <w:t>contact with large groups of people, an increased reliance on working from home, school closures, or mass transit disruptions; and</w:t>
      </w:r>
    </w:p>
    <w:p>
      <w:pPr>
        <w:spacing w:after="0" w:line="75" w:lineRule="exact"/>
        <w:rPr>
          <w:sz w:val="20"/>
          <w:szCs w:val="20"/>
          <w:color w:val="auto"/>
        </w:rPr>
      </w:pPr>
    </w:p>
    <w:p>
      <w:pPr>
        <w:ind w:left="1340" w:right="1799" w:hanging="116"/>
        <w:spacing w:after="0" w:line="290" w:lineRule="auto"/>
        <w:tabs>
          <w:tab w:leader="none" w:pos="1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delays in necessary interactions with regulators, ethics committees, and other important agencies and contractors.</w:t>
      </w:r>
    </w:p>
    <w:p>
      <w:pPr>
        <w:spacing w:after="0" w:line="96"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color w:val="auto"/>
        </w:rPr>
        <w:t>We have not yet commenced clinical trial activities for any of our product candidates. If we commence clinical trials for one or more of our product candidates, potential disruptions of those clinical activities as a result of COVID-19 or similar pandemics include, but are not limited to the interruption of key clinical trial activities, enrolling patients in clinical trials, interruption of, or delays in receiving, supplies of our product candidates, regulatory delays, changes in regulations as part of a response to the COVID-19 pandemic, and additional delays, difficulties, or interruptions as a result of current or future shutdowns.</w:t>
      </w:r>
    </w:p>
    <w:p>
      <w:pPr>
        <w:spacing w:after="0" w:line="277" w:lineRule="exact"/>
        <w:rPr>
          <w:sz w:val="20"/>
          <w:szCs w:val="20"/>
          <w:color w:val="auto"/>
        </w:rPr>
      </w:pPr>
    </w:p>
    <w:p>
      <w:pPr>
        <w:ind w:left="1220" w:right="1339"/>
        <w:spacing w:after="0" w:line="275" w:lineRule="auto"/>
        <w:rPr>
          <w:sz w:val="20"/>
          <w:szCs w:val="20"/>
          <w:color w:val="auto"/>
        </w:rPr>
      </w:pPr>
      <w:r>
        <w:rPr>
          <w:rFonts w:ascii="Arial" w:cs="Arial" w:eastAsia="Arial" w:hAnsi="Arial"/>
          <w:sz w:val="14"/>
          <w:szCs w:val="14"/>
          <w:color w:val="auto"/>
        </w:rPr>
        <w:t>The COVID-19 global pandemic continues to rapidly evolve. Although many countries, including certain countries in Europe and the United States, have re-opened, rises in new cases have caused certain countries to re-initiate restrictions. The extent to which the outbreak may affect our preclinical studies, clinical trials, business, financial condition, and results of operations will depend on future developments, which are highly uncertain and cannot be predicted at this time, such as the ultimate geographic spread of the disease, the duration of the outbreak, travel restrictions, the availability of vaccines, and actions to contain the outbreak or treat its impact. Additionally, we are unable to predict if a different pandemic could have similar or different impacts on our business, financial condition, or share price. Future developments in these and other areas present material uncertainty and risk with respect to our clinical trials, business, financial condition, and results of operations.</w:t>
      </w:r>
    </w:p>
    <w:p>
      <w:pPr>
        <w:spacing w:after="0" w:line="308" w:lineRule="exact"/>
        <w:rPr>
          <w:sz w:val="20"/>
          <w:szCs w:val="20"/>
          <w:color w:val="auto"/>
        </w:rPr>
      </w:pPr>
    </w:p>
    <w:p>
      <w:pPr>
        <w:ind w:left="1220" w:right="1459"/>
        <w:spacing w:after="0" w:line="265" w:lineRule="auto"/>
        <w:rPr>
          <w:sz w:val="20"/>
          <w:szCs w:val="20"/>
          <w:color w:val="auto"/>
        </w:rPr>
      </w:pPr>
      <w:r>
        <w:rPr>
          <w:rFonts w:ascii="Arial" w:cs="Arial" w:eastAsia="Arial" w:hAnsi="Arial"/>
          <w:sz w:val="14"/>
          <w:szCs w:val="14"/>
          <w:b w:val="1"/>
          <w:bCs w:val="1"/>
          <w:i w:val="1"/>
          <w:iCs w:val="1"/>
          <w:color w:val="auto"/>
        </w:rPr>
        <w:t>We have incurred indebtedness, and we may incur additional indebtedness, which could adversely affect our business.</w:t>
      </w:r>
    </w:p>
    <w:p>
      <w:pPr>
        <w:spacing w:after="0" w:line="103" w:lineRule="exact"/>
        <w:rPr>
          <w:sz w:val="20"/>
          <w:szCs w:val="20"/>
          <w:color w:val="auto"/>
        </w:rPr>
      </w:pPr>
    </w:p>
    <w:p>
      <w:pPr>
        <w:ind w:left="1220" w:right="1259"/>
        <w:spacing w:after="0" w:line="281" w:lineRule="auto"/>
        <w:rPr>
          <w:sz w:val="20"/>
          <w:szCs w:val="20"/>
          <w:color w:val="auto"/>
        </w:rPr>
      </w:pPr>
      <w:r>
        <w:rPr>
          <w:rFonts w:ascii="Arial" w:cs="Arial" w:eastAsia="Arial" w:hAnsi="Arial"/>
          <w:sz w:val="14"/>
          <w:szCs w:val="14"/>
          <w:color w:val="auto"/>
        </w:rPr>
        <w:t>As of April 30, 2021, we had an outstanding balance of $10.0 million under our Loan and Security Agreement with Hercules Capital, Inc., or the Loan Agreement. Our indebtedness could have important consequences to our stockholders. For example, it:</w:t>
      </w:r>
    </w:p>
    <w:p>
      <w:pPr>
        <w:spacing w:after="0" w:line="71" w:lineRule="exact"/>
        <w:rPr>
          <w:sz w:val="20"/>
          <w:szCs w:val="20"/>
          <w:color w:val="auto"/>
        </w:rPr>
      </w:pPr>
    </w:p>
    <w:p>
      <w:pPr>
        <w:ind w:left="1340" w:hanging="116"/>
        <w:spacing w:after="0"/>
        <w:tabs>
          <w:tab w:leader="none" w:pos="1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increases our vulnerability to adverse general economic and industry conditions;</w:t>
      </w:r>
    </w:p>
    <w:p>
      <w:pPr>
        <w:spacing w:after="0" w:line="130" w:lineRule="exact"/>
        <w:rPr>
          <w:rFonts w:ascii="Arial" w:cs="Arial" w:eastAsia="Arial" w:hAnsi="Arial"/>
          <w:sz w:val="14"/>
          <w:szCs w:val="14"/>
          <w:color w:val="auto"/>
        </w:rPr>
      </w:pPr>
    </w:p>
    <w:p>
      <w:pPr>
        <w:ind w:left="1340" w:right="1339" w:hanging="116"/>
        <w:spacing w:after="0" w:line="281" w:lineRule="auto"/>
        <w:tabs>
          <w:tab w:leader="none" w:pos="1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81" w:lineRule="exact"/>
        <w:rPr>
          <w:rFonts w:ascii="Arial" w:cs="Arial" w:eastAsia="Arial" w:hAnsi="Arial"/>
          <w:sz w:val="14"/>
          <w:szCs w:val="14"/>
          <w:color w:val="auto"/>
        </w:rPr>
      </w:pPr>
    </w:p>
    <w:p>
      <w:pPr>
        <w:ind w:left="1340" w:right="1539" w:hanging="116"/>
        <w:spacing w:after="0" w:line="290" w:lineRule="auto"/>
        <w:tabs>
          <w:tab w:leader="none" w:pos="1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limits our ability to obtain additional financing or refinancing in the future for working capital, clinical trials, research and development, or other purposes.</w:t>
      </w:r>
    </w:p>
    <w:p>
      <w:pPr>
        <w:spacing w:after="0" w:line="96"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Any of the above-listed factors could materially adversely affect our business, financial condition, results of operations, and cash flows. The Loan Agreement also contains certain financial and other covenants, including limitations on, among other things, additional indebtedness, out licensing, paying dividends in certain circumstances, and making certain acquisitions and investments. Any failure to comply with the terms, covenants and conditions of the Loan Agreement may limit our ability to draw upon additional tranches of term loans and may result in an event of default under such agreement, which could have a material adverse effect on our business, financial condition, and results of operations.</w:t>
      </w:r>
    </w:p>
    <w:p>
      <w:pPr>
        <w:spacing w:after="0" w:line="306" w:lineRule="exact"/>
        <w:rPr>
          <w:sz w:val="20"/>
          <w:szCs w:val="20"/>
          <w:color w:val="auto"/>
        </w:rPr>
      </w:pPr>
    </w:p>
    <w:p>
      <w:pPr>
        <w:ind w:left="1220" w:right="1619"/>
        <w:spacing w:after="0" w:line="245" w:lineRule="auto"/>
        <w:rPr>
          <w:sz w:val="20"/>
          <w:szCs w:val="20"/>
          <w:color w:val="auto"/>
        </w:rPr>
      </w:pPr>
      <w:r>
        <w:rPr>
          <w:rFonts w:ascii="Arial" w:cs="Arial" w:eastAsia="Arial" w:hAnsi="Arial"/>
          <w:sz w:val="14"/>
          <w:szCs w:val="14"/>
          <w:b w:val="1"/>
          <w:bCs w:val="1"/>
          <w:i w:val="1"/>
          <w:iCs w:val="1"/>
          <w:color w:val="auto"/>
        </w:rPr>
        <w:t>We are subject to various foreign, federal, and state healthcare and privacy laws and regulations, and our failure to comply with these laws and regulations could harm our results of operations and financial condition.</w:t>
      </w:r>
    </w:p>
    <w:p>
      <w:pPr>
        <w:spacing w:after="0" w:line="106"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Our business operations and current and future arrangements with investigators, healthcare professionals, consultants, third-party payors, and customers expose us to broadly applicable foreign, federal and state fraud and abuse, and other healthcare and privacy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5" w:name="page46"/>
    <w:bookmarkEnd w:id="4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279" w:hanging="116"/>
        <w:spacing w:after="0" w:line="275" w:lineRule="auto"/>
        <w:tabs>
          <w:tab w:leader="none" w:pos="1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248" w:lineRule="exact"/>
        <w:rPr>
          <w:rFonts w:ascii="Arial" w:cs="Arial" w:eastAsia="Arial" w:hAnsi="Arial"/>
          <w:sz w:val="14"/>
          <w:szCs w:val="14"/>
          <w:color w:val="auto"/>
        </w:rPr>
      </w:pPr>
    </w:p>
    <w:p>
      <w:pPr>
        <w:ind w:left="1340" w:right="1259" w:hanging="116"/>
        <w:spacing w:after="0" w:line="277" w:lineRule="auto"/>
        <w:tabs>
          <w:tab w:leader="none" w:pos="1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federal false claims and civil monetary penalties laws, including the civil False Claims Act, which prohibits,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w:t>
      </w:r>
    </w:p>
    <w:p>
      <w:pPr>
        <w:spacing w:after="0" w:line="255" w:lineRule="exact"/>
        <w:rPr>
          <w:rFonts w:ascii="Arial" w:cs="Arial" w:eastAsia="Arial" w:hAnsi="Arial"/>
          <w:sz w:val="14"/>
          <w:szCs w:val="14"/>
          <w:color w:val="auto"/>
        </w:rPr>
      </w:pPr>
    </w:p>
    <w:p>
      <w:pPr>
        <w:ind w:left="1340" w:right="1359" w:hanging="116"/>
        <w:spacing w:after="0" w:line="276" w:lineRule="auto"/>
        <w:tabs>
          <w:tab w:leader="none" w:pos="1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57" w:lineRule="exact"/>
        <w:rPr>
          <w:rFonts w:ascii="Arial" w:cs="Arial" w:eastAsia="Arial" w:hAnsi="Arial"/>
          <w:sz w:val="14"/>
          <w:szCs w:val="14"/>
          <w:color w:val="auto"/>
        </w:rPr>
      </w:pPr>
    </w:p>
    <w:p>
      <w:pPr>
        <w:ind w:left="1340" w:right="1279" w:hanging="116"/>
        <w:spacing w:after="0" w:line="276" w:lineRule="auto"/>
        <w:tabs>
          <w:tab w:leader="none" w:pos="1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of 2009, or HITECH, and their implementing regulations, also impose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as well as their business associates that perform certain services for or on their behalf involving the use or disclosure of individually identifiable health information;</w:t>
      </w:r>
    </w:p>
    <w:p>
      <w:pPr>
        <w:spacing w:after="0" w:line="257" w:lineRule="exact"/>
        <w:rPr>
          <w:rFonts w:ascii="Arial" w:cs="Arial" w:eastAsia="Arial" w:hAnsi="Arial"/>
          <w:sz w:val="14"/>
          <w:szCs w:val="14"/>
          <w:color w:val="auto"/>
        </w:rPr>
      </w:pPr>
    </w:p>
    <w:p>
      <w:pPr>
        <w:ind w:left="1340" w:right="1419" w:hanging="116"/>
        <w:spacing w:after="0" w:line="276" w:lineRule="auto"/>
        <w:tabs>
          <w:tab w:leader="none" w:pos="1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and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74" w:lineRule="exact"/>
        <w:rPr>
          <w:rFonts w:ascii="Arial" w:cs="Arial" w:eastAsia="Arial" w:hAnsi="Arial"/>
          <w:sz w:val="14"/>
          <w:szCs w:val="14"/>
          <w:color w:val="auto"/>
        </w:rPr>
      </w:pPr>
    </w:p>
    <w:p>
      <w:pPr>
        <w:jc w:val="both"/>
        <w:ind w:left="1340" w:right="1259" w:hanging="116"/>
        <w:spacing w:after="0" w:line="281" w:lineRule="auto"/>
        <w:tabs>
          <w:tab w:leader="none" w:pos="1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Foreign Corrupt Practices Act, or FCPA, which prohibits companies and their intermediaries from making, or offering or promising to make improper payments to non-United States officials for the purpose of obtaining or retaining business or otherwise seeking favorable treatment; and</w:t>
      </w:r>
    </w:p>
    <w:p>
      <w:pPr>
        <w:spacing w:after="0" w:line="60" w:lineRule="exact"/>
        <w:rPr>
          <w:rFonts w:ascii="Arial" w:cs="Arial" w:eastAsia="Arial" w:hAnsi="Arial"/>
          <w:sz w:val="14"/>
          <w:szCs w:val="14"/>
          <w:color w:val="auto"/>
        </w:rPr>
      </w:pPr>
    </w:p>
    <w:p>
      <w:pPr>
        <w:ind w:left="1340" w:right="1359" w:hanging="116"/>
        <w:spacing w:after="0" w:line="275" w:lineRule="auto"/>
        <w:tabs>
          <w:tab w:leader="none" w:pos="1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analogous state and foreign laws and regulations, such as state anti-kickback and false claims laws, which may apply to our business practices, including but not limited to, research, distribution, sales, and marketing arrangements and claims involving healthcare items or services reimbursed by non- governmental third-party payors, including private insurers, or by the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and biologic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state and foreign laws governing the privacy and security of health information in some circumstances, many of which differ from each other in significant ways and often are not preempted by HIPAA; state and foreign governments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5458460"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6" w:name="page47"/>
    <w:bookmarkEnd w:id="4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40" w:right="1399"/>
        <w:spacing w:after="0" w:line="260" w:lineRule="auto"/>
        <w:rPr>
          <w:sz w:val="20"/>
          <w:szCs w:val="20"/>
          <w:color w:val="auto"/>
        </w:rPr>
      </w:pPr>
      <w:r>
        <w:rPr>
          <w:rFonts w:ascii="Arial" w:cs="Arial" w:eastAsia="Arial" w:hAnsi="Arial"/>
          <w:sz w:val="14"/>
          <w:szCs w:val="14"/>
          <w:color w:val="auto"/>
        </w:rPr>
        <w:t>that have enacted or proposed requirements regarding the collection, retention, distribution, use, security, sharing, transfer, storage, and other processing of personally identifiable information and other data relating to individuals (including the EU General Data Protection Regulation 2016/679, or GDPR, and the California Consumer Protection Act, or CCPA), and federal and state consumer protection laws are being applied to enforce regulations related to the online collection, use, and dissemination of data, thus complicating compliance efforts.</w:t>
      </w:r>
    </w:p>
    <w:p>
      <w:pPr>
        <w:spacing w:after="0" w:line="108"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Ensuring that our internal operations and business arrangements with third parties comply with applicable healthcare laws and regulations involves substantial costs. It is possible that governmental authorities will conclude that our business practices, including any consulting and advisory board arrangements with physicians and other healthcare providers,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United States government funded healthcare programs, such as Medicare and Medicaid, or similar programs in other countries or jurisdictions, disgorgement, individual imprisonment, contractual damages, reputational harm, additional reporting requirements, and oversight if we become subject to a corporate integrity agreement or similar agreement to resolve allegations of noncompliance with these laws, diminished profits, and the curtailment or restructuring of our operations. Further, defending against any such actions can be costly,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 from government funded healthcare programs and imprisonment. If any of the above occur, it could adversely affect our ability to operate our business and our results of operations.</w:t>
      </w:r>
    </w:p>
    <w:p>
      <w:pPr>
        <w:spacing w:after="0" w:line="200" w:lineRule="exact"/>
        <w:rPr>
          <w:sz w:val="20"/>
          <w:szCs w:val="20"/>
          <w:color w:val="auto"/>
        </w:rPr>
      </w:pPr>
    </w:p>
    <w:p>
      <w:pPr>
        <w:spacing w:after="0" w:line="295" w:lineRule="exact"/>
        <w:rPr>
          <w:sz w:val="20"/>
          <w:szCs w:val="20"/>
          <w:color w:val="auto"/>
        </w:rPr>
      </w:pPr>
    </w:p>
    <w:p>
      <w:pPr>
        <w:ind w:left="1220" w:right="1759"/>
        <w:spacing w:after="0" w:line="245" w:lineRule="auto"/>
        <w:rPr>
          <w:sz w:val="20"/>
          <w:szCs w:val="20"/>
          <w:color w:val="auto"/>
        </w:rPr>
      </w:pPr>
      <w:r>
        <w:rPr>
          <w:rFonts w:ascii="Arial" w:cs="Arial" w:eastAsia="Arial" w:hAnsi="Arial"/>
          <w:sz w:val="14"/>
          <w:szCs w:val="14"/>
          <w:b w:val="1"/>
          <w:bCs w:val="1"/>
          <w:i w:val="1"/>
          <w:iCs w:val="1"/>
          <w:color w:val="auto"/>
        </w:rPr>
        <w:t>Healthcare legislation, including potentially unfavorable pricing regulations or other healthcare reform initiatives, may increase the difficulty and cost for us to obtain marketing approval of and commercialize our product candidates.</w:t>
      </w:r>
    </w:p>
    <w:p>
      <w:pPr>
        <w:spacing w:after="0" w:line="116"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The United States and many foreign jurisdictions have enacted or proposed legislative and regulatory changes affecting the healthcare system that may affect our ability to profitably sell our products and product candidates, if approved.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w:t>
      </w:r>
    </w:p>
    <w:p>
      <w:pPr>
        <w:spacing w:after="0" w:line="291"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The ACA was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There have been significant ongoing administrative, executive, and legislative efforts to modify or eliminate the ACA. For example, the Tax Cuts and Jobs Act, enacted on December 22, 2017, repealed the shared responsibility payment for individuals who fail to maintain minimum essential coverage under section 5000A of the Code, commonly referred to as the individual mandate. The Trump administration issued executive orders which sought to reduce burdens associated with the ACA and modified how it was implemented. Other legislative changes have been proposed and adopted since passage of the ACA. The ACA has also been subject to challenges in the courts. On December 14, 2018, a Texas U.S. District Court Judge ruled that the ACA is unconstitutional in its entirety because the “individual mandate” was repealed by the United States Congress, or Congress. On December 18, 2019, the Fifth Circuit U.S. Court of Appeals held that the individual mandate is unconstitutional</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7" w:name="page48"/>
    <w:bookmarkEnd w:id="4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419"/>
        <w:spacing w:after="0" w:line="265" w:lineRule="auto"/>
        <w:rPr>
          <w:sz w:val="20"/>
          <w:szCs w:val="20"/>
          <w:color w:val="auto"/>
        </w:rPr>
      </w:pPr>
      <w:r>
        <w:rPr>
          <w:rFonts w:ascii="Arial" w:cs="Arial" w:eastAsia="Arial" w:hAnsi="Arial"/>
          <w:sz w:val="14"/>
          <w:szCs w:val="14"/>
          <w:color w:val="auto"/>
        </w:rPr>
        <w:t>and remanded the case to the Texas District Court to reconsider its earlier invalidation of the entire ACA. An appeal was taken to the U.S. Supreme Court which heard oral arguments in the case on November 10, 2020. A ruling is expected in 2021.</w:t>
      </w:r>
    </w:p>
    <w:p>
      <w:pPr>
        <w:spacing w:after="0" w:line="93"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Further changes to and under the ACA remain possible, although the new Biden administration has signaled that it plans to build on the ACA and expand the number of people who are eligible for subsidies under it. President Biden indicated that he intends to use executive orders to undo changes to the ACA made by the Trump administration and would advocate for legislation to build on the ACA. It is unknown what form any such changes or any law proposed to replace the ACA would take, and how or whether it may affect our business in the future. We expect that changes to the ACA, the Medicare and Medicaid programs, changes allowing the federal government to directly negotiate drug and biologic prices, and changes stemming from other healthcare reform measures, especially with regard to healthcare access, financing, or other legislation in individual states, could have a material adverse effect on the healthcare industry.</w:t>
      </w:r>
    </w:p>
    <w:p>
      <w:pPr>
        <w:spacing w:after="0" w:line="108" w:lineRule="exact"/>
        <w:rPr>
          <w:sz w:val="20"/>
          <w:szCs w:val="20"/>
          <w:color w:val="auto"/>
        </w:rPr>
      </w:pPr>
    </w:p>
    <w:p>
      <w:pPr>
        <w:ind w:left="1220" w:right="1339"/>
        <w:spacing w:after="0" w:line="265" w:lineRule="auto"/>
        <w:rPr>
          <w:sz w:val="20"/>
          <w:szCs w:val="20"/>
          <w:color w:val="auto"/>
        </w:rPr>
      </w:pPr>
      <w:r>
        <w:rPr>
          <w:rFonts w:ascii="Arial" w:cs="Arial" w:eastAsia="Arial" w:hAnsi="Arial"/>
          <w:sz w:val="14"/>
          <w:szCs w:val="14"/>
          <w:color w:val="auto"/>
        </w:rPr>
        <w:t>The Budget Control Act of 2011 has resulted in reductions in spending on certain government programs, including aggregate reductions to Medicare payments to healthcare providers of up to 2.0% per fiscal year. These reductions have been extended until 2030 unless additional Congressional action is taken.</w:t>
      </w:r>
    </w:p>
    <w:p>
      <w:pPr>
        <w:spacing w:after="0" w:line="276" w:lineRule="exact"/>
        <w:rPr>
          <w:sz w:val="20"/>
          <w:szCs w:val="20"/>
          <w:color w:val="auto"/>
        </w:rPr>
      </w:pPr>
    </w:p>
    <w:p>
      <w:pPr>
        <w:ind w:left="1220" w:right="1419"/>
        <w:spacing w:after="0" w:line="262" w:lineRule="auto"/>
        <w:rPr>
          <w:sz w:val="20"/>
          <w:szCs w:val="20"/>
          <w:color w:val="auto"/>
        </w:rPr>
      </w:pPr>
      <w:r>
        <w:rPr>
          <w:rFonts w:ascii="Arial" w:cs="Arial" w:eastAsia="Arial" w:hAnsi="Arial"/>
          <w:sz w:val="14"/>
          <w:szCs w:val="14"/>
          <w:color w:val="auto"/>
        </w:rPr>
        <w:t>Any reduction in reimbursement from Medicare, Medicaid, or other government programs may result in a similar reduction in payments from private payers. The implementation of cost containment measures or other healthcare reforms may prevent us from being able to generate revenue, attain and maintain profitability of our product and product candidates, if approved.</w:t>
      </w:r>
    </w:p>
    <w:p>
      <w:pPr>
        <w:spacing w:after="0" w:line="95" w:lineRule="exact"/>
        <w:rPr>
          <w:sz w:val="20"/>
          <w:szCs w:val="20"/>
          <w:color w:val="auto"/>
        </w:rPr>
      </w:pPr>
    </w:p>
    <w:p>
      <w:pPr>
        <w:ind w:left="1220" w:right="1399"/>
        <w:spacing w:after="0" w:line="260" w:lineRule="auto"/>
        <w:rPr>
          <w:sz w:val="20"/>
          <w:szCs w:val="20"/>
          <w:color w:val="auto"/>
        </w:rPr>
      </w:pPr>
      <w:r>
        <w:rPr>
          <w:rFonts w:ascii="Arial" w:cs="Arial" w:eastAsia="Arial" w:hAnsi="Arial"/>
          <w:sz w:val="14"/>
          <w:szCs w:val="14"/>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CNTY-101 or any future product candidates may lose any marketing approval that may have been obtained and we may not achieve or sustain profitability, which would materially adversely affect our business, financial condition, and results of operations.</w:t>
      </w:r>
    </w:p>
    <w:p>
      <w:pPr>
        <w:spacing w:after="0" w:line="133" w:lineRule="exact"/>
        <w:rPr>
          <w:sz w:val="20"/>
          <w:szCs w:val="20"/>
          <w:color w:val="auto"/>
        </w:rPr>
      </w:pPr>
    </w:p>
    <w:p>
      <w:pPr>
        <w:ind w:left="1220" w:right="1619"/>
        <w:spacing w:after="0" w:line="265" w:lineRule="auto"/>
        <w:rPr>
          <w:sz w:val="20"/>
          <w:szCs w:val="20"/>
          <w:color w:val="auto"/>
        </w:rPr>
      </w:pPr>
      <w:r>
        <w:rPr>
          <w:rFonts w:ascii="Arial" w:cs="Arial" w:eastAsia="Arial" w:hAnsi="Arial"/>
          <w:sz w:val="14"/>
          <w:szCs w:val="14"/>
          <w:b w:val="1"/>
          <w:bCs w:val="1"/>
          <w:i w:val="1"/>
          <w:iCs w:val="1"/>
          <w:color w:val="auto"/>
        </w:rPr>
        <w:t>If we fail to maintain proper and effective internal controls over financial reporting our ability to produce accurate and timely financial statements could be impaired.</w:t>
      </w:r>
    </w:p>
    <w:p>
      <w:pPr>
        <w:spacing w:after="0" w:line="92"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We are required to maintain internal controls over financial reporting. Commencing with our fiscal year ending the year after this offering is completed, we must perform system and process design evaluation and testing of the effectiveness of our internal controls over financial reporting to allow management to report on the effectiveness of our internal controls over financial reporting in our Annual Report on Form 10-K for that year, as required by Section 404 of the Sarbanes-Oxley Act of 2002, or the Sarbanes-Oxley Act.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as a result, we may experience difficulty in meeting these reporting requirements in a timely manner. In addition, 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w:t>
      </w:r>
    </w:p>
    <w:p>
      <w:pPr>
        <w:spacing w:after="0" w:line="286"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If we are not able to comply with the requirements of Section 404 of the Sarbanes-Oxley Act in a timely manner, if our independent registered public accounting firm determines that we have a material weakness or a significant deficiency in our internal control over financial reporting, or we are unable to maintain proper and effective internal controls over financial reporting, we may not be able to produce timely and accurate financial statements. As a result, our investors could lose confidence in our reported financial information, the market price of our stock could decline, and we could be subject to sanctions or investigations by the SEC or other regulatory authorities.</w:t>
      </w:r>
    </w:p>
    <w:p>
      <w:pPr>
        <w:spacing w:after="0" w:line="95" w:lineRule="exact"/>
        <w:rPr>
          <w:sz w:val="20"/>
          <w:szCs w:val="20"/>
          <w:color w:val="auto"/>
        </w:rPr>
      </w:pPr>
    </w:p>
    <w:p>
      <w:pPr>
        <w:ind w:left="1220" w:right="1319"/>
        <w:spacing w:after="0" w:line="265" w:lineRule="auto"/>
        <w:rPr>
          <w:sz w:val="20"/>
          <w:szCs w:val="20"/>
          <w:color w:val="auto"/>
        </w:rPr>
      </w:pPr>
      <w:r>
        <w:rPr>
          <w:rFonts w:ascii="Arial" w:cs="Arial" w:eastAsia="Arial" w:hAnsi="Arial"/>
          <w:sz w:val="14"/>
          <w:szCs w:val="14"/>
          <w:color w:val="auto"/>
        </w:rPr>
        <w:t>We believe that any internal controls and procedures, no matter how well-conceived and operated, can provide only reasonable, not absolute, assurance that the objectives of the control system are met. We may discover</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8" w:name="page49"/>
    <w:bookmarkEnd w:id="4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61" w:lineRule="auto"/>
        <w:rPr>
          <w:sz w:val="20"/>
          <w:szCs w:val="20"/>
          <w:color w:val="auto"/>
        </w:rPr>
      </w:pPr>
      <w:r>
        <w:rPr>
          <w:rFonts w:ascii="Arial" w:cs="Arial" w:eastAsia="Arial" w:hAnsi="Arial"/>
          <w:sz w:val="14"/>
          <w:szCs w:val="14"/>
          <w:color w:val="auto"/>
        </w:rPr>
        <w:t>weaknesses in our system of internal financial and accounting controls and procedures that could result in a material misstatement of our financial statements. Our internal control over financial reporting will not prevent or detect all errors and all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268"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may not be detected.</w:t>
      </w:r>
    </w:p>
    <w:p>
      <w:pPr>
        <w:spacing w:after="0" w:line="133" w:lineRule="exact"/>
        <w:rPr>
          <w:sz w:val="20"/>
          <w:szCs w:val="20"/>
          <w:color w:val="auto"/>
        </w:rPr>
      </w:pPr>
    </w:p>
    <w:p>
      <w:pPr>
        <w:ind w:left="1220" w:right="1319"/>
        <w:spacing w:after="0" w:line="245" w:lineRule="auto"/>
        <w:rPr>
          <w:sz w:val="20"/>
          <w:szCs w:val="20"/>
          <w:color w:val="auto"/>
        </w:rPr>
      </w:pPr>
      <w:r>
        <w:rPr>
          <w:rFonts w:ascii="Arial" w:cs="Arial" w:eastAsia="Arial" w:hAnsi="Arial"/>
          <w:sz w:val="14"/>
          <w:szCs w:val="14"/>
          <w:b w:val="1"/>
          <w:bCs w:val="1"/>
          <w:i w:val="1"/>
          <w:iCs w:val="1"/>
          <w:color w:val="auto"/>
        </w:rPr>
        <w:t>We, or our CMOs or suppliers, may use potent chemical agents and hazardous materials, and any claims relating to improper handling, storage or disposal of these materials could be time-consuming or costly.</w:t>
      </w:r>
    </w:p>
    <w:p>
      <w:pPr>
        <w:spacing w:after="0" w:line="106"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We, or our CMOs or suppliers, including FCDI, use biological materials, potent chemical agents and may use hazardous materials, including chemicals and biological agents and compounds that could be dangerous to human health and safety of the environment. The operations of our CMOs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w:t>
      </w:r>
    </w:p>
    <w:p>
      <w:pPr>
        <w:spacing w:after="0" w:line="279" w:lineRule="exact"/>
        <w:rPr>
          <w:sz w:val="20"/>
          <w:szCs w:val="20"/>
          <w:color w:val="auto"/>
        </w:rPr>
      </w:pPr>
    </w:p>
    <w:p>
      <w:pPr>
        <w:ind w:left="1220" w:right="1499"/>
        <w:spacing w:after="0" w:line="260" w:lineRule="auto"/>
        <w:rPr>
          <w:sz w:val="20"/>
          <w:szCs w:val="20"/>
          <w:color w:val="auto"/>
        </w:rPr>
      </w:pPr>
      <w:r>
        <w:rPr>
          <w:rFonts w:ascii="Arial" w:cs="Arial" w:eastAsia="Arial" w:hAnsi="Arial"/>
          <w:sz w:val="14"/>
          <w:szCs w:val="14"/>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35" w:lineRule="exact"/>
        <w:rPr>
          <w:sz w:val="20"/>
          <w:szCs w:val="20"/>
          <w:color w:val="auto"/>
        </w:rPr>
      </w:pPr>
    </w:p>
    <w:p>
      <w:pPr>
        <w:ind w:left="1220" w:right="1319"/>
        <w:spacing w:after="0" w:line="265" w:lineRule="auto"/>
        <w:rPr>
          <w:sz w:val="20"/>
          <w:szCs w:val="20"/>
          <w:color w:val="auto"/>
        </w:rPr>
      </w:pPr>
      <w:r>
        <w:rPr>
          <w:rFonts w:ascii="Arial" w:cs="Arial" w:eastAsia="Arial" w:hAnsi="Arial"/>
          <w:sz w:val="14"/>
          <w:szCs w:val="14"/>
          <w:b w:val="1"/>
          <w:bCs w:val="1"/>
          <w:i w:val="1"/>
          <w:iCs w:val="1"/>
          <w:color w:val="auto"/>
        </w:rPr>
        <w:t>If product liability lawsuits are brought against us, we may incur substantial liabilities and may be required to limit commercialization of our products.</w:t>
      </w:r>
    </w:p>
    <w:p>
      <w:pPr>
        <w:spacing w:after="0" w:line="81"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We are exposed to potential product liability and professional indemnity risks that are inherent in the research, development, manufacturing, marketing, and use of pharmaceutical products. While we currently have no product candidates that have commenced clinical trials or been approved for commercial sale, the future use of product candidates by us in clinical trials, and the sale of any approved products in the future, may expose us to liability claims. For example, we may be sued if CNTY-101 and our other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279" w:lineRule="exact"/>
        <w:rPr>
          <w:sz w:val="20"/>
          <w:szCs w:val="20"/>
          <w:color w:val="auto"/>
        </w:rPr>
      </w:pPr>
    </w:p>
    <w:p>
      <w:pPr>
        <w:ind w:left="1220" w:right="1339"/>
        <w:spacing w:after="0" w:line="262" w:lineRule="auto"/>
        <w:rPr>
          <w:sz w:val="20"/>
          <w:szCs w:val="20"/>
          <w:color w:val="auto"/>
        </w:rPr>
      </w:pPr>
      <w:r>
        <w:rPr>
          <w:rFonts w:ascii="Arial" w:cs="Arial" w:eastAsia="Arial" w:hAnsi="Arial"/>
          <w:sz w:val="14"/>
          <w:szCs w:val="14"/>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85" w:lineRule="exact"/>
        <w:rPr>
          <w:sz w:val="20"/>
          <w:szCs w:val="20"/>
          <w:color w:val="auto"/>
        </w:rPr>
      </w:pPr>
    </w:p>
    <w:p>
      <w:pPr>
        <w:ind w:left="1340" w:hanging="116"/>
        <w:spacing w:after="0"/>
        <w:tabs>
          <w:tab w:leader="none" w:pos="1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decreased demand for our products;</w:t>
      </w:r>
    </w:p>
    <w:p>
      <w:pPr>
        <w:spacing w:after="0" w:line="97" w:lineRule="exact"/>
        <w:rPr>
          <w:rFonts w:ascii="Arial" w:cs="Arial" w:eastAsia="Arial" w:hAnsi="Arial"/>
          <w:sz w:val="14"/>
          <w:szCs w:val="14"/>
          <w:color w:val="auto"/>
        </w:rPr>
      </w:pPr>
    </w:p>
    <w:p>
      <w:pPr>
        <w:ind w:left="1340" w:hanging="116"/>
        <w:spacing w:after="0"/>
        <w:tabs>
          <w:tab w:leader="none" w:pos="1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injury to our reputation and significant negative media attention;</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withdrawal of clinical trial participants and inability to continue clinical trials;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initiation of investigations by regulators;</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49" w:name="page50"/>
    <w:bookmarkEnd w:id="4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hanging="116"/>
        <w:spacing w:after="0"/>
        <w:tabs>
          <w:tab w:leader="none" w:pos="1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costs to defend the related litigation;</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 diversion of management’s time and our resources;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substantial monetary awards to trial participants or patients;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product recalls, withdrawals or labeling, marketing, or promotional restrictions;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significant negative financial impact;</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exhaustion of any available insurance and our capital resources;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inability to commercialize CNTY-101 or our other product candidates; and</w:t>
      </w:r>
    </w:p>
    <w:p>
      <w:pPr>
        <w:spacing w:after="0" w:line="119" w:lineRule="exact"/>
        <w:rPr>
          <w:rFonts w:ascii="Arial" w:cs="Arial" w:eastAsia="Arial" w:hAnsi="Arial"/>
          <w:sz w:val="14"/>
          <w:szCs w:val="14"/>
          <w:color w:val="auto"/>
        </w:rPr>
      </w:pPr>
    </w:p>
    <w:p>
      <w:pPr>
        <w:ind w:left="1340" w:hanging="116"/>
        <w:spacing w:after="0"/>
        <w:tabs>
          <w:tab w:leader="none" w:pos="1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 decline in our stock price.</w:t>
      </w:r>
    </w:p>
    <w:p>
      <w:pPr>
        <w:spacing w:after="0" w:line="130"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We currently hold product liability coverage in an amount we consider reasonable. We may need to increase our insurance coverage as we expand our clinical trials or if we commence commercialization of CNTY-101 or our other product candidates. Insurance coverage is increasingly expensive. Our inability to obtain and retain sufficient product liability insurance at an acceptable cost to protect against potential product liability claims could prevent or inhibit the commercialization of CNTY-101 or our other product candidates.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306" w:lineRule="exact"/>
        <w:rPr>
          <w:sz w:val="20"/>
          <w:szCs w:val="20"/>
          <w:color w:val="auto"/>
        </w:rPr>
      </w:pPr>
    </w:p>
    <w:p>
      <w:pPr>
        <w:ind w:left="1220" w:right="1299"/>
        <w:spacing w:after="0" w:line="239" w:lineRule="auto"/>
        <w:rPr>
          <w:sz w:val="20"/>
          <w:szCs w:val="20"/>
          <w:color w:val="auto"/>
        </w:rPr>
      </w:pPr>
      <w:r>
        <w:rPr>
          <w:rFonts w:ascii="Arial" w:cs="Arial" w:eastAsia="Arial" w:hAnsi="Arial"/>
          <w:sz w:val="14"/>
          <w:szCs w:val="14"/>
          <w:b w:val="1"/>
          <w:bCs w:val="1"/>
          <w:i w:val="1"/>
          <w:iCs w:val="1"/>
          <w:color w:val="auto"/>
        </w:rPr>
        <w:t>We may be unable to adequately protect our or our vendors’ information systems from cyberattacks or other incidents, which could result in the disclosure of confidential or proprietary information, including personal data, damage our reputation, and subject us to significant financial and legal exposure.</w:t>
      </w:r>
    </w:p>
    <w:p>
      <w:pPr>
        <w:spacing w:after="0" w:line="119"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Despite our implementation of security measures, our internal computer systems, and those of our CROs, CMOs, information technology suppliers, and other contractors and consultants are vulnerable to damage from computer viruses, cyberattacks, and other unauthorized access, natural disasters, terrorism, war, and telecommunication and electrical failures. Additionally, our security measures or those of our vendors could be breached as a result of employee theft, exfiltration, misuse, malfeasance, or unintentional events. A successful cyberattack or other data security incident could result in the theft or destruction of intellectual property, data, or other misappropriation of assets, or otherwise compromise our confidential or proprietary information and disrupt our operations. Cyberattacks could include wrongful conduct by hostile foreign governments, industrial espionage, wire fraud, and other forms of cyber fraud, the deployment of harmful malware, ransomware,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0" w:name="page51"/>
    <w:bookmarkEnd w:id="5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79"/>
        <w:spacing w:after="0" w:line="258" w:lineRule="auto"/>
        <w:rPr>
          <w:sz w:val="20"/>
          <w:szCs w:val="20"/>
          <w:color w:val="auto"/>
        </w:rPr>
      </w:pPr>
      <w:r>
        <w:rPr>
          <w:rFonts w:ascii="Arial" w:cs="Arial" w:eastAsia="Arial" w:hAnsi="Arial"/>
          <w:sz w:val="14"/>
          <w:szCs w:val="14"/>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275"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We also cannot be certain that our existing insurance coverage will cover any claims against us relating to any security incident or breach, will be available in sufficient amounts to cover the potentially significant losses that may result from a security incident or breach, will continue to be available on acceptable terms or at all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37" w:lineRule="exact"/>
        <w:rPr>
          <w:sz w:val="20"/>
          <w:szCs w:val="20"/>
          <w:color w:val="auto"/>
        </w:rPr>
      </w:pPr>
    </w:p>
    <w:p>
      <w:pPr>
        <w:ind w:left="1220" w:right="1399"/>
        <w:spacing w:after="0"/>
        <w:rPr>
          <w:sz w:val="20"/>
          <w:szCs w:val="20"/>
          <w:color w:val="auto"/>
        </w:rPr>
      </w:pPr>
      <w:r>
        <w:rPr>
          <w:rFonts w:ascii="Arial" w:cs="Arial" w:eastAsia="Arial" w:hAnsi="Arial"/>
          <w:sz w:val="14"/>
          <w:szCs w:val="14"/>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257"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We or our collaborators may be subject to federal, state, and foreign data privacy and security laws and regulations. In the United States, numerous federal and state laws and regulations, including federal health information privacy laws, state data breach notification laws, state health information privacy laws, and federal and state consumer protection laws, govern the collection, use, disclosure, storage, transfer, protection, and other processing of health-related and other personal information could apply to our operations or the operations of our collaborators. Many state legislatures have adopted legislation that regulates how businesses operate online, including measures relating to privacy, data security, and data breaches, and laws in all 50 states require businesses to provide notice to customers whose personally identifiable information has been disclosed as a result of a data breach. Such laws are not consistent, and compliance in the event of a widespread data breach is costly. By way of example, the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Additionally, a new privacy law, the California Privacy Rights Act, or the CPRA, was approved by California voters in the election of November 3, 2020. The CPRA, which will take effect in most material respects on January 1, 2023, modifies the CCPA significantly, potentially resulting in further uncertainty and requiring us to incur additional costs and expenses in an effort to comply.</w:t>
      </w:r>
    </w:p>
    <w:p>
      <w:pPr>
        <w:spacing w:after="0" w:line="283"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Foreign data protection laws, including the GDPR, may also apply to health-related and other personal information obtained outside of the United States. The GDPR went into effect in the EU in May 2018 and introduced strict requirements for processing the personal data of European Union data subjects.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European Union and the United States remains uncertain. For example, in 2016, the</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1" w:name="page52"/>
    <w:bookmarkEnd w:id="5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339"/>
        <w:spacing w:after="0" w:line="274" w:lineRule="auto"/>
        <w:rPr>
          <w:sz w:val="20"/>
          <w:szCs w:val="20"/>
          <w:color w:val="auto"/>
        </w:rPr>
      </w:pPr>
      <w:r>
        <w:rPr>
          <w:rFonts w:ascii="Arial" w:cs="Arial" w:eastAsia="Arial" w:hAnsi="Arial"/>
          <w:sz w:val="14"/>
          <w:szCs w:val="14"/>
          <w:color w:val="auto"/>
        </w:rPr>
        <w:t>European Union and United States agreed to a transfer framework for data transferred from the European Union to the United States called the Privacy Shield, but the Privacy Shield was invalidated in July 2020 by the Court of Justice of the European Union. Further, the vote in the United Kingdom in favor of exiting the European Union, referred to as Brexit, has created uncertainty with regard to data protection regulation in the United Kingdom. The United Kingdom has transposed the GDPR into domestic law with a United Kingdom version of the GDPR that took effect in January 2021, which could expose us to two parallel regimes, each of which potentially authorizes similar fines and other potentially divergent enforcement actions for violations. In addition, it is still unclear whether transfer of data from the European Economic Area to the United Kingdom will remain lawful under the GDPR. On December 24, 2020, the United Kingdom and European Union entered into a Trade and Cooperation Agreement. The Trade and Cooperation Agreement provides for a transitional period during which the United Kingdom will be treated like an European Union member state in relation to processing and transfers of personal data for four months from January 1, 2021. This may be extended by two further months. After such period, the United Kingdom will be a “third country” under the GDPR unless the European Commission adopts an adequacy decision in respect of transfers of personal data to the United Kingdom.</w:t>
      </w:r>
    </w:p>
    <w:p>
      <w:pPr>
        <w:spacing w:after="0" w:line="285"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Compliance with United States and foreign data protection laws and regulations could require us to take on more onerous obligations in our contracts, restrict our ability to collect, use and disclose data, or in some cases, impact our ability to operate in certain jurisdictions. Failure by us or our collaborators to comply with United States and foreign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could result in adverse publicity and could have a material adverse effect on our business, financial condition, results of operations, and prospects.</w:t>
      </w:r>
    </w:p>
    <w:p>
      <w:pPr>
        <w:spacing w:after="0" w:line="306" w:lineRule="exact"/>
        <w:rPr>
          <w:sz w:val="20"/>
          <w:szCs w:val="20"/>
          <w:color w:val="auto"/>
        </w:rPr>
      </w:pPr>
    </w:p>
    <w:p>
      <w:pPr>
        <w:ind w:left="1220" w:right="1619"/>
        <w:spacing w:after="0" w:line="245" w:lineRule="auto"/>
        <w:rPr>
          <w:sz w:val="20"/>
          <w:szCs w:val="20"/>
          <w:color w:val="auto"/>
        </w:rPr>
      </w:pPr>
      <w:r>
        <w:rPr>
          <w:rFonts w:ascii="Arial" w:cs="Arial" w:eastAsia="Arial" w:hAnsi="Arial"/>
          <w:sz w:val="14"/>
          <w:szCs w:val="14"/>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16" w:lineRule="exact"/>
        <w:rPr>
          <w:sz w:val="20"/>
          <w:szCs w:val="20"/>
          <w:color w:val="auto"/>
        </w:rPr>
      </w:pPr>
    </w:p>
    <w:p>
      <w:pPr>
        <w:ind w:left="1220" w:right="1279"/>
        <w:spacing w:after="0" w:line="274" w:lineRule="auto"/>
        <w:rPr>
          <w:sz w:val="20"/>
          <w:szCs w:val="20"/>
          <w:color w:val="auto"/>
        </w:rPr>
      </w:pPr>
      <w:r>
        <w:rPr>
          <w:rFonts w:ascii="Arial" w:cs="Arial" w:eastAsia="Arial" w:hAnsi="Arial"/>
          <w:sz w:val="14"/>
          <w:szCs w:val="14"/>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federal and state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or biologic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2" w:name="page53"/>
    <w:bookmarkEnd w:id="5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499"/>
        <w:spacing w:after="0" w:line="265" w:lineRule="auto"/>
        <w:rPr>
          <w:sz w:val="20"/>
          <w:szCs w:val="20"/>
          <w:color w:val="auto"/>
        </w:rPr>
      </w:pPr>
      <w:r>
        <w:rPr>
          <w:rFonts w:ascii="Arial" w:cs="Arial" w:eastAsia="Arial" w:hAnsi="Arial"/>
          <w:sz w:val="14"/>
          <w:szCs w:val="14"/>
          <w:color w:val="auto"/>
        </w:rPr>
        <w:t>agreement, or similar agreement to resolve allegations of noncompliance with these laws, and curtailment of our operations, any of which could adversely affect our ability to operate our business and our results of operations.</w:t>
      </w:r>
    </w:p>
    <w:p>
      <w:pPr>
        <w:spacing w:after="0" w:line="13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06" w:lineRule="exact"/>
        <w:rPr>
          <w:sz w:val="20"/>
          <w:szCs w:val="20"/>
          <w:color w:val="auto"/>
        </w:rPr>
      </w:pPr>
    </w:p>
    <w:p>
      <w:pPr>
        <w:ind w:left="1220" w:right="1259"/>
        <w:spacing w:after="0" w:line="297" w:lineRule="auto"/>
        <w:rPr>
          <w:sz w:val="20"/>
          <w:szCs w:val="20"/>
          <w:color w:val="auto"/>
        </w:rPr>
      </w:pPr>
      <w:r>
        <w:rPr>
          <w:rFonts w:ascii="Arial" w:cs="Arial" w:eastAsia="Arial" w:hAnsi="Arial"/>
          <w:sz w:val="14"/>
          <w:szCs w:val="14"/>
          <w:b w:val="1"/>
          <w:bCs w:val="1"/>
          <w:i w:val="1"/>
          <w:iCs w:val="1"/>
          <w:color w:val="auto"/>
        </w:rPr>
        <w:t>We do not currently own any issued patents or non-provisional patent applications relating to our product candidates</w:t>
      </w:r>
      <w:r>
        <w:rPr>
          <w:rFonts w:ascii="Arial" w:cs="Arial" w:eastAsia="Arial" w:hAnsi="Arial"/>
          <w:sz w:val="14"/>
          <w:szCs w:val="14"/>
          <w:color w:val="auto"/>
        </w:rPr>
        <w:t>.</w:t>
      </w:r>
    </w:p>
    <w:p>
      <w:pPr>
        <w:spacing w:after="0" w:line="82"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Given the early stage of development of our product candidates, our patent portfolio is similarly at a very early stage. In particular, we do not own any issued patents or non-provisional patent applications, and we have not filed any patent applications related to our product candidates other than CNTY-101. If we do not obtain meaningful patent coverage for our product candidates, their respective components, formulations, combination therapies, methods used to manufacture them, and methods of treatment, competitors may be able to erode or negate any competitive advantage we may have, which would likely harm our business and ability to achieve profitability. To establish our proprietary position, we have filed provisional patent applications in the United States related to CNTY-101 and other aspects of our technology. However, United States provisional patent applications are not eligible to become issued patents unless and until, among other things, we file a non-provisional patent application within 12 months of filing of one or more of our related provisional patent applications.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If we are unable to secure or maintain patent protection with respect to our antibody technology and any proprietary products and technology we develop, our business, financial condition, results of operations, and prospects could be materially harmed.</w:t>
      </w:r>
    </w:p>
    <w:p>
      <w:pPr>
        <w:spacing w:after="0" w:line="310" w:lineRule="exact"/>
        <w:rPr>
          <w:sz w:val="20"/>
          <w:szCs w:val="20"/>
          <w:color w:val="auto"/>
        </w:rPr>
      </w:pPr>
    </w:p>
    <w:p>
      <w:pPr>
        <w:ind w:left="1220" w:right="1279"/>
        <w:spacing w:after="0" w:line="239" w:lineRule="auto"/>
        <w:rPr>
          <w:sz w:val="20"/>
          <w:szCs w:val="20"/>
          <w:color w:val="auto"/>
        </w:rPr>
      </w:pPr>
      <w:r>
        <w:rPr>
          <w:rFonts w:ascii="Arial" w:cs="Arial" w:eastAsia="Arial" w:hAnsi="Arial"/>
          <w:sz w:val="14"/>
          <w:szCs w:val="14"/>
          <w:b w:val="1"/>
          <w:bCs w:val="1"/>
          <w:i w:val="1"/>
          <w:iCs w:val="1"/>
          <w:color w:val="auto"/>
        </w:rPr>
        <w:t>If any of our license agreements with FCDI or our other licensors, including iCELL Inc. and the Governing Council of the University of Toronto and McMaster University, are terminated, we could lose our rights to key components enabling our iPSC-derived allogeneic cell therapy platforms.</w:t>
      </w:r>
    </w:p>
    <w:p>
      <w:pPr>
        <w:spacing w:after="0" w:line="119"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Our commercial success will depend in part on the maintenance of our license agreements. In September 2018, we entered into an exclusive license with FCDI, pursuant to which we have received an exclusive license to certain patents and know-how related to the differentiation of iPSC cells into immune-effector cells in the field of cancer immunotherapeutics, or the Differentiation License, and a non-exclusive license for the rights to certain patents and know-how related to the reprogramming of human somatic cells to iPSCs in the field of cancer immunotherapeutics, or the Reprogramming License, and together with the Differentiation License, the FCDI Licenses. A critical aspect to manufacturing our product candidates involves the reprogramming of certain cells into iPSCs and the differentiation of iPSCs into immune cells. We utilize technology licensed from FCDI to reprogram cells to become iPSCs and to differentiate the iPSCs to generate different immune cell types including NK cells and T cells. By utilizing this licensed technology, we are currently capable of achieving fully functional iNK cells from iPSCs in approximately 30 days.</w:t>
      </w:r>
    </w:p>
    <w:p>
      <w:pPr>
        <w:spacing w:after="0" w:line="279"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We have also entered into an exclusive sublicense, or the iCELL Sublicense, with iCELL Inc., or iCELL, for certain patents related to an immune function reconstruction method using multipotent stem cells and the method for producing antigen specific T-cells, and acquired a license agreement from Empirica Therapeutics, or the Empirica License, pursuant to which we receive an exclusive license from the Governing Council of the University of Toronto and the McMaster University under certain patents and antibody sequences and related intellectual property rights and know-how to, among other things, reproduce, manufacture and commercialize certain CD-133 related antibody and antibody sequence-derived technology.</w:t>
      </w:r>
    </w:p>
    <w:p>
      <w:pPr>
        <w:spacing w:after="0" w:line="110" w:lineRule="exact"/>
        <w:rPr>
          <w:sz w:val="20"/>
          <w:szCs w:val="20"/>
          <w:color w:val="auto"/>
        </w:rPr>
      </w:pPr>
    </w:p>
    <w:p>
      <w:pPr>
        <w:ind w:left="1220" w:right="1359"/>
        <w:spacing w:after="0" w:line="278" w:lineRule="auto"/>
        <w:rPr>
          <w:sz w:val="20"/>
          <w:szCs w:val="20"/>
          <w:color w:val="auto"/>
        </w:rPr>
      </w:pPr>
      <w:r>
        <w:rPr>
          <w:rFonts w:ascii="Arial" w:cs="Arial" w:eastAsia="Arial" w:hAnsi="Arial"/>
          <w:sz w:val="14"/>
          <w:szCs w:val="14"/>
          <w:color w:val="auto"/>
        </w:rPr>
        <w:t>The FCDI Licenses and certain of our other license agreements, including the iCELL Sublicense and Empirica License, impose, and future license agreements may impose, various diligence, milestone payment, royalty, and other obligations on us. If we fail to comply with our obligations under the FCDI Licenses, our other license</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3" w:name="page54"/>
    <w:bookmarkEnd w:id="5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20" w:right="1379"/>
        <w:spacing w:after="0" w:line="265" w:lineRule="auto"/>
        <w:rPr>
          <w:sz w:val="20"/>
          <w:szCs w:val="20"/>
          <w:color w:val="auto"/>
        </w:rPr>
      </w:pPr>
      <w:r>
        <w:rPr>
          <w:rFonts w:ascii="Arial" w:cs="Arial" w:eastAsia="Arial" w:hAnsi="Arial"/>
          <w:sz w:val="14"/>
          <w:szCs w:val="14"/>
          <w:color w:val="auto"/>
        </w:rPr>
        <w:t>agreements, or any future license agreements with any party, or we are subject to a bankruptcy, the licensor may have the right to terminate the license, in which event we would not be able to develop products covered by such license.</w:t>
      </w:r>
    </w:p>
    <w:p>
      <w:pPr>
        <w:spacing w:after="0" w:line="93"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If, for any reason, the FCDI Licenses or any of our other license agreements are terminated or we otherwise lose the rights under such agreements, it would adversely affect our business. If we breach any material obligations under the FCDI Licenses or any of our other license agreements, FCDI or the applicable licensor may have the right to terminate our license, which could result in us being unable to develop, manufacture, or sell our product candidates that incorporate the intellectual property subject to such license.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 and we may be required to identify and license replacement technology from third parties, which may not be available on reasonable terms or at all.</w:t>
      </w:r>
    </w:p>
    <w:p>
      <w:pPr>
        <w:spacing w:after="0" w:line="285" w:lineRule="exact"/>
        <w:rPr>
          <w:sz w:val="20"/>
          <w:szCs w:val="20"/>
          <w:color w:val="auto"/>
        </w:rPr>
      </w:pPr>
    </w:p>
    <w:p>
      <w:pPr>
        <w:ind w:left="1220" w:right="1559"/>
        <w:spacing w:after="0" w:line="274" w:lineRule="auto"/>
        <w:rPr>
          <w:sz w:val="20"/>
          <w:szCs w:val="20"/>
          <w:color w:val="auto"/>
        </w:rPr>
      </w:pPr>
      <w:r>
        <w:rPr>
          <w:rFonts w:ascii="Arial" w:cs="Arial" w:eastAsia="Arial" w:hAnsi="Arial"/>
          <w:sz w:val="14"/>
          <w:szCs w:val="14"/>
          <w:color w:val="auto"/>
        </w:rPr>
        <w:t>For a more complete description of the FCDI Licenses and our other licenses, please see the section titled “Business—Licensing, Partnerships and Collaborations” in this prospectus.</w:t>
      </w:r>
    </w:p>
    <w:p>
      <w:pPr>
        <w:spacing w:after="0" w:line="124" w:lineRule="exact"/>
        <w:rPr>
          <w:sz w:val="20"/>
          <w:szCs w:val="20"/>
          <w:color w:val="auto"/>
        </w:rPr>
      </w:pPr>
    </w:p>
    <w:p>
      <w:pPr>
        <w:ind w:left="1220" w:right="1539"/>
        <w:spacing w:after="0" w:line="265" w:lineRule="auto"/>
        <w:rPr>
          <w:sz w:val="20"/>
          <w:szCs w:val="20"/>
          <w:color w:val="auto"/>
        </w:rPr>
      </w:pPr>
      <w:r>
        <w:rPr>
          <w:rFonts w:ascii="Arial" w:cs="Arial" w:eastAsia="Arial" w:hAnsi="Arial"/>
          <w:sz w:val="14"/>
          <w:szCs w:val="14"/>
          <w:b w:val="1"/>
          <w:bCs w:val="1"/>
          <w:i w:val="1"/>
          <w:iCs w:val="1"/>
          <w:color w:val="auto"/>
        </w:rPr>
        <w:t>We may not be successful in obtaining or maintaining necessary intellectual property rights in the future for the development of CNTY-101 and our other product candidates.</w:t>
      </w:r>
    </w:p>
    <w:p>
      <w:pPr>
        <w:spacing w:after="0" w:line="92"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We may in the future enter into additional license agreements with third parties for other intellectual property rights or assets to advance our research or allow commercialization of CNTY-101 and our other product candidates, and we cannot provide any assurances that third-party patents do not exist which might be enforced against CNTY-101 and our other product candidates in the absence of such a license. We may fail to obtain any of these licenses on commercially reasonable terms, if at all. Even if we are able to obtain a license, it may be non-exclusive or may not provide exclusive rights to use such intellectual property and technology in all relevant fields of use and in all territories, thereby giving our competitors access to the same technologies licensed to us. In that event, we may be required to expend significant time and resources to develop or license replacement technology, which may not be feasible on a technical or commercial basis.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252" w:lineRule="exact"/>
        <w:rPr>
          <w:sz w:val="20"/>
          <w:szCs w:val="20"/>
          <w:color w:val="auto"/>
        </w:rPr>
      </w:pPr>
    </w:p>
    <w:p>
      <w:pPr>
        <w:ind w:left="1340" w:right="1279" w:hanging="116"/>
        <w:spacing w:after="0" w:line="278" w:lineRule="auto"/>
        <w:tabs>
          <w:tab w:leader="none" w:pos="1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scope of rights granted under the license agreement and other interpretation-related issues, the resolution of which could narrow what we believe to be the scope of our rights to the relevant intellectual property or technology, or increase what we believe to be our financial or other obligations under the relevant agreement;</w:t>
      </w:r>
    </w:p>
    <w:p>
      <w:pPr>
        <w:spacing w:after="0" w:line="74" w:lineRule="exact"/>
        <w:rPr>
          <w:rFonts w:ascii="Arial" w:cs="Arial" w:eastAsia="Arial" w:hAnsi="Arial"/>
          <w:sz w:val="14"/>
          <w:szCs w:val="14"/>
          <w:color w:val="auto"/>
        </w:rPr>
      </w:pPr>
    </w:p>
    <w:p>
      <w:pPr>
        <w:ind w:left="1340" w:right="1619" w:hanging="116"/>
        <w:spacing w:after="0" w:line="295" w:lineRule="auto"/>
        <w:tabs>
          <w:tab w:leader="none" w:pos="1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whether and the extent to which our technology and processes infringe, misappropriate, or otherwise violate intellectual property of the licensor that is not subject to the licensing agreement;</w:t>
      </w:r>
    </w:p>
    <w:p>
      <w:pPr>
        <w:spacing w:after="0" w:line="240" w:lineRule="exact"/>
        <w:rPr>
          <w:rFonts w:ascii="Arial" w:cs="Arial" w:eastAsia="Arial" w:hAnsi="Arial"/>
          <w:sz w:val="14"/>
          <w:szCs w:val="14"/>
          <w:color w:val="auto"/>
        </w:rPr>
      </w:pPr>
    </w:p>
    <w:p>
      <w:pPr>
        <w:ind w:left="1340" w:hanging="116"/>
        <w:spacing w:after="0"/>
        <w:tabs>
          <w:tab w:leader="none" w:pos="1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our right to sublicense patents and other intellectual property rights to third parties;</w:t>
      </w:r>
    </w:p>
    <w:p>
      <w:pPr>
        <w:spacing w:after="0" w:line="97" w:lineRule="exact"/>
        <w:rPr>
          <w:rFonts w:ascii="Arial" w:cs="Arial" w:eastAsia="Arial" w:hAnsi="Arial"/>
          <w:sz w:val="14"/>
          <w:szCs w:val="14"/>
          <w:color w:val="auto"/>
        </w:rPr>
      </w:pPr>
    </w:p>
    <w:p>
      <w:pPr>
        <w:ind w:left="1340" w:right="1399" w:hanging="116"/>
        <w:spacing w:after="0" w:line="281" w:lineRule="auto"/>
        <w:tabs>
          <w:tab w:leader="none" w:pos="1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our diligence obligations with respect to the use of the licensed technology in relation to our development and commercialization of CNTY-101 and our other product candidates, and what activities satisfy those diligence obligations;</w:t>
      </w:r>
    </w:p>
    <w:p>
      <w:pPr>
        <w:spacing w:after="0" w:line="71" w:lineRule="exact"/>
        <w:rPr>
          <w:rFonts w:ascii="Arial" w:cs="Arial" w:eastAsia="Arial" w:hAnsi="Arial"/>
          <w:sz w:val="14"/>
          <w:szCs w:val="14"/>
          <w:color w:val="auto"/>
        </w:rPr>
      </w:pPr>
    </w:p>
    <w:p>
      <w:pPr>
        <w:ind w:left="1340" w:hanging="116"/>
        <w:spacing w:after="0"/>
        <w:tabs>
          <w:tab w:leader="none" w:pos="1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our right to transfer or assign the license; and</w:t>
      </w:r>
    </w:p>
    <w:p>
      <w:pPr>
        <w:spacing w:after="0" w:line="108" w:lineRule="exact"/>
        <w:rPr>
          <w:rFonts w:ascii="Arial" w:cs="Arial" w:eastAsia="Arial" w:hAnsi="Arial"/>
          <w:sz w:val="14"/>
          <w:szCs w:val="14"/>
          <w:color w:val="auto"/>
        </w:rPr>
      </w:pPr>
    </w:p>
    <w:p>
      <w:pPr>
        <w:ind w:left="1340" w:right="1459" w:hanging="116"/>
        <w:spacing w:after="0" w:line="290" w:lineRule="auto"/>
        <w:tabs>
          <w:tab w:leader="none" w:pos="1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ownership of inventions, know-how, and other intellectual property resulting from the joint creation or use of intellectual property by our licensors and us and our partners.</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4" w:name="page55"/>
    <w:bookmarkEnd w:id="5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539"/>
        <w:spacing w:after="0" w:line="262" w:lineRule="auto"/>
        <w:rPr>
          <w:sz w:val="20"/>
          <w:szCs w:val="20"/>
          <w:color w:val="auto"/>
        </w:rPr>
      </w:pPr>
      <w:r>
        <w:rPr>
          <w:rFonts w:ascii="Arial" w:cs="Arial" w:eastAsia="Arial" w:hAnsi="Arial"/>
          <w:sz w:val="14"/>
          <w:szCs w:val="14"/>
          <w:color w:val="auto"/>
        </w:rPr>
        <w:t>If disputes over intellectual property that we have licensed prevent or impair our ability to maintain our current licensing arrangements on acceptable terms, we may not be able to successfully develop and commercialize the affected product candidates, which would have a material adverse effect on our business.</w:t>
      </w:r>
    </w:p>
    <w:p>
      <w:pPr>
        <w:spacing w:after="0" w:line="95"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color w:val="auto"/>
        </w:rPr>
        <w:t>In addition, certain of our agreements may limit or delay our ability to consummate certain transactions, may impact the value of those transactions, or may limit our ability to pursue certain activities. For example, if we choose to sublicense or assign to any third parties our rights under our existing license agreements with respect to any licensed product, we may be required to pay a specified percentage of all revenue to be received in connection with such transaction.</w:t>
      </w:r>
    </w:p>
    <w:p>
      <w:pPr>
        <w:spacing w:after="0" w:line="117"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color w:val="auto"/>
        </w:rPr>
        <w:t>Under one of the FCDI Licenses and certain other in-licenses under which we sublicense certain rights related to our technology, we rely on FCDI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 and loss of such rights.</w:t>
      </w:r>
    </w:p>
    <w:p>
      <w:pPr>
        <w:spacing w:after="0" w:line="288" w:lineRule="exact"/>
        <w:rPr>
          <w:sz w:val="20"/>
          <w:szCs w:val="20"/>
          <w:color w:val="auto"/>
        </w:rPr>
      </w:pPr>
    </w:p>
    <w:p>
      <w:pPr>
        <w:ind w:left="1220" w:right="1339"/>
        <w:spacing w:after="0" w:line="290" w:lineRule="auto"/>
        <w:rPr>
          <w:sz w:val="20"/>
          <w:szCs w:val="20"/>
          <w:color w:val="auto"/>
        </w:rPr>
      </w:pPr>
      <w:r>
        <w:rPr>
          <w:rFonts w:ascii="Arial" w:cs="Arial" w:eastAsia="Arial" w:hAnsi="Arial"/>
          <w:sz w:val="14"/>
          <w:szCs w:val="14"/>
          <w:color w:val="auto"/>
        </w:rPr>
        <w:t>For a more complete description of the FCDI Licenses, please see the section titled “Business— License Agreements” in this prospectus.</w:t>
      </w:r>
    </w:p>
    <w:p>
      <w:pPr>
        <w:spacing w:after="0" w:line="113" w:lineRule="exact"/>
        <w:rPr>
          <w:sz w:val="20"/>
          <w:szCs w:val="20"/>
          <w:color w:val="auto"/>
        </w:rPr>
      </w:pPr>
    </w:p>
    <w:p>
      <w:pPr>
        <w:ind w:left="1220" w:right="2019"/>
        <w:spacing w:after="0" w:line="265" w:lineRule="auto"/>
        <w:rPr>
          <w:sz w:val="20"/>
          <w:szCs w:val="20"/>
          <w:color w:val="auto"/>
        </w:rPr>
      </w:pPr>
      <w:r>
        <w:rPr>
          <w:rFonts w:ascii="Arial" w:cs="Arial" w:eastAsia="Arial" w:hAnsi="Arial"/>
          <w:sz w:val="14"/>
          <w:szCs w:val="14"/>
          <w:b w:val="1"/>
          <w:bCs w:val="1"/>
          <w:i w:val="1"/>
          <w:iCs w:val="1"/>
          <w:color w:val="auto"/>
        </w:rPr>
        <w:t>Our success depends on our ability to obtain, maintain, protect, and enforce our intellectual property and our proprietary technologies.</w:t>
      </w:r>
    </w:p>
    <w:p>
      <w:pPr>
        <w:spacing w:after="0" w:line="92"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Our commercial success depends in part on our ability to obtain, maintain, protect, and enforce our intellectual property and proprietary technologies, including patent protection and trade secret protection for CNTY-101 and our other product candidates, proprietary technologies and their uses as well as our ability to operate without infringing, misappropriating, or otherwise violating the intellectual property or proprietary rights of others. If we are unable to obtain, maintain, protect, or enforce our intellectual property rights or if our intellectual property rights are inadequate for our technology or our product candidates, our competitive position could be harmed, which could have a material adverse impact on our business, results of operations, financial conditions, and prospects. Although we have filed provisional patent applications with respect to CNTY-101 and other aspects of our product technology, our patent portfolio is in an earlier stage of prosecution, and we have not filed any patent applications related to our product candidates other than CNTY-101. We do not own any issued patents related to CNTY-101 and our other product candidates. Our patent applications cannot be enforced against third parties practicing the technology claimed in such applications unless, and until, patents are issued from such applications, and then only to the extent the issued claims cover the technology. There can be no assurance that our patent applications will result in patents being issued or that issued patents will afford sufficient protection against competitors with similar technology, nor can there be any assurance that the patents if issued will not be infringed, misappropriated, violated, designed around or invalidated by third parties. Even issued patents may later be found invalid or unenforceable or may be modified or revoked in proceedings instituted by third parties before various patent offices or in courts. The degree of future protection for our intellectual property and proprietary rights is uncertain. Only limited protection may be available and may not adequately obtain, maintain, protect, and enforce our rights or permit us to gain or keep any competitive advantage. These uncertainties and/or limitations in our ability to properly obtain, maintain, protect, and enforce the intellectual property rights relating to CNTY-101 and our other product candidates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20" w:right="1299"/>
        <w:spacing w:after="0" w:line="278" w:lineRule="auto"/>
        <w:rPr>
          <w:sz w:val="20"/>
          <w:szCs w:val="20"/>
          <w:color w:val="auto"/>
        </w:rPr>
      </w:pPr>
      <w:r>
        <w:rPr>
          <w:rFonts w:ascii="Arial" w:cs="Arial" w:eastAsia="Arial" w:hAnsi="Arial"/>
          <w:sz w:val="14"/>
          <w:szCs w:val="14"/>
          <w:color w:val="auto"/>
        </w:rPr>
        <w:t>Because CNTY-101 is our lead product candidate, and because our other product candidates are based on similar technology, if we are unable to obtain patent protection for CNTY-101, our other product candidates in our pipeline could be significantly impaired, which could materially adversely affect our business, financial conditions, results of operations, and growth prospects.</w:t>
      </w:r>
    </w:p>
    <w:p>
      <w:pPr>
        <w:spacing w:after="0" w:line="106" w:lineRule="exact"/>
        <w:rPr>
          <w:sz w:val="20"/>
          <w:szCs w:val="20"/>
          <w:color w:val="auto"/>
        </w:rPr>
      </w:pPr>
    </w:p>
    <w:p>
      <w:pPr>
        <w:ind w:left="1220" w:right="1519"/>
        <w:spacing w:after="0" w:line="281" w:lineRule="auto"/>
        <w:rPr>
          <w:sz w:val="20"/>
          <w:szCs w:val="20"/>
          <w:color w:val="auto"/>
        </w:rPr>
      </w:pPr>
      <w:r>
        <w:rPr>
          <w:rFonts w:ascii="Arial" w:cs="Arial" w:eastAsia="Arial" w:hAnsi="Arial"/>
          <w:sz w:val="14"/>
          <w:szCs w:val="14"/>
          <w:color w:val="auto"/>
        </w:rPr>
        <w:t>We cannot be certain that the claims in our pending patent applications will be considered patentable by the United States Patent and Trademark Office, or USPTO, courts in the United States or by the patent offices and courts</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5" w:name="page56"/>
    <w:bookmarkEnd w:id="5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19"/>
        <w:spacing w:after="0" w:line="262" w:lineRule="auto"/>
        <w:rPr>
          <w:sz w:val="20"/>
          <w:szCs w:val="20"/>
          <w:color w:val="auto"/>
        </w:rPr>
      </w:pPr>
      <w:r>
        <w:rPr>
          <w:rFonts w:ascii="Arial" w:cs="Arial" w:eastAsia="Arial" w:hAnsi="Arial"/>
          <w:sz w:val="14"/>
          <w:szCs w:val="14"/>
          <w:color w:val="auto"/>
        </w:rPr>
        <w:t>in foreign countries, nor can we be certain that claims that may ultimately issue from our patent applications will not be found invalid or unenforceable if challenged. If we are unable to obtain or maintain patent protection with respect to our product candidates, our business, financial condition, results of operations, and prospects could be materially harmed.</w:t>
      </w:r>
    </w:p>
    <w:p>
      <w:pPr>
        <w:spacing w:after="0" w:line="95" w:lineRule="exact"/>
        <w:rPr>
          <w:sz w:val="20"/>
          <w:szCs w:val="20"/>
          <w:color w:val="auto"/>
        </w:rPr>
      </w:pPr>
    </w:p>
    <w:p>
      <w:pPr>
        <w:ind w:left="1220" w:right="1279"/>
        <w:spacing w:after="0" w:line="262" w:lineRule="auto"/>
        <w:rPr>
          <w:sz w:val="20"/>
          <w:szCs w:val="20"/>
          <w:color w:val="auto"/>
        </w:rPr>
      </w:pPr>
      <w:r>
        <w:rPr>
          <w:rFonts w:ascii="Arial" w:cs="Arial" w:eastAsia="Arial" w:hAnsi="Arial"/>
          <w:sz w:val="14"/>
          <w:szCs w:val="14"/>
          <w:color w:val="auto"/>
        </w:rPr>
        <w:t>The patent application process is subject to numerous risks and uncertainties, and there can be no assurance that we or any of our potential future collaborators will be successful in protecting CNTY-101 and our other product candidates by obtaining and defending patents. These risks and uncertainties include the following:</w:t>
      </w:r>
    </w:p>
    <w:p>
      <w:pPr>
        <w:spacing w:after="0" w:line="85" w:lineRule="exact"/>
        <w:rPr>
          <w:sz w:val="20"/>
          <w:szCs w:val="20"/>
          <w:color w:val="auto"/>
        </w:rPr>
      </w:pPr>
    </w:p>
    <w:p>
      <w:pPr>
        <w:jc w:val="both"/>
        <w:ind w:left="1340" w:right="1679" w:hanging="116"/>
        <w:spacing w:after="0" w:line="278" w:lineRule="auto"/>
        <w:tabs>
          <w:tab w:leader="none" w:pos="1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74" w:lineRule="exact"/>
        <w:rPr>
          <w:rFonts w:ascii="Arial" w:cs="Arial" w:eastAsia="Arial" w:hAnsi="Arial"/>
          <w:sz w:val="14"/>
          <w:szCs w:val="14"/>
          <w:color w:val="auto"/>
        </w:rPr>
      </w:pPr>
    </w:p>
    <w:p>
      <w:pPr>
        <w:ind w:left="1340" w:hanging="116"/>
        <w:spacing w:after="0"/>
        <w:tabs>
          <w:tab w:leader="none" w:pos="1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patent applications may not result in any patents being issued;</w:t>
      </w:r>
    </w:p>
    <w:p>
      <w:pPr>
        <w:spacing w:after="0" w:line="108" w:lineRule="exact"/>
        <w:rPr>
          <w:rFonts w:ascii="Arial" w:cs="Arial" w:eastAsia="Arial" w:hAnsi="Arial"/>
          <w:sz w:val="14"/>
          <w:szCs w:val="14"/>
          <w:color w:val="auto"/>
        </w:rPr>
      </w:pPr>
    </w:p>
    <w:p>
      <w:pPr>
        <w:ind w:left="1340" w:right="1939" w:hanging="116"/>
        <w:spacing w:after="0" w:line="290" w:lineRule="auto"/>
        <w:tabs>
          <w:tab w:leader="none" w:pos="1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patents may be challenged, invalidated, modified, revoked, circumvented, found to be unenforceable, or otherwise may not provide any competitive advantage;</w:t>
      </w:r>
    </w:p>
    <w:p>
      <w:pPr>
        <w:spacing w:after="0" w:line="64" w:lineRule="exact"/>
        <w:rPr>
          <w:rFonts w:ascii="Arial" w:cs="Arial" w:eastAsia="Arial" w:hAnsi="Arial"/>
          <w:sz w:val="14"/>
          <w:szCs w:val="14"/>
          <w:color w:val="auto"/>
        </w:rPr>
      </w:pPr>
    </w:p>
    <w:p>
      <w:pPr>
        <w:ind w:left="1340" w:right="1399" w:hanging="116"/>
        <w:spacing w:after="0" w:line="278" w:lineRule="auto"/>
        <w:tabs>
          <w:tab w:leader="none" w:pos="1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CNTY-101 and our other product candidates;</w:t>
      </w:r>
    </w:p>
    <w:p>
      <w:pPr>
        <w:spacing w:after="0" w:line="74" w:lineRule="exact"/>
        <w:rPr>
          <w:rFonts w:ascii="Arial" w:cs="Arial" w:eastAsia="Arial" w:hAnsi="Arial"/>
          <w:sz w:val="14"/>
          <w:szCs w:val="14"/>
          <w:color w:val="auto"/>
        </w:rPr>
      </w:pPr>
    </w:p>
    <w:p>
      <w:pPr>
        <w:ind w:left="1340" w:right="1399" w:hanging="116"/>
        <w:spacing w:after="0" w:line="278" w:lineRule="auto"/>
        <w:tabs>
          <w:tab w:leader="none" w:pos="1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3" w:lineRule="exact"/>
        <w:rPr>
          <w:rFonts w:ascii="Arial" w:cs="Arial" w:eastAsia="Arial" w:hAnsi="Arial"/>
          <w:sz w:val="14"/>
          <w:szCs w:val="14"/>
          <w:color w:val="auto"/>
        </w:rPr>
      </w:pPr>
    </w:p>
    <w:p>
      <w:pPr>
        <w:ind w:left="1340" w:right="1419" w:hanging="116"/>
        <w:spacing w:after="0" w:line="281" w:lineRule="auto"/>
        <w:tabs>
          <w:tab w:leader="none" w:pos="1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countries other than the United States may have patent laws less favorable to patentees than those upheld by United States courts, allowing foreign competitors a better opportunity to create, develop, and market competing products.</w:t>
      </w:r>
    </w:p>
    <w:p>
      <w:pPr>
        <w:spacing w:after="0" w:line="93"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The patent prosecution process is also expensive and time-consuming,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directed to technology that we license from third parties. We may also require the cooperation of our licensor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284" w:lineRule="exact"/>
        <w:rPr>
          <w:sz w:val="20"/>
          <w:szCs w:val="20"/>
          <w:color w:val="auto"/>
        </w:rPr>
      </w:pPr>
    </w:p>
    <w:p>
      <w:pPr>
        <w:ind w:left="1220" w:right="1259"/>
        <w:spacing w:after="0" w:line="257" w:lineRule="auto"/>
        <w:rPr>
          <w:sz w:val="20"/>
          <w:szCs w:val="20"/>
          <w:color w:val="auto"/>
        </w:rPr>
      </w:pPr>
      <w:r>
        <w:rPr>
          <w:rFonts w:ascii="Arial" w:cs="Arial" w:eastAsia="Arial" w:hAnsi="Arial"/>
          <w:sz w:val="14"/>
          <w:szCs w:val="14"/>
          <w:color w:val="auto"/>
        </w:rPr>
        <w:t>In addition, although we enter into non-disclosure and confidentiality agreements with parties who have access to patentable aspects of our research and development output, such as our employees, outside scientific collaborators, CROs, CMOs, consultants, advisors, and other third parties, any of these parties may breach such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w:t>
      </w:r>
    </w:p>
    <w:p>
      <w:pPr>
        <w:spacing w:after="0" w:line="2" w:lineRule="exact"/>
        <w:rPr>
          <w:sz w:val="20"/>
          <w:szCs w:val="20"/>
          <w:color w:val="auto"/>
        </w:rPr>
      </w:pPr>
    </w:p>
    <w:p>
      <w:pPr>
        <w:ind w:left="1220" w:right="1319"/>
        <w:spacing w:after="0" w:line="265" w:lineRule="auto"/>
        <w:rPr>
          <w:sz w:val="20"/>
          <w:szCs w:val="20"/>
          <w:color w:val="auto"/>
        </w:rPr>
      </w:pPr>
      <w:r>
        <w:rPr>
          <w:rFonts w:ascii="Arial" w:cs="Arial" w:eastAsia="Arial" w:hAnsi="Arial"/>
          <w:sz w:val="14"/>
          <w:szCs w:val="14"/>
          <w:color w:val="auto"/>
        </w:rPr>
        <w:t>18 months after filing, or in some cases not at all. Therefore, we cannot be certain that we were the first to make the inventions claimed in our licensed patents or pending patent applications, or that we were the first to file for patent protection of such inventions.</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6" w:name="page57"/>
    <w:bookmarkEnd w:id="5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right="1239"/>
        <w:spacing w:after="0" w:line="245" w:lineRule="auto"/>
        <w:rPr>
          <w:sz w:val="20"/>
          <w:szCs w:val="20"/>
          <w:color w:val="auto"/>
        </w:rPr>
      </w:pPr>
      <w:r>
        <w:rPr>
          <w:rFonts w:ascii="Arial" w:cs="Arial" w:eastAsia="Arial" w:hAnsi="Arial"/>
          <w:sz w:val="14"/>
          <w:szCs w:val="14"/>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95"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product candidates or which effectively prevent others from commercializing competitive product candidates.</w:t>
      </w:r>
    </w:p>
    <w:p>
      <w:pPr>
        <w:spacing w:after="0" w:line="108"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Moreover, the coverage claimed in a patent application can be significantly reduced before the patent is issued, and its scope can be reinterpreted after issuance. Even if patent applications we own or 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CNTY-101 and our other product candidates will be protectable or remain protected by valid and enforceable patents. Our competitors or other third parties may be able to circumvent our patents by developing similar or alternative technologies or products in a non-infringing, misappropriating, or violating manner which could materially adversely affect our business, financial condition, results of operations and prospects.</w:t>
      </w:r>
    </w:p>
    <w:p>
      <w:pPr>
        <w:spacing w:after="0" w:line="279" w:lineRule="exact"/>
        <w:rPr>
          <w:sz w:val="20"/>
          <w:szCs w:val="20"/>
          <w:color w:val="auto"/>
        </w:rPr>
      </w:pPr>
    </w:p>
    <w:p>
      <w:pPr>
        <w:ind w:left="1220" w:right="1239"/>
        <w:spacing w:after="0" w:line="257" w:lineRule="auto"/>
        <w:rPr>
          <w:sz w:val="20"/>
          <w:szCs w:val="20"/>
          <w:color w:val="auto"/>
        </w:rPr>
      </w:pPr>
      <w:r>
        <w:rPr>
          <w:rFonts w:ascii="Arial" w:cs="Arial" w:eastAsia="Arial" w:hAnsi="Arial"/>
          <w:sz w:val="14"/>
          <w:szCs w:val="14"/>
          <w:color w:val="auto"/>
        </w:rPr>
        <w:t>The issuance of a patent is not conclusive as to its inventorship, scope, validity, or enforceability, and our patents may not cover CNTY-101 and our other product candidates or may be challenged in the courts or patent offices in the United States and abroad. We may be subject to a third-party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 unenforceability is unpredictable. With respect to the validity question, for example, we cannot be certain that there is no invalidating prior art, of which we or our predecessors and the patent examiner were unaware during prosecution. There is no assurance that all potentially relevant prior art relating to our patents and patent applications or those of our licensors has been found. There is also no assurance that there is not prior art of which we, our predecessors or licensors are aware, but which we do not believe affects the validity or enforceability of a claim in our patents and patent applications or those of our licensors,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CNTY-101 and our other product candidates and compete directly with us, without payment to us.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or our licensors’ ability to stop others from using or commercializing similar or identical technology and products, or limit the duration of the patent protection of CNTY-101 and our other product candidates. Such proceedings also may result in substantial costs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200" w:lineRule="exact"/>
        <w:rPr>
          <w:sz w:val="20"/>
          <w:szCs w:val="20"/>
          <w:color w:val="auto"/>
        </w:rPr>
      </w:pPr>
    </w:p>
    <w:p>
      <w:pPr>
        <w:spacing w:after="0" w:line="298" w:lineRule="exact"/>
        <w:rPr>
          <w:sz w:val="20"/>
          <w:szCs w:val="20"/>
          <w:color w:val="auto"/>
        </w:rPr>
      </w:pPr>
    </w:p>
    <w:p>
      <w:pPr>
        <w:ind w:left="1220" w:right="1399"/>
        <w:spacing w:after="0" w:line="265" w:lineRule="auto"/>
        <w:rPr>
          <w:sz w:val="20"/>
          <w:szCs w:val="20"/>
          <w:color w:val="auto"/>
        </w:rPr>
      </w:pPr>
      <w:r>
        <w:rPr>
          <w:rFonts w:ascii="Arial" w:cs="Arial" w:eastAsia="Arial" w:hAnsi="Arial"/>
          <w:sz w:val="14"/>
          <w:szCs w:val="14"/>
          <w:b w:val="1"/>
          <w:bCs w:val="1"/>
          <w:i w:val="1"/>
          <w:iCs w:val="1"/>
          <w:color w:val="auto"/>
        </w:rPr>
        <w:t>The patent protection and patent prosecution for some of our product candidates may be dependent on third parties.</w:t>
      </w:r>
    </w:p>
    <w:p>
      <w:pPr>
        <w:spacing w:after="0" w:line="81" w:lineRule="exact"/>
        <w:rPr>
          <w:sz w:val="20"/>
          <w:szCs w:val="20"/>
          <w:color w:val="auto"/>
        </w:rPr>
      </w:pPr>
    </w:p>
    <w:p>
      <w:pPr>
        <w:ind w:left="1220" w:right="1339"/>
        <w:spacing w:after="0" w:line="261" w:lineRule="auto"/>
        <w:rPr>
          <w:sz w:val="20"/>
          <w:szCs w:val="20"/>
          <w:color w:val="auto"/>
        </w:rPr>
      </w:pPr>
      <w:r>
        <w:rPr>
          <w:rFonts w:ascii="Arial" w:cs="Arial" w:eastAsia="Arial" w:hAnsi="Arial"/>
          <w:sz w:val="14"/>
          <w:szCs w:val="14"/>
          <w:color w:val="auto"/>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7" w:name="page58"/>
    <w:bookmarkEnd w:id="5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proper priority claims, inventorship, claim scope, or requests for patent term adjustments. If we or our 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98"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licensors or any of our future licensors or future collaborators fail to appropriately prosecute and maintain patent protection for patents covering CNTY-101 and our other product candidates, our ability to develop and commercialize those product candidates may be adversely affected and we may not be able to prevent competitors from making, using, and selling competing products.</w:t>
      </w:r>
    </w:p>
    <w:p>
      <w:pPr>
        <w:spacing w:after="0" w:line="200" w:lineRule="exact"/>
        <w:rPr>
          <w:sz w:val="20"/>
          <w:szCs w:val="20"/>
          <w:color w:val="auto"/>
        </w:rPr>
      </w:pPr>
    </w:p>
    <w:p>
      <w:pPr>
        <w:spacing w:after="0" w:line="279"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06" w:lineRule="exact"/>
        <w:rPr>
          <w:sz w:val="20"/>
          <w:szCs w:val="20"/>
          <w:color w:val="auto"/>
        </w:rPr>
      </w:pPr>
    </w:p>
    <w:p>
      <w:pPr>
        <w:ind w:left="1220" w:right="1239"/>
        <w:spacing w:after="0" w:line="276" w:lineRule="auto"/>
        <w:rPr>
          <w:sz w:val="20"/>
          <w:szCs w:val="20"/>
          <w:color w:val="auto"/>
        </w:rPr>
      </w:pPr>
      <w:r>
        <w:rPr>
          <w:rFonts w:ascii="Arial" w:cs="Arial" w:eastAsia="Arial" w:hAnsi="Arial"/>
          <w:sz w:val="14"/>
          <w:szCs w:val="14"/>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279"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In addition, the research resulting in certain of our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United States government also has the right to take title to these inventions if the applicable licensor fails to disclose the invention to the government or fails to file an application to register the intellectual property within specified time limits.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Any exercise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8" w:name="page59"/>
    <w:bookmarkEnd w:id="5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839"/>
        <w:spacing w:after="0" w:line="274" w:lineRule="auto"/>
        <w:rPr>
          <w:sz w:val="20"/>
          <w:szCs w:val="20"/>
          <w:color w:val="auto"/>
        </w:rPr>
      </w:pPr>
      <w:r>
        <w:rPr>
          <w:rFonts w:ascii="Arial" w:cs="Arial" w:eastAsia="Arial" w:hAnsi="Arial"/>
          <w:sz w:val="14"/>
          <w:szCs w:val="14"/>
          <w:color w:val="auto"/>
        </w:rPr>
        <w:t>by the government of such rights could harm our competitive position, business, financial condition, results of operations, and prospects.</w:t>
      </w:r>
    </w:p>
    <w:p>
      <w:pPr>
        <w:spacing w:after="0" w:line="86"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If we are limited in our ability to utilize acquired or licensed technologies, or if we lose our rights to critical in-licensed technology, we may be unable to successfully develop, out-license, market, and sell our products, which could prevent or delay new product introductions. Our business strategy depends on the successful development of licensed and acquired technologies into commercial products. Therefore, any limitations on our ability to utilize these technologies may impair our ability to develop, out-license, or market and sell CNTY-101 and our other product candidates.</w:t>
      </w:r>
    </w:p>
    <w:p>
      <w:pPr>
        <w:spacing w:after="0" w:line="308" w:lineRule="exact"/>
        <w:rPr>
          <w:sz w:val="20"/>
          <w:szCs w:val="20"/>
          <w:color w:val="auto"/>
        </w:rPr>
      </w:pPr>
    </w:p>
    <w:p>
      <w:pPr>
        <w:ind w:left="1220" w:right="1979"/>
        <w:spacing w:after="0" w:line="265" w:lineRule="auto"/>
        <w:rPr>
          <w:sz w:val="20"/>
          <w:szCs w:val="20"/>
          <w:color w:val="auto"/>
        </w:rPr>
      </w:pPr>
      <w:r>
        <w:rPr>
          <w:rFonts w:ascii="Arial" w:cs="Arial" w:eastAsia="Arial" w:hAnsi="Arial"/>
          <w:sz w:val="14"/>
          <w:szCs w:val="14"/>
          <w:b w:val="1"/>
          <w:bCs w:val="1"/>
          <w:i w:val="1"/>
          <w:iCs w:val="1"/>
          <w:color w:val="auto"/>
        </w:rPr>
        <w:t>Intellectual property rights do not necessarily address all potential threats to our competitive advantage.</w:t>
      </w:r>
    </w:p>
    <w:p>
      <w:pPr>
        <w:spacing w:after="0" w:line="92" w:lineRule="exact"/>
        <w:rPr>
          <w:sz w:val="20"/>
          <w:szCs w:val="20"/>
          <w:color w:val="auto"/>
        </w:rPr>
      </w:pPr>
    </w:p>
    <w:p>
      <w:pPr>
        <w:ind w:left="1220" w:right="1439"/>
        <w:spacing w:after="0" w:line="265" w:lineRule="auto"/>
        <w:rPr>
          <w:sz w:val="20"/>
          <w:szCs w:val="20"/>
          <w:color w:val="auto"/>
        </w:rPr>
      </w:pPr>
      <w:r>
        <w:rPr>
          <w:rFonts w:ascii="Arial" w:cs="Arial" w:eastAsia="Arial" w:hAnsi="Arial"/>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2" w:lineRule="exact"/>
        <w:rPr>
          <w:sz w:val="20"/>
          <w:szCs w:val="20"/>
          <w:color w:val="auto"/>
        </w:rPr>
      </w:pPr>
    </w:p>
    <w:p>
      <w:pPr>
        <w:ind w:left="1340" w:right="1579" w:hanging="116"/>
        <w:spacing w:after="0" w:line="290" w:lineRule="auto"/>
        <w:tabs>
          <w:tab w:leader="none" w:pos="1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others may be able to develop products that are similar to CNTY-101 and our other product candidates but that are not covered by the claims of the patents that we own or license;</w:t>
      </w:r>
    </w:p>
    <w:p>
      <w:pPr>
        <w:spacing w:after="0" w:line="53" w:lineRule="exact"/>
        <w:rPr>
          <w:rFonts w:ascii="Arial" w:cs="Arial" w:eastAsia="Arial" w:hAnsi="Arial"/>
          <w:sz w:val="14"/>
          <w:szCs w:val="14"/>
          <w:color w:val="auto"/>
        </w:rPr>
      </w:pPr>
    </w:p>
    <w:p>
      <w:pPr>
        <w:ind w:left="1340" w:right="1759" w:hanging="116"/>
        <w:spacing w:after="0" w:line="290" w:lineRule="auto"/>
        <w:tabs>
          <w:tab w:leader="none" w:pos="1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or our licensors or predecessors might not have been the first to make the inventions covered by the issued patents or patent application that we own or license;</w:t>
      </w:r>
    </w:p>
    <w:p>
      <w:pPr>
        <w:spacing w:after="0" w:line="64" w:lineRule="exact"/>
        <w:rPr>
          <w:rFonts w:ascii="Arial" w:cs="Arial" w:eastAsia="Arial" w:hAnsi="Arial"/>
          <w:sz w:val="14"/>
          <w:szCs w:val="14"/>
          <w:color w:val="auto"/>
        </w:rPr>
      </w:pPr>
    </w:p>
    <w:p>
      <w:pPr>
        <w:ind w:left="1340" w:right="1599" w:hanging="116"/>
        <w:spacing w:after="0" w:line="290" w:lineRule="auto"/>
        <w:tabs>
          <w:tab w:leader="none" w:pos="1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or our licensors or predecessors might not have been the first to file patent applications covering certain of our inventions;</w:t>
      </w:r>
    </w:p>
    <w:p>
      <w:pPr>
        <w:spacing w:after="0" w:line="64" w:lineRule="exact"/>
        <w:rPr>
          <w:rFonts w:ascii="Arial" w:cs="Arial" w:eastAsia="Arial" w:hAnsi="Arial"/>
          <w:sz w:val="14"/>
          <w:szCs w:val="14"/>
          <w:color w:val="auto"/>
        </w:rPr>
      </w:pPr>
    </w:p>
    <w:p>
      <w:pPr>
        <w:ind w:left="1340" w:right="1299" w:hanging="116"/>
        <w:spacing w:after="0" w:line="295" w:lineRule="auto"/>
        <w:tabs>
          <w:tab w:leader="none" w:pos="1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others may independently develop similar or alternative technologies or duplicate any of our technologies without infringing, misappropriating, or otherwise violating our intellectual property rights;</w:t>
      </w:r>
    </w:p>
    <w:p>
      <w:pPr>
        <w:spacing w:after="0" w:line="240" w:lineRule="exact"/>
        <w:rPr>
          <w:rFonts w:ascii="Arial" w:cs="Arial" w:eastAsia="Arial" w:hAnsi="Arial"/>
          <w:sz w:val="14"/>
          <w:szCs w:val="14"/>
          <w:color w:val="auto"/>
        </w:rPr>
      </w:pPr>
    </w:p>
    <w:p>
      <w:pPr>
        <w:ind w:left="1340" w:hanging="116"/>
        <w:spacing w:after="0"/>
        <w:tabs>
          <w:tab w:leader="none" w:pos="1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it is possible that our pending patent applications will not lead to issued patents;</w:t>
      </w:r>
    </w:p>
    <w:p>
      <w:pPr>
        <w:spacing w:after="0" w:line="108" w:lineRule="exact"/>
        <w:rPr>
          <w:rFonts w:ascii="Arial" w:cs="Arial" w:eastAsia="Arial" w:hAnsi="Arial"/>
          <w:sz w:val="14"/>
          <w:szCs w:val="14"/>
          <w:color w:val="auto"/>
        </w:rPr>
      </w:pPr>
    </w:p>
    <w:p>
      <w:pPr>
        <w:ind w:left="1340" w:right="1319" w:hanging="116"/>
        <w:spacing w:after="0" w:line="290" w:lineRule="auto"/>
        <w:tabs>
          <w:tab w:leader="none" w:pos="1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issued patents that we own or license may be held invalid or unenforceable, as a result of legal challenges by our competitors;</w:t>
      </w:r>
    </w:p>
    <w:p>
      <w:pPr>
        <w:spacing w:after="0" w:line="64" w:lineRule="exact"/>
        <w:rPr>
          <w:rFonts w:ascii="Arial" w:cs="Arial" w:eastAsia="Arial" w:hAnsi="Arial"/>
          <w:sz w:val="14"/>
          <w:szCs w:val="14"/>
          <w:color w:val="auto"/>
        </w:rPr>
      </w:pPr>
    </w:p>
    <w:p>
      <w:pPr>
        <w:ind w:left="1340" w:right="1459" w:hanging="116"/>
        <w:spacing w:after="0" w:line="281" w:lineRule="auto"/>
        <w:tabs>
          <w:tab w:leader="none" w:pos="1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0" w:lineRule="exact"/>
        <w:rPr>
          <w:rFonts w:ascii="Arial" w:cs="Arial" w:eastAsia="Arial" w:hAnsi="Arial"/>
          <w:sz w:val="14"/>
          <w:szCs w:val="14"/>
          <w:color w:val="auto"/>
        </w:rPr>
      </w:pPr>
    </w:p>
    <w:p>
      <w:pPr>
        <w:ind w:left="1340" w:hanging="116"/>
        <w:spacing w:after="0"/>
        <w:tabs>
          <w:tab w:leader="none" w:pos="1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may not develop additional proprietary technologies that are patentable; and</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patents of others may have an adverse effect on our business.</w:t>
      </w:r>
    </w:p>
    <w:p>
      <w:pPr>
        <w:spacing w:after="0" w:line="141" w:lineRule="exact"/>
        <w:rPr>
          <w:sz w:val="20"/>
          <w:szCs w:val="20"/>
          <w:color w:val="auto"/>
        </w:rPr>
      </w:pPr>
    </w:p>
    <w:p>
      <w:pPr>
        <w:ind w:left="1220" w:right="1379"/>
        <w:spacing w:after="0" w:line="290" w:lineRule="auto"/>
        <w:rPr>
          <w:sz w:val="20"/>
          <w:szCs w:val="20"/>
          <w:color w:val="auto"/>
        </w:rPr>
      </w:pPr>
      <w:r>
        <w:rPr>
          <w:rFonts w:ascii="Arial" w:cs="Arial" w:eastAsia="Arial" w:hAnsi="Arial"/>
          <w:sz w:val="14"/>
          <w:szCs w:val="14"/>
          <w:color w:val="auto"/>
        </w:rPr>
        <w:t>Should any of these events occur, it could significantly harm our business, results of operations, and prospects.</w:t>
      </w:r>
    </w:p>
    <w:p>
      <w:pPr>
        <w:spacing w:after="0" w:line="113" w:lineRule="exact"/>
        <w:rPr>
          <w:sz w:val="20"/>
          <w:szCs w:val="20"/>
          <w:color w:val="auto"/>
        </w:rPr>
      </w:pPr>
    </w:p>
    <w:p>
      <w:pPr>
        <w:ind w:left="1220" w:right="1259"/>
        <w:spacing w:after="0" w:line="236" w:lineRule="auto"/>
        <w:rPr>
          <w:sz w:val="20"/>
          <w:szCs w:val="20"/>
          <w:color w:val="auto"/>
        </w:rPr>
      </w:pPr>
      <w:r>
        <w:rPr>
          <w:rFonts w:ascii="Arial" w:cs="Arial" w:eastAsia="Arial" w:hAnsi="Arial"/>
          <w:sz w:val="14"/>
          <w:szCs w:val="14"/>
          <w:b w:val="1"/>
          <w:bCs w:val="1"/>
          <w:i w:val="1"/>
          <w:iCs w:val="1"/>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violate their intellectual property or proprietary rights may result in liability for damages or prevent or delay our development and commercialization efforts.</w:t>
      </w:r>
    </w:p>
    <w:p>
      <w:pPr>
        <w:spacing w:after="0" w:line="109"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Our commercial success depends in part on avoiding infringement, misappropriation, or other violation of the patents, intellectual property, or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other intellectual property or proprietary rights that could limit our ability to make, use, sell, offer for sale, or import CNTY-101 or our other product candidates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United States and foreign issued patents and pending patent applications exist in the fields in which we are developing product candidates, including patents and patent</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59" w:name="page60"/>
    <w:bookmarkEnd w:id="5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79"/>
        <w:spacing w:after="0" w:line="281" w:lineRule="auto"/>
        <w:rPr>
          <w:sz w:val="20"/>
          <w:szCs w:val="20"/>
          <w:color w:val="auto"/>
        </w:rPr>
      </w:pPr>
      <w:r>
        <w:rPr>
          <w:rFonts w:ascii="Arial" w:cs="Arial" w:eastAsia="Arial" w:hAnsi="Arial"/>
          <w:sz w:val="14"/>
          <w:szCs w:val="14"/>
          <w:color w:val="auto"/>
        </w:rPr>
        <w:t>applications held by our competitors. There may be third-party patents or patent applications with claims to materials, formulations, methods of manufacture, or methods for treatment related to the use or manufacture of CNTY-101 and our other product candidates.</w:t>
      </w:r>
    </w:p>
    <w:p>
      <w:pPr>
        <w:spacing w:after="0" w:line="93" w:lineRule="exact"/>
        <w:rPr>
          <w:sz w:val="20"/>
          <w:szCs w:val="20"/>
          <w:color w:val="auto"/>
        </w:rPr>
      </w:pPr>
    </w:p>
    <w:p>
      <w:pPr>
        <w:ind w:left="1220" w:right="1299"/>
        <w:spacing w:after="0" w:line="274" w:lineRule="auto"/>
        <w:rPr>
          <w:sz w:val="20"/>
          <w:szCs w:val="20"/>
          <w:color w:val="auto"/>
        </w:rPr>
      </w:pPr>
      <w:r>
        <w:rPr>
          <w:rFonts w:ascii="Arial" w:cs="Arial" w:eastAsia="Arial" w:hAnsi="Arial"/>
          <w:sz w:val="14"/>
          <w:szCs w:val="14"/>
          <w:color w:val="auto"/>
        </w:rPr>
        <w:t>As the biopharmaceutical industry expands and more patents are issued, the risk increases that CNTY-101 and our other product candidates may be subject to claims of infringement, misappropriation, or other violation of the patent rights of third parties. Because patent applications are maintained as confidential for a certain period of time, until the relevant application is published we may be unaware of third-party patents that may be infringed by commercialization of CNTY-101 and our other product candidates, and we cannot be certain that we were the first to file a patent application related to CNTY-101 and our other product candidates. Moreover, because patent applications can take many years to issue, there may be currently-pending patent applications that may later result in issued patents that CNTY-101 and our other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In addition, third parties may obtain patents in the future and claim that use of our technologies infringes upon, misappropriates, or otherwise violates these patents. Any claims asserted by third parties would be time-consuming and could:</w:t>
      </w:r>
    </w:p>
    <w:p>
      <w:pPr>
        <w:spacing w:after="0" w:line="265" w:lineRule="exact"/>
        <w:rPr>
          <w:sz w:val="20"/>
          <w:szCs w:val="20"/>
          <w:color w:val="auto"/>
        </w:rPr>
      </w:pPr>
    </w:p>
    <w:p>
      <w:pPr>
        <w:ind w:left="1340" w:hanging="116"/>
        <w:spacing w:after="0"/>
        <w:tabs>
          <w:tab w:leader="none" w:pos="1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result in costly litigation that may cause negative publicity;</w:t>
      </w:r>
    </w:p>
    <w:p>
      <w:pPr>
        <w:spacing w:after="0" w:line="119" w:lineRule="exact"/>
        <w:rPr>
          <w:rFonts w:ascii="Arial" w:cs="Arial" w:eastAsia="Arial" w:hAnsi="Arial"/>
          <w:sz w:val="14"/>
          <w:szCs w:val="14"/>
          <w:color w:val="auto"/>
        </w:rPr>
      </w:pPr>
    </w:p>
    <w:p>
      <w:pPr>
        <w:ind w:left="1340" w:hanging="116"/>
        <w:spacing w:after="0"/>
        <w:tabs>
          <w:tab w:leader="none" w:pos="1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divert the time and attention of our technical personnel and management;</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cause development delays;</w:t>
      </w:r>
    </w:p>
    <w:p>
      <w:pPr>
        <w:spacing w:after="0" w:line="108" w:lineRule="exact"/>
        <w:rPr>
          <w:rFonts w:ascii="Arial" w:cs="Arial" w:eastAsia="Arial" w:hAnsi="Arial"/>
          <w:sz w:val="14"/>
          <w:szCs w:val="14"/>
          <w:color w:val="auto"/>
        </w:rPr>
      </w:pPr>
    </w:p>
    <w:p>
      <w:pPr>
        <w:ind w:left="1340" w:right="1299" w:hanging="116"/>
        <w:spacing w:after="0" w:line="290" w:lineRule="auto"/>
        <w:tabs>
          <w:tab w:leader="none" w:pos="1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prevent us from commercializing CNTY-101 and our other product candidates until the asserted patent expires or is held finally invalid or not infringed in a court of law;</w:t>
      </w:r>
    </w:p>
    <w:p>
      <w:pPr>
        <w:spacing w:after="0" w:line="64" w:lineRule="exact"/>
        <w:rPr>
          <w:rFonts w:ascii="Arial" w:cs="Arial" w:eastAsia="Arial" w:hAnsi="Arial"/>
          <w:sz w:val="14"/>
          <w:szCs w:val="14"/>
          <w:color w:val="auto"/>
        </w:rPr>
      </w:pPr>
    </w:p>
    <w:p>
      <w:pPr>
        <w:ind w:left="1340" w:right="1399" w:hanging="116"/>
        <w:spacing w:after="0" w:line="265" w:lineRule="auto"/>
        <w:tabs>
          <w:tab w:leader="none" w:pos="1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require us to develop non-infringing technology, which may not be possible on a cost-effective basis;</w:t>
      </w:r>
    </w:p>
    <w:p>
      <w:pPr>
        <w:spacing w:after="0" w:line="275" w:lineRule="exact"/>
        <w:rPr>
          <w:rFonts w:ascii="Arial" w:cs="Arial" w:eastAsia="Arial" w:hAnsi="Arial"/>
          <w:sz w:val="14"/>
          <w:szCs w:val="14"/>
          <w:color w:val="auto"/>
        </w:rPr>
      </w:pPr>
    </w:p>
    <w:p>
      <w:pPr>
        <w:ind w:left="1340" w:hanging="116"/>
        <w:spacing w:after="0"/>
        <w:tabs>
          <w:tab w:leader="none" w:pos="1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subject us to significant liability to third parties; or</w:t>
      </w:r>
    </w:p>
    <w:p>
      <w:pPr>
        <w:spacing w:after="0" w:line="108" w:lineRule="exact"/>
        <w:rPr>
          <w:rFonts w:ascii="Arial" w:cs="Arial" w:eastAsia="Arial" w:hAnsi="Arial"/>
          <w:sz w:val="14"/>
          <w:szCs w:val="14"/>
          <w:color w:val="auto"/>
        </w:rPr>
      </w:pPr>
    </w:p>
    <w:p>
      <w:pPr>
        <w:ind w:left="1340" w:right="1299" w:hanging="116"/>
        <w:spacing w:after="0" w:line="281" w:lineRule="auto"/>
        <w:tabs>
          <w:tab w:leader="none" w:pos="1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93" w:lineRule="exact"/>
        <w:rPr>
          <w:sz w:val="20"/>
          <w:szCs w:val="20"/>
          <w:color w:val="auto"/>
        </w:rPr>
      </w:pPr>
    </w:p>
    <w:p>
      <w:pPr>
        <w:ind w:left="1220" w:right="1279"/>
        <w:spacing w:after="0" w:line="274" w:lineRule="auto"/>
        <w:rPr>
          <w:sz w:val="20"/>
          <w:szCs w:val="20"/>
          <w:color w:val="auto"/>
        </w:rPr>
      </w:pPr>
      <w:r>
        <w:rPr>
          <w:rFonts w:ascii="Arial" w:cs="Arial" w:eastAsia="Arial" w:hAnsi="Arial"/>
          <w:sz w:val="14"/>
          <w:szCs w:val="14"/>
          <w:color w:val="auto"/>
        </w:rPr>
        <w:t>Third parties may hold intellectual property or proprietary rights that could prevent CNTY-101 and our other product candidates from being marketed. Any patent-related legal action against us claiming damages and seeking to enjoin activities relating to CNTY-101 and our other product candidates or processes could subject us to potential liability for damages, including treble damages if we were determined to willfully infringe, and require us to obtain a license to manufacture or develop CNTY-101 and our other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CNTY-101 and our other product candidates or processes to avoid infringement, if necessary. Accordingly, an adverse determination in a judicial or administrative proceeding, or the failure to obtain necessary licenses, could prevent us from developing and commercializing CNTY-101 and our other product candidates, which could harm our business, financial condition, and operating results.</w:t>
      </w:r>
    </w:p>
    <w:p>
      <w:pPr>
        <w:spacing w:after="0" w:line="296" w:lineRule="exact"/>
        <w:rPr>
          <w:sz w:val="20"/>
          <w:szCs w:val="20"/>
          <w:color w:val="auto"/>
        </w:rPr>
      </w:pPr>
    </w:p>
    <w:p>
      <w:pPr>
        <w:ind w:left="1220" w:right="1419"/>
        <w:spacing w:after="0" w:line="276" w:lineRule="auto"/>
        <w:rPr>
          <w:sz w:val="20"/>
          <w:szCs w:val="20"/>
          <w:color w:val="auto"/>
        </w:rPr>
      </w:pPr>
      <w:r>
        <w:rPr>
          <w:rFonts w:ascii="Arial" w:cs="Arial" w:eastAsia="Arial" w:hAnsi="Arial"/>
          <w:sz w:val="14"/>
          <w:szCs w:val="14"/>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0" w:name="page61"/>
    <w:bookmarkEnd w:id="6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419"/>
        <w:spacing w:after="0" w:line="290" w:lineRule="auto"/>
        <w:rPr>
          <w:sz w:val="20"/>
          <w:szCs w:val="20"/>
          <w:color w:val="auto"/>
        </w:rPr>
      </w:pPr>
      <w:r>
        <w:rPr>
          <w:rFonts w:ascii="Arial" w:cs="Arial" w:eastAsia="Arial" w:hAnsi="Arial"/>
          <w:sz w:val="14"/>
          <w:szCs w:val="14"/>
          <w:color w:val="auto"/>
        </w:rPr>
        <w:t>to raise additional funds or otherwise have a material adverse effect on our business, results of operations, financial condition and prospects.</w:t>
      </w:r>
    </w:p>
    <w:p>
      <w:pPr>
        <w:spacing w:after="0" w:line="86"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23" w:lineRule="exact"/>
        <w:rPr>
          <w:sz w:val="20"/>
          <w:szCs w:val="20"/>
          <w:color w:val="auto"/>
        </w:rPr>
      </w:pPr>
    </w:p>
    <w:p>
      <w:pPr>
        <w:ind w:left="1220" w:right="1259"/>
        <w:spacing w:after="0" w:line="245" w:lineRule="auto"/>
        <w:rPr>
          <w:sz w:val="20"/>
          <w:szCs w:val="20"/>
          <w:color w:val="auto"/>
        </w:rPr>
      </w:pPr>
      <w:r>
        <w:rPr>
          <w:rFonts w:ascii="Arial" w:cs="Arial" w:eastAsia="Arial" w:hAnsi="Arial"/>
          <w:sz w:val="14"/>
          <w:szCs w:val="14"/>
          <w:b w:val="1"/>
          <w:bCs w:val="1"/>
          <w:i w:val="1"/>
          <w:iCs w:val="1"/>
          <w:color w:val="auto"/>
        </w:rPr>
        <w:t>The intellectual property landscape around gene-editing technology is highly dynamic, and third parties may initiate and prevail in legal proceedings alleging that we are infringing, misappropriating, or otherwise violating their intellectual property rights.</w:t>
      </w:r>
    </w:p>
    <w:p>
      <w:pPr>
        <w:spacing w:after="0" w:line="116"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The field of gene-editing, especially in the area of CRISPR technology, is still in its infancy, and no such products have reached the market. Further, the ownership of intellectual property rights relating to CRISPR technology is not fully established. Accordingly, we may not be able to secure all the necessary rights to practice the technology. Due to the intense research and development that is taking place by several companies, including us and our competitors, in this field, the intellectual property landscape is in flux, and it may remain uncertain for the coming years. There may be significant intellectual property related litigation and proceedings relating to intellectual property and proprietary rights in the future. Our commercial success depends upon our ability and the ability of our collaborators to develop, manufacture, market, and sell any product candidates that we may develop and use our proprietary technologies without infringing, misappropriating, or otherwise violating the intellectual property and proprietary rights of third parties. The biopharmaceutical and pharmaceutical industries are characterized by extensive litigation regarding patents and other intellectual property rights relating to CRISPR. For example, certain patents are currently subject to Interference Proceedings before the USPTO and Opposition Proceedings before the European Patent Office, or EPO. It is uncertain when and how the USPTO, as well as the EPO, will decide in the various proceedings, and the decisions of the respective patent offices may significantly affect the scope or may deny the validity of the respective patents involved in these proceedings. We may in the future become party to, or threatened with, adversarial proceedings or litigation regarding intellectual property rights with respect to CRISPR technology and any product candidates we may develop. Third parties may assert infringement claims against us based on existing patents or patents that may be granted in the future, regardless of their merit. If we are unable to prove that these patents are invalid or unenforceable or not infringed and we are not able to obtain or maintain a license on commercially reasonable terms, or at all, such third parties could potentially assert infringement claims against us, which could have a material adverse effect on the conduct of our business. If we are found to infringe, misappropriate, or violate such third-party patents, we and our partners may be required to pay damages, cease commercialization of the infringing technology, including our use of gene-editing technology, or obtain a license from such third parties, which may not be available on commercially reasonable terms or at all.</w:t>
      </w:r>
    </w:p>
    <w:p>
      <w:pPr>
        <w:spacing w:after="0" w:line="200" w:lineRule="exact"/>
        <w:rPr>
          <w:sz w:val="20"/>
          <w:szCs w:val="20"/>
          <w:color w:val="auto"/>
        </w:rPr>
      </w:pPr>
    </w:p>
    <w:p>
      <w:pPr>
        <w:spacing w:after="0" w:line="292" w:lineRule="exact"/>
        <w:rPr>
          <w:sz w:val="20"/>
          <w:szCs w:val="20"/>
          <w:color w:val="auto"/>
        </w:rPr>
      </w:pPr>
    </w:p>
    <w:p>
      <w:pPr>
        <w:jc w:val="both"/>
        <w:ind w:left="1220" w:right="1639"/>
        <w:spacing w:after="0" w:line="245" w:lineRule="auto"/>
        <w:rPr>
          <w:sz w:val="20"/>
          <w:szCs w:val="20"/>
          <w:color w:val="auto"/>
        </w:rPr>
      </w:pPr>
      <w:r>
        <w:rPr>
          <w:rFonts w:ascii="Arial" w:cs="Arial" w:eastAsia="Arial" w:hAnsi="Arial"/>
          <w:sz w:val="14"/>
          <w:szCs w:val="14"/>
          <w:b w:val="1"/>
          <w:bCs w:val="1"/>
          <w:i w:val="1"/>
          <w:iCs w:val="1"/>
          <w:color w:val="auto"/>
        </w:rPr>
        <w:t>We may be involved in lawsuits to protect or enforce our patents or the patents of our licensors, which could be expensive, time-consuming, and unsuccessful. Further, our issued patents could be found invalid or unenforceable if challenged in court.</w:t>
      </w:r>
    </w:p>
    <w:p>
      <w:pPr>
        <w:spacing w:after="0" w:line="116"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Competitors may infringe, misappropriate, or violate our intellectual property rights or those of our licensors. To prevent infringement, misappropriation, violation, or unauthorized use, we and/or our licensors may be required to file claims, which can be expensive and time-consuming. In addition, in a patent infringement proceeding, a court may decide that a patent we own or license is not valid, is unenforceable and/or is not infringed. If we or any of our licensors or potential future collaborators were to initiate legal proceedings against a third party to enforce a patent directed at CNTY-101 and our other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obviousness, written description,</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1" w:name="page62"/>
    <w:bookmarkEnd w:id="6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79"/>
        <w:spacing w:after="0" w:line="265" w:lineRule="auto"/>
        <w:rPr>
          <w:sz w:val="20"/>
          <w:szCs w:val="20"/>
          <w:color w:val="auto"/>
        </w:rPr>
      </w:pPr>
      <w:r>
        <w:rPr>
          <w:rFonts w:ascii="Arial" w:cs="Arial" w:eastAsia="Arial" w:hAnsi="Arial"/>
          <w:sz w:val="14"/>
          <w:szCs w:val="14"/>
          <w:color w:val="auto"/>
        </w:rPr>
        <w:t>or non-enablement. Grounds for an unenforceability assertion could include an allegation that someone connected with prosecution of the patent withheld relevant information from the USPTO or made a misleading statement during prosecution.</w:t>
      </w:r>
    </w:p>
    <w:p>
      <w:pPr>
        <w:spacing w:after="0" w:line="93"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licensors is threatened, it could dissuade companies from collaborating with us to license, develop, or commercialize current or future product candidates. Such a loss of patent protection would have a material adverse impact on our business.</w:t>
      </w:r>
    </w:p>
    <w:p>
      <w:pPr>
        <w:spacing w:after="0" w:line="108"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In addition, we may in the future choose to challenge the patentability of claims in a third-party’s patent by requesting that the USPTO review the patent claims in re-examination, post-grant review, inter partes review, interference proceedings, derivation proceedings, and equivalent proceedings in foreign jurisdictions (e.g., opposition proceedings). We have challenged and may in the future choose to challenge third party patents in patent opposition proceedings in the EPO or another foreign patent office. Even if successful, the costs of these opposition proceedings could be substantial, and may consume our time or other resources. If we fail to obtain a favorable result at the USPTO, EPO, or other patent office we may be exposed to litigation by the third party alleging that the relevant patent may be infringed by our product candidates.</w:t>
      </w:r>
    </w:p>
    <w:p>
      <w:pPr>
        <w:spacing w:after="0" w:line="109"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compromise our ability to compete in the marketplace.</w:t>
      </w:r>
    </w:p>
    <w:p>
      <w:pPr>
        <w:spacing w:after="0" w:line="97"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06" w:lineRule="exact"/>
        <w:rPr>
          <w:sz w:val="20"/>
          <w:szCs w:val="20"/>
          <w:color w:val="auto"/>
        </w:rPr>
      </w:pPr>
    </w:p>
    <w:p>
      <w:pPr>
        <w:ind w:left="1220" w:right="1259"/>
        <w:spacing w:after="0" w:line="262"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33" w:lineRule="exact"/>
        <w:rPr>
          <w:sz w:val="20"/>
          <w:szCs w:val="20"/>
          <w:color w:val="auto"/>
        </w:rPr>
      </w:pPr>
    </w:p>
    <w:p>
      <w:pPr>
        <w:ind w:left="1220" w:right="1419"/>
        <w:spacing w:after="0" w:line="245" w:lineRule="auto"/>
        <w:rPr>
          <w:sz w:val="20"/>
          <w:szCs w:val="20"/>
          <w:color w:val="auto"/>
        </w:rPr>
      </w:pPr>
      <w:r>
        <w:rPr>
          <w:rFonts w:ascii="Arial" w:cs="Arial" w:eastAsia="Arial" w:hAnsi="Arial"/>
          <w:sz w:val="14"/>
          <w:szCs w:val="14"/>
          <w:b w:val="1"/>
          <w:bCs w:val="1"/>
          <w:i w:val="1"/>
          <w:iCs w:val="1"/>
          <w:color w:val="auto"/>
        </w:rPr>
        <w:t>Changes in United States patent law, or laws in other countries, could diminish the value of patents in general, thereby impairing our ability to protect CNTY-101 and our other product candidates.</w:t>
      </w:r>
    </w:p>
    <w:p>
      <w:pPr>
        <w:spacing w:after="0" w:line="106"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71" w:lineRule="exact"/>
        <w:rPr>
          <w:sz w:val="20"/>
          <w:szCs w:val="20"/>
          <w:color w:val="auto"/>
        </w:rPr>
      </w:pPr>
    </w:p>
    <w:p>
      <w:pPr>
        <w:ind w:left="1220" w:right="1439"/>
        <w:spacing w:after="0" w:line="265" w:lineRule="auto"/>
        <w:rPr>
          <w:sz w:val="20"/>
          <w:szCs w:val="20"/>
          <w:color w:val="auto"/>
        </w:rPr>
      </w:pPr>
      <w:r>
        <w:rPr>
          <w:rFonts w:ascii="Arial" w:cs="Arial" w:eastAsia="Arial" w:hAnsi="Arial"/>
          <w:sz w:val="14"/>
          <w:szCs w:val="14"/>
          <w:color w:val="auto"/>
        </w:rPr>
        <w:t>For example, the U.S. Supreme Court has ruled on several patent cases in recent years, either narrowing the scope of patent protection available in certain circumstances or weakening the rights of patent owners in certain</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2" w:name="page63"/>
    <w:bookmarkEnd w:id="6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59"/>
        <w:spacing w:after="0" w:line="260" w:lineRule="auto"/>
        <w:rPr>
          <w:sz w:val="20"/>
          <w:szCs w:val="20"/>
          <w:color w:val="auto"/>
        </w:rPr>
      </w:pPr>
      <w:r>
        <w:rPr>
          <w:rFonts w:ascii="Arial" w:cs="Arial" w:eastAsia="Arial" w:hAnsi="Arial"/>
          <w:sz w:val="14"/>
          <w:szCs w:val="14"/>
          <w:color w:val="auto"/>
        </w:rPr>
        <w:t>situations. In addition to increasing uncertainty with regard to our ability to obtain patents in the future, this combination of events has created uncertainty with respect to the value of patents, once obtained. Depending on decisions by Congress, the United States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135" w:lineRule="exact"/>
        <w:rPr>
          <w:sz w:val="20"/>
          <w:szCs w:val="20"/>
          <w:color w:val="auto"/>
        </w:rPr>
      </w:pPr>
    </w:p>
    <w:p>
      <w:pPr>
        <w:ind w:left="1220" w:right="1299"/>
        <w:spacing w:after="0" w:line="265" w:lineRule="auto"/>
        <w:rPr>
          <w:sz w:val="20"/>
          <w:szCs w:val="20"/>
          <w:color w:val="auto"/>
        </w:rPr>
      </w:pPr>
      <w:r>
        <w:rPr>
          <w:rFonts w:ascii="Arial" w:cs="Arial" w:eastAsia="Arial" w:hAnsi="Arial"/>
          <w:sz w:val="14"/>
          <w:szCs w:val="14"/>
          <w:b w:val="1"/>
          <w:bCs w:val="1"/>
          <w:i w:val="1"/>
          <w:iCs w:val="1"/>
          <w:color w:val="auto"/>
        </w:rPr>
        <w:t>We may be subject to claims challenging the inventorship or ownership of our patents and other intellectual property.</w:t>
      </w:r>
    </w:p>
    <w:p>
      <w:pPr>
        <w:spacing w:after="0" w:line="81"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or our licensors fail in defending any such claims, in addition to paying monetary damages, we may lose valuable intellectual property rights, such as exclusive ownership of, or the exclusive right to use, our owned or in-licensed patents. 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or of a diminished scope.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an interference proceeding or other similar priority or inventorship disputes, it could result in substantial costs and be a distraction to management and other employees. Such an outcome could have a material adverse effect on our business. Even if we are successful in defending against such claims, litigation could result in substantial costs and distraction to management and other employees.</w:t>
      </w:r>
    </w:p>
    <w:p>
      <w:pPr>
        <w:spacing w:after="0" w:line="283"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310" w:lineRule="exact"/>
        <w:rPr>
          <w:sz w:val="20"/>
          <w:szCs w:val="20"/>
          <w:color w:val="auto"/>
        </w:rPr>
      </w:pPr>
    </w:p>
    <w:p>
      <w:pPr>
        <w:ind w:left="1220" w:right="1379"/>
        <w:spacing w:after="0" w:line="265" w:lineRule="auto"/>
        <w:rPr>
          <w:sz w:val="20"/>
          <w:szCs w:val="20"/>
          <w:color w:val="auto"/>
        </w:rPr>
      </w:pPr>
      <w:r>
        <w:rPr>
          <w:rFonts w:ascii="Arial" w:cs="Arial" w:eastAsia="Arial" w:hAnsi="Arial"/>
          <w:sz w:val="14"/>
          <w:szCs w:val="14"/>
          <w:b w:val="1"/>
          <w:bCs w:val="1"/>
          <w:i w:val="1"/>
          <w:iCs w:val="1"/>
          <w:color w:val="auto"/>
        </w:rPr>
        <w:t>Patent terms may be inadequate to protect our competitive position on CNTY-101 and our other product candidates for an adequate amount of time.</w:t>
      </w:r>
    </w:p>
    <w:p>
      <w:pPr>
        <w:spacing w:after="0" w:line="92"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 Even if patents covering CNTY-101 and our other product candidates are obtained, once the patent life has expired, we may be open to competition from competitive products. Given the amount of time required for the development, testing, and regulatory review of product candidates, patents protecting CNTY-101 and our other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309" w:lineRule="exact"/>
        <w:rPr>
          <w:sz w:val="20"/>
          <w:szCs w:val="20"/>
          <w:color w:val="auto"/>
        </w:rPr>
      </w:pPr>
    </w:p>
    <w:p>
      <w:pPr>
        <w:ind w:left="1220" w:right="1359"/>
        <w:spacing w:after="0" w:line="265" w:lineRule="auto"/>
        <w:rPr>
          <w:sz w:val="20"/>
          <w:szCs w:val="20"/>
          <w:color w:val="auto"/>
        </w:rPr>
      </w:pPr>
      <w:r>
        <w:rPr>
          <w:rFonts w:ascii="Arial" w:cs="Arial" w:eastAsia="Arial" w:hAnsi="Arial"/>
          <w:sz w:val="14"/>
          <w:szCs w:val="14"/>
          <w:b w:val="1"/>
          <w:bCs w:val="1"/>
          <w:i w:val="1"/>
          <w:iCs w:val="1"/>
          <w:color w:val="auto"/>
        </w:rPr>
        <w:t>If we do not obtain patent term extension for CNTY-101 and our other product candidates, our business may be materially harmed.</w:t>
      </w:r>
    </w:p>
    <w:p>
      <w:pPr>
        <w:spacing w:after="0" w:line="81"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color w:val="auto"/>
        </w:rPr>
        <w:t>Depending upon the timing, duration, and specifics of FDA marketing approval of CNTY-101 and our other product candidates, one or more of our United States patents may be eligible for limited patent term restoration under the Drug Price Competition and Patent Term Restoration Action of 1984, or Hatch-Waxman Act. The Hatch-Waxman Act permits a patent restoration term of up to five years as compensation for patent term lost during</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3" w:name="page64"/>
    <w:bookmarkEnd w:id="6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59"/>
        <w:spacing w:after="0" w:line="290" w:lineRule="auto"/>
        <w:rPr>
          <w:sz w:val="20"/>
          <w:szCs w:val="20"/>
          <w:color w:val="auto"/>
        </w:rPr>
      </w:pPr>
      <w:r>
        <w:rPr>
          <w:rFonts w:ascii="Arial" w:cs="Arial" w:eastAsia="Arial" w:hAnsi="Arial"/>
          <w:sz w:val="14"/>
          <w:szCs w:val="14"/>
          <w:color w:val="auto"/>
        </w:rPr>
        <w:t>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only one patent may be extended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prior to expiration of relevant patents or otherwise failing to exercise due diligence during the testing phase or regulatory review process, failing to apply within applicable deadlines or failing to satisfy applicable requirements. Moreover, the applicable time period or the scope of patent protection afforded could be less than we request. In addition, we may be reliant on third-party licensors and collaborators in applying for such patent term extensions and we may not be able to obtain their cooperation.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3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We may not be able to protect our intellectual property rights throughout the world.</w:t>
      </w:r>
    </w:p>
    <w:p>
      <w:pPr>
        <w:spacing w:after="0" w:line="136" w:lineRule="exact"/>
        <w:rPr>
          <w:sz w:val="20"/>
          <w:szCs w:val="20"/>
          <w:color w:val="auto"/>
        </w:rPr>
      </w:pPr>
    </w:p>
    <w:p>
      <w:pPr>
        <w:ind w:left="1220" w:right="1259"/>
        <w:spacing w:after="0" w:line="291" w:lineRule="auto"/>
        <w:rPr>
          <w:sz w:val="20"/>
          <w:szCs w:val="20"/>
          <w:color w:val="auto"/>
        </w:rPr>
      </w:pPr>
      <w:r>
        <w:rPr>
          <w:rFonts w:ascii="Arial" w:cs="Arial" w:eastAsia="Arial" w:hAnsi="Arial"/>
          <w:sz w:val="14"/>
          <w:szCs w:val="14"/>
          <w:color w:val="auto"/>
        </w:rPr>
        <w:t>Although we have licenses to issued patents and pending patent applications in the United States and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301" w:lineRule="exact"/>
        <w:rPr>
          <w:sz w:val="20"/>
          <w:szCs w:val="20"/>
          <w:color w:val="auto"/>
        </w:rPr>
      </w:pPr>
    </w:p>
    <w:p>
      <w:pPr>
        <w:ind w:left="1220" w:right="1279"/>
        <w:spacing w:after="0" w:line="291" w:lineRule="auto"/>
        <w:rPr>
          <w:sz w:val="20"/>
          <w:szCs w:val="20"/>
          <w:color w:val="auto"/>
        </w:rPr>
      </w:pPr>
      <w:r>
        <w:rPr>
          <w:rFonts w:ascii="Arial" w:cs="Arial" w:eastAsia="Arial" w:hAnsi="Arial"/>
          <w:sz w:val="14"/>
          <w:szCs w:val="14"/>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marketing of competing products in violation of our intellectual property and proprietary rights.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07" w:lineRule="exact"/>
        <w:rPr>
          <w:sz w:val="20"/>
          <w:szCs w:val="20"/>
          <w:color w:val="auto"/>
        </w:rPr>
      </w:pPr>
    </w:p>
    <w:p>
      <w:pPr>
        <w:ind w:left="1220" w:right="1259"/>
        <w:spacing w:after="0" w:line="293" w:lineRule="auto"/>
        <w:rPr>
          <w:sz w:val="20"/>
          <w:szCs w:val="20"/>
          <w:color w:val="auto"/>
        </w:rPr>
      </w:pPr>
      <w:r>
        <w:rPr>
          <w:rFonts w:ascii="Arial" w:cs="Arial" w:eastAsia="Arial" w:hAnsi="Arial"/>
          <w:sz w:val="14"/>
          <w:szCs w:val="14"/>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4" w:name="page65"/>
    <w:bookmarkEnd w:id="6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right="1519"/>
        <w:spacing w:after="0" w:line="239"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Periodic maintenance fees, renewal fees, annuity fees, and various other governmental fees on patents and/or applications will be due to the USPTO and various foreign patent offices at various points over the lifetime of any patents we ultimately obtain and/or applications we file.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In some cases, we are also dependent on our licensors to take the necessary action to comply with these requirements with respect to our licensed intellectual property.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have a material adverse effect on our business.</w:t>
      </w:r>
    </w:p>
    <w:p>
      <w:pPr>
        <w:spacing w:after="0" w:line="312" w:lineRule="exact"/>
        <w:rPr>
          <w:sz w:val="20"/>
          <w:szCs w:val="20"/>
          <w:color w:val="auto"/>
        </w:rPr>
      </w:pPr>
    </w:p>
    <w:p>
      <w:pPr>
        <w:ind w:left="1220" w:right="1739"/>
        <w:spacing w:after="0" w:line="265" w:lineRule="auto"/>
        <w:rPr>
          <w:sz w:val="20"/>
          <w:szCs w:val="20"/>
          <w:color w:val="auto"/>
        </w:rPr>
      </w:pPr>
      <w:r>
        <w:rPr>
          <w:rFonts w:ascii="Arial" w:cs="Arial" w:eastAsia="Arial" w:hAnsi="Arial"/>
          <w:sz w:val="14"/>
          <w:szCs w:val="14"/>
          <w:b w:val="1"/>
          <w:bCs w:val="1"/>
          <w:i w:val="1"/>
          <w:iCs w:val="1"/>
          <w:color w:val="auto"/>
        </w:rPr>
        <w:t>If we are unable to protect the confidentiality of our trade secrets, our business, and competitive position would be harmed.</w:t>
      </w:r>
    </w:p>
    <w:p>
      <w:pPr>
        <w:spacing w:after="0" w:line="60"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Trade secrets and know-how can be difficult to protect.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79"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Because we currently rely on other third parties to manufacture our product candidates and to perform quality testing, we must, at times, share our proprietary technology and confidential information, including trade secrets, with them. We seek to protect our proprietary technology and other trade secrets, in part, by entering into confidentiality agreements, consulting agreements, or other similar agreements with our advisors, employees, consultants, and other third parties prior to beginning research or disclosing proprietary information and other trade secrets. These agreements typically limit the rights of the third parties to use or disclose our confidential information, proprietary information, and other trade secrets.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w:t>
      </w:r>
    </w:p>
    <w:p>
      <w:pPr>
        <w:spacing w:after="0" w:line="268"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Moreover, third parties may still obtain this information or may come upon this or similar information independently, and we would have no right to prevent them from using that technology or information to compete with us. If any of these events occur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306" w:lineRule="exact"/>
        <w:rPr>
          <w:sz w:val="20"/>
          <w:szCs w:val="20"/>
          <w:color w:val="auto"/>
        </w:rPr>
      </w:pPr>
    </w:p>
    <w:p>
      <w:pPr>
        <w:ind w:left="1220" w:right="1299"/>
        <w:spacing w:after="0" w:line="245" w:lineRule="auto"/>
        <w:rPr>
          <w:sz w:val="20"/>
          <w:szCs w:val="20"/>
          <w:color w:val="auto"/>
        </w:rPr>
      </w:pPr>
      <w:r>
        <w:rPr>
          <w:rFonts w:ascii="Arial" w:cs="Arial" w:eastAsia="Arial" w:hAnsi="Arial"/>
          <w:sz w:val="14"/>
          <w:szCs w:val="14"/>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73" w:lineRule="exact"/>
        <w:rPr>
          <w:sz w:val="20"/>
          <w:szCs w:val="20"/>
          <w:color w:val="auto"/>
        </w:rPr>
      </w:pPr>
    </w:p>
    <w:p>
      <w:pPr>
        <w:ind w:left="1220" w:right="1539"/>
        <w:spacing w:after="0" w:line="265" w:lineRule="auto"/>
        <w:rPr>
          <w:sz w:val="20"/>
          <w:szCs w:val="20"/>
          <w:color w:val="auto"/>
        </w:rPr>
      </w:pPr>
      <w:r>
        <w:rPr>
          <w:rFonts w:ascii="Arial" w:cs="Arial" w:eastAsia="Arial" w:hAnsi="Arial"/>
          <w:sz w:val="14"/>
          <w:szCs w:val="14"/>
          <w:color w:val="auto"/>
        </w:rPr>
        <w:t>As is common in the biopharmaceutical industry, in addition to our employees, we engage the services of consultants to assist us in the development of CNTY-101 and our other product candidates. Many of these</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5458460"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5" w:name="page66"/>
    <w:bookmarkEnd w:id="6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30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Risks related to our common stock and this offering</w:t>
      </w:r>
    </w:p>
    <w:p>
      <w:pPr>
        <w:spacing w:after="0" w:line="160" w:lineRule="exact"/>
        <w:rPr>
          <w:sz w:val="20"/>
          <w:szCs w:val="20"/>
          <w:color w:val="auto"/>
        </w:rPr>
      </w:pPr>
    </w:p>
    <w:p>
      <w:pPr>
        <w:ind w:left="1220" w:right="1919"/>
        <w:spacing w:after="0" w:line="265" w:lineRule="auto"/>
        <w:rPr>
          <w:sz w:val="20"/>
          <w:szCs w:val="20"/>
          <w:color w:val="auto"/>
        </w:rPr>
      </w:pPr>
      <w:r>
        <w:rPr>
          <w:rFonts w:ascii="Arial" w:cs="Arial" w:eastAsia="Arial" w:hAnsi="Arial"/>
          <w:sz w:val="14"/>
          <w:szCs w:val="14"/>
          <w:b w:val="1"/>
          <w:bCs w:val="1"/>
          <w:i w:val="1"/>
          <w:iCs w:val="1"/>
          <w:color w:val="auto"/>
        </w:rPr>
        <w:t>An active, liquid, and orderly market for our common stock may not develop or be sustained.</w:t>
      </w:r>
    </w:p>
    <w:p>
      <w:pPr>
        <w:spacing w:after="0" w:line="92" w:lineRule="exact"/>
        <w:rPr>
          <w:sz w:val="20"/>
          <w:szCs w:val="20"/>
          <w:color w:val="auto"/>
        </w:rPr>
      </w:pPr>
    </w:p>
    <w:p>
      <w:pPr>
        <w:ind w:left="1220" w:right="1339"/>
        <w:spacing w:after="0" w:line="276" w:lineRule="auto"/>
        <w:rPr>
          <w:sz w:val="20"/>
          <w:szCs w:val="20"/>
          <w:color w:val="auto"/>
        </w:rPr>
      </w:pPr>
      <w:r>
        <w:rPr>
          <w:rFonts w:ascii="Arial" w:cs="Arial" w:eastAsia="Arial" w:hAnsi="Arial"/>
          <w:sz w:val="14"/>
          <w:szCs w:val="14"/>
          <w:color w:val="auto"/>
        </w:rPr>
        <w:t>Prior to this offering, there has been no public market for our common stock. Although we have applied to have our common stock listed on the Nasdaq Global Market, or Nasdaq, an active trading market for our common stock may never develop or be sustained following this offering.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290"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If, after listing, we fail to satisfy the continued listing requirements of the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305" w:lineRule="exact"/>
        <w:rPr>
          <w:sz w:val="20"/>
          <w:szCs w:val="20"/>
          <w:color w:val="auto"/>
        </w:rPr>
      </w:pPr>
    </w:p>
    <w:p>
      <w:pPr>
        <w:ind w:left="1220" w:right="1939"/>
        <w:spacing w:after="0" w:line="265" w:lineRule="auto"/>
        <w:rPr>
          <w:sz w:val="20"/>
          <w:szCs w:val="20"/>
          <w:color w:val="auto"/>
        </w:rPr>
      </w:pPr>
      <w:r>
        <w:rPr>
          <w:rFonts w:ascii="Arial" w:cs="Arial" w:eastAsia="Arial" w:hAnsi="Arial"/>
          <w:sz w:val="14"/>
          <w:szCs w:val="14"/>
          <w:b w:val="1"/>
          <w:bCs w:val="1"/>
          <w:i w:val="1"/>
          <w:iCs w:val="1"/>
          <w:color w:val="auto"/>
        </w:rPr>
        <w:t>The trading price of the shares of our common stock could be highly volatile, and purchasers of our common stock could incur substantial losses.</w:t>
      </w:r>
    </w:p>
    <w:p>
      <w:pPr>
        <w:spacing w:after="0" w:line="103"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initial public offering price. The market price for our common stock may be influenced by those factors discussed in this “Risk factors” section and many others, including:</w:t>
      </w:r>
    </w:p>
    <w:p>
      <w:pPr>
        <w:spacing w:after="0" w:line="76" w:lineRule="exact"/>
        <w:rPr>
          <w:sz w:val="20"/>
          <w:szCs w:val="20"/>
          <w:color w:val="auto"/>
        </w:rPr>
      </w:pPr>
    </w:p>
    <w:p>
      <w:pPr>
        <w:jc w:val="both"/>
        <w:ind w:left="1340" w:right="1619" w:hanging="116"/>
        <w:spacing w:after="0" w:line="295" w:lineRule="auto"/>
        <w:tabs>
          <w:tab w:leader="none" w:pos="1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commencement, enrollment, or results of our current and future preclinical studies and clinical trials, and the results of trials of our competitors or those of other companies in our market sector;</w:t>
      </w:r>
    </w:p>
    <w:p>
      <w:pPr>
        <w:spacing w:after="0" w:line="240" w:lineRule="exact"/>
        <w:rPr>
          <w:rFonts w:ascii="Arial" w:cs="Arial" w:eastAsia="Arial" w:hAnsi="Arial"/>
          <w:sz w:val="14"/>
          <w:szCs w:val="14"/>
          <w:color w:val="auto"/>
        </w:rPr>
      </w:pPr>
    </w:p>
    <w:p>
      <w:pPr>
        <w:ind w:left="1340" w:right="1659" w:hanging="116"/>
        <w:spacing w:after="0" w:line="290" w:lineRule="auto"/>
        <w:tabs>
          <w:tab w:leader="none" w:pos="1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regulatory approval of our product candidates, or limitations to specific label indications or patient populations for its use, or changes or delays in the regulatory review process;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regulatory developments in the United States and foreign countries;</w:t>
      </w:r>
    </w:p>
    <w:p>
      <w:pPr>
        <w:spacing w:after="0" w:line="108" w:lineRule="exact"/>
        <w:rPr>
          <w:rFonts w:ascii="Arial" w:cs="Arial" w:eastAsia="Arial" w:hAnsi="Arial"/>
          <w:sz w:val="14"/>
          <w:szCs w:val="14"/>
          <w:color w:val="auto"/>
        </w:rPr>
      </w:pPr>
    </w:p>
    <w:p>
      <w:pPr>
        <w:ind w:left="1340" w:right="1259" w:hanging="116"/>
        <w:spacing w:after="0" w:line="290" w:lineRule="auto"/>
        <w:tabs>
          <w:tab w:leader="none" w:pos="1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changes in the structure of healthcare payment systems, especially in light of current reforms to the United States healthcare system;</w:t>
      </w:r>
    </w:p>
    <w:p>
      <w:pPr>
        <w:spacing w:after="0" w:line="64" w:lineRule="exact"/>
        <w:rPr>
          <w:rFonts w:ascii="Arial" w:cs="Arial" w:eastAsia="Arial" w:hAnsi="Arial"/>
          <w:sz w:val="14"/>
          <w:szCs w:val="14"/>
          <w:color w:val="auto"/>
        </w:rPr>
      </w:pPr>
    </w:p>
    <w:p>
      <w:pPr>
        <w:ind w:left="1340" w:right="2039" w:hanging="116"/>
        <w:spacing w:after="0" w:line="290" w:lineRule="auto"/>
        <w:tabs>
          <w:tab w:leader="none" w:pos="1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success or failure of our efforts to acquire, license, or develop additional product candidates;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innovations or new products developed by us or our competitors;</w:t>
      </w:r>
    </w:p>
    <w:p>
      <w:pPr>
        <w:spacing w:after="0" w:line="119" w:lineRule="exact"/>
        <w:rPr>
          <w:rFonts w:ascii="Arial" w:cs="Arial" w:eastAsia="Arial" w:hAnsi="Arial"/>
          <w:sz w:val="14"/>
          <w:szCs w:val="14"/>
          <w:color w:val="auto"/>
        </w:rPr>
      </w:pPr>
    </w:p>
    <w:p>
      <w:pPr>
        <w:ind w:left="1340" w:right="1299" w:hanging="116"/>
        <w:spacing w:after="0" w:line="290" w:lineRule="auto"/>
        <w:tabs>
          <w:tab w:leader="none" w:pos="1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acquisitions, strategic partnerships, joint ventures, or capital commitments;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manufacturing, supply or distribution delays or shortages;</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6" w:name="page67"/>
    <w:bookmarkEnd w:id="6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659" w:hanging="116"/>
        <w:spacing w:after="0" w:line="290" w:lineRule="auto"/>
        <w:tabs>
          <w:tab w:leader="none" w:pos="1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any changes to our relationship with FCDI, any manufacturers, suppliers, licensors, future collaborators, or other strategic partners;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achievement of expected product sales and profitability;</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variations in our financial results or those of companies that are perceived to be similar to us;</w:t>
      </w:r>
    </w:p>
    <w:p>
      <w:pPr>
        <w:spacing w:after="0" w:line="108" w:lineRule="exact"/>
        <w:rPr>
          <w:rFonts w:ascii="Arial" w:cs="Arial" w:eastAsia="Arial" w:hAnsi="Arial"/>
          <w:sz w:val="14"/>
          <w:szCs w:val="14"/>
          <w:color w:val="auto"/>
        </w:rPr>
      </w:pPr>
    </w:p>
    <w:p>
      <w:pPr>
        <w:ind w:left="1340" w:right="1399" w:hanging="116"/>
        <w:spacing w:after="0" w:line="290" w:lineRule="auto"/>
        <w:tabs>
          <w:tab w:leader="none" w:pos="1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market conditions in the biopharmaceutical sector and issuance of securities analysts’ reports or recommendations;</w:t>
      </w:r>
    </w:p>
    <w:p>
      <w:pPr>
        <w:spacing w:after="0" w:line="74" w:lineRule="exact"/>
        <w:rPr>
          <w:rFonts w:ascii="Arial" w:cs="Arial" w:eastAsia="Arial" w:hAnsi="Arial"/>
          <w:sz w:val="14"/>
          <w:szCs w:val="14"/>
          <w:color w:val="auto"/>
        </w:rPr>
      </w:pPr>
    </w:p>
    <w:p>
      <w:pPr>
        <w:ind w:left="1340" w:hanging="116"/>
        <w:spacing w:after="0"/>
        <w:tabs>
          <w:tab w:leader="none" w:pos="1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trading volume of our common stock;</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 inability to obtain additional funding;</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sales of our stock by insiders and stockholders;</w:t>
      </w:r>
    </w:p>
    <w:p>
      <w:pPr>
        <w:spacing w:after="0" w:line="108" w:lineRule="exact"/>
        <w:rPr>
          <w:rFonts w:ascii="Arial" w:cs="Arial" w:eastAsia="Arial" w:hAnsi="Arial"/>
          <w:sz w:val="14"/>
          <w:szCs w:val="14"/>
          <w:color w:val="auto"/>
        </w:rPr>
      </w:pPr>
    </w:p>
    <w:p>
      <w:pPr>
        <w:ind w:left="1340" w:right="1479" w:hanging="116"/>
        <w:spacing w:after="0" w:line="290" w:lineRule="auto"/>
        <w:tabs>
          <w:tab w:leader="none" w:pos="1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general economic, industry, and market conditions, or other events or factors, many of which are beyond our control;</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additions or departures of key personnel; and</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intellectual property, product liability, or other litigation against us.</w:t>
      </w:r>
    </w:p>
    <w:p>
      <w:pPr>
        <w:spacing w:after="0" w:line="141" w:lineRule="exact"/>
        <w:rPr>
          <w:sz w:val="20"/>
          <w:szCs w:val="20"/>
          <w:color w:val="auto"/>
        </w:rPr>
      </w:pPr>
    </w:p>
    <w:p>
      <w:pPr>
        <w:ind w:left="1220" w:right="1539"/>
        <w:spacing w:after="0" w:line="277" w:lineRule="auto"/>
        <w:rPr>
          <w:sz w:val="20"/>
          <w:szCs w:val="20"/>
          <w:color w:val="auto"/>
        </w:rPr>
      </w:pPr>
      <w:r>
        <w:rPr>
          <w:rFonts w:ascii="Arial" w:cs="Arial" w:eastAsia="Arial" w:hAnsi="Arial"/>
          <w:sz w:val="14"/>
          <w:szCs w:val="14"/>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23" w:lineRule="exact"/>
        <w:rPr>
          <w:sz w:val="20"/>
          <w:szCs w:val="20"/>
          <w:color w:val="auto"/>
        </w:rPr>
      </w:pPr>
    </w:p>
    <w:p>
      <w:pPr>
        <w:ind w:left="1220" w:right="2139"/>
        <w:spacing w:after="0" w:line="265" w:lineRule="auto"/>
        <w:rPr>
          <w:sz w:val="20"/>
          <w:szCs w:val="20"/>
          <w:color w:val="auto"/>
        </w:rPr>
      </w:pPr>
      <w:r>
        <w:rPr>
          <w:rFonts w:ascii="Arial" w:cs="Arial" w:eastAsia="Arial" w:hAnsi="Arial"/>
          <w:sz w:val="14"/>
          <w:szCs w:val="14"/>
          <w:b w:val="1"/>
          <w:bCs w:val="1"/>
          <w:i w:val="1"/>
          <w:iCs w:val="1"/>
          <w:color w:val="auto"/>
        </w:rPr>
        <w:t>We may allocate the net proceeds from this offering in ways that you and other stockholders may not agree.</w:t>
      </w:r>
    </w:p>
    <w:p>
      <w:pPr>
        <w:spacing w:after="0" w:line="92"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 and intermediate-term, interest-bearing obligations, investment-grade instruments, certificates of deposit or direct or guaranteed obligations of the United States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306" w:lineRule="exact"/>
        <w:rPr>
          <w:sz w:val="20"/>
          <w:szCs w:val="20"/>
          <w:color w:val="auto"/>
        </w:rPr>
      </w:pPr>
    </w:p>
    <w:p>
      <w:pPr>
        <w:ind w:left="1220" w:right="1619"/>
        <w:spacing w:after="0" w:line="265" w:lineRule="auto"/>
        <w:rPr>
          <w:sz w:val="20"/>
          <w:szCs w:val="20"/>
          <w:color w:val="auto"/>
        </w:rPr>
      </w:pPr>
      <w:r>
        <w:rPr>
          <w:rFonts w:ascii="Arial" w:cs="Arial" w:eastAsia="Arial" w:hAnsi="Arial"/>
          <w:sz w:val="14"/>
          <w:szCs w:val="14"/>
          <w:b w:val="1"/>
          <w:bCs w:val="1"/>
          <w:i w:val="1"/>
          <w:iCs w:val="1"/>
          <w:color w:val="auto"/>
        </w:rPr>
        <w:t>You will suffer immediate and substantial dilution in the net tangible book value of the common stock you purchase.</w:t>
      </w:r>
    </w:p>
    <w:p>
      <w:pPr>
        <w:spacing w:after="0" w:line="81" w:lineRule="exact"/>
        <w:rPr>
          <w:sz w:val="20"/>
          <w:szCs w:val="20"/>
          <w:color w:val="auto"/>
        </w:rPr>
      </w:pPr>
    </w:p>
    <w:p>
      <w:pPr>
        <w:ind w:left="1220" w:right="1259"/>
        <w:spacing w:after="0" w:line="257" w:lineRule="auto"/>
        <w:rPr>
          <w:sz w:val="20"/>
          <w:szCs w:val="20"/>
          <w:color w:val="auto"/>
        </w:rPr>
      </w:pPr>
      <w:r>
        <w:rPr>
          <w:rFonts w:ascii="Arial" w:cs="Arial" w:eastAsia="Arial" w:hAnsi="Arial"/>
          <w:sz w:val="14"/>
          <w:szCs w:val="14"/>
          <w:color w:val="auto"/>
        </w:rPr>
        <w:t>Investors purchasing shares of our common stock in this offering will pay a price per share that substantially exceeds the pro forma as adjusted net tangible book value per share of our common stock. As a result, investors purchasing common stock in this offering will incur immediate dilution</w:t>
      </w:r>
    </w:p>
    <w:p>
      <w:pPr>
        <w:spacing w:after="0" w:line="1" w:lineRule="exact"/>
        <w:rPr>
          <w:sz w:val="20"/>
          <w:szCs w:val="20"/>
          <w:color w:val="auto"/>
        </w:rPr>
      </w:pPr>
    </w:p>
    <w:p>
      <w:pPr>
        <w:ind w:left="1220"/>
        <w:spacing w:after="0"/>
        <w:tabs>
          <w:tab w:leader="none" w:pos="1960" w:val="left"/>
        </w:tabs>
        <w:rPr>
          <w:sz w:val="20"/>
          <w:szCs w:val="20"/>
          <w:color w:val="auto"/>
        </w:rPr>
      </w:pPr>
      <w:r>
        <w:rPr>
          <w:rFonts w:ascii="Arial" w:cs="Arial" w:eastAsia="Arial" w:hAnsi="Arial"/>
          <w:sz w:val="14"/>
          <w:szCs w:val="14"/>
          <w:color w:val="auto"/>
        </w:rPr>
        <w:t>of $</w:t>
      </w:r>
      <w:r>
        <w:rPr>
          <w:sz w:val="20"/>
          <w:szCs w:val="20"/>
          <w:color w:val="auto"/>
        </w:rPr>
        <w:tab/>
      </w:r>
      <w:r>
        <w:rPr>
          <w:rFonts w:ascii="Arial" w:cs="Arial" w:eastAsia="Arial" w:hAnsi="Arial"/>
          <w:sz w:val="14"/>
          <w:szCs w:val="14"/>
          <w:color w:val="auto"/>
        </w:rPr>
        <w:t>per share, representing the difference between our assumed initial public offering</w:t>
      </w:r>
    </w:p>
    <w:p>
      <w:pPr>
        <w:spacing w:after="0" w:line="12" w:lineRule="exact"/>
        <w:rPr>
          <w:sz w:val="20"/>
          <w:szCs w:val="20"/>
          <w:color w:val="auto"/>
        </w:rPr>
      </w:pPr>
    </w:p>
    <w:p>
      <w:pPr>
        <w:jc w:val="right"/>
        <w:ind w:right="1239"/>
        <w:spacing w:after="0"/>
        <w:tabs>
          <w:tab w:leader="none" w:pos="5360" w:val="left"/>
        </w:tabs>
        <w:rPr>
          <w:sz w:val="20"/>
          <w:szCs w:val="20"/>
          <w:color w:val="auto"/>
        </w:rPr>
      </w:pPr>
      <w:r>
        <w:rPr>
          <w:rFonts w:ascii="Arial" w:cs="Arial" w:eastAsia="Arial" w:hAnsi="Arial"/>
          <w:sz w:val="14"/>
          <w:szCs w:val="14"/>
          <w:color w:val="auto"/>
        </w:rPr>
        <w:t>price of $</w:t>
      </w:r>
      <w:r>
        <w:rPr>
          <w:sz w:val="20"/>
          <w:szCs w:val="20"/>
          <w:color w:val="auto"/>
        </w:rPr>
        <w:tab/>
      </w:r>
      <w:r>
        <w:rPr>
          <w:rFonts w:ascii="Arial" w:cs="Arial" w:eastAsia="Arial" w:hAnsi="Arial"/>
          <w:sz w:val="14"/>
          <w:szCs w:val="14"/>
          <w:color w:val="auto"/>
        </w:rPr>
        <w:t>per share, which is the midpoint of the price range set forth on the cover page of</w:t>
      </w:r>
    </w:p>
    <w:p>
      <w:pPr>
        <w:spacing w:after="0" w:line="12" w:lineRule="exact"/>
        <w:rPr>
          <w:sz w:val="20"/>
          <w:szCs w:val="20"/>
          <w:color w:val="auto"/>
        </w:rPr>
      </w:pPr>
    </w:p>
    <w:p>
      <w:pPr>
        <w:ind w:left="1220" w:right="1279"/>
        <w:spacing w:after="0" w:line="262" w:lineRule="auto"/>
        <w:rPr>
          <w:sz w:val="20"/>
          <w:szCs w:val="20"/>
          <w:color w:val="auto"/>
        </w:rPr>
      </w:pPr>
      <w:r>
        <w:rPr>
          <w:rFonts w:ascii="Arial" w:cs="Arial" w:eastAsia="Arial" w:hAnsi="Arial"/>
          <w:sz w:val="14"/>
          <w:szCs w:val="14"/>
          <w:color w:val="auto"/>
        </w:rPr>
        <w:t>this prospectus, and our pro forma as adjusted net tangible book value per share as of , 2021. To the extent outstanding options to purchase shares of our common stock are exercised, new investors may incur further dilution. For more information on the dilution you may experience as a result of investing in this offering, see the section of this prospectus entitled “Dilution.”</w:t>
      </w:r>
    </w:p>
    <w:p>
      <w:pPr>
        <w:spacing w:after="0" w:line="133" w:lineRule="exact"/>
        <w:rPr>
          <w:sz w:val="20"/>
          <w:szCs w:val="20"/>
          <w:color w:val="auto"/>
        </w:rPr>
      </w:pPr>
    </w:p>
    <w:p>
      <w:pPr>
        <w:ind w:left="1220" w:right="1419"/>
        <w:spacing w:after="0" w:line="245" w:lineRule="auto"/>
        <w:rPr>
          <w:sz w:val="20"/>
          <w:szCs w:val="20"/>
          <w:color w:val="auto"/>
        </w:rPr>
      </w:pPr>
      <w:r>
        <w:rPr>
          <w:rFonts w:ascii="Arial" w:cs="Arial" w:eastAsia="Arial" w:hAnsi="Arial"/>
          <w:sz w:val="14"/>
          <w:szCs w:val="14"/>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06"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the terms of any future debt agreements may preclude us from paying dividends. Any return to stockholders will therefore be limited to the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7" w:name="page68"/>
    <w:bookmarkEnd w:id="6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39"/>
        <w:spacing w:after="0" w:line="257" w:lineRule="auto"/>
        <w:rPr>
          <w:sz w:val="20"/>
          <w:szCs w:val="20"/>
          <w:color w:val="auto"/>
        </w:rPr>
      </w:pPr>
      <w:r>
        <w:rPr>
          <w:rFonts w:ascii="Arial" w:cs="Arial" w:eastAsia="Arial" w:hAnsi="Arial"/>
          <w:sz w:val="14"/>
          <w:szCs w:val="14"/>
          <w:color w:val="auto"/>
        </w:rPr>
        <w:t>appreciation of their stock. There is no guarantee that shares of our common stock will appreciate in value or even maintain the price at which stockholders have purchased their shares.</w:t>
      </w:r>
    </w:p>
    <w:p>
      <w:pPr>
        <w:spacing w:after="0" w:line="125" w:lineRule="exact"/>
        <w:rPr>
          <w:sz w:val="20"/>
          <w:szCs w:val="20"/>
          <w:color w:val="auto"/>
        </w:rPr>
      </w:pPr>
    </w:p>
    <w:p>
      <w:pPr>
        <w:ind w:left="1220" w:right="1259"/>
        <w:spacing w:after="0" w:line="265" w:lineRule="auto"/>
        <w:rPr>
          <w:sz w:val="20"/>
          <w:szCs w:val="20"/>
          <w:color w:val="auto"/>
        </w:rPr>
      </w:pPr>
      <w:r>
        <w:rPr>
          <w:rFonts w:ascii="Arial" w:cs="Arial" w:eastAsia="Arial" w:hAnsi="Arial"/>
          <w:sz w:val="14"/>
          <w:szCs w:val="14"/>
          <w:b w:val="1"/>
          <w:bCs w:val="1"/>
          <w:i w:val="1"/>
          <w:iCs w:val="1"/>
          <w:color w:val="auto"/>
        </w:rPr>
        <w:t>Sales of a substantial number of shares of our common stock by our existing stockholders in the public market could cause our stock price to fall.</w:t>
      </w:r>
    </w:p>
    <w:p>
      <w:pPr>
        <w:spacing w:after="0" w:line="81" w:lineRule="exact"/>
        <w:rPr>
          <w:sz w:val="20"/>
          <w:szCs w:val="20"/>
          <w:color w:val="auto"/>
        </w:rPr>
      </w:pPr>
    </w:p>
    <w:p>
      <w:pPr>
        <w:ind w:left="1220" w:right="1679"/>
        <w:spacing w:after="0" w:line="246" w:lineRule="auto"/>
        <w:rPr>
          <w:sz w:val="20"/>
          <w:szCs w:val="20"/>
          <w:color w:val="auto"/>
        </w:rPr>
      </w:pPr>
      <w:r>
        <w:rPr>
          <w:rFonts w:ascii="Arial" w:cs="Arial" w:eastAsia="Arial" w:hAnsi="Arial"/>
          <w:sz w:val="14"/>
          <w:szCs w:val="14"/>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06" w:lineRule="exact"/>
        <w:rPr>
          <w:sz w:val="20"/>
          <w:szCs w:val="20"/>
          <w:color w:val="auto"/>
        </w:rPr>
      </w:pPr>
    </w:p>
    <w:p>
      <w:pPr>
        <w:ind w:left="1220" w:right="1339"/>
        <w:spacing w:after="0" w:line="241" w:lineRule="auto"/>
        <w:rPr>
          <w:sz w:val="20"/>
          <w:szCs w:val="20"/>
          <w:color w:val="auto"/>
        </w:rPr>
      </w:pPr>
      <w:r>
        <w:rPr>
          <w:rFonts w:ascii="Arial" w:cs="Arial" w:eastAsia="Arial" w:hAnsi="Arial"/>
          <w:sz w:val="14"/>
          <w:szCs w:val="14"/>
          <w:color w:val="auto"/>
        </w:rPr>
        <w:t>Based on shares of common stock outstanding as of , 2021, upon the closing of this offering, we will have outstanding a total of shares of common stock after this offering,</w:t>
      </w:r>
    </w:p>
    <w:p>
      <w:pPr>
        <w:ind w:left="1220"/>
        <w:spacing w:after="0"/>
        <w:rPr>
          <w:sz w:val="20"/>
          <w:szCs w:val="20"/>
          <w:color w:val="auto"/>
        </w:rPr>
      </w:pPr>
      <w:r>
        <w:rPr>
          <w:rFonts w:ascii="Arial" w:cs="Arial" w:eastAsia="Arial" w:hAnsi="Arial"/>
          <w:sz w:val="14"/>
          <w:szCs w:val="14"/>
          <w:color w:val="auto"/>
        </w:rPr>
        <w:t>assuming no exercise of the underwriters’ option to purchase additional shares and no exercise</w:t>
      </w:r>
    </w:p>
    <w:p>
      <w:pPr>
        <w:spacing w:after="0" w:line="1" w:lineRule="exact"/>
        <w:rPr>
          <w:sz w:val="20"/>
          <w:szCs w:val="20"/>
          <w:color w:val="auto"/>
        </w:rPr>
      </w:pPr>
    </w:p>
    <w:p>
      <w:pPr>
        <w:ind w:left="1220" w:right="1339"/>
        <w:spacing w:after="0" w:line="246" w:lineRule="auto"/>
        <w:rPr>
          <w:sz w:val="20"/>
          <w:szCs w:val="20"/>
          <w:color w:val="auto"/>
        </w:rPr>
      </w:pPr>
      <w:r>
        <w:rPr>
          <w:rFonts w:ascii="Arial" w:cs="Arial" w:eastAsia="Arial" w:hAnsi="Arial"/>
          <w:sz w:val="14"/>
          <w:szCs w:val="14"/>
          <w:color w:val="auto"/>
        </w:rPr>
        <w:t>of outstanding options. Of these shares, only shares of common stock sold in this offering by us, plus any shares sold upon exercise of the underwriters’ option to purchase additional shares, will be freely tradable, without restriction, in the public market immediately following this offering, unless they are purchased by one of our affiliates.</w:t>
      </w:r>
    </w:p>
    <w:p>
      <w:pPr>
        <w:spacing w:after="0" w:line="106" w:lineRule="exact"/>
        <w:rPr>
          <w:sz w:val="20"/>
          <w:szCs w:val="20"/>
          <w:color w:val="auto"/>
        </w:rPr>
      </w:pPr>
    </w:p>
    <w:p>
      <w:pPr>
        <w:ind w:left="1220" w:right="1319"/>
        <w:spacing w:after="0" w:line="241" w:lineRule="auto"/>
        <w:rPr>
          <w:sz w:val="20"/>
          <w:szCs w:val="20"/>
          <w:color w:val="auto"/>
        </w:rPr>
      </w:pPr>
      <w:r>
        <w:rPr>
          <w:rFonts w:ascii="Arial" w:cs="Arial" w:eastAsia="Arial" w:hAnsi="Arial"/>
          <w:sz w:val="14"/>
          <w:szCs w:val="14"/>
          <w:color w:val="auto"/>
        </w:rPr>
        <w:t>Our directors and executive officers and holders of substantially all of our outstanding securities have entered into lock -up agreements with the underwriters pursuant to which they may not, with limited exceptions, for a period of 180 days from the date of this prospectus, offer, sell or otherwise transfer or dispose of any of our securities, without the prior written consent of J.P. Morgan Securities LLC, BofA Securities, Inc., SVB Leerink LLC, and Piper Sandler &amp; Co. The underwriters may permit our officers, directors, and other stockholders and the holders of our outstanding options who are subject to the lock- up agreements to sell shares prior to the expiration of the lock-up agreements, subject to limitations. See “Underwriting.” Sales of these shares, or perceptions that they will be sold, could cause the trading price of our common stock</w:t>
      </w:r>
    </w:p>
    <w:p>
      <w:pPr>
        <w:spacing w:after="0" w:line="2" w:lineRule="exact"/>
        <w:rPr>
          <w:sz w:val="20"/>
          <w:szCs w:val="20"/>
          <w:color w:val="auto"/>
        </w:rPr>
      </w:pPr>
    </w:p>
    <w:p>
      <w:pPr>
        <w:ind w:left="1220" w:right="1519"/>
        <w:spacing w:after="0" w:line="241" w:lineRule="auto"/>
        <w:rPr>
          <w:sz w:val="20"/>
          <w:szCs w:val="20"/>
          <w:color w:val="auto"/>
        </w:rPr>
      </w:pPr>
      <w:r>
        <w:rPr>
          <w:rFonts w:ascii="Arial" w:cs="Arial" w:eastAsia="Arial" w:hAnsi="Arial"/>
          <w:sz w:val="14"/>
          <w:szCs w:val="14"/>
          <w:color w:val="auto"/>
        </w:rPr>
        <w:t>to decline. After the lock-up agreements expire, up to an additional shares of common stock will be eligible for sale in the public market of which shares are held by directors,</w:t>
      </w:r>
    </w:p>
    <w:p>
      <w:pPr>
        <w:ind w:left="1220" w:right="1499"/>
        <w:spacing w:after="0" w:line="257" w:lineRule="auto"/>
        <w:rPr>
          <w:sz w:val="20"/>
          <w:szCs w:val="20"/>
          <w:color w:val="auto"/>
        </w:rPr>
      </w:pPr>
      <w:r>
        <w:rPr>
          <w:rFonts w:ascii="Arial" w:cs="Arial" w:eastAsia="Arial" w:hAnsi="Arial"/>
          <w:sz w:val="14"/>
          <w:szCs w:val="14"/>
          <w:color w:val="auto"/>
        </w:rPr>
        <w:t>executive officers, and other affiliates and will be subject to volume limitations under Rule 144 under the Securities Act of 1933, as amended, or the Securities Act.</w:t>
      </w:r>
    </w:p>
    <w:p>
      <w:pPr>
        <w:spacing w:after="0" w:line="87" w:lineRule="exact"/>
        <w:rPr>
          <w:sz w:val="20"/>
          <w:szCs w:val="20"/>
          <w:color w:val="auto"/>
        </w:rPr>
      </w:pPr>
    </w:p>
    <w:p>
      <w:pPr>
        <w:ind w:left="1220" w:right="1239"/>
        <w:spacing w:after="0" w:line="244" w:lineRule="auto"/>
        <w:rPr>
          <w:sz w:val="20"/>
          <w:szCs w:val="20"/>
          <w:color w:val="auto"/>
        </w:rPr>
      </w:pPr>
      <w:r>
        <w:rPr>
          <w:rFonts w:ascii="Arial" w:cs="Arial" w:eastAsia="Arial" w:hAnsi="Arial"/>
          <w:sz w:val="14"/>
          <w:szCs w:val="14"/>
          <w:color w:val="auto"/>
        </w:rPr>
        <w:t>In addition, as of , 2021, up to shares of common stock that are either subject to outstanding options or reserved for future issuance under our employee benefit plans will become eligible for sale in the public market to the extent permitted by the provisions of various vesting schedules, the lock-up agreements, Rule 144 under the Securities Act, or Rule 144, and Rule 701 under the Securities Act, or Rule 701. If these additional shares of common stock are sold, or if it is perceived that they will be sold, in the public market, the trading price of our common stock could decline.</w:t>
      </w:r>
    </w:p>
    <w:p>
      <w:pPr>
        <w:spacing w:after="0" w:line="270" w:lineRule="exact"/>
        <w:rPr>
          <w:sz w:val="20"/>
          <w:szCs w:val="20"/>
          <w:color w:val="auto"/>
        </w:rPr>
      </w:pPr>
    </w:p>
    <w:p>
      <w:pPr>
        <w:ind w:left="1220" w:right="1479"/>
        <w:spacing w:after="0" w:line="241" w:lineRule="auto"/>
        <w:rPr>
          <w:sz w:val="20"/>
          <w:szCs w:val="20"/>
          <w:color w:val="auto"/>
        </w:rPr>
      </w:pPr>
      <w:r>
        <w:rPr>
          <w:rFonts w:ascii="Arial" w:cs="Arial" w:eastAsia="Arial" w:hAnsi="Arial"/>
          <w:sz w:val="14"/>
          <w:szCs w:val="14"/>
          <w:color w:val="auto"/>
        </w:rPr>
        <w:t>After this offering, the holders of shares of our outstanding common stock, or approximately % of our total outstanding common stock as of , 2021, will be</w:t>
      </w:r>
    </w:p>
    <w:p>
      <w:pPr>
        <w:ind w:left="1220" w:right="1239"/>
        <w:spacing w:after="0" w:line="244" w:lineRule="auto"/>
        <w:rPr>
          <w:sz w:val="20"/>
          <w:szCs w:val="20"/>
          <w:color w:val="auto"/>
        </w:rPr>
      </w:pPr>
      <w:r>
        <w:rPr>
          <w:rFonts w:ascii="Arial" w:cs="Arial" w:eastAsia="Arial" w:hAnsi="Arial"/>
          <w:sz w:val="14"/>
          <w:szCs w:val="14"/>
          <w:color w:val="auto"/>
        </w:rPr>
        <w:t>entitled to rights with respect to the registration of their shares under the Securities Act, subject to vesting and the 180-day lock-up agreements described above. See “Description of capital stock—Registration rights.” Registration of these shares under the Securities Act would result in the shares becoming freely tradable without restriction under the Securities Act, except for shares held by affiliates, as defined in Rule 144. Any sales of securities by these stockholders could have a material adverse effect on the trading price of our common stock.</w:t>
      </w:r>
    </w:p>
    <w:p>
      <w:pPr>
        <w:spacing w:after="0" w:line="135" w:lineRule="exact"/>
        <w:rPr>
          <w:sz w:val="20"/>
          <w:szCs w:val="20"/>
          <w:color w:val="auto"/>
        </w:rPr>
      </w:pPr>
    </w:p>
    <w:p>
      <w:pPr>
        <w:ind w:left="1220" w:right="1239"/>
        <w:spacing w:after="0"/>
        <w:rPr>
          <w:sz w:val="20"/>
          <w:szCs w:val="20"/>
          <w:color w:val="auto"/>
        </w:rPr>
      </w:pPr>
      <w:r>
        <w:rPr>
          <w:rFonts w:ascii="Arial" w:cs="Arial" w:eastAsia="Arial" w:hAnsi="Arial"/>
          <w:sz w:val="14"/>
          <w:szCs w:val="14"/>
          <w:b w:val="1"/>
          <w:bCs w:val="1"/>
          <w:i w:val="1"/>
          <w:iCs w:val="1"/>
          <w:color w:val="auto"/>
        </w:rPr>
        <w:t>Our executive officers, directors, principal stockholders, and their affiliates will continue to exercise significant control over our company after this offering, which will limit your ability to influence corporate matters and could delay or prevent a change in corporate control.</w:t>
      </w:r>
    </w:p>
    <w:p>
      <w:pPr>
        <w:spacing w:after="0" w:line="267" w:lineRule="exact"/>
        <w:rPr>
          <w:sz w:val="20"/>
          <w:szCs w:val="20"/>
          <w:color w:val="auto"/>
        </w:rPr>
      </w:pPr>
    </w:p>
    <w:p>
      <w:pPr>
        <w:ind w:left="1220" w:right="1399"/>
        <w:spacing w:after="0" w:line="241" w:lineRule="auto"/>
        <w:rPr>
          <w:sz w:val="20"/>
          <w:szCs w:val="20"/>
          <w:color w:val="auto"/>
        </w:rPr>
      </w:pPr>
      <w:r>
        <w:rPr>
          <w:rFonts w:ascii="Arial" w:cs="Arial" w:eastAsia="Arial" w:hAnsi="Arial"/>
          <w:sz w:val="14"/>
          <w:szCs w:val="14"/>
          <w:color w:val="auto"/>
        </w:rPr>
        <w:t>Immediately following the closing of this offering, and disregarding any shares of common stock that they purchase in this offering, the existing holdings of our executive officers, directors, principal stockholders, and their affiliates, including entities affiliated with Bayer, FCDI, and Versant Ventures, or Versant, will represent beneficial ownership, in the aggregate, of</w:t>
      </w:r>
    </w:p>
    <w:p>
      <w:pPr>
        <w:spacing w:after="0" w:line="1" w:lineRule="exact"/>
        <w:rPr>
          <w:sz w:val="20"/>
          <w:szCs w:val="20"/>
          <w:color w:val="auto"/>
        </w:rPr>
      </w:pPr>
    </w:p>
    <w:p>
      <w:pPr>
        <w:ind w:left="1220" w:right="1279"/>
        <w:spacing w:after="0" w:line="243" w:lineRule="auto"/>
        <w:rPr>
          <w:sz w:val="20"/>
          <w:szCs w:val="20"/>
          <w:color w:val="auto"/>
        </w:rPr>
      </w:pPr>
      <w:r>
        <w:rPr>
          <w:rFonts w:ascii="Arial" w:cs="Arial" w:eastAsia="Arial" w:hAnsi="Arial"/>
          <w:sz w:val="14"/>
          <w:szCs w:val="14"/>
          <w:color w:val="auto"/>
        </w:rPr>
        <w:t>approximately % of our outstanding common stock, assuming no exercise of the underwriters’ option to purchase additional shares of common stock in this offering and assuming we issue the number of shares of common stock as set forth on the cover page of this prospectus.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acquired their shares of common stock for substantially less than the price of the shares of common stock being acquired in this offering, and these stockholders may have interests, with respect to their common stock, that are different from those of</w:t>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8" w:name="page69"/>
    <w:bookmarkEnd w:id="6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479"/>
        <w:spacing w:after="0" w:line="249" w:lineRule="auto"/>
        <w:rPr>
          <w:sz w:val="20"/>
          <w:szCs w:val="20"/>
          <w:color w:val="auto"/>
        </w:rPr>
      </w:pPr>
      <w:r>
        <w:rPr>
          <w:rFonts w:ascii="Arial" w:cs="Arial" w:eastAsia="Arial" w:hAnsi="Arial"/>
          <w:sz w:val="14"/>
          <w:szCs w:val="14"/>
          <w:color w:val="auto"/>
        </w:rPr>
        <w:t>investors in this offering and the concentration of voting power among these stockholders may have an adverse effect on the price of our common stock. In addition, this concentration of ownership might adversely affect the market price of our common stock by:</w:t>
      </w:r>
    </w:p>
    <w:p>
      <w:pPr>
        <w:spacing w:after="0" w:line="60" w:lineRule="exact"/>
        <w:rPr>
          <w:sz w:val="20"/>
          <w:szCs w:val="20"/>
          <w:color w:val="auto"/>
        </w:rPr>
      </w:pPr>
    </w:p>
    <w:p>
      <w:pPr>
        <w:ind w:left="1340" w:hanging="116"/>
        <w:spacing w:after="0"/>
        <w:tabs>
          <w:tab w:leader="none" w:pos="1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delaying, deferring or preventing a change of control of us;</w:t>
      </w:r>
    </w:p>
    <w:p>
      <w:pPr>
        <w:spacing w:after="0" w:line="22" w:lineRule="exact"/>
        <w:rPr>
          <w:rFonts w:ascii="Arial" w:cs="Arial" w:eastAsia="Arial" w:hAnsi="Arial"/>
          <w:sz w:val="14"/>
          <w:szCs w:val="14"/>
          <w:color w:val="auto"/>
        </w:rPr>
      </w:pPr>
    </w:p>
    <w:p>
      <w:pPr>
        <w:ind w:left="1340" w:hanging="116"/>
        <w:spacing w:after="0"/>
        <w:tabs>
          <w:tab w:leader="none" w:pos="1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impeding a merger, consolidation, takeover or other business combination involving us; or</w:t>
      </w:r>
    </w:p>
    <w:p>
      <w:pPr>
        <w:spacing w:after="0" w:line="11" w:lineRule="exact"/>
        <w:rPr>
          <w:rFonts w:ascii="Arial" w:cs="Arial" w:eastAsia="Arial" w:hAnsi="Arial"/>
          <w:sz w:val="14"/>
          <w:szCs w:val="14"/>
          <w:color w:val="auto"/>
        </w:rPr>
      </w:pPr>
    </w:p>
    <w:p>
      <w:pPr>
        <w:ind w:left="1340" w:right="1419" w:hanging="116"/>
        <w:spacing w:after="0" w:line="290" w:lineRule="auto"/>
        <w:tabs>
          <w:tab w:leader="none" w:pos="1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discouraging a potential acquirer from making a tender offer or otherwise attempting to obtain control of us.</w:t>
      </w:r>
    </w:p>
    <w:p>
      <w:pPr>
        <w:spacing w:after="0" w:line="86" w:lineRule="exact"/>
        <w:rPr>
          <w:sz w:val="20"/>
          <w:szCs w:val="20"/>
          <w:color w:val="auto"/>
        </w:rPr>
      </w:pPr>
    </w:p>
    <w:p>
      <w:pPr>
        <w:jc w:val="both"/>
        <w:ind w:left="1220" w:right="1439"/>
        <w:spacing w:after="0" w:line="249" w:lineRule="auto"/>
        <w:rPr>
          <w:sz w:val="20"/>
          <w:szCs w:val="20"/>
          <w:color w:val="auto"/>
        </w:rPr>
      </w:pPr>
      <w:r>
        <w:rPr>
          <w:rFonts w:ascii="Arial" w:cs="Arial" w:eastAsia="Arial" w:hAnsi="Arial"/>
          <w:sz w:val="14"/>
          <w:szCs w:val="14"/>
          <w:color w:val="auto"/>
        </w:rPr>
        <w:t>See “Principal stockholders” in this prospectus for more information regarding the ownership of our outstanding common stock by our executive officers, directors, principal stockholders, and their affiliates.</w:t>
      </w:r>
    </w:p>
    <w:p>
      <w:pPr>
        <w:spacing w:after="0" w:line="130" w:lineRule="exact"/>
        <w:rPr>
          <w:sz w:val="20"/>
          <w:szCs w:val="20"/>
          <w:color w:val="auto"/>
        </w:rPr>
      </w:pPr>
    </w:p>
    <w:p>
      <w:pPr>
        <w:jc w:val="both"/>
        <w:ind w:left="1220" w:right="1299"/>
        <w:spacing w:after="0" w:line="245" w:lineRule="auto"/>
        <w:rPr>
          <w:sz w:val="20"/>
          <w:szCs w:val="20"/>
          <w:color w:val="auto"/>
        </w:rPr>
      </w:pPr>
      <w:r>
        <w:rPr>
          <w:rFonts w:ascii="Arial" w:cs="Arial" w:eastAsia="Arial" w:hAnsi="Arial"/>
          <w:sz w:val="14"/>
          <w:szCs w:val="14"/>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06" w:lineRule="exact"/>
        <w:rPr>
          <w:sz w:val="20"/>
          <w:szCs w:val="20"/>
          <w:color w:val="auto"/>
        </w:rPr>
      </w:pPr>
    </w:p>
    <w:p>
      <w:pPr>
        <w:ind w:left="1220" w:right="1299"/>
        <w:spacing w:after="0" w:line="243" w:lineRule="auto"/>
        <w:rPr>
          <w:sz w:val="20"/>
          <w:szCs w:val="20"/>
          <w:color w:val="auto"/>
        </w:rPr>
      </w:pPr>
      <w:r>
        <w:rPr>
          <w:rFonts w:ascii="Arial" w:cs="Arial" w:eastAsia="Arial" w:hAnsi="Arial"/>
          <w:sz w:val="14"/>
          <w:szCs w:val="14"/>
          <w:color w:val="auto"/>
        </w:rPr>
        <w:t>We are an emerging growth company, as defined in the Jumpstart Our Business Startups Act, or JOBS Act, and may remain an emerging growth company until the last day of the fiscal year following the fifth anniversary of the closing of this offering. However, if certain events occur prior to the end of such five-year period, including if we become a “large accelerated filer,” our annual gross revenues exceed $1.07 billion or we issue more than $1.0 billion of non -convertible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 reduced disclosure and other requirements that we may take advantage of include:</w:t>
      </w:r>
    </w:p>
    <w:p>
      <w:pPr>
        <w:spacing w:after="0" w:line="227" w:lineRule="exact"/>
        <w:rPr>
          <w:sz w:val="20"/>
          <w:szCs w:val="20"/>
          <w:color w:val="auto"/>
        </w:rPr>
      </w:pPr>
    </w:p>
    <w:p>
      <w:pPr>
        <w:ind w:left="1340" w:right="1319" w:hanging="116"/>
        <w:spacing w:after="0" w:line="281" w:lineRule="auto"/>
        <w:tabs>
          <w:tab w:leader="none" w:pos="1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71" w:lineRule="exact"/>
        <w:rPr>
          <w:rFonts w:ascii="Arial" w:cs="Arial" w:eastAsia="Arial" w:hAnsi="Arial"/>
          <w:sz w:val="14"/>
          <w:szCs w:val="14"/>
          <w:color w:val="auto"/>
        </w:rPr>
      </w:pPr>
    </w:p>
    <w:p>
      <w:pPr>
        <w:ind w:left="1340" w:right="1959" w:hanging="116"/>
        <w:spacing w:after="0" w:line="290" w:lineRule="auto"/>
        <w:tabs>
          <w:tab w:leader="none" w:pos="1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not being required to have our registered independent public accounting firm attest to management’s assessment of our internal control over financial reporting;</w:t>
      </w:r>
    </w:p>
    <w:p>
      <w:pPr>
        <w:spacing w:after="0" w:line="53" w:lineRule="exact"/>
        <w:rPr>
          <w:rFonts w:ascii="Arial" w:cs="Arial" w:eastAsia="Arial" w:hAnsi="Arial"/>
          <w:sz w:val="14"/>
          <w:szCs w:val="14"/>
          <w:color w:val="auto"/>
        </w:rPr>
      </w:pPr>
    </w:p>
    <w:p>
      <w:pPr>
        <w:ind w:left="1340" w:hanging="116"/>
        <w:spacing w:after="0"/>
        <w:tabs>
          <w:tab w:leader="none" w:pos="1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presenting reduced disclosure about our executive compensation arrangements;</w:t>
      </w:r>
    </w:p>
    <w:p>
      <w:pPr>
        <w:spacing w:after="0" w:line="108" w:lineRule="exact"/>
        <w:rPr>
          <w:rFonts w:ascii="Arial" w:cs="Arial" w:eastAsia="Arial" w:hAnsi="Arial"/>
          <w:sz w:val="14"/>
          <w:szCs w:val="14"/>
          <w:color w:val="auto"/>
        </w:rPr>
      </w:pPr>
    </w:p>
    <w:p>
      <w:pPr>
        <w:ind w:left="1340" w:right="1559" w:hanging="116"/>
        <w:spacing w:after="0" w:line="290" w:lineRule="auto"/>
        <w:tabs>
          <w:tab w:leader="none" w:pos="1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not being required to hold non-binding advisory votes on executive compensation or golden parachute arrangements; and</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extended transition periods for complying with new or revised accounting standards.</w:t>
      </w:r>
    </w:p>
    <w:p>
      <w:pPr>
        <w:spacing w:after="0" w:line="130" w:lineRule="exact"/>
        <w:rPr>
          <w:sz w:val="20"/>
          <w:szCs w:val="20"/>
          <w:color w:val="auto"/>
        </w:rPr>
      </w:pPr>
    </w:p>
    <w:p>
      <w:pPr>
        <w:ind w:left="1220" w:right="1259"/>
        <w:spacing w:after="0" w:line="243" w:lineRule="auto"/>
        <w:rPr>
          <w:sz w:val="20"/>
          <w:szCs w:val="20"/>
          <w:color w:val="auto"/>
        </w:rPr>
      </w:pPr>
      <w:r>
        <w:rPr>
          <w:rFonts w:ascii="Arial" w:cs="Arial" w:eastAsia="Arial" w:hAnsi="Arial"/>
          <w:sz w:val="14"/>
          <w:szCs w:val="14"/>
          <w:color w:val="auto"/>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96" w:lineRule="exact"/>
        <w:rPr>
          <w:sz w:val="20"/>
          <w:szCs w:val="20"/>
          <w:color w:val="auto"/>
        </w:rPr>
      </w:pPr>
    </w:p>
    <w:p>
      <w:pPr>
        <w:ind w:left="1220" w:right="1359"/>
        <w:spacing w:after="0" w:line="241" w:lineRule="auto"/>
        <w:rPr>
          <w:sz w:val="20"/>
          <w:szCs w:val="20"/>
          <w:color w:val="auto"/>
        </w:rPr>
      </w:pPr>
      <w:r>
        <w:rPr>
          <w:rFonts w:ascii="Arial" w:cs="Arial" w:eastAsia="Arial" w:hAnsi="Arial"/>
          <w:sz w:val="14"/>
          <w:szCs w:val="14"/>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$250.0 million or (ii) our annual revenue is less than $100.0 million during the most recently</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completed fiscal year and the market value of our stock held by non-affiliates is less than</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$700.0 million. If we are a smaller reporting company at the time we cease to be an emerging</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growth company, we may continue to rely on exemptions from certain disclosure requirements</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that are available to smaller reporting companies. Specifically, as a smaller reporting company we</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may choose to present only the two most recent fiscal years of audited financial statements in our</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Annual Report on Form 10-K and, similar to emerging growth companies, smaller reporting</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companies have reduced disclosure obligations regarding executive compensation.</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69" w:name="page70"/>
    <w:bookmarkEnd w:id="6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right="1619"/>
        <w:spacing w:after="0" w:line="265" w:lineRule="auto"/>
        <w:rPr>
          <w:sz w:val="20"/>
          <w:szCs w:val="20"/>
          <w:color w:val="auto"/>
        </w:rPr>
      </w:pPr>
      <w:r>
        <w:rPr>
          <w:rFonts w:ascii="Arial" w:cs="Arial" w:eastAsia="Arial" w:hAnsi="Arial"/>
          <w:sz w:val="14"/>
          <w:szCs w:val="14"/>
          <w:b w:val="1"/>
          <w:bCs w:val="1"/>
          <w:i w:val="1"/>
          <w:iCs w:val="1"/>
          <w:color w:val="auto"/>
        </w:rPr>
        <w:t>We will incur increased costs as a result of operating as a public company, and our management will be required to devote substantial time to new compliance initiatives.</w:t>
      </w:r>
    </w:p>
    <w:p>
      <w:pPr>
        <w:spacing w:after="0" w:line="81" w:lineRule="exact"/>
        <w:rPr>
          <w:sz w:val="20"/>
          <w:szCs w:val="20"/>
          <w:color w:val="auto"/>
        </w:rPr>
      </w:pPr>
    </w:p>
    <w:p>
      <w:pPr>
        <w:ind w:left="1220" w:right="1259"/>
        <w:spacing w:after="0" w:line="243" w:lineRule="auto"/>
        <w:rPr>
          <w:sz w:val="20"/>
          <w:szCs w:val="20"/>
          <w:color w:val="auto"/>
        </w:rPr>
      </w:pPr>
      <w:r>
        <w:rPr>
          <w:rFonts w:ascii="Arial" w:cs="Arial" w:eastAsia="Arial" w:hAnsi="Arial"/>
          <w:sz w:val="14"/>
          <w:szCs w:val="14"/>
          <w:color w:val="auto"/>
        </w:rPr>
        <w:t>As a public company, and particularly after we are no longer an emerging growth company or smaller reporting company, we will incur significant legal, accounting, and other expenses that we did not incur as a private company. In addition, the Sarbanes-Oxley Act and rules subsequently implemented by the Securities and Exchange Commission, or the SEC, The Nasdaq Stock Market LLC, or Nasdaq, the Dutch Civil Code, and the Dutch Corporate Governance Code impose various requirements on public companies, including establishment and maintenance of effective disclosure and financial controls and corporate governance practices. Our management and other personnel will need to devote a substantial amount of time to comply with these requirements. Moreover, these rules and regulations will increase our legal and financial compliance costs and will make some activities more time-consuming and costly.</w:t>
      </w:r>
    </w:p>
    <w:p>
      <w:pPr>
        <w:spacing w:after="0" w:line="270" w:lineRule="exact"/>
        <w:rPr>
          <w:sz w:val="20"/>
          <w:szCs w:val="20"/>
          <w:color w:val="auto"/>
        </w:rPr>
      </w:pPr>
    </w:p>
    <w:p>
      <w:pPr>
        <w:ind w:left="1220" w:right="1279"/>
        <w:spacing w:after="0" w:line="242" w:lineRule="auto"/>
        <w:rPr>
          <w:sz w:val="20"/>
          <w:szCs w:val="20"/>
          <w:color w:val="auto"/>
        </w:rPr>
      </w:pPr>
      <w:r>
        <w:rPr>
          <w:rFonts w:ascii="Arial" w:cs="Arial" w:eastAsia="Arial" w:hAnsi="Arial"/>
          <w:sz w:val="14"/>
          <w:szCs w:val="14"/>
          <w:color w:val="auto"/>
        </w:rPr>
        <w:t>Pursuant to Section 404 of the Sarbanes -Oxley Act,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or a smaller reporting company with less than $100 million in annual revenue, we will not be required to include an attestation report on internal control over financial reporting issued by our independent registered public accounting firm. We could be an emerging growth company for up to five years. To achieve compliance with Section 404 of the Sarbanes-Oxley Act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of the Sarbanes-Oxley Act. This could result in an adverse reaction in the financial markets due to a loss of confidence in the reliability of our financial statements.</w:t>
      </w:r>
    </w:p>
    <w:p>
      <w:pPr>
        <w:spacing w:after="0" w:line="299" w:lineRule="exact"/>
        <w:rPr>
          <w:sz w:val="20"/>
          <w:szCs w:val="20"/>
          <w:color w:val="auto"/>
        </w:rPr>
      </w:pPr>
    </w:p>
    <w:p>
      <w:pPr>
        <w:jc w:val="both"/>
        <w:ind w:left="1220" w:right="1279"/>
        <w:spacing w:after="0" w:line="265" w:lineRule="auto"/>
        <w:rPr>
          <w:sz w:val="20"/>
          <w:szCs w:val="20"/>
          <w:color w:val="auto"/>
        </w:rPr>
      </w:pPr>
      <w:r>
        <w:rPr>
          <w:rFonts w:ascii="Arial" w:cs="Arial" w:eastAsia="Arial" w:hAnsi="Arial"/>
          <w:sz w:val="14"/>
          <w:szCs w:val="14"/>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92" w:lineRule="exact"/>
        <w:rPr>
          <w:sz w:val="20"/>
          <w:szCs w:val="20"/>
          <w:color w:val="auto"/>
        </w:rPr>
      </w:pPr>
    </w:p>
    <w:p>
      <w:pPr>
        <w:ind w:left="1220" w:right="1279"/>
        <w:spacing w:after="0" w:line="243" w:lineRule="auto"/>
        <w:rPr>
          <w:sz w:val="20"/>
          <w:szCs w:val="20"/>
          <w:color w:val="auto"/>
        </w:rPr>
      </w:pPr>
      <w:r>
        <w:rPr>
          <w:rFonts w:ascii="Arial" w:cs="Arial" w:eastAsia="Arial" w:hAnsi="Arial"/>
          <w:sz w:val="14"/>
          <w:szCs w:val="14"/>
          <w:color w:val="auto"/>
        </w:rPr>
        <w:t>The trading market for our common stock will depend in part on the research and reports that securities or industry analysts publish about us, our business, our market, or our competitors. We do not currently have and may never obtain research coverage by securities and industry analysts. If no securities or industry analysts commence coverage of our company, the trading price for our stock would be negatively impacted. In the event we obtain securities or industry analyst coverage,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298" w:lineRule="exact"/>
        <w:rPr>
          <w:sz w:val="20"/>
          <w:szCs w:val="20"/>
          <w:color w:val="auto"/>
        </w:rPr>
      </w:pPr>
    </w:p>
    <w:p>
      <w:pPr>
        <w:ind w:left="1220" w:right="1379"/>
        <w:spacing w:after="0" w:line="245" w:lineRule="auto"/>
        <w:rPr>
          <w:sz w:val="20"/>
          <w:szCs w:val="20"/>
          <w:color w:val="auto"/>
        </w:rPr>
      </w:pPr>
      <w:r>
        <w:rPr>
          <w:rFonts w:ascii="Arial" w:cs="Arial" w:eastAsia="Arial" w:hAnsi="Arial"/>
          <w:sz w:val="14"/>
          <w:szCs w:val="14"/>
          <w:b w:val="1"/>
          <w:bCs w:val="1"/>
          <w:i w:val="1"/>
          <w:iCs w:val="1"/>
          <w:color w:val="auto"/>
        </w:rPr>
        <w:t>Provisions in our corporate charter documents and under Delaware law could discourage another company from acquiring us and may prevent attempts by our stockholders to replace or remove our current management.</w:t>
      </w:r>
    </w:p>
    <w:p>
      <w:pPr>
        <w:spacing w:after="0" w:line="95" w:lineRule="exact"/>
        <w:rPr>
          <w:sz w:val="20"/>
          <w:szCs w:val="20"/>
          <w:color w:val="auto"/>
        </w:rPr>
      </w:pPr>
    </w:p>
    <w:p>
      <w:pPr>
        <w:ind w:left="1220" w:right="1279"/>
        <w:spacing w:after="0" w:line="242" w:lineRule="auto"/>
        <w:rPr>
          <w:sz w:val="20"/>
          <w:szCs w:val="20"/>
          <w:color w:val="auto"/>
        </w:rPr>
      </w:pPr>
      <w:r>
        <w:rPr>
          <w:rFonts w:ascii="Arial" w:cs="Arial" w:eastAsia="Arial" w:hAnsi="Arial"/>
          <w:sz w:val="14"/>
          <w:szCs w:val="14"/>
          <w:color w:val="auto"/>
        </w:rPr>
        <w:t>Provisions in our second amended and restated certificate of incorporation and our amended and restated bylaws to be in effect immediately prior to the closing of this offering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243" w:lineRule="exact"/>
        <w:rPr>
          <w:sz w:val="20"/>
          <w:szCs w:val="20"/>
          <w:color w:val="auto"/>
        </w:rPr>
      </w:pPr>
    </w:p>
    <w:p>
      <w:pPr>
        <w:ind w:left="1340" w:right="1279" w:hanging="116"/>
        <w:spacing w:after="0" w:line="278" w:lineRule="auto"/>
        <w:tabs>
          <w:tab w:leader="none" w:pos="1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0" w:name="page71"/>
    <w:bookmarkEnd w:id="7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259" w:hanging="116"/>
        <w:spacing w:after="0" w:line="281"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our board of directors is divided into three classes, Class I, Class II, and Class III, with each class serving staggered three-year terms, which may delay the ability of stockholders to change the membership of a majority of our board of directors;</w:t>
      </w:r>
    </w:p>
    <w:p>
      <w:pPr>
        <w:spacing w:after="0" w:line="71" w:lineRule="exact"/>
        <w:rPr>
          <w:rFonts w:ascii="Arial" w:cs="Arial" w:eastAsia="Arial" w:hAnsi="Arial"/>
          <w:sz w:val="14"/>
          <w:szCs w:val="14"/>
          <w:color w:val="auto"/>
        </w:rPr>
      </w:pPr>
    </w:p>
    <w:p>
      <w:pPr>
        <w:ind w:left="1340" w:right="1319" w:hanging="116"/>
        <w:spacing w:after="0" w:line="290"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our stockholders may not act by written consent, which forces stockholder action to be taken at an annual or special meeting of our stockholders;</w:t>
      </w:r>
    </w:p>
    <w:p>
      <w:pPr>
        <w:spacing w:after="0" w:line="64" w:lineRule="exact"/>
        <w:rPr>
          <w:rFonts w:ascii="Arial" w:cs="Arial" w:eastAsia="Arial" w:hAnsi="Arial"/>
          <w:sz w:val="14"/>
          <w:szCs w:val="14"/>
          <w:color w:val="auto"/>
        </w:rPr>
      </w:pPr>
    </w:p>
    <w:p>
      <w:pPr>
        <w:jc w:val="both"/>
        <w:ind w:left="1340" w:right="1299" w:hanging="116"/>
        <w:spacing w:after="0" w:line="278"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 special meeting of stockholders may be called only by the chair of our board of directors, our chief executive officer (or president, in the absence of a chief executive officer), or a majority of our board of directors, which may delay the ability of our stockholders to force consideration of a proposal or to take action, including the removal of directors;</w:t>
      </w:r>
    </w:p>
    <w:p>
      <w:pPr>
        <w:spacing w:after="0" w:line="74" w:lineRule="exact"/>
        <w:rPr>
          <w:rFonts w:ascii="Arial" w:cs="Arial" w:eastAsia="Arial" w:hAnsi="Arial"/>
          <w:sz w:val="14"/>
          <w:szCs w:val="14"/>
          <w:color w:val="auto"/>
        </w:rPr>
      </w:pPr>
    </w:p>
    <w:p>
      <w:pPr>
        <w:ind w:left="1340" w:right="1259" w:hanging="116"/>
        <w:spacing w:after="0" w:line="290"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our second amended and restated certificate of incorporation prohibits cumulative voting in the election of directors, which limits the ability of minority stockholders to elect director candidates;</w:t>
      </w:r>
    </w:p>
    <w:p>
      <w:pPr>
        <w:spacing w:after="0" w:line="64" w:lineRule="exact"/>
        <w:rPr>
          <w:rFonts w:ascii="Arial" w:cs="Arial" w:eastAsia="Arial" w:hAnsi="Arial"/>
          <w:sz w:val="14"/>
          <w:szCs w:val="14"/>
          <w:color w:val="auto"/>
        </w:rPr>
      </w:pPr>
    </w:p>
    <w:p>
      <w:pPr>
        <w:ind w:left="1340" w:right="1319" w:hanging="116"/>
        <w:spacing w:after="0" w:line="290"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our board of directors may alter certain provisions of our amended and restated bylaws without obtaining stockholder approval;</w:t>
      </w:r>
    </w:p>
    <w:p>
      <w:pPr>
        <w:spacing w:after="0" w:line="64" w:lineRule="exact"/>
        <w:rPr>
          <w:rFonts w:ascii="Arial" w:cs="Arial" w:eastAsia="Arial" w:hAnsi="Arial"/>
          <w:sz w:val="14"/>
          <w:szCs w:val="14"/>
          <w:color w:val="auto"/>
        </w:rPr>
      </w:pPr>
    </w:p>
    <w:p>
      <w:pPr>
        <w:ind w:left="1340" w:right="1339" w:hanging="116"/>
        <w:spacing w:after="0" w:line="278"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approval of the holders of at least two-thirds of our shares entitled to vote at an election of our board of directors is required to adopt, amend, or repeal our amended and restated bylaws or repeal the provisions of our second amended and restated certificate of incorporation regarding the election and removal of directors;</w:t>
      </w:r>
    </w:p>
    <w:p>
      <w:pPr>
        <w:spacing w:after="0" w:line="74" w:lineRule="exact"/>
        <w:rPr>
          <w:rFonts w:ascii="Arial" w:cs="Arial" w:eastAsia="Arial" w:hAnsi="Arial"/>
          <w:sz w:val="14"/>
          <w:szCs w:val="14"/>
          <w:color w:val="auto"/>
        </w:rPr>
      </w:pPr>
    </w:p>
    <w:p>
      <w:pPr>
        <w:ind w:left="1340" w:right="1259" w:hanging="116"/>
        <w:spacing w:after="0" w:line="277"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stockholders must provide advance notice and additional disclosures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shares; and</w:t>
      </w:r>
    </w:p>
    <w:p>
      <w:pPr>
        <w:spacing w:after="0" w:line="85" w:lineRule="exact"/>
        <w:rPr>
          <w:rFonts w:ascii="Arial" w:cs="Arial" w:eastAsia="Arial" w:hAnsi="Arial"/>
          <w:sz w:val="14"/>
          <w:szCs w:val="14"/>
          <w:color w:val="auto"/>
        </w:rPr>
      </w:pPr>
    </w:p>
    <w:p>
      <w:pPr>
        <w:ind w:left="1340" w:right="1479" w:hanging="116"/>
        <w:spacing w:after="0" w:line="281" w:lineRule="auto"/>
        <w:tabs>
          <w:tab w:leader="none" w:pos="1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82" w:lineRule="exact"/>
        <w:rPr>
          <w:sz w:val="20"/>
          <w:szCs w:val="20"/>
          <w:color w:val="auto"/>
        </w:rPr>
      </w:pPr>
    </w:p>
    <w:p>
      <w:pPr>
        <w:ind w:left="1220" w:right="1239"/>
        <w:spacing w:after="0" w:line="244"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9" w:lineRule="exact"/>
        <w:rPr>
          <w:sz w:val="20"/>
          <w:szCs w:val="20"/>
          <w:color w:val="auto"/>
        </w:rPr>
      </w:pPr>
    </w:p>
    <w:p>
      <w:pPr>
        <w:ind w:left="1220" w:right="1259"/>
        <w:spacing w:after="0" w:line="239" w:lineRule="auto"/>
        <w:rPr>
          <w:sz w:val="20"/>
          <w:szCs w:val="20"/>
          <w:color w:val="auto"/>
        </w:rPr>
      </w:pPr>
      <w:r>
        <w:rPr>
          <w:rFonts w:ascii="Arial" w:cs="Arial" w:eastAsia="Arial" w:hAnsi="Arial"/>
          <w:sz w:val="14"/>
          <w:szCs w:val="14"/>
          <w:b w:val="1"/>
          <w:bCs w:val="1"/>
          <w:i w:val="1"/>
          <w:iCs w:val="1"/>
          <w:color w:val="auto"/>
        </w:rPr>
        <w:t>Our second amended and restated certificate of incorporation will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08" w:lineRule="exact"/>
        <w:rPr>
          <w:sz w:val="20"/>
          <w:szCs w:val="20"/>
          <w:color w:val="auto"/>
        </w:rPr>
      </w:pPr>
    </w:p>
    <w:p>
      <w:pPr>
        <w:ind w:left="1220" w:right="1299"/>
        <w:spacing w:after="0" w:line="242" w:lineRule="auto"/>
        <w:rPr>
          <w:sz w:val="20"/>
          <w:szCs w:val="20"/>
          <w:color w:val="auto"/>
        </w:rPr>
      </w:pPr>
      <w:r>
        <w:rPr>
          <w:rFonts w:ascii="Arial" w:cs="Arial" w:eastAsia="Arial" w:hAnsi="Arial"/>
          <w:sz w:val="14"/>
          <w:szCs w:val="14"/>
          <w:color w:val="auto"/>
        </w:rPr>
        <w:t>Our second amended and restated certificate of incorporation will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Exchange Act of 1934, as amended, or the Exchange Act.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1" w:name="page72"/>
    <w:bookmarkEnd w:id="7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39"/>
        <w:spacing w:after="0" w:line="249" w:lineRule="auto"/>
        <w:rPr>
          <w:sz w:val="20"/>
          <w:szCs w:val="20"/>
          <w:color w:val="auto"/>
        </w:rPr>
      </w:pPr>
      <w:r>
        <w:rPr>
          <w:rFonts w:ascii="Arial" w:cs="Arial" w:eastAsia="Arial" w:hAnsi="Arial"/>
          <w:sz w:val="14"/>
          <w:szCs w:val="14"/>
          <w:color w:val="auto"/>
        </w:rPr>
        <w:t>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We could be subject to securities class action litigation.</w:t>
      </w:r>
    </w:p>
    <w:p>
      <w:pPr>
        <w:spacing w:after="0" w:line="125" w:lineRule="exact"/>
        <w:rPr>
          <w:sz w:val="20"/>
          <w:szCs w:val="20"/>
          <w:color w:val="auto"/>
        </w:rPr>
      </w:pPr>
    </w:p>
    <w:p>
      <w:pPr>
        <w:ind w:left="1220" w:right="1359"/>
        <w:spacing w:after="0" w:line="245" w:lineRule="auto"/>
        <w:rPr>
          <w:sz w:val="20"/>
          <w:szCs w:val="20"/>
          <w:color w:val="auto"/>
        </w:rPr>
      </w:pPr>
      <w:r>
        <w:rPr>
          <w:rFonts w:ascii="Arial" w:cs="Arial" w:eastAsia="Arial" w:hAnsi="Arial"/>
          <w:sz w:val="14"/>
          <w:szCs w:val="14"/>
          <w:color w:val="auto"/>
        </w:rPr>
        <w:t>In the past, securities class action litigation has often been brought against a company following a decline in the market price of its securities. This risk is especially relevant for us because biopharmaceutical and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2" w:name="page73"/>
    <w:bookmarkEnd w:id="7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Special note regarding forward-looking statements</w:t>
      </w:r>
    </w:p>
    <w:p>
      <w:pPr>
        <w:spacing w:after="0" w:line="133"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This prospectus contains forward-looking statements concerning our business, operations and financial performance,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These forward-looking statements include, but are not limited to, statements about:</w:t>
      </w:r>
    </w:p>
    <w:p>
      <w:pPr>
        <w:spacing w:after="0" w:line="260" w:lineRule="exact"/>
        <w:rPr>
          <w:sz w:val="20"/>
          <w:szCs w:val="20"/>
          <w:color w:val="auto"/>
        </w:rPr>
      </w:pPr>
    </w:p>
    <w:p>
      <w:pPr>
        <w:ind w:left="1340" w:right="1279" w:hanging="116"/>
        <w:spacing w:after="0" w:line="290"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our ability to raise additional capital to fund our operations and continue the development of our current and future product candidates;</w:t>
      </w:r>
    </w:p>
    <w:p>
      <w:pPr>
        <w:spacing w:after="0" w:line="64" w:lineRule="exact"/>
        <w:rPr>
          <w:rFonts w:ascii="Arial" w:cs="Arial" w:eastAsia="Arial" w:hAnsi="Arial"/>
          <w:sz w:val="14"/>
          <w:szCs w:val="14"/>
          <w:color w:val="auto"/>
        </w:rPr>
      </w:pPr>
    </w:p>
    <w:p>
      <w:pPr>
        <w:ind w:left="1340" w:right="1339" w:hanging="116"/>
        <w:spacing w:after="0" w:line="290"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preclinical nature of our business and our ability to successfully advance our current and future product candidates through development activities, preclinical studies, and clinical trials;</w:t>
      </w:r>
    </w:p>
    <w:p>
      <w:pPr>
        <w:spacing w:after="0" w:line="64" w:lineRule="exact"/>
        <w:rPr>
          <w:rFonts w:ascii="Arial" w:cs="Arial" w:eastAsia="Arial" w:hAnsi="Arial"/>
          <w:sz w:val="14"/>
          <w:szCs w:val="14"/>
          <w:color w:val="auto"/>
        </w:rPr>
      </w:pPr>
    </w:p>
    <w:p>
      <w:pPr>
        <w:ind w:left="1340" w:right="1259" w:hanging="116"/>
        <w:spacing w:after="0" w:line="290"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our ability to generate revenue from future product sales and our ability to achieve and maintain profitability;</w:t>
      </w:r>
    </w:p>
    <w:p>
      <w:pPr>
        <w:spacing w:after="0" w:line="64" w:lineRule="exact"/>
        <w:rPr>
          <w:rFonts w:ascii="Arial" w:cs="Arial" w:eastAsia="Arial" w:hAnsi="Arial"/>
          <w:sz w:val="14"/>
          <w:szCs w:val="14"/>
          <w:color w:val="auto"/>
        </w:rPr>
      </w:pPr>
    </w:p>
    <w:p>
      <w:pPr>
        <w:ind w:left="1340" w:right="1499" w:hanging="116"/>
        <w:spacing w:after="0" w:line="290"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accuracy of our projections and estimates regarding our expenses, capital requirements, cash utilization, and need for additional financing;</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expected uses of the net proceeds from this offering;</w:t>
      </w:r>
    </w:p>
    <w:p>
      <w:pPr>
        <w:spacing w:after="0" w:line="108" w:lineRule="exact"/>
        <w:rPr>
          <w:rFonts w:ascii="Arial" w:cs="Arial" w:eastAsia="Arial" w:hAnsi="Arial"/>
          <w:sz w:val="14"/>
          <w:szCs w:val="14"/>
          <w:color w:val="auto"/>
        </w:rPr>
      </w:pPr>
    </w:p>
    <w:p>
      <w:pPr>
        <w:ind w:left="1340" w:right="1359" w:hanging="116"/>
        <w:spacing w:after="0" w:line="295"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extent to which the COVID-19 pandemic and measures taken to contain its spread ultimately impact our business, including development activities, preclinical studies, and future clinical trials;</w:t>
      </w:r>
    </w:p>
    <w:p>
      <w:pPr>
        <w:spacing w:after="0" w:line="240" w:lineRule="exact"/>
        <w:rPr>
          <w:rFonts w:ascii="Arial" w:cs="Arial" w:eastAsia="Arial" w:hAnsi="Arial"/>
          <w:sz w:val="14"/>
          <w:szCs w:val="14"/>
          <w:color w:val="auto"/>
        </w:rPr>
      </w:pPr>
    </w:p>
    <w:p>
      <w:pPr>
        <w:ind w:left="1340" w:right="1339" w:hanging="116"/>
        <w:spacing w:after="0" w:line="290"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our dependence on the success of our product candidates, in particular CNTY-101, CNTY-103, and CNTY-102;</w:t>
      </w:r>
    </w:p>
    <w:p>
      <w:pPr>
        <w:spacing w:after="0" w:line="64" w:lineRule="exact"/>
        <w:rPr>
          <w:rFonts w:ascii="Arial" w:cs="Arial" w:eastAsia="Arial" w:hAnsi="Arial"/>
          <w:sz w:val="14"/>
          <w:szCs w:val="14"/>
          <w:color w:val="auto"/>
        </w:rPr>
      </w:pPr>
    </w:p>
    <w:p>
      <w:pPr>
        <w:ind w:left="1340" w:right="1559" w:hanging="116"/>
        <w:spacing w:after="0" w:line="290"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novelty of our approach to immuno-oncology treatment of cancer, utilizing CAR-iNK and CAR-iT cells, and the challenges we will face due to the novel nature of such technology;</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success of competing therapies that are or become available;</w:t>
      </w:r>
    </w:p>
    <w:p>
      <w:pPr>
        <w:spacing w:after="0" w:line="108" w:lineRule="exact"/>
        <w:rPr>
          <w:rFonts w:ascii="Arial" w:cs="Arial" w:eastAsia="Arial" w:hAnsi="Arial"/>
          <w:sz w:val="14"/>
          <w:szCs w:val="14"/>
          <w:color w:val="auto"/>
        </w:rPr>
      </w:pPr>
    </w:p>
    <w:p>
      <w:pPr>
        <w:jc w:val="both"/>
        <w:ind w:left="1340" w:right="1479" w:hanging="116"/>
        <w:spacing w:after="0" w:line="281"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our reliance on the maintenance of our collaborative relationship with FCDI for access to key differentiation and reprogramming technology for the manufacturing and development of our product candidates;</w:t>
      </w:r>
    </w:p>
    <w:p>
      <w:pPr>
        <w:spacing w:after="0" w:line="71" w:lineRule="exact"/>
        <w:rPr>
          <w:rFonts w:ascii="Arial" w:cs="Arial" w:eastAsia="Arial" w:hAnsi="Arial"/>
          <w:sz w:val="14"/>
          <w:szCs w:val="14"/>
          <w:color w:val="auto"/>
        </w:rPr>
      </w:pPr>
    </w:p>
    <w:p>
      <w:pPr>
        <w:ind w:left="1340" w:right="1679" w:hanging="116"/>
        <w:spacing w:after="0" w:line="290"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initiation, progress, success, cost, and timing of our development activities, preclinical studies and future clinical trials;</w:t>
      </w:r>
    </w:p>
    <w:p>
      <w:pPr>
        <w:spacing w:after="0" w:line="64" w:lineRule="exact"/>
        <w:rPr>
          <w:rFonts w:ascii="Arial" w:cs="Arial" w:eastAsia="Arial" w:hAnsi="Arial"/>
          <w:sz w:val="14"/>
          <w:szCs w:val="14"/>
          <w:color w:val="auto"/>
        </w:rPr>
      </w:pPr>
    </w:p>
    <w:p>
      <w:pPr>
        <w:ind w:left="1340" w:right="1659" w:hanging="116"/>
        <w:spacing w:after="0" w:line="290"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timing of our future IND applications and the likelihood of, and our ability to obtain and maintain, regulatory clearance of such IND applications for our product candidates;</w:t>
      </w:r>
    </w:p>
    <w:p>
      <w:pPr>
        <w:spacing w:after="0" w:line="64" w:lineRule="exact"/>
        <w:rPr>
          <w:rFonts w:ascii="Arial" w:cs="Arial" w:eastAsia="Arial" w:hAnsi="Arial"/>
          <w:sz w:val="14"/>
          <w:szCs w:val="14"/>
          <w:color w:val="auto"/>
        </w:rPr>
      </w:pPr>
    </w:p>
    <w:p>
      <w:pPr>
        <w:ind w:left="1340" w:right="1519" w:hanging="116"/>
        <w:spacing w:after="0" w:line="290"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timing, scope and likelihood of regulatory filings and approvals, including final regulatory approval of our product candidates;</w:t>
      </w:r>
    </w:p>
    <w:p>
      <w:pPr>
        <w:spacing w:after="0" w:line="64" w:lineRule="exact"/>
        <w:rPr>
          <w:rFonts w:ascii="Arial" w:cs="Arial" w:eastAsia="Arial" w:hAnsi="Arial"/>
          <w:sz w:val="14"/>
          <w:szCs w:val="14"/>
          <w:color w:val="auto"/>
        </w:rPr>
      </w:pPr>
    </w:p>
    <w:p>
      <w:pPr>
        <w:ind w:left="1340" w:right="1459" w:hanging="116"/>
        <w:spacing w:after="0" w:line="281"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our reliance on FCDI to be the exclusive manufacturer of certain product candidates, and our ability to manufacture our own product candidates in the future, and the timing and costs of such manufacturing activities;</w:t>
      </w:r>
    </w:p>
    <w:p>
      <w:pPr>
        <w:spacing w:after="0" w:line="71" w:lineRule="exact"/>
        <w:rPr>
          <w:rFonts w:ascii="Arial" w:cs="Arial" w:eastAsia="Arial" w:hAnsi="Arial"/>
          <w:sz w:val="14"/>
          <w:szCs w:val="14"/>
          <w:color w:val="auto"/>
        </w:rPr>
      </w:pPr>
    </w:p>
    <w:p>
      <w:pPr>
        <w:ind w:left="1340" w:right="1359" w:hanging="116"/>
        <w:spacing w:after="0" w:line="281"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performance of third parties in connection with the development of our product candidates, including third parties conducting our future clinical trials as well as third-party suppliers and manufacturers;</w:t>
      </w:r>
    </w:p>
    <w:p>
      <w:pPr>
        <w:spacing w:after="0" w:line="71" w:lineRule="exact"/>
        <w:rPr>
          <w:rFonts w:ascii="Arial" w:cs="Arial" w:eastAsia="Arial" w:hAnsi="Arial"/>
          <w:sz w:val="14"/>
          <w:szCs w:val="14"/>
          <w:color w:val="auto"/>
        </w:rPr>
      </w:pPr>
    </w:p>
    <w:p>
      <w:pPr>
        <w:ind w:left="1340" w:right="1819" w:hanging="116"/>
        <w:spacing w:after="0" w:line="290"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our ability to attract and retain strategic collaborators with development, regulatory, and commercialization expertise;</w:t>
      </w:r>
    </w:p>
    <w:p>
      <w:pPr>
        <w:spacing w:after="0" w:line="64" w:lineRule="exact"/>
        <w:rPr>
          <w:rFonts w:ascii="Arial" w:cs="Arial" w:eastAsia="Arial" w:hAnsi="Arial"/>
          <w:sz w:val="14"/>
          <w:szCs w:val="14"/>
          <w:color w:val="auto"/>
        </w:rPr>
      </w:pPr>
    </w:p>
    <w:p>
      <w:pPr>
        <w:ind w:left="1340" w:right="1259" w:hanging="116"/>
        <w:spacing w:after="0" w:line="290"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public opinion and scrutiny of cell-based immuno-oncology therapies for treating cancer and its potential impact on public perception of our company and product candidates;</w:t>
      </w:r>
    </w:p>
    <w:p>
      <w:pPr>
        <w:spacing w:after="0" w:line="64" w:lineRule="exact"/>
        <w:rPr>
          <w:rFonts w:ascii="Arial" w:cs="Arial" w:eastAsia="Arial" w:hAnsi="Arial"/>
          <w:sz w:val="14"/>
          <w:szCs w:val="14"/>
          <w:color w:val="auto"/>
        </w:rPr>
      </w:pPr>
    </w:p>
    <w:p>
      <w:pPr>
        <w:ind w:left="1340" w:right="1839" w:hanging="116"/>
        <w:spacing w:after="0" w:line="290" w:lineRule="auto"/>
        <w:tabs>
          <w:tab w:leader="none" w:pos="1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our ability to successfully commercialize our product candidates and develop sales and marketing capabilities, if our product candidates are approved;</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3" w:name="page74"/>
    <w:bookmarkEnd w:id="7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359" w:hanging="116"/>
        <w:spacing w:after="0" w:line="290" w:lineRule="auto"/>
        <w:tabs>
          <w:tab w:leader="none" w:pos="1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size and growth of the potential markets for our product candidates and our ability to serve those markets;</w:t>
      </w:r>
    </w:p>
    <w:p>
      <w:pPr>
        <w:spacing w:after="0" w:line="64" w:lineRule="exact"/>
        <w:rPr>
          <w:rFonts w:ascii="Arial" w:cs="Arial" w:eastAsia="Arial" w:hAnsi="Arial"/>
          <w:sz w:val="14"/>
          <w:szCs w:val="14"/>
          <w:color w:val="auto"/>
        </w:rPr>
      </w:pPr>
    </w:p>
    <w:p>
      <w:pPr>
        <w:ind w:left="1340" w:right="1379" w:hanging="116"/>
        <w:spacing w:after="0" w:line="290" w:lineRule="auto"/>
        <w:tabs>
          <w:tab w:leader="none" w:pos="1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regulatory developments and approval pathways in the United States and foreign countries for our product candidates;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potential scope and value of our intellectual property and proprietary rights;</w:t>
      </w:r>
    </w:p>
    <w:p>
      <w:pPr>
        <w:spacing w:after="0" w:line="108" w:lineRule="exact"/>
        <w:rPr>
          <w:rFonts w:ascii="Arial" w:cs="Arial" w:eastAsia="Arial" w:hAnsi="Arial"/>
          <w:sz w:val="14"/>
          <w:szCs w:val="14"/>
          <w:color w:val="auto"/>
        </w:rPr>
      </w:pPr>
    </w:p>
    <w:p>
      <w:pPr>
        <w:ind w:left="1340" w:right="1279" w:hanging="116"/>
        <w:spacing w:after="0" w:line="278" w:lineRule="auto"/>
        <w:tabs>
          <w:tab w:leader="none" w:pos="1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74" w:lineRule="exact"/>
        <w:rPr>
          <w:rFonts w:ascii="Arial" w:cs="Arial" w:eastAsia="Arial" w:hAnsi="Arial"/>
          <w:sz w:val="14"/>
          <w:szCs w:val="14"/>
          <w:color w:val="auto"/>
        </w:rPr>
      </w:pPr>
    </w:p>
    <w:p>
      <w:pPr>
        <w:ind w:left="1340" w:right="1519" w:hanging="116"/>
        <w:spacing w:after="0" w:line="290" w:lineRule="auto"/>
        <w:tabs>
          <w:tab w:leader="none" w:pos="1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our ability to recruit and retain key members of management and other clinical and scientific personnel;</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developments relating to our competitors and our industry; and</w:t>
      </w:r>
    </w:p>
    <w:p>
      <w:pPr>
        <w:spacing w:after="0" w:line="108" w:lineRule="exact"/>
        <w:rPr>
          <w:rFonts w:ascii="Arial" w:cs="Arial" w:eastAsia="Arial" w:hAnsi="Arial"/>
          <w:sz w:val="14"/>
          <w:szCs w:val="14"/>
          <w:color w:val="auto"/>
        </w:rPr>
      </w:pPr>
    </w:p>
    <w:p>
      <w:pPr>
        <w:ind w:left="1340" w:right="1339" w:hanging="116"/>
        <w:spacing w:after="0" w:line="290" w:lineRule="auto"/>
        <w:tabs>
          <w:tab w:leader="none" w:pos="1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other risks and uncertainties, including those described or incorporated by reference under the caption “Risk factors” in this prospectus.</w:t>
      </w:r>
    </w:p>
    <w:p>
      <w:pPr>
        <w:spacing w:after="0" w:line="86"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and elsewhere in this prospectus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297" w:lineRule="exact"/>
        <w:rPr>
          <w:sz w:val="20"/>
          <w:szCs w:val="20"/>
          <w:color w:val="auto"/>
        </w:rPr>
      </w:pPr>
    </w:p>
    <w:p>
      <w:pPr>
        <w:ind w:left="1220" w:right="1279"/>
        <w:spacing w:after="0" w:line="280" w:lineRule="auto"/>
        <w:rPr>
          <w:sz w:val="20"/>
          <w:szCs w:val="20"/>
          <w:color w:val="auto"/>
        </w:rPr>
      </w:pPr>
      <w:r>
        <w:rPr>
          <w:rFonts w:ascii="Arial" w:cs="Arial" w:eastAsia="Arial" w:hAnsi="Arial"/>
          <w:sz w:val="14"/>
          <w:szCs w:val="14"/>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4" w:name="page75"/>
    <w:bookmarkEnd w:id="7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Market and industry data</w:t>
      </w:r>
    </w:p>
    <w:p>
      <w:pPr>
        <w:spacing w:after="0" w:line="133"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This prospectus contains estimates and other statistical data made by independent parties relating to our industry and the markets in which we operate, including estimates and statistical data about our market position, market opportunity, the incidence of certain medical conditions and other industry data. These data, to the extent they contain estimates or projections, involve a number of assumptions and limitations and are inherently imprecise, and you are cautioned not to give undue weight to such estimates or projections. Based on our industry experience, we believe that such data is reliable, the conclusions contained in the publications and reports are reasonable and the third-party information included in this prospectus and in our estimates is accurate and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5" w:name="page76"/>
    <w:bookmarkEnd w:id="7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Use of proceeds</w:t>
      </w:r>
    </w:p>
    <w:p>
      <w:pPr>
        <w:spacing w:after="0" w:line="133" w:lineRule="exact"/>
        <w:rPr>
          <w:sz w:val="20"/>
          <w:szCs w:val="20"/>
          <w:color w:val="auto"/>
        </w:rPr>
      </w:pPr>
    </w:p>
    <w:tbl>
      <w:tblPr>
        <w:tblLayout w:type="fixed"/>
        <w:tblInd w:w="1220" w:type="dxa"/>
        <w:tblCellMar>
          <w:top w:w="0" w:type="dxa"/>
          <w:left w:w="0" w:type="dxa"/>
          <w:bottom w:w="0" w:type="dxa"/>
          <w:right w:w="0" w:type="dxa"/>
        </w:tblCellMar>
      </w:tblPr>
      <w:tr>
        <w:trPr>
          <w:trHeight w:val="172"/>
        </w:trPr>
        <w:tc>
          <w:tcPr>
            <w:tcW w:w="5640" w:type="dxa"/>
            <w:vAlign w:val="bottom"/>
            <w:gridSpan w:val="3"/>
          </w:tcPr>
          <w:p>
            <w:pPr>
              <w:spacing w:after="0"/>
              <w:rPr>
                <w:sz w:val="20"/>
                <w:szCs w:val="20"/>
                <w:color w:val="auto"/>
              </w:rPr>
            </w:pPr>
            <w:r>
              <w:rPr>
                <w:rFonts w:ascii="Arial" w:cs="Arial" w:eastAsia="Arial" w:hAnsi="Arial"/>
                <w:sz w:val="14"/>
                <w:szCs w:val="14"/>
                <w:color w:val="auto"/>
              </w:rPr>
              <w:t>We estimate that the net proceeds to us from this offering will be approximately $</w:t>
            </w:r>
          </w:p>
        </w:tc>
        <w:tc>
          <w:tcPr>
            <w:tcW w:w="900" w:type="dxa"/>
            <w:vAlign w:val="bottom"/>
          </w:tcPr>
          <w:p>
            <w:pPr>
              <w:ind w:left="300"/>
              <w:spacing w:after="0"/>
              <w:rPr>
                <w:sz w:val="20"/>
                <w:szCs w:val="20"/>
                <w:color w:val="auto"/>
              </w:rPr>
            </w:pPr>
            <w:r>
              <w:rPr>
                <w:rFonts w:ascii="Arial" w:cs="Arial" w:eastAsia="Arial" w:hAnsi="Arial"/>
                <w:sz w:val="14"/>
                <w:szCs w:val="14"/>
                <w:color w:val="auto"/>
              </w:rPr>
              <w:t>million</w:t>
            </w:r>
          </w:p>
        </w:tc>
      </w:tr>
      <w:tr>
        <w:trPr>
          <w:trHeight w:val="183"/>
        </w:trPr>
        <w:tc>
          <w:tcPr>
            <w:tcW w:w="1720" w:type="dxa"/>
            <w:vAlign w:val="bottom"/>
            <w:gridSpan w:val="2"/>
          </w:tcPr>
          <w:p>
            <w:pPr>
              <w:spacing w:after="0"/>
              <w:rPr>
                <w:sz w:val="20"/>
                <w:szCs w:val="20"/>
                <w:color w:val="auto"/>
              </w:rPr>
            </w:pPr>
            <w:r>
              <w:rPr>
                <w:rFonts w:ascii="Arial" w:cs="Arial" w:eastAsia="Arial" w:hAnsi="Arial"/>
                <w:sz w:val="14"/>
                <w:szCs w:val="14"/>
                <w:color w:val="auto"/>
              </w:rPr>
              <w:t>(or approximately $</w:t>
            </w:r>
          </w:p>
        </w:tc>
        <w:tc>
          <w:tcPr>
            <w:tcW w:w="4820" w:type="dxa"/>
            <w:vAlign w:val="bottom"/>
            <w:gridSpan w:val="2"/>
          </w:tcPr>
          <w:p>
            <w:pPr>
              <w:ind w:left="40"/>
              <w:spacing w:after="0"/>
              <w:rPr>
                <w:sz w:val="20"/>
                <w:szCs w:val="20"/>
                <w:color w:val="auto"/>
              </w:rPr>
            </w:pPr>
            <w:r>
              <w:rPr>
                <w:rFonts w:ascii="Arial" w:cs="Arial" w:eastAsia="Arial" w:hAnsi="Arial"/>
                <w:sz w:val="14"/>
                <w:szCs w:val="14"/>
                <w:color w:val="auto"/>
              </w:rPr>
              <w:t>million if the underwriters exercise in full their option to purchase up</w:t>
            </w:r>
          </w:p>
        </w:tc>
      </w:tr>
      <w:tr>
        <w:trPr>
          <w:trHeight w:val="183"/>
        </w:trPr>
        <w:tc>
          <w:tcPr>
            <w:tcW w:w="820" w:type="dxa"/>
            <w:vAlign w:val="bottom"/>
          </w:tcPr>
          <w:p>
            <w:pPr>
              <w:spacing w:after="0"/>
              <w:rPr>
                <w:sz w:val="20"/>
                <w:szCs w:val="20"/>
                <w:color w:val="auto"/>
              </w:rPr>
            </w:pPr>
            <w:r>
              <w:rPr>
                <w:rFonts w:ascii="Arial" w:cs="Arial" w:eastAsia="Arial" w:hAnsi="Arial"/>
                <w:sz w:val="14"/>
                <w:szCs w:val="14"/>
                <w:color w:val="auto"/>
              </w:rPr>
              <w:t>to</w:t>
            </w:r>
          </w:p>
        </w:tc>
        <w:tc>
          <w:tcPr>
            <w:tcW w:w="5720" w:type="dxa"/>
            <w:vAlign w:val="bottom"/>
            <w:gridSpan w:val="3"/>
          </w:tcPr>
          <w:p>
            <w:pPr>
              <w:ind w:left="200"/>
              <w:spacing w:after="0"/>
              <w:rPr>
                <w:sz w:val="20"/>
                <w:szCs w:val="20"/>
                <w:color w:val="auto"/>
              </w:rPr>
            </w:pPr>
            <w:r>
              <w:rPr>
                <w:rFonts w:ascii="Arial" w:cs="Arial" w:eastAsia="Arial" w:hAnsi="Arial"/>
                <w:sz w:val="14"/>
                <w:szCs w:val="14"/>
                <w:color w:val="auto"/>
              </w:rPr>
              <w:t>additional shares of common stock), based on an assumed initial public offering</w:t>
            </w:r>
          </w:p>
        </w:tc>
      </w:tr>
      <w:tr>
        <w:trPr>
          <w:trHeight w:val="183"/>
        </w:trPr>
        <w:tc>
          <w:tcPr>
            <w:tcW w:w="820" w:type="dxa"/>
            <w:vAlign w:val="bottom"/>
          </w:tcPr>
          <w:p>
            <w:pPr>
              <w:spacing w:after="0"/>
              <w:rPr>
                <w:sz w:val="20"/>
                <w:szCs w:val="20"/>
                <w:color w:val="auto"/>
              </w:rPr>
            </w:pPr>
            <w:r>
              <w:rPr>
                <w:rFonts w:ascii="Arial" w:cs="Arial" w:eastAsia="Arial" w:hAnsi="Arial"/>
                <w:sz w:val="14"/>
                <w:szCs w:val="14"/>
                <w:color w:val="auto"/>
              </w:rPr>
              <w:t>price of $</w:t>
            </w:r>
          </w:p>
        </w:tc>
        <w:tc>
          <w:tcPr>
            <w:tcW w:w="5720" w:type="dxa"/>
            <w:vAlign w:val="bottom"/>
            <w:gridSpan w:val="3"/>
          </w:tcPr>
          <w:p>
            <w:pPr>
              <w:ind w:left="280"/>
              <w:spacing w:after="0"/>
              <w:rPr>
                <w:sz w:val="20"/>
                <w:szCs w:val="20"/>
                <w:color w:val="auto"/>
              </w:rPr>
            </w:pPr>
            <w:r>
              <w:rPr>
                <w:rFonts w:ascii="Arial" w:cs="Arial" w:eastAsia="Arial" w:hAnsi="Arial"/>
                <w:sz w:val="14"/>
                <w:szCs w:val="14"/>
                <w:color w:val="auto"/>
              </w:rPr>
              <w:t>per share, the midpoint of the price range set forth on the cover page of this</w:t>
            </w:r>
          </w:p>
        </w:tc>
      </w:tr>
      <w:tr>
        <w:trPr>
          <w:trHeight w:val="183"/>
        </w:trPr>
        <w:tc>
          <w:tcPr>
            <w:tcW w:w="6540" w:type="dxa"/>
            <w:vAlign w:val="bottom"/>
            <w:gridSpan w:val="4"/>
          </w:tcPr>
          <w:p>
            <w:pPr>
              <w:spacing w:after="0"/>
              <w:rPr>
                <w:sz w:val="20"/>
                <w:szCs w:val="20"/>
                <w:color w:val="auto"/>
              </w:rPr>
            </w:pPr>
            <w:r>
              <w:rPr>
                <w:rFonts w:ascii="Arial" w:cs="Arial" w:eastAsia="Arial" w:hAnsi="Arial"/>
                <w:sz w:val="14"/>
                <w:szCs w:val="14"/>
                <w:color w:val="auto"/>
              </w:rPr>
              <w:t>prospectus, after deducting underwriting discounts and commissions and estimated offering</w:t>
            </w:r>
          </w:p>
        </w:tc>
      </w:tr>
      <w:tr>
        <w:trPr>
          <w:trHeight w:val="183"/>
        </w:trPr>
        <w:tc>
          <w:tcPr>
            <w:tcW w:w="1720" w:type="dxa"/>
            <w:vAlign w:val="bottom"/>
            <w:gridSpan w:val="2"/>
          </w:tcPr>
          <w:p>
            <w:pPr>
              <w:spacing w:after="0"/>
              <w:rPr>
                <w:sz w:val="20"/>
                <w:szCs w:val="20"/>
                <w:color w:val="auto"/>
              </w:rPr>
            </w:pPr>
            <w:r>
              <w:rPr>
                <w:rFonts w:ascii="Arial" w:cs="Arial" w:eastAsia="Arial" w:hAnsi="Arial"/>
                <w:sz w:val="14"/>
                <w:szCs w:val="14"/>
                <w:color w:val="auto"/>
              </w:rPr>
              <w:t>expenses payable by us.</w:t>
            </w:r>
          </w:p>
        </w:tc>
        <w:tc>
          <w:tcPr>
            <w:tcW w:w="39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02"/>
        </w:trPr>
        <w:tc>
          <w:tcPr>
            <w:tcW w:w="5640" w:type="dxa"/>
            <w:vAlign w:val="bottom"/>
            <w:gridSpan w:val="3"/>
          </w:tcPr>
          <w:p>
            <w:pPr>
              <w:spacing w:after="0"/>
              <w:rPr>
                <w:sz w:val="20"/>
                <w:szCs w:val="20"/>
                <w:color w:val="auto"/>
              </w:rPr>
            </w:pPr>
            <w:r>
              <w:rPr>
                <w:rFonts w:ascii="Arial" w:cs="Arial" w:eastAsia="Arial" w:hAnsi="Arial"/>
                <w:sz w:val="14"/>
                <w:szCs w:val="14"/>
                <w:color w:val="auto"/>
              </w:rPr>
              <w:t>Each $1.00 increase or decrease in the assumed initial public offering price of $</w:t>
            </w:r>
          </w:p>
        </w:tc>
        <w:tc>
          <w:tcPr>
            <w:tcW w:w="900" w:type="dxa"/>
            <w:vAlign w:val="bottom"/>
          </w:tcPr>
          <w:p>
            <w:pPr>
              <w:ind w:left="220"/>
              <w:spacing w:after="0"/>
              <w:rPr>
                <w:sz w:val="20"/>
                <w:szCs w:val="20"/>
                <w:color w:val="auto"/>
              </w:rPr>
            </w:pPr>
            <w:r>
              <w:rPr>
                <w:rFonts w:ascii="Arial" w:cs="Arial" w:eastAsia="Arial" w:hAnsi="Arial"/>
                <w:sz w:val="14"/>
                <w:szCs w:val="14"/>
                <w:color w:val="auto"/>
              </w:rPr>
              <w:t>per share,</w:t>
            </w:r>
          </w:p>
        </w:tc>
      </w:tr>
    </w:tbl>
    <w:p>
      <w:pPr>
        <w:spacing w:after="0" w:line="1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midpoint of the price range set forth on the cover page of this prospectus, would increase or</w:t>
      </w:r>
    </w:p>
    <w:p>
      <w:pPr>
        <w:spacing w:after="0" w:line="22" w:lineRule="exact"/>
        <w:rPr>
          <w:sz w:val="20"/>
          <w:szCs w:val="20"/>
          <w:color w:val="auto"/>
        </w:rPr>
      </w:pPr>
    </w:p>
    <w:p>
      <w:pPr>
        <w:ind w:left="1220" w:right="1499"/>
        <w:spacing w:after="0" w:line="191" w:lineRule="auto"/>
        <w:rPr>
          <w:sz w:val="20"/>
          <w:szCs w:val="20"/>
          <w:color w:val="auto"/>
        </w:rPr>
      </w:pPr>
      <w:r>
        <w:rPr>
          <w:rFonts w:ascii="Arial" w:cs="Arial" w:eastAsia="Arial" w:hAnsi="Arial"/>
          <w:sz w:val="10"/>
          <w:szCs w:val="10"/>
          <w:color w:val="auto"/>
        </w:rPr>
        <w:t>decrease, as applicable, the net proceeds from this offering by approximately $ million, assuming that the number of shares of common stock offered by us, as set forth on the cover page of this prospectus, remains the same and after deducting the underwriting discounts and commissions and estimated offering expenses payable by us. Similarly, each increase or decrease of 1.0 million shares of common stock offered by us would increase or decrease,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20" w:right="1399"/>
        <w:spacing w:after="0" w:line="273" w:lineRule="auto"/>
        <w:rPr>
          <w:sz w:val="20"/>
          <w:szCs w:val="20"/>
          <w:color w:val="auto"/>
        </w:rPr>
      </w:pPr>
      <w:r>
        <w:rPr>
          <w:rFonts w:ascii="Arial" w:cs="Arial" w:eastAsia="Arial" w:hAnsi="Arial"/>
          <w:sz w:val="14"/>
          <w:szCs w:val="14"/>
          <w:color w:val="auto"/>
        </w:rPr>
        <w:t>applicable, the net proceeds to us by approximately $ million, assuming the assumed initial public offering price of $ per share, the midpoint of the price range set forth on the</w:t>
      </w:r>
    </w:p>
    <w:p>
      <w:pPr>
        <w:spacing w:after="0" w:line="1" w:lineRule="exact"/>
        <w:rPr>
          <w:sz w:val="20"/>
          <w:szCs w:val="20"/>
          <w:color w:val="auto"/>
        </w:rPr>
      </w:pPr>
    </w:p>
    <w:p>
      <w:pPr>
        <w:ind w:left="1220" w:right="1339"/>
        <w:spacing w:after="0" w:line="290" w:lineRule="auto"/>
        <w:rPr>
          <w:sz w:val="20"/>
          <w:szCs w:val="20"/>
          <w:color w:val="auto"/>
        </w:rPr>
      </w:pPr>
      <w:r>
        <w:rPr>
          <w:rFonts w:ascii="Arial" w:cs="Arial" w:eastAsia="Arial" w:hAnsi="Arial"/>
          <w:sz w:val="14"/>
          <w:szCs w:val="14"/>
          <w:color w:val="auto"/>
        </w:rPr>
        <w:t>cover page of this prospectus, remains the same, and after deducting the underwriting discounts and commissions and estimated offering expenses payable by us.</w:t>
      </w:r>
    </w:p>
    <w:p>
      <w:pPr>
        <w:spacing w:after="0" w:line="96" w:lineRule="exact"/>
        <w:rPr>
          <w:sz w:val="20"/>
          <w:szCs w:val="20"/>
          <w:color w:val="auto"/>
        </w:rPr>
      </w:pPr>
    </w:p>
    <w:p>
      <w:pPr>
        <w:ind w:left="1220" w:right="1239"/>
        <w:spacing w:after="0" w:line="278" w:lineRule="auto"/>
        <w:rPr>
          <w:sz w:val="20"/>
          <w:szCs w:val="20"/>
          <w:color w:val="auto"/>
        </w:rPr>
      </w:pPr>
      <w:r>
        <w:rPr>
          <w:rFonts w:ascii="Arial" w:cs="Arial" w:eastAsia="Arial" w:hAnsi="Arial"/>
          <w:sz w:val="14"/>
          <w:szCs w:val="14"/>
          <w:color w:val="auto"/>
        </w:rPr>
        <w:t>The principal purposes of this offering are to obtain additional capital to support our operations, to create a public market for our common stock and to facilitate our future access to the public equity markets. We currently expect to use the net proceeds from this offering, together with our existing cash and cash equivalents, as follows:</w:t>
      </w:r>
    </w:p>
    <w:p>
      <w:pPr>
        <w:spacing w:after="0" w:line="74" w:lineRule="exact"/>
        <w:rPr>
          <w:sz w:val="20"/>
          <w:szCs w:val="20"/>
          <w:color w:val="auto"/>
        </w:rPr>
      </w:pPr>
    </w:p>
    <w:p>
      <w:pPr>
        <w:ind w:left="1340" w:right="1279" w:hanging="116"/>
        <w:spacing w:after="0" w:line="281" w:lineRule="auto"/>
        <w:tabs>
          <w:tab w:leader="none" w:pos="1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Approximately $ million to fund pre-clinical activities and clinical preparation activities for CNTY-101 through completion of our IND submission, initiation of our planned Phase 1 clinical trial, and receipt of initial safety and pharmacokinetic, or PK, data;</w:t>
      </w:r>
    </w:p>
    <w:p>
      <w:pPr>
        <w:spacing w:after="0" w:line="71" w:lineRule="exact"/>
        <w:rPr>
          <w:rFonts w:ascii="Arial" w:cs="Arial" w:eastAsia="Arial" w:hAnsi="Arial"/>
          <w:sz w:val="14"/>
          <w:szCs w:val="14"/>
          <w:color w:val="auto"/>
        </w:rPr>
      </w:pPr>
    </w:p>
    <w:p>
      <w:pPr>
        <w:ind w:left="1340" w:right="1499" w:hanging="116"/>
        <w:spacing w:after="0" w:line="295" w:lineRule="auto"/>
        <w:tabs>
          <w:tab w:leader="none" w:pos="1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Approximately $ million to fund pre-clinical activities for CNTY-103, CNTY-102, and CNTY-104 through completion of our IND submission for each of CNTY-103, CNTY-102, and CNTY-104;</w:t>
      </w:r>
    </w:p>
    <w:p>
      <w:pPr>
        <w:spacing w:after="0" w:line="251" w:lineRule="exact"/>
        <w:rPr>
          <w:rFonts w:ascii="Arial" w:cs="Arial" w:eastAsia="Arial" w:hAnsi="Arial"/>
          <w:sz w:val="14"/>
          <w:szCs w:val="14"/>
          <w:color w:val="auto"/>
        </w:rPr>
      </w:pPr>
    </w:p>
    <w:p>
      <w:pPr>
        <w:ind w:left="1340" w:right="1339" w:hanging="116"/>
        <w:spacing w:after="0" w:line="290" w:lineRule="auto"/>
        <w:tabs>
          <w:tab w:leader="none" w:pos="1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Approximately $ to continue developing manufacturing capabilities for our product candidates, including the construction of our manufacturing facility in Branchburg, New Jersey;</w:t>
      </w:r>
    </w:p>
    <w:p>
      <w:pPr>
        <w:spacing w:after="0" w:line="64" w:lineRule="exact"/>
        <w:rPr>
          <w:rFonts w:ascii="Arial" w:cs="Arial" w:eastAsia="Arial" w:hAnsi="Arial"/>
          <w:sz w:val="14"/>
          <w:szCs w:val="14"/>
          <w:color w:val="auto"/>
        </w:rPr>
      </w:pPr>
    </w:p>
    <w:p>
      <w:pPr>
        <w:ind w:left="1340" w:right="1739" w:hanging="116"/>
        <w:spacing w:after="0" w:line="290" w:lineRule="auto"/>
        <w:tabs>
          <w:tab w:leader="none" w:pos="1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Approximately $ to fund our internal research and development capabilities and to advance new product candidates; and</w:t>
      </w:r>
    </w:p>
    <w:p>
      <w:pPr>
        <w:spacing w:after="0" w:line="74" w:lineRule="exact"/>
        <w:rPr>
          <w:rFonts w:ascii="Arial" w:cs="Arial" w:eastAsia="Arial" w:hAnsi="Arial"/>
          <w:sz w:val="14"/>
          <w:szCs w:val="14"/>
          <w:color w:val="auto"/>
        </w:rPr>
      </w:pPr>
    </w:p>
    <w:p>
      <w:pPr>
        <w:ind w:left="1340" w:right="1919" w:hanging="116"/>
        <w:spacing w:after="0" w:line="290" w:lineRule="auto"/>
        <w:tabs>
          <w:tab w:leader="none" w:pos="1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remainder for working capital and other general corporate purposes, including the additional costs associated with being a public company.</w:t>
      </w:r>
    </w:p>
    <w:p>
      <w:pPr>
        <w:spacing w:after="0" w:line="86" w:lineRule="exact"/>
        <w:rPr>
          <w:sz w:val="20"/>
          <w:szCs w:val="20"/>
          <w:color w:val="auto"/>
        </w:rPr>
      </w:pPr>
    </w:p>
    <w:p>
      <w:pPr>
        <w:ind w:left="1220" w:right="1539"/>
        <w:spacing w:after="0" w:line="281" w:lineRule="auto"/>
        <w:rPr>
          <w:sz w:val="20"/>
          <w:szCs w:val="20"/>
          <w:color w:val="auto"/>
        </w:rPr>
      </w:pPr>
      <w:r>
        <w:rPr>
          <w:rFonts w:ascii="Arial" w:cs="Arial" w:eastAsia="Arial" w:hAnsi="Arial"/>
          <w:sz w:val="14"/>
          <w:szCs w:val="14"/>
          <w:color w:val="auto"/>
        </w:rPr>
        <w:t>We may use a portion of the net proceeds from this offering to in-license, acquire, or invest in complementary businesses, technologies, products or assets. However, we have no current commitments to do so.</w:t>
      </w:r>
    </w:p>
    <w:p>
      <w:pPr>
        <w:spacing w:after="0" w:line="103" w:lineRule="exact"/>
        <w:rPr>
          <w:sz w:val="20"/>
          <w:szCs w:val="20"/>
          <w:color w:val="auto"/>
        </w:rPr>
      </w:pPr>
    </w:p>
    <w:p>
      <w:pPr>
        <w:ind w:left="1220" w:right="1239"/>
        <w:spacing w:after="0" w:line="273" w:lineRule="auto"/>
        <w:rPr>
          <w:sz w:val="20"/>
          <w:szCs w:val="20"/>
          <w:color w:val="auto"/>
        </w:rPr>
      </w:pPr>
      <w:r>
        <w:rPr>
          <w:rFonts w:ascii="Arial" w:cs="Arial" w:eastAsia="Arial" w:hAnsi="Arial"/>
          <w:sz w:val="14"/>
          <w:szCs w:val="14"/>
          <w:color w:val="auto"/>
        </w:rPr>
        <w:t>Based on our planned use of the net proceeds, we estimate such funds, together with our existing cash and cash equivalents, will be sufficient for us to fund our operating expenses and capital</w:t>
      </w:r>
    </w:p>
    <w:p>
      <w:pPr>
        <w:spacing w:after="0" w:line="1" w:lineRule="exact"/>
        <w:rPr>
          <w:sz w:val="20"/>
          <w:szCs w:val="20"/>
          <w:color w:val="auto"/>
        </w:rPr>
      </w:pPr>
    </w:p>
    <w:p>
      <w:pPr>
        <w:ind w:left="1220" w:right="1419"/>
        <w:spacing w:after="0" w:line="295" w:lineRule="auto"/>
        <w:rPr>
          <w:sz w:val="20"/>
          <w:szCs w:val="20"/>
          <w:color w:val="auto"/>
        </w:rPr>
      </w:pPr>
      <w:r>
        <w:rPr>
          <w:rFonts w:ascii="Arial" w:cs="Arial" w:eastAsia="Arial" w:hAnsi="Arial"/>
          <w:sz w:val="14"/>
          <w:szCs w:val="14"/>
          <w:color w:val="auto"/>
        </w:rPr>
        <w:t>expenditure requirements into the quarter of 20 . We have based this estimate on assumptions that may prove to be wrong, and we could exhaust our available capital resources sooner than we expect.</w:t>
      </w:r>
    </w:p>
    <w:p>
      <w:pPr>
        <w:spacing w:after="0" w:line="273"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Our expected use of net proceeds from this offering represents our current intentions based upon our present plans and business condition. As of the date of this prospectus, we cannot predict with certainty all of the particular uses for the net proceeds to be received upon the closing of this offering, or the amounts that we will actually spend on the uses set forth above. The amounts and timing of our actual use of the net proceeds will vary depending on numerous factors, including our ability to obtain additional financing, the progress, cost, and results of our preclinical and clinical development programs, and whether we are able to enter into future licensing or collaboration arrangements. We may find it necessary or advisable to use the net proceeds for other purposes, and our management will have broad discretion in the application of the net proceeds, and investors will be relying on our judgment regarding the application of the net proceeds from this offering.</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6" w:name="page77"/>
    <w:bookmarkEnd w:id="7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99"/>
        <w:spacing w:after="0" w:line="281" w:lineRule="auto"/>
        <w:rPr>
          <w:sz w:val="20"/>
          <w:szCs w:val="20"/>
          <w:color w:val="auto"/>
        </w:rPr>
      </w:pPr>
      <w:r>
        <w:rPr>
          <w:rFonts w:ascii="Arial" w:cs="Arial" w:eastAsia="Arial" w:hAnsi="Arial"/>
          <w:sz w:val="14"/>
          <w:szCs w:val="14"/>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93" w:lineRule="exact"/>
        <w:rPr>
          <w:sz w:val="20"/>
          <w:szCs w:val="20"/>
          <w:color w:val="auto"/>
        </w:rPr>
      </w:pPr>
    </w:p>
    <w:p>
      <w:pPr>
        <w:ind w:left="1220" w:right="1339"/>
        <w:spacing w:after="0" w:line="281" w:lineRule="auto"/>
        <w:rPr>
          <w:sz w:val="20"/>
          <w:szCs w:val="20"/>
          <w:color w:val="auto"/>
        </w:rPr>
      </w:pPr>
      <w:r>
        <w:rPr>
          <w:rFonts w:ascii="Arial" w:cs="Arial" w:eastAsia="Arial" w:hAnsi="Arial"/>
          <w:sz w:val="14"/>
          <w:szCs w:val="14"/>
          <w:color w:val="auto"/>
        </w:rPr>
        <w:t>Pending their use, we plan to invest the net proceeds from this offering in short- and medium-term, interest-bearing obligations, investment-grade instruments, certificates of deposit, or direct or guaranteed obligations of the United States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7" w:name="page78"/>
    <w:bookmarkEnd w:id="7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Dividend policy</w:t>
      </w:r>
    </w:p>
    <w:p>
      <w:pPr>
        <w:spacing w:after="0" w:line="133"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We have never declared or paid cash dividends on our capital stock and our ability to pay cash dividends is currently restricted by the terms of our Loan and Security Agreement with Hercules Capital, Inc. We do not currently intend to pay any cash dividends on our capital stock in the foreseeable future. We currently intend to retain all available funds and any future earnings to fund the development and expansion of our business. Any future determination related to dividend policy will be made at the discretion of our board of directors, subject to applicable laws, and will depend upon, among other factors, our results of operations, financial condition, contractual restrictions, and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8" w:name="page79"/>
    <w:bookmarkEnd w:id="7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Capitalization</w:t>
      </w:r>
    </w:p>
    <w:p>
      <w:pPr>
        <w:spacing w:after="0" w:line="133" w:lineRule="exact"/>
        <w:rPr>
          <w:sz w:val="20"/>
          <w:szCs w:val="20"/>
          <w:color w:val="auto"/>
        </w:rPr>
      </w:pPr>
    </w:p>
    <w:p>
      <w:pPr>
        <w:ind w:left="1220" w:right="1839"/>
        <w:spacing w:after="0" w:line="306" w:lineRule="auto"/>
        <w:rPr>
          <w:sz w:val="20"/>
          <w:szCs w:val="20"/>
          <w:color w:val="auto"/>
        </w:rPr>
      </w:pPr>
      <w:r>
        <w:rPr>
          <w:rFonts w:ascii="Arial" w:cs="Arial" w:eastAsia="Arial" w:hAnsi="Arial"/>
          <w:sz w:val="14"/>
          <w:szCs w:val="14"/>
          <w:color w:val="auto"/>
        </w:rPr>
        <w:t>The following table sets forth our cash, cash equivalents, short term investments and our capitalization as of March 31, 2021:</w:t>
      </w:r>
    </w:p>
    <w:p>
      <w:pPr>
        <w:spacing w:after="0" w:line="86" w:lineRule="exact"/>
        <w:rPr>
          <w:sz w:val="20"/>
          <w:szCs w:val="20"/>
          <w:color w:val="auto"/>
        </w:rPr>
      </w:pPr>
    </w:p>
    <w:p>
      <w:pPr>
        <w:ind w:left="1340" w:hanging="116"/>
        <w:spacing w:after="0"/>
        <w:tabs>
          <w:tab w:leader="none" w:pos="1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on an actual basis;</w:t>
      </w:r>
    </w:p>
    <w:p>
      <w:pPr>
        <w:spacing w:after="0" w:line="119" w:lineRule="exact"/>
        <w:rPr>
          <w:rFonts w:ascii="Arial" w:cs="Arial" w:eastAsia="Arial" w:hAnsi="Arial"/>
          <w:sz w:val="14"/>
          <w:szCs w:val="14"/>
          <w:color w:val="auto"/>
        </w:rPr>
      </w:pPr>
    </w:p>
    <w:p>
      <w:pPr>
        <w:ind w:left="1340" w:right="1259" w:hanging="116"/>
        <w:spacing w:after="0" w:line="273" w:lineRule="auto"/>
        <w:tabs>
          <w:tab w:leader="none" w:pos="1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on a pro forma basis to give effect to the completion of (i) the filing and effectiveness of our second amended and restated certificate of incorporation immediately prior to the closing of this offering, and (ii) the conversion of all outstanding shares of our convertible preferred stock into</w:t>
      </w:r>
    </w:p>
    <w:p>
      <w:pPr>
        <w:spacing w:after="0" w:line="1" w:lineRule="exact"/>
        <w:rPr>
          <w:sz w:val="20"/>
          <w:szCs w:val="20"/>
          <w:color w:val="auto"/>
        </w:rPr>
      </w:pPr>
    </w:p>
    <w:p>
      <w:pPr>
        <w:ind w:left="1340"/>
        <w:spacing w:after="0"/>
        <w:tabs>
          <w:tab w:leader="none" w:pos="3140" w:val="left"/>
        </w:tabs>
        <w:rPr>
          <w:sz w:val="20"/>
          <w:szCs w:val="20"/>
          <w:color w:val="auto"/>
        </w:rPr>
      </w:pPr>
      <w:r>
        <w:rPr>
          <w:rFonts w:ascii="Arial" w:cs="Arial" w:eastAsia="Arial" w:hAnsi="Arial"/>
          <w:sz w:val="14"/>
          <w:szCs w:val="14"/>
          <w:color w:val="auto"/>
        </w:rPr>
        <w:t>an aggregate of</w:t>
      </w:r>
      <w:r>
        <w:rPr>
          <w:sz w:val="20"/>
          <w:szCs w:val="20"/>
          <w:color w:val="auto"/>
        </w:rPr>
        <w:tab/>
      </w:r>
      <w:r>
        <w:rPr>
          <w:rFonts w:ascii="Arial" w:cs="Arial" w:eastAsia="Arial" w:hAnsi="Arial"/>
          <w:sz w:val="14"/>
          <w:szCs w:val="14"/>
          <w:color w:val="auto"/>
        </w:rPr>
        <w:t>shares of common stock upon the closing of this offering; and</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 on a pro forma as adjusted basis to give effect to the pro forma adjustments described above</w:t>
      </w:r>
    </w:p>
    <w:p>
      <w:pPr>
        <w:spacing w:after="0" w:line="22" w:lineRule="exact"/>
        <w:rPr>
          <w:sz w:val="20"/>
          <w:szCs w:val="20"/>
          <w:color w:val="auto"/>
        </w:rPr>
      </w:pPr>
    </w:p>
    <w:p>
      <w:pPr>
        <w:ind w:left="1340" w:right="1239"/>
        <w:spacing w:after="0" w:line="273" w:lineRule="auto"/>
        <w:rPr>
          <w:sz w:val="20"/>
          <w:szCs w:val="20"/>
          <w:color w:val="auto"/>
        </w:rPr>
      </w:pPr>
      <w:r>
        <w:rPr>
          <w:rFonts w:ascii="Arial" w:cs="Arial" w:eastAsia="Arial" w:hAnsi="Arial"/>
          <w:sz w:val="14"/>
          <w:szCs w:val="14"/>
          <w:color w:val="auto"/>
        </w:rPr>
        <w:t>and to give further effect to the issuance and sale of shares of our common stock in this offering at an assumed initial public offering price of $ per share, the midpoint of the</w:t>
      </w:r>
    </w:p>
    <w:p>
      <w:pPr>
        <w:spacing w:after="0" w:line="1" w:lineRule="exact"/>
        <w:rPr>
          <w:sz w:val="20"/>
          <w:szCs w:val="20"/>
          <w:color w:val="auto"/>
        </w:rPr>
      </w:pPr>
    </w:p>
    <w:p>
      <w:pPr>
        <w:jc w:val="both"/>
        <w:ind w:left="1340" w:right="1719"/>
        <w:spacing w:after="0" w:line="290" w:lineRule="auto"/>
        <w:rPr>
          <w:sz w:val="20"/>
          <w:szCs w:val="20"/>
          <w:color w:val="auto"/>
        </w:rPr>
      </w:pPr>
      <w:r>
        <w:rPr>
          <w:rFonts w:ascii="Arial" w:cs="Arial" w:eastAsia="Arial" w:hAnsi="Arial"/>
          <w:sz w:val="14"/>
          <w:szCs w:val="14"/>
          <w:color w:val="auto"/>
        </w:rPr>
        <w:t>price range set forth on the cover page of this prospectus, and after deducting estimated underwriting discounts and commissions and estimated offering expenses payable by us.</w:t>
      </w:r>
    </w:p>
    <w:p>
      <w:pPr>
        <w:spacing w:after="0" w:line="96" w:lineRule="exact"/>
        <w:rPr>
          <w:sz w:val="20"/>
          <w:szCs w:val="20"/>
          <w:color w:val="auto"/>
        </w:rPr>
      </w:pPr>
    </w:p>
    <w:p>
      <w:pPr>
        <w:ind w:left="1220" w:right="1319"/>
        <w:spacing w:after="0" w:line="292" w:lineRule="auto"/>
        <w:rPr>
          <w:sz w:val="20"/>
          <w:szCs w:val="20"/>
          <w:color w:val="auto"/>
        </w:rPr>
      </w:pPr>
      <w:r>
        <w:rPr>
          <w:rFonts w:ascii="Arial" w:cs="Arial" w:eastAsia="Arial" w:hAnsi="Arial"/>
          <w:sz w:val="14"/>
          <w:szCs w:val="14"/>
          <w:color w:val="auto"/>
        </w:rPr>
        <w:t>The pro forma as adjusted information set forth in the table below is illustrative only and will be adjusted based on the actual initial public offering price and other terms of this offering determined at pricing. You should read this table together with the sections of this prospectus captioned “Selected financial and other data,” “Use of proceeds,” “Management’s discussion and analysis of financial condition and results of operations,” “Description of capital stock” and our financial statements and related notes included elsewhere in this prospectus.</w:t>
      </w:r>
    </w:p>
    <w:p>
      <w:pPr>
        <w:spacing w:after="0" w:line="111"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398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(in thousands, except share and per share amounts)</w:t>
            </w:r>
          </w:p>
        </w:tc>
        <w:tc>
          <w:tcPr>
            <w:tcW w:w="760" w:type="dxa"/>
            <w:vAlign w:val="bottom"/>
            <w:tcBorders>
              <w:top w:val="single" w:sz="8" w:color="auto"/>
              <w:bottom w:val="single" w:sz="8" w:color="auto"/>
            </w:tcBorders>
          </w:tcPr>
          <w:p>
            <w:pPr>
              <w:spacing w:after="0"/>
              <w:rPr>
                <w:sz w:val="18"/>
                <w:szCs w:val="18"/>
                <w:color w:val="auto"/>
              </w:rPr>
            </w:pPr>
          </w:p>
        </w:tc>
        <w:tc>
          <w:tcPr>
            <w:tcW w:w="2080" w:type="dxa"/>
            <w:vAlign w:val="bottom"/>
            <w:tcBorders>
              <w:top w:val="single" w:sz="8" w:color="auto"/>
              <w:bottom w:val="single" w:sz="8" w:color="auto"/>
            </w:tcBorders>
            <w:gridSpan w:val="3"/>
          </w:tcPr>
          <w:p>
            <w:pPr>
              <w:jc w:val="right"/>
              <w:spacing w:after="0" w:line="216" w:lineRule="exact"/>
              <w:rPr>
                <w:sz w:val="20"/>
                <w:szCs w:val="20"/>
                <w:color w:val="auto"/>
              </w:rPr>
            </w:pPr>
            <w:r>
              <w:rPr>
                <w:rFonts w:ascii="Arial" w:cs="Arial" w:eastAsia="Arial" w:hAnsi="Arial"/>
                <w:sz w:val="13"/>
                <w:szCs w:val="13"/>
                <w:b w:val="1"/>
                <w:bCs w:val="1"/>
                <w:color w:val="auto"/>
              </w:rPr>
              <w:t>ActualPro Forma Adjusted</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67"/>
        </w:trPr>
        <w:tc>
          <w:tcPr>
            <w:tcW w:w="3980" w:type="dxa"/>
            <w:vAlign w:val="bottom"/>
            <w:tcBorders>
              <w:bottom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short-term investments</w:t>
            </w:r>
          </w:p>
        </w:tc>
        <w:tc>
          <w:tcPr>
            <w:tcW w:w="7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$ 182,942 $</w:t>
            </w:r>
          </w:p>
        </w:tc>
        <w:tc>
          <w:tcPr>
            <w:tcW w:w="6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182,942</w:t>
            </w:r>
          </w:p>
        </w:tc>
        <w:tc>
          <w:tcPr>
            <w:tcW w:w="640" w:type="dxa"/>
            <w:vAlign w:val="bottom"/>
            <w:tcBorders>
              <w:bottom w:val="single" w:sz="8" w:color="auto"/>
            </w:tcBorders>
            <w:shd w:val="clear" w:color="auto" w:fill="CCEEFF"/>
          </w:tcPr>
          <w:p>
            <w:pPr>
              <w:jc w:val="right"/>
              <w:ind w:right="4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Long-term debt</w:t>
            </w:r>
          </w:p>
        </w:tc>
        <w:tc>
          <w:tcPr>
            <w:tcW w:w="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60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jc w:val="right"/>
              <w:ind w:right="69"/>
              <w:spacing w:after="0" w:line="125" w:lineRule="exact"/>
              <w:rPr>
                <w:sz w:val="20"/>
                <w:szCs w:val="20"/>
                <w:color w:val="auto"/>
              </w:rPr>
            </w:pPr>
            <w:r>
              <w:rPr>
                <w:rFonts w:ascii="Arial" w:cs="Arial" w:eastAsia="Arial" w:hAnsi="Arial"/>
                <w:sz w:val="14"/>
                <w:szCs w:val="14"/>
                <w:color w:val="auto"/>
              </w:rPr>
              <w:t>9,711</w:t>
            </w:r>
          </w:p>
        </w:tc>
        <w:tc>
          <w:tcPr>
            <w:tcW w:w="640" w:type="dxa"/>
            <w:vAlign w:val="bottom"/>
          </w:tcPr>
          <w:p>
            <w:pPr>
              <w:jc w:val="right"/>
              <w:ind w:right="28"/>
              <w:spacing w:after="0" w:line="125" w:lineRule="exact"/>
              <w:rPr>
                <w:sz w:val="20"/>
                <w:szCs w:val="20"/>
                <w:color w:val="auto"/>
              </w:rPr>
            </w:pPr>
            <w:r>
              <w:rPr>
                <w:rFonts w:ascii="Arial" w:cs="Arial" w:eastAsia="Arial" w:hAnsi="Arial"/>
                <w:sz w:val="14"/>
                <w:szCs w:val="14"/>
                <w:color w:val="auto"/>
              </w:rPr>
              <w:t>9,711</w:t>
            </w: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600" w:type="dxa"/>
            <w:vAlign w:val="bottom"/>
            <w:shd w:val="clear" w:color="auto" w:fill="CCEEFF"/>
          </w:tcPr>
          <w:p>
            <w:pPr>
              <w:spacing w:after="0"/>
              <w:rPr>
                <w:sz w:val="20"/>
                <w:szCs w:val="20"/>
                <w:color w:val="auto"/>
              </w:rPr>
            </w:pPr>
            <w:r>
              <w:rPr>
                <w:rFonts w:ascii="Arial" w:cs="Arial" w:eastAsia="Arial" w:hAnsi="Arial"/>
                <w:sz w:val="14"/>
                <w:szCs w:val="14"/>
                <w:color w:val="auto"/>
              </w:rPr>
              <w:t>Stockholders’ deficit:</w:t>
            </w:r>
          </w:p>
        </w:tc>
        <w:tc>
          <w:tcPr>
            <w:tcW w:w="9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40" w:type="dxa"/>
            <w:vAlign w:val="bottom"/>
            <w:gridSpan w:val="4"/>
          </w:tcPr>
          <w:p>
            <w:pPr>
              <w:ind w:left="140"/>
              <w:spacing w:after="0"/>
              <w:rPr>
                <w:sz w:val="20"/>
                <w:szCs w:val="20"/>
                <w:color w:val="auto"/>
              </w:rPr>
            </w:pPr>
            <w:r>
              <w:rPr>
                <w:rFonts w:ascii="Arial" w:cs="Arial" w:eastAsia="Arial" w:hAnsi="Arial"/>
                <w:sz w:val="14"/>
                <w:szCs w:val="14"/>
                <w:color w:val="auto"/>
              </w:rPr>
              <w:t>Series A preferred stock, $0.0001 par value: 35,000,000 shares</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34,922</w:t>
            </w: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4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authorized, issued and outstanding, actual; no shares authorized,</w:t>
            </w:r>
          </w:p>
        </w:tc>
        <w:tc>
          <w:tcPr>
            <w:tcW w:w="8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8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issued or outstanding, pro forma and pro forma as</w:t>
            </w:r>
          </w:p>
        </w:tc>
        <w:tc>
          <w:tcPr>
            <w:tcW w:w="7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adjusted</w:t>
            </w:r>
          </w:p>
        </w:tc>
        <w:tc>
          <w:tcPr>
            <w:tcW w:w="9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740" w:type="dxa"/>
            <w:vAlign w:val="bottom"/>
            <w:gridSpan w:val="4"/>
          </w:tcPr>
          <w:p>
            <w:pPr>
              <w:ind w:left="140"/>
              <w:spacing w:after="0"/>
              <w:rPr>
                <w:sz w:val="20"/>
                <w:szCs w:val="20"/>
                <w:color w:val="auto"/>
              </w:rPr>
            </w:pPr>
            <w:r>
              <w:rPr>
                <w:rFonts w:ascii="Arial" w:cs="Arial" w:eastAsia="Arial" w:hAnsi="Arial"/>
                <w:sz w:val="14"/>
                <w:szCs w:val="14"/>
                <w:color w:val="auto"/>
              </w:rPr>
              <w:t>Series B preferred stock, $0.0001 par value: 26,143,790 shares</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40" w:type="dxa"/>
            <w:vAlign w:val="bottom"/>
            <w:gridSpan w:val="4"/>
          </w:tcPr>
          <w:p>
            <w:pPr>
              <w:ind w:left="300"/>
              <w:spacing w:after="0"/>
              <w:rPr>
                <w:sz w:val="20"/>
                <w:szCs w:val="20"/>
                <w:color w:val="auto"/>
              </w:rPr>
            </w:pPr>
            <w:r>
              <w:rPr>
                <w:rFonts w:ascii="Arial" w:cs="Arial" w:eastAsia="Arial" w:hAnsi="Arial"/>
                <w:sz w:val="14"/>
                <w:szCs w:val="14"/>
                <w:color w:val="auto"/>
              </w:rPr>
              <w:t>authorized, issued and outstanding, actual; no shares authorized,</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40" w:type="dxa"/>
            <w:vAlign w:val="bottom"/>
            <w:gridSpan w:val="4"/>
          </w:tcPr>
          <w:p>
            <w:pPr>
              <w:ind w:left="300"/>
              <w:spacing w:after="0"/>
              <w:rPr>
                <w:sz w:val="20"/>
                <w:szCs w:val="20"/>
                <w:color w:val="auto"/>
              </w:rPr>
            </w:pPr>
            <w:r>
              <w:rPr>
                <w:rFonts w:ascii="Arial" w:cs="Arial" w:eastAsia="Arial" w:hAnsi="Arial"/>
                <w:sz w:val="14"/>
                <w:szCs w:val="14"/>
                <w:color w:val="auto"/>
              </w:rPr>
              <w:t>issued or outstanding, pro forma and pro forma as adjusted</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144,839</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4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Series C preferred stock, $0.0001 par value: 24,721,999 shares</w:t>
            </w:r>
          </w:p>
        </w:tc>
        <w:tc>
          <w:tcPr>
            <w:tcW w:w="8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740" w:type="dxa"/>
            <w:vAlign w:val="bottom"/>
            <w:gridSpan w:val="4"/>
            <w:shd w:val="clear" w:color="auto" w:fill="CCEEFF"/>
          </w:tcPr>
          <w:p>
            <w:pPr>
              <w:ind w:left="300"/>
              <w:spacing w:after="0"/>
              <w:rPr>
                <w:sz w:val="20"/>
                <w:szCs w:val="20"/>
                <w:color w:val="auto"/>
              </w:rPr>
            </w:pPr>
            <w:r>
              <w:rPr>
                <w:rFonts w:ascii="Arial" w:cs="Arial" w:eastAsia="Arial" w:hAnsi="Arial"/>
                <w:sz w:val="14"/>
                <w:szCs w:val="14"/>
                <w:color w:val="auto"/>
              </w:rPr>
              <w:t>authorized, issued and outstanding, actual; no shares authorized,</w:t>
            </w:r>
          </w:p>
        </w:tc>
        <w:tc>
          <w:tcPr>
            <w:tcW w:w="8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740" w:type="dxa"/>
            <w:vAlign w:val="bottom"/>
            <w:gridSpan w:val="4"/>
            <w:shd w:val="clear" w:color="auto" w:fill="CCEEFF"/>
          </w:tcPr>
          <w:p>
            <w:pPr>
              <w:ind w:left="300"/>
              <w:spacing w:after="0"/>
              <w:rPr>
                <w:sz w:val="20"/>
                <w:szCs w:val="20"/>
                <w:color w:val="auto"/>
              </w:rPr>
            </w:pPr>
            <w:r>
              <w:rPr>
                <w:rFonts w:ascii="Arial" w:cs="Arial" w:eastAsia="Arial" w:hAnsi="Arial"/>
                <w:sz w:val="14"/>
                <w:szCs w:val="14"/>
                <w:color w:val="auto"/>
              </w:rPr>
              <w:t>issued or outstanding, pro forma and pro forma as adjusted</w:t>
            </w: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159,628</w:t>
            </w: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740" w:type="dxa"/>
            <w:vAlign w:val="bottom"/>
            <w:gridSpan w:val="4"/>
          </w:tcPr>
          <w:p>
            <w:pPr>
              <w:ind w:left="140"/>
              <w:spacing w:after="0"/>
              <w:rPr>
                <w:sz w:val="20"/>
                <w:szCs w:val="20"/>
                <w:color w:val="auto"/>
              </w:rPr>
            </w:pPr>
            <w:r>
              <w:rPr>
                <w:rFonts w:ascii="Arial" w:cs="Arial" w:eastAsia="Arial" w:hAnsi="Arial"/>
                <w:sz w:val="14"/>
                <w:szCs w:val="14"/>
                <w:color w:val="auto"/>
              </w:rPr>
              <w:t>Common stock, $0.0001 par value, 125,236,190 shares authorized;</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80" w:type="dxa"/>
            <w:vAlign w:val="bottom"/>
            <w:gridSpan w:val="3"/>
          </w:tcPr>
          <w:p>
            <w:pPr>
              <w:ind w:left="300"/>
              <w:spacing w:after="0"/>
              <w:rPr>
                <w:sz w:val="20"/>
                <w:szCs w:val="20"/>
                <w:color w:val="auto"/>
              </w:rPr>
            </w:pPr>
            <w:r>
              <w:rPr>
                <w:rFonts w:ascii="Arial" w:cs="Arial" w:eastAsia="Arial" w:hAnsi="Arial"/>
                <w:sz w:val="14"/>
                <w:szCs w:val="14"/>
                <w:color w:val="auto"/>
              </w:rPr>
              <w:t>19,732,637 shares issued and outstanding, actual;</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00" w:type="dxa"/>
            <w:vAlign w:val="bottom"/>
            <w:gridSpan w:val="2"/>
          </w:tcPr>
          <w:p>
            <w:pPr>
              <w:ind w:left="300"/>
              <w:spacing w:after="0"/>
              <w:rPr>
                <w:sz w:val="20"/>
                <w:szCs w:val="20"/>
                <w:color w:val="auto"/>
              </w:rPr>
            </w:pPr>
            <w:r>
              <w:rPr>
                <w:rFonts w:ascii="Arial" w:cs="Arial" w:eastAsia="Arial" w:hAnsi="Arial"/>
                <w:sz w:val="14"/>
                <w:szCs w:val="14"/>
                <w:color w:val="auto"/>
              </w:rPr>
              <w:t>shares authorized and</w:t>
            </w:r>
          </w:p>
        </w:tc>
        <w:tc>
          <w:tcPr>
            <w:tcW w:w="2240" w:type="dxa"/>
            <w:vAlign w:val="bottom"/>
            <w:gridSpan w:val="2"/>
          </w:tcPr>
          <w:p>
            <w:pPr>
              <w:ind w:left="40"/>
              <w:spacing w:after="0"/>
              <w:rPr>
                <w:sz w:val="20"/>
                <w:szCs w:val="20"/>
                <w:color w:val="auto"/>
              </w:rPr>
            </w:pPr>
            <w:r>
              <w:rPr>
                <w:rFonts w:ascii="Arial" w:cs="Arial" w:eastAsia="Arial" w:hAnsi="Arial"/>
                <w:sz w:val="14"/>
                <w:szCs w:val="14"/>
                <w:color w:val="auto"/>
              </w:rPr>
              <w:t>shares issued and outstanding</w:t>
            </w: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600" w:type="dxa"/>
            <w:vAlign w:val="bottom"/>
          </w:tcPr>
          <w:p>
            <w:pPr>
              <w:ind w:left="300"/>
              <w:spacing w:after="0"/>
              <w:rPr>
                <w:sz w:val="20"/>
                <w:szCs w:val="20"/>
                <w:color w:val="auto"/>
              </w:rPr>
            </w:pPr>
            <w:r>
              <w:rPr>
                <w:rFonts w:ascii="Arial" w:cs="Arial" w:eastAsia="Arial" w:hAnsi="Arial"/>
                <w:sz w:val="14"/>
                <w:szCs w:val="14"/>
                <w:color w:val="auto"/>
              </w:rPr>
              <w:t>pro forma;</w:t>
            </w:r>
          </w:p>
        </w:tc>
        <w:tc>
          <w:tcPr>
            <w:tcW w:w="2380" w:type="dxa"/>
            <w:vAlign w:val="bottom"/>
            <w:gridSpan w:val="2"/>
          </w:tcPr>
          <w:p>
            <w:pPr>
              <w:ind w:left="140"/>
              <w:spacing w:after="0"/>
              <w:rPr>
                <w:sz w:val="20"/>
                <w:szCs w:val="20"/>
                <w:color w:val="auto"/>
              </w:rPr>
            </w:pPr>
            <w:r>
              <w:rPr>
                <w:rFonts w:ascii="Arial" w:cs="Arial" w:eastAsia="Arial" w:hAnsi="Arial"/>
                <w:sz w:val="14"/>
                <w:szCs w:val="14"/>
                <w:color w:val="auto"/>
              </w:rPr>
              <w:t>shares authorized and</w:t>
            </w:r>
          </w:p>
        </w:tc>
        <w:tc>
          <w:tcPr>
            <w:tcW w:w="760" w:type="dxa"/>
            <w:vAlign w:val="bottom"/>
          </w:tcPr>
          <w:p>
            <w:pPr>
              <w:ind w:left="20"/>
              <w:spacing w:after="0"/>
              <w:rPr>
                <w:sz w:val="20"/>
                <w:szCs w:val="20"/>
                <w:color w:val="auto"/>
              </w:rPr>
            </w:pPr>
            <w:r>
              <w:rPr>
                <w:rFonts w:ascii="Arial" w:cs="Arial" w:eastAsia="Arial" w:hAnsi="Arial"/>
                <w:sz w:val="14"/>
                <w:szCs w:val="14"/>
                <w:color w:val="auto"/>
              </w:rPr>
              <w:t>shares</w:t>
            </w: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980" w:type="dxa"/>
            <w:vAlign w:val="bottom"/>
            <w:gridSpan w:val="3"/>
          </w:tcPr>
          <w:p>
            <w:pPr>
              <w:ind w:left="300"/>
              <w:spacing w:after="0"/>
              <w:rPr>
                <w:sz w:val="20"/>
                <w:szCs w:val="20"/>
                <w:color w:val="auto"/>
              </w:rPr>
            </w:pPr>
            <w:r>
              <w:rPr>
                <w:rFonts w:ascii="Arial" w:cs="Arial" w:eastAsia="Arial" w:hAnsi="Arial"/>
                <w:sz w:val="14"/>
                <w:szCs w:val="14"/>
                <w:color w:val="auto"/>
              </w:rPr>
              <w:t>issued and outstanding pro forma as adjusted</w:t>
            </w:r>
          </w:p>
        </w:tc>
        <w:tc>
          <w:tcPr>
            <w:tcW w:w="760" w:type="dxa"/>
            <w:vAlign w:val="bottom"/>
          </w:tcPr>
          <w:p>
            <w:pPr>
              <w:spacing w:after="0"/>
              <w:rPr>
                <w:sz w:val="15"/>
                <w:szCs w:val="15"/>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1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219,156</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558,536</w:t>
            </w: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00" w:type="dxa"/>
            <w:vAlign w:val="bottom"/>
          </w:tcPr>
          <w:p>
            <w:pPr>
              <w:ind w:left="140"/>
              <w:spacing w:after="0"/>
              <w:rPr>
                <w:sz w:val="20"/>
                <w:szCs w:val="20"/>
                <w:color w:val="auto"/>
              </w:rPr>
            </w:pPr>
            <w:r>
              <w:rPr>
                <w:rFonts w:ascii="Arial" w:cs="Arial" w:eastAsia="Arial" w:hAnsi="Arial"/>
                <w:sz w:val="14"/>
                <w:szCs w:val="14"/>
                <w:color w:val="auto"/>
              </w:rPr>
              <w:t>Accumulated deficit</w:t>
            </w: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(310,690) (310,690)</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7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6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600" w:type="dxa"/>
            <w:vAlign w:val="bottom"/>
          </w:tcPr>
          <w:p>
            <w:pPr>
              <w:ind w:left="140"/>
              <w:spacing w:after="0"/>
              <w:rPr>
                <w:sz w:val="20"/>
                <w:szCs w:val="20"/>
                <w:color w:val="auto"/>
              </w:rPr>
            </w:pPr>
            <w:r>
              <w:rPr>
                <w:rFonts w:ascii="Arial" w:cs="Arial" w:eastAsia="Arial" w:hAnsi="Arial"/>
                <w:sz w:val="14"/>
                <w:szCs w:val="14"/>
                <w:color w:val="auto"/>
              </w:rPr>
              <w:t>Total capitalization</w:t>
            </w: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$ 257,543 $</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257,543</w:t>
            </w:r>
          </w:p>
        </w:tc>
        <w:tc>
          <w:tcPr>
            <w:tcW w:w="64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980" w:type="dxa"/>
            <w:vAlign w:val="bottom"/>
            <w:gridSpan w:val="3"/>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980" w:type="dxa"/>
            <w:vAlign w:val="bottom"/>
            <w:gridSpan w:val="3"/>
          </w:tcPr>
          <w:p>
            <w:pPr>
              <w:spacing w:after="0"/>
              <w:rPr>
                <w:sz w:val="20"/>
                <w:szCs w:val="20"/>
                <w:color w:val="auto"/>
              </w:rPr>
            </w:pPr>
            <w:r>
              <w:rPr>
                <w:rFonts w:ascii="Arial" w:cs="Arial" w:eastAsia="Arial" w:hAnsi="Arial"/>
                <w:sz w:val="11"/>
                <w:szCs w:val="11"/>
                <w:color w:val="auto"/>
              </w:rPr>
              <w:t>(1) A $1.00 increase (decrease) in the assumed initial public offering price of $</w:t>
            </w:r>
          </w:p>
        </w:tc>
        <w:tc>
          <w:tcPr>
            <w:tcW w:w="2840" w:type="dxa"/>
            <w:vAlign w:val="bottom"/>
            <w:gridSpan w:val="4"/>
          </w:tcPr>
          <w:p>
            <w:pPr>
              <w:jc w:val="right"/>
              <w:ind w:right="248"/>
              <w:spacing w:after="0"/>
              <w:rPr>
                <w:sz w:val="20"/>
                <w:szCs w:val="20"/>
                <w:color w:val="auto"/>
              </w:rPr>
            </w:pPr>
            <w:r>
              <w:rPr>
                <w:rFonts w:ascii="Arial" w:cs="Arial" w:eastAsia="Arial" w:hAnsi="Arial"/>
                <w:sz w:val="11"/>
                <w:szCs w:val="11"/>
                <w:color w:val="auto"/>
              </w:rPr>
              <w:t>per share, the midpoint of the price range set</w:t>
            </w:r>
          </w:p>
        </w:tc>
        <w:tc>
          <w:tcPr>
            <w:tcW w:w="0" w:type="dxa"/>
            <w:vAlign w:val="bottom"/>
          </w:tcPr>
          <w:p>
            <w:pPr>
              <w:spacing w:after="0"/>
              <w:rPr>
                <w:sz w:val="1"/>
                <w:szCs w:val="1"/>
                <w:color w:val="auto"/>
              </w:rPr>
            </w:pPr>
          </w:p>
        </w:tc>
      </w:tr>
      <w:tr>
        <w:trPr>
          <w:trHeight w:val="129"/>
        </w:trPr>
        <w:tc>
          <w:tcPr>
            <w:tcW w:w="6820" w:type="dxa"/>
            <w:vAlign w:val="bottom"/>
            <w:gridSpan w:val="7"/>
          </w:tcPr>
          <w:p>
            <w:pPr>
              <w:spacing w:after="0"/>
              <w:rPr>
                <w:sz w:val="20"/>
                <w:szCs w:val="20"/>
                <w:color w:val="auto"/>
              </w:rPr>
            </w:pPr>
            <w:r>
              <w:rPr>
                <w:rFonts w:ascii="Arial" w:cs="Arial" w:eastAsia="Arial" w:hAnsi="Arial"/>
                <w:sz w:val="11"/>
                <w:szCs w:val="11"/>
                <w:color w:val="auto"/>
              </w:rPr>
              <w:t>forth on the cover page of this prospectus, would increase (decrease) the pro forma as adjusted amount of each of cash, total</w:t>
            </w:r>
          </w:p>
        </w:tc>
        <w:tc>
          <w:tcPr>
            <w:tcW w:w="0" w:type="dxa"/>
            <w:vAlign w:val="bottom"/>
          </w:tcPr>
          <w:p>
            <w:pPr>
              <w:spacing w:after="0"/>
              <w:rPr>
                <w:sz w:val="1"/>
                <w:szCs w:val="1"/>
                <w:color w:val="auto"/>
              </w:rPr>
            </w:pPr>
          </w:p>
        </w:tc>
      </w:tr>
      <w:tr>
        <w:trPr>
          <w:trHeight w:val="129"/>
        </w:trPr>
        <w:tc>
          <w:tcPr>
            <w:tcW w:w="2500" w:type="dxa"/>
            <w:vAlign w:val="bottom"/>
            <w:gridSpan w:val="2"/>
          </w:tcPr>
          <w:p>
            <w:pPr>
              <w:spacing w:after="0"/>
              <w:rPr>
                <w:sz w:val="20"/>
                <w:szCs w:val="20"/>
                <w:color w:val="auto"/>
              </w:rPr>
            </w:pPr>
            <w:r>
              <w:rPr>
                <w:rFonts w:ascii="Arial" w:cs="Arial" w:eastAsia="Arial" w:hAnsi="Arial"/>
                <w:sz w:val="11"/>
                <w:szCs w:val="11"/>
                <w:color w:val="auto"/>
              </w:rPr>
              <w:t>stockholders’ equity, and total capitalization by $</w:t>
            </w:r>
          </w:p>
        </w:tc>
        <w:tc>
          <w:tcPr>
            <w:tcW w:w="4320" w:type="dxa"/>
            <w:vAlign w:val="bottom"/>
            <w:gridSpan w:val="5"/>
          </w:tcPr>
          <w:p>
            <w:pPr>
              <w:jc w:val="right"/>
              <w:ind w:right="248"/>
              <w:spacing w:after="0"/>
              <w:rPr>
                <w:sz w:val="20"/>
                <w:szCs w:val="20"/>
                <w:color w:val="auto"/>
              </w:rPr>
            </w:pPr>
            <w:r>
              <w:rPr>
                <w:rFonts w:ascii="Arial" w:cs="Arial" w:eastAsia="Arial" w:hAnsi="Arial"/>
                <w:sz w:val="11"/>
                <w:szCs w:val="11"/>
                <w:color w:val="auto"/>
              </w:rPr>
              <w:t>million, assuming that the number of shares offered by us, as set forth on</w:t>
            </w:r>
          </w:p>
        </w:tc>
        <w:tc>
          <w:tcPr>
            <w:tcW w:w="0" w:type="dxa"/>
            <w:vAlign w:val="bottom"/>
          </w:tcPr>
          <w:p>
            <w:pPr>
              <w:spacing w:after="0"/>
              <w:rPr>
                <w:sz w:val="1"/>
                <w:szCs w:val="1"/>
                <w:color w:val="auto"/>
              </w:rPr>
            </w:pPr>
          </w:p>
        </w:tc>
      </w:tr>
    </w:tbl>
    <w:p>
      <w:pPr>
        <w:ind w:left="1220" w:right="1259"/>
        <w:spacing w:after="0" w:line="245" w:lineRule="auto"/>
        <w:rPr>
          <w:sz w:val="20"/>
          <w:szCs w:val="20"/>
          <w:color w:val="auto"/>
        </w:rPr>
      </w:pPr>
      <w:r>
        <w:rPr>
          <w:rFonts w:ascii="Arial" w:cs="Arial" w:eastAsia="Arial" w:hAnsi="Arial"/>
          <w:sz w:val="11"/>
          <w:szCs w:val="11"/>
          <w:color w:val="auto"/>
        </w:rPr>
        <w:t>the cover page of this prospectus, remains the same and after deducting estimated underwriting discounts and commissions and estimated offering expenses payable by us. An increase (decrease) of 1.0 million shares in the number of shares offered by us, as set forth on the cover page of this prospectus, would increase (decrease) the pro forma as adjusted amount of each of cash, total</w:t>
      </w:r>
    </w:p>
    <w:p>
      <w:pPr>
        <w:spacing w:after="0" w:line="1" w:lineRule="exact"/>
        <w:rPr>
          <w:sz w:val="20"/>
          <w:szCs w:val="20"/>
          <w:color w:val="auto"/>
        </w:rPr>
      </w:pPr>
    </w:p>
    <w:p>
      <w:pPr>
        <w:ind w:left="1220" w:right="1279"/>
        <w:spacing w:after="0" w:line="251" w:lineRule="auto"/>
        <w:rPr>
          <w:sz w:val="20"/>
          <w:szCs w:val="20"/>
          <w:color w:val="auto"/>
        </w:rPr>
      </w:pPr>
      <w:r>
        <w:rPr>
          <w:rFonts w:ascii="Arial" w:cs="Arial" w:eastAsia="Arial" w:hAnsi="Arial"/>
          <w:sz w:val="11"/>
          <w:szCs w:val="11"/>
          <w:color w:val="auto"/>
        </w:rPr>
        <w:t>stockholders’ deficit, and total capitalization by $ million, assuming no change in the assumed initial public offering price per share and after deducting estimated underwriting discounts and commissions and estimated offering expenses payable by us.</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79" w:name="page80"/>
    <w:bookmarkEnd w:id="7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339"/>
        <w:spacing w:after="0" w:line="280" w:lineRule="auto"/>
        <w:rPr>
          <w:sz w:val="20"/>
          <w:szCs w:val="20"/>
          <w:color w:val="auto"/>
        </w:rPr>
      </w:pPr>
      <w:r>
        <w:rPr>
          <w:rFonts w:ascii="Arial" w:cs="Arial" w:eastAsia="Arial" w:hAnsi="Arial"/>
          <w:sz w:val="14"/>
          <w:szCs w:val="14"/>
          <w:color w:val="auto"/>
        </w:rPr>
        <w:t>The number of shares of our common stock to be outstanding after this offering reflected in the table above is based on 110,247,171 shares of common stock outstanding as of March 31, 2021 (which includes 4,648,745 shares outstanding that are subject to forfeiture or our right to repurchase as of such date), which gives effect to the pro forma transactions described above and excludes:</w:t>
      </w:r>
    </w:p>
    <w:p>
      <w:pPr>
        <w:spacing w:after="0" w:line="252" w:lineRule="exact"/>
        <w:rPr>
          <w:sz w:val="20"/>
          <w:szCs w:val="20"/>
          <w:color w:val="auto"/>
        </w:rPr>
      </w:pPr>
    </w:p>
    <w:p>
      <w:pPr>
        <w:ind w:left="1840" w:hanging="616"/>
        <w:spacing w:after="0"/>
        <w:tabs>
          <w:tab w:leader="none" w:pos="18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shares of our common stock issuable upon the exercise of stock options as of March 31,</w:t>
      </w:r>
    </w:p>
    <w:p>
      <w:pPr>
        <w:spacing w:after="0" w:line="22" w:lineRule="exact"/>
        <w:rPr>
          <w:sz w:val="20"/>
          <w:szCs w:val="20"/>
          <w:color w:val="auto"/>
        </w:rPr>
      </w:pPr>
    </w:p>
    <w:p>
      <w:pPr>
        <w:ind w:left="1340"/>
        <w:spacing w:after="0"/>
        <w:tabs>
          <w:tab w:leader="none" w:pos="5020" w:val="left"/>
        </w:tabs>
        <w:rPr>
          <w:sz w:val="20"/>
          <w:szCs w:val="20"/>
          <w:color w:val="auto"/>
        </w:rPr>
      </w:pPr>
      <w:r>
        <w:rPr>
          <w:rFonts w:ascii="Arial" w:cs="Arial" w:eastAsia="Arial" w:hAnsi="Arial"/>
          <w:sz w:val="14"/>
          <w:szCs w:val="14"/>
          <w:color w:val="auto"/>
        </w:rPr>
        <w:t>2021, at a weighted-average exercise price of $</w:t>
      </w:r>
      <w:r>
        <w:rPr>
          <w:sz w:val="20"/>
          <w:szCs w:val="20"/>
          <w:color w:val="auto"/>
        </w:rPr>
        <w:tab/>
      </w:r>
      <w:r>
        <w:rPr>
          <w:rFonts w:ascii="Arial" w:cs="Arial" w:eastAsia="Arial" w:hAnsi="Arial"/>
          <w:sz w:val="14"/>
          <w:szCs w:val="14"/>
          <w:color w:val="auto"/>
        </w:rPr>
        <w:t>per share;</w:t>
      </w:r>
    </w:p>
    <w:p>
      <w:pPr>
        <w:spacing w:after="0" w:line="109" w:lineRule="exact"/>
        <w:rPr>
          <w:sz w:val="20"/>
          <w:szCs w:val="20"/>
          <w:color w:val="auto"/>
        </w:rPr>
      </w:pPr>
    </w:p>
    <w:p>
      <w:pPr>
        <w:ind w:left="1340" w:right="1819" w:hanging="116"/>
        <w:spacing w:after="0" w:line="290" w:lineRule="auto"/>
        <w:tabs>
          <w:tab w:leader="none" w:pos="1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40,540 shares of our common stock issuable upon the exercise of warrants to purchase common stock, at a weighted-average exercise price of $5.55 per share;</w:t>
      </w:r>
    </w:p>
    <w:p>
      <w:pPr>
        <w:spacing w:after="0" w:line="64" w:lineRule="exact"/>
        <w:rPr>
          <w:rFonts w:ascii="Arial" w:cs="Arial" w:eastAsia="Arial" w:hAnsi="Arial"/>
          <w:sz w:val="14"/>
          <w:szCs w:val="14"/>
          <w:color w:val="auto"/>
        </w:rPr>
      </w:pPr>
    </w:p>
    <w:p>
      <w:pPr>
        <w:ind w:left="1340" w:right="1659" w:hanging="116"/>
        <w:spacing w:after="0" w:line="290" w:lineRule="auto"/>
        <w:tabs>
          <w:tab w:leader="none" w:pos="1841" w:val="left"/>
        </w:tabs>
        <w:numPr>
          <w:ilvl w:val="0"/>
          <w:numId w:val="55"/>
        </w:numPr>
        <w:rPr>
          <w:rFonts w:ascii="Arial" w:cs="Arial" w:eastAsia="Arial" w:hAnsi="Arial"/>
          <w:sz w:val="14"/>
          <w:szCs w:val="14"/>
          <w:color w:val="auto"/>
        </w:rPr>
      </w:pPr>
      <w:r>
        <w:rPr>
          <w:rFonts w:ascii="Arial" w:cs="Arial" w:eastAsia="Arial" w:hAnsi="Arial"/>
          <w:sz w:val="14"/>
          <w:szCs w:val="14"/>
          <w:color w:val="auto"/>
        </w:rPr>
        <w:t>shares of our common stock reserved for issuance pursuant to future awards as of March 31, 2021 under the 2018 Plan;</w:t>
      </w:r>
    </w:p>
    <w:p>
      <w:pPr>
        <w:spacing w:after="0" w:line="64" w:lineRule="exact"/>
        <w:rPr>
          <w:rFonts w:ascii="Arial" w:cs="Arial" w:eastAsia="Arial" w:hAnsi="Arial"/>
          <w:sz w:val="14"/>
          <w:szCs w:val="14"/>
          <w:color w:val="auto"/>
        </w:rPr>
      </w:pPr>
    </w:p>
    <w:p>
      <w:pPr>
        <w:jc w:val="both"/>
        <w:ind w:left="1340" w:right="1259" w:hanging="116"/>
        <w:spacing w:after="0" w:line="278" w:lineRule="auto"/>
        <w:tabs>
          <w:tab w:leader="none" w:pos="1841" w:val="left"/>
        </w:tabs>
        <w:numPr>
          <w:ilvl w:val="0"/>
          <w:numId w:val="55"/>
        </w:numPr>
        <w:rPr>
          <w:rFonts w:ascii="Arial" w:cs="Arial" w:eastAsia="Arial" w:hAnsi="Arial"/>
          <w:sz w:val="14"/>
          <w:szCs w:val="14"/>
          <w:color w:val="auto"/>
        </w:rPr>
      </w:pPr>
      <w:r>
        <w:rPr>
          <w:rFonts w:ascii="Arial" w:cs="Arial" w:eastAsia="Arial" w:hAnsi="Arial"/>
          <w:sz w:val="14"/>
          <w:szCs w:val="14"/>
          <w:color w:val="auto"/>
        </w:rPr>
        <w:t>shares of our common stock reserved for future issuance under the 2021 Plan which will become effective upon the effectiveness of the Registration Statement of which this prospectus forms a part, as well as any future increases in the number of shares of our common stock reserved for future issuance pursuant to the 2021 Plan; and</w:t>
      </w:r>
    </w:p>
    <w:p>
      <w:pPr>
        <w:spacing w:after="0" w:line="74" w:lineRule="exact"/>
        <w:rPr>
          <w:rFonts w:ascii="Arial" w:cs="Arial" w:eastAsia="Arial" w:hAnsi="Arial"/>
          <w:sz w:val="14"/>
          <w:szCs w:val="14"/>
          <w:color w:val="auto"/>
        </w:rPr>
      </w:pPr>
    </w:p>
    <w:p>
      <w:pPr>
        <w:ind w:left="1340" w:right="1339" w:hanging="116"/>
        <w:spacing w:after="0" w:line="278" w:lineRule="auto"/>
        <w:tabs>
          <w:tab w:leader="none" w:pos="1841" w:val="left"/>
        </w:tabs>
        <w:numPr>
          <w:ilvl w:val="0"/>
          <w:numId w:val="55"/>
        </w:numPr>
        <w:rPr>
          <w:rFonts w:ascii="Arial" w:cs="Arial" w:eastAsia="Arial" w:hAnsi="Arial"/>
          <w:sz w:val="14"/>
          <w:szCs w:val="14"/>
          <w:color w:val="auto"/>
        </w:rPr>
      </w:pPr>
      <w:r>
        <w:rPr>
          <w:rFonts w:ascii="Arial" w:cs="Arial" w:eastAsia="Arial" w:hAnsi="Arial"/>
          <w:sz w:val="14"/>
          <w:szCs w:val="14"/>
          <w:color w:val="auto"/>
        </w:rPr>
        <w:t>shares of our common stock reserved for future issuance under our ESPP will become effective upon the effectiveness of the Registration Statement of which this prospectus forms a part, as well as any future increases in the number of shares of common stock reserved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0" w:name="page81"/>
    <w:bookmarkEnd w:id="8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Dilution</w:t>
      </w:r>
    </w:p>
    <w:p>
      <w:pPr>
        <w:spacing w:after="0" w:line="90" w:lineRule="exact"/>
        <w:rPr>
          <w:sz w:val="20"/>
          <w:szCs w:val="20"/>
          <w:color w:val="auto"/>
        </w:rPr>
      </w:pPr>
    </w:p>
    <w:p>
      <w:pPr>
        <w:ind w:left="1220" w:right="1419"/>
        <w:spacing w:after="0" w:line="278" w:lineRule="auto"/>
        <w:rPr>
          <w:sz w:val="20"/>
          <w:szCs w:val="20"/>
          <w:color w:val="auto"/>
        </w:rPr>
      </w:pPr>
      <w:r>
        <w:rPr>
          <w:rFonts w:ascii="Arial" w:cs="Arial" w:eastAsia="Arial" w:hAnsi="Arial"/>
          <w:sz w:val="14"/>
          <w:szCs w:val="14"/>
          <w:color w:val="auto"/>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after this offering. The data in this section are derived from our balance sheet as of March 31, 2021.</w:t>
      </w:r>
    </w:p>
    <w:p>
      <w:pPr>
        <w:spacing w:after="0" w:line="63" w:lineRule="exact"/>
        <w:rPr>
          <w:sz w:val="20"/>
          <w:szCs w:val="20"/>
          <w:color w:val="auto"/>
        </w:rPr>
      </w:pPr>
    </w:p>
    <w:p>
      <w:pPr>
        <w:ind w:left="1220"/>
        <w:spacing w:after="0"/>
        <w:tabs>
          <w:tab w:leader="none" w:pos="6660" w:val="left"/>
        </w:tabs>
        <w:rPr>
          <w:sz w:val="20"/>
          <w:szCs w:val="20"/>
          <w:color w:val="auto"/>
        </w:rPr>
      </w:pPr>
      <w:r>
        <w:rPr>
          <w:rFonts w:ascii="Arial" w:cs="Arial" w:eastAsia="Arial" w:hAnsi="Arial"/>
          <w:sz w:val="14"/>
          <w:szCs w:val="14"/>
          <w:color w:val="auto"/>
        </w:rPr>
        <w:t>Our historical net tangible book value (deficit) as of March 31, 2021 was $</w:t>
      </w:r>
      <w:r>
        <w:rPr>
          <w:sz w:val="20"/>
          <w:szCs w:val="20"/>
          <w:color w:val="auto"/>
        </w:rPr>
        <w:tab/>
      </w:r>
      <w:r>
        <w:rPr>
          <w:rFonts w:ascii="Arial" w:cs="Arial" w:eastAsia="Arial" w:hAnsi="Arial"/>
          <w:sz w:val="14"/>
          <w:szCs w:val="14"/>
          <w:color w:val="auto"/>
        </w:rPr>
        <w:t>million, or</w:t>
      </w:r>
    </w:p>
    <w:p>
      <w:pPr>
        <w:spacing w:after="0" w:line="22" w:lineRule="exact"/>
        <w:rPr>
          <w:sz w:val="20"/>
          <w:szCs w:val="20"/>
          <w:color w:val="auto"/>
        </w:rPr>
      </w:pPr>
    </w:p>
    <w:p>
      <w:pPr>
        <w:ind w:left="1220" w:right="1259" w:firstLine="4"/>
        <w:spacing w:after="0" w:line="278" w:lineRule="auto"/>
        <w:tabs>
          <w:tab w:leader="none" w:pos="1805" w:val="left"/>
        </w:tabs>
        <w:numPr>
          <w:ilvl w:val="0"/>
          <w:numId w:val="56"/>
        </w:numPr>
        <w:rPr>
          <w:rFonts w:ascii="Arial" w:cs="Arial" w:eastAsia="Arial" w:hAnsi="Arial"/>
          <w:sz w:val="14"/>
          <w:szCs w:val="14"/>
          <w:color w:val="auto"/>
        </w:rPr>
      </w:pPr>
      <w:r>
        <w:rPr>
          <w:rFonts w:ascii="Arial" w:cs="Arial" w:eastAsia="Arial" w:hAnsi="Arial"/>
          <w:sz w:val="14"/>
          <w:szCs w:val="14"/>
          <w:color w:val="auto"/>
        </w:rPr>
        <w:t>per share of our common stock. Our historical net tangible book value (deficit) represents our total tangible assets less total liabilities and convertible preferred stock. Historical net tangible book value (deficit) per share is our historical net tangible book value (deficit) divided by the number of shares of our common stock outstanding as of March 31, 2021.</w:t>
      </w:r>
    </w:p>
    <w:p>
      <w:pPr>
        <w:spacing w:after="0" w:line="6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Our pro forma net tangible book value as of March 31, 2021, before giving effect to this offering,</w:t>
      </w:r>
    </w:p>
    <w:p>
      <w:pPr>
        <w:spacing w:after="0" w:line="22" w:lineRule="exact"/>
        <w:rPr>
          <w:sz w:val="20"/>
          <w:szCs w:val="20"/>
          <w:color w:val="auto"/>
        </w:rPr>
      </w:pPr>
    </w:p>
    <w:p>
      <w:pPr>
        <w:ind w:left="1220" w:right="1679"/>
        <w:spacing w:after="0" w:line="273" w:lineRule="auto"/>
        <w:rPr>
          <w:sz w:val="20"/>
          <w:szCs w:val="20"/>
          <w:color w:val="auto"/>
        </w:rPr>
      </w:pPr>
      <w:r>
        <w:rPr>
          <w:rFonts w:ascii="Arial" w:cs="Arial" w:eastAsia="Arial" w:hAnsi="Arial"/>
          <w:sz w:val="14"/>
          <w:szCs w:val="14"/>
          <w:color w:val="auto"/>
        </w:rPr>
        <w:t>was $ million, or $ per share. Pro forma net tangible book value, before the issuance and sale of shares in this offering, gives effect to the conversion of all outstanding</w:t>
      </w:r>
    </w:p>
    <w:p>
      <w:pPr>
        <w:spacing w:after="0" w:line="1" w:lineRule="exact"/>
        <w:rPr>
          <w:sz w:val="20"/>
          <w:szCs w:val="20"/>
          <w:color w:val="auto"/>
        </w:rPr>
      </w:pPr>
    </w:p>
    <w:p>
      <w:pPr>
        <w:ind w:left="1220" w:right="1539"/>
        <w:spacing w:after="0" w:line="290" w:lineRule="auto"/>
        <w:rPr>
          <w:sz w:val="20"/>
          <w:szCs w:val="20"/>
          <w:color w:val="auto"/>
        </w:rPr>
      </w:pPr>
      <w:r>
        <w:rPr>
          <w:rFonts w:ascii="Arial" w:cs="Arial" w:eastAsia="Arial" w:hAnsi="Arial"/>
          <w:sz w:val="14"/>
          <w:szCs w:val="14"/>
          <w:color w:val="auto"/>
        </w:rPr>
        <w:t>shares of our convertible preferred stock into an aggregate of shares of common stock upon the closing of this offering.</w:t>
      </w:r>
    </w:p>
    <w:p>
      <w:pPr>
        <w:spacing w:after="0" w:line="43" w:lineRule="exact"/>
        <w:rPr>
          <w:sz w:val="20"/>
          <w:szCs w:val="20"/>
          <w:color w:val="auto"/>
        </w:rPr>
      </w:pPr>
    </w:p>
    <w:p>
      <w:pPr>
        <w:ind w:left="1220" w:right="1259"/>
        <w:spacing w:after="0" w:line="281" w:lineRule="auto"/>
        <w:rPr>
          <w:sz w:val="20"/>
          <w:szCs w:val="20"/>
          <w:color w:val="auto"/>
        </w:rPr>
      </w:pPr>
      <w:r>
        <w:rPr>
          <w:rFonts w:ascii="Arial" w:cs="Arial" w:eastAsia="Arial" w:hAnsi="Arial"/>
          <w:sz w:val="14"/>
          <w:szCs w:val="14"/>
          <w:color w:val="auto"/>
        </w:rPr>
        <w:t>Pro forma net tangible book value per share represents pro forma net tangible book value divided by the total number of shares outstanding as of March 31, 2021 after giving effect to the pro forma adjustments described above.</w:t>
      </w:r>
    </w:p>
    <w:p>
      <w:pPr>
        <w:spacing w:after="0" w:line="60" w:lineRule="exact"/>
        <w:rPr>
          <w:sz w:val="20"/>
          <w:szCs w:val="20"/>
          <w:color w:val="auto"/>
        </w:rPr>
      </w:pPr>
    </w:p>
    <w:p>
      <w:pPr>
        <w:ind w:left="1220" w:right="1279"/>
        <w:spacing w:after="0" w:line="273" w:lineRule="auto"/>
        <w:rPr>
          <w:sz w:val="20"/>
          <w:szCs w:val="20"/>
          <w:color w:val="auto"/>
        </w:rPr>
      </w:pPr>
      <w:r>
        <w:rPr>
          <w:rFonts w:ascii="Arial" w:cs="Arial" w:eastAsia="Arial" w:hAnsi="Arial"/>
          <w:sz w:val="14"/>
          <w:szCs w:val="14"/>
          <w:color w:val="auto"/>
        </w:rPr>
        <w:t>Net tangible book value dilution per share to new investors represents the difference between the amount per share paid by purchasers of common stock in this offering and the pro forma as adjusted net tangible book value per share of our common stock immediately following the closing of this offering. After giving effect to the pro forma transactions described above and the sale of shares of common stock in this offering at an assumed initial public offering price of</w:t>
      </w:r>
    </w:p>
    <w:p>
      <w:pPr>
        <w:spacing w:after="0" w:line="1" w:lineRule="exact"/>
        <w:rPr>
          <w:sz w:val="20"/>
          <w:szCs w:val="20"/>
          <w:color w:val="auto"/>
        </w:rPr>
      </w:pPr>
    </w:p>
    <w:p>
      <w:pPr>
        <w:jc w:val="both"/>
        <w:ind w:left="1220" w:right="1259" w:firstLine="4"/>
        <w:spacing w:after="0" w:line="273" w:lineRule="auto"/>
        <w:tabs>
          <w:tab w:leader="none" w:pos="1805" w:val="left"/>
        </w:tabs>
        <w:numPr>
          <w:ilvl w:val="0"/>
          <w:numId w:val="57"/>
        </w:numPr>
        <w:rPr>
          <w:rFonts w:ascii="Arial" w:cs="Arial" w:eastAsia="Arial" w:hAnsi="Arial"/>
          <w:sz w:val="14"/>
          <w:szCs w:val="14"/>
          <w:color w:val="auto"/>
        </w:rPr>
      </w:pPr>
      <w:r>
        <w:rPr>
          <w:rFonts w:ascii="Arial" w:cs="Arial" w:eastAsia="Arial" w:hAnsi="Arial"/>
          <w:sz w:val="14"/>
          <w:szCs w:val="14"/>
          <w:color w:val="auto"/>
        </w:rPr>
        <w:t>per share, the midpoint of the price range set forth on the cover page of this prospectus, and after deducting the underwriting discounts and commissions and estimated offering expenses payable by us, our pro forma as adjusted net tangible book value as of March 31, 2021 would</w:t>
      </w:r>
    </w:p>
    <w:p>
      <w:pPr>
        <w:spacing w:after="0" w:line="1" w:lineRule="exact"/>
        <w:rPr>
          <w:sz w:val="20"/>
          <w:szCs w:val="20"/>
          <w:color w:val="auto"/>
        </w:rPr>
      </w:pPr>
    </w:p>
    <w:tbl>
      <w:tblPr>
        <w:tblLayout w:type="fixed"/>
        <w:tblInd w:w="122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4"/>
                <w:szCs w:val="14"/>
                <w:color w:val="auto"/>
              </w:rPr>
              <w:t>have been $</w:t>
            </w:r>
          </w:p>
        </w:tc>
        <w:tc>
          <w:tcPr>
            <w:tcW w:w="1240" w:type="dxa"/>
            <w:vAlign w:val="bottom"/>
          </w:tcPr>
          <w:p>
            <w:pPr>
              <w:ind w:left="260"/>
              <w:spacing w:after="0"/>
              <w:rPr>
                <w:sz w:val="20"/>
                <w:szCs w:val="20"/>
                <w:color w:val="auto"/>
              </w:rPr>
            </w:pPr>
            <w:r>
              <w:rPr>
                <w:rFonts w:ascii="Arial" w:cs="Arial" w:eastAsia="Arial" w:hAnsi="Arial"/>
                <w:sz w:val="14"/>
                <w:szCs w:val="14"/>
                <w:color w:val="auto"/>
              </w:rPr>
              <w:t>million, or $</w:t>
            </w:r>
          </w:p>
        </w:tc>
        <w:tc>
          <w:tcPr>
            <w:tcW w:w="4900" w:type="dxa"/>
            <w:vAlign w:val="bottom"/>
            <w:gridSpan w:val="5"/>
          </w:tcPr>
          <w:p>
            <w:pPr>
              <w:jc w:val="right"/>
              <w:ind w:right="1028"/>
              <w:spacing w:after="0"/>
              <w:rPr>
                <w:sz w:val="20"/>
                <w:szCs w:val="20"/>
                <w:color w:val="auto"/>
              </w:rPr>
            </w:pPr>
            <w:r>
              <w:rPr>
                <w:rFonts w:ascii="Arial" w:cs="Arial" w:eastAsia="Arial" w:hAnsi="Arial"/>
                <w:sz w:val="14"/>
                <w:szCs w:val="14"/>
                <w:color w:val="auto"/>
              </w:rPr>
              <w:t>per share. This represents an immediate increase in</w:t>
            </w:r>
          </w:p>
        </w:tc>
        <w:tc>
          <w:tcPr>
            <w:tcW w:w="0" w:type="dxa"/>
            <w:vAlign w:val="bottom"/>
          </w:tcPr>
          <w:p>
            <w:pPr>
              <w:spacing w:after="0"/>
              <w:rPr>
                <w:sz w:val="1"/>
                <w:szCs w:val="1"/>
                <w:color w:val="auto"/>
              </w:rPr>
            </w:pPr>
          </w:p>
        </w:tc>
      </w:tr>
      <w:tr>
        <w:trPr>
          <w:trHeight w:val="183"/>
        </w:trPr>
        <w:tc>
          <w:tcPr>
            <w:tcW w:w="3620" w:type="dxa"/>
            <w:vAlign w:val="bottom"/>
            <w:gridSpan w:val="4"/>
          </w:tcPr>
          <w:p>
            <w:pPr>
              <w:spacing w:after="0"/>
              <w:rPr>
                <w:sz w:val="20"/>
                <w:szCs w:val="20"/>
                <w:color w:val="auto"/>
              </w:rPr>
            </w:pPr>
            <w:r>
              <w:rPr>
                <w:rFonts w:ascii="Arial" w:cs="Arial" w:eastAsia="Arial" w:hAnsi="Arial"/>
                <w:sz w:val="14"/>
                <w:szCs w:val="14"/>
                <w:color w:val="auto"/>
              </w:rPr>
              <w:t>pro forma as adjusted net tangible book value of $</w:t>
            </w:r>
          </w:p>
        </w:tc>
        <w:tc>
          <w:tcPr>
            <w:tcW w:w="3600" w:type="dxa"/>
            <w:vAlign w:val="bottom"/>
            <w:gridSpan w:val="4"/>
          </w:tcPr>
          <w:p>
            <w:pPr>
              <w:jc w:val="right"/>
              <w:ind w:right="748"/>
              <w:spacing w:after="0"/>
              <w:rPr>
                <w:sz w:val="20"/>
                <w:szCs w:val="20"/>
                <w:color w:val="auto"/>
              </w:rPr>
            </w:pPr>
            <w:r>
              <w:rPr>
                <w:rFonts w:ascii="Arial" w:cs="Arial" w:eastAsia="Arial" w:hAnsi="Arial"/>
                <w:sz w:val="14"/>
                <w:szCs w:val="14"/>
                <w:color w:val="auto"/>
              </w:rPr>
              <w:t>per share to our existing stockholders</w:t>
            </w:r>
          </w:p>
        </w:tc>
        <w:tc>
          <w:tcPr>
            <w:tcW w:w="0" w:type="dxa"/>
            <w:vAlign w:val="bottom"/>
          </w:tcPr>
          <w:p>
            <w:pPr>
              <w:spacing w:after="0"/>
              <w:rPr>
                <w:sz w:val="1"/>
                <w:szCs w:val="1"/>
                <w:color w:val="auto"/>
              </w:rPr>
            </w:pPr>
          </w:p>
        </w:tc>
      </w:tr>
      <w:tr>
        <w:trPr>
          <w:trHeight w:val="183"/>
        </w:trPr>
        <w:tc>
          <w:tcPr>
            <w:tcW w:w="2320" w:type="dxa"/>
            <w:vAlign w:val="bottom"/>
            <w:gridSpan w:val="3"/>
          </w:tcPr>
          <w:p>
            <w:pPr>
              <w:spacing w:after="0"/>
              <w:rPr>
                <w:sz w:val="20"/>
                <w:szCs w:val="20"/>
                <w:color w:val="auto"/>
              </w:rPr>
            </w:pPr>
            <w:r>
              <w:rPr>
                <w:rFonts w:ascii="Arial" w:cs="Arial" w:eastAsia="Arial" w:hAnsi="Arial"/>
                <w:sz w:val="14"/>
                <w:szCs w:val="14"/>
                <w:color w:val="auto"/>
              </w:rPr>
              <w:t>and an immediate dilution of $</w:t>
            </w:r>
          </w:p>
        </w:tc>
        <w:tc>
          <w:tcPr>
            <w:tcW w:w="4900" w:type="dxa"/>
            <w:vAlign w:val="bottom"/>
            <w:gridSpan w:val="5"/>
          </w:tcPr>
          <w:p>
            <w:pPr>
              <w:jc w:val="right"/>
              <w:ind w:right="628"/>
              <w:spacing w:after="0"/>
              <w:rPr>
                <w:sz w:val="20"/>
                <w:szCs w:val="20"/>
                <w:color w:val="auto"/>
              </w:rPr>
            </w:pPr>
            <w:r>
              <w:rPr>
                <w:rFonts w:ascii="Arial" w:cs="Arial" w:eastAsia="Arial" w:hAnsi="Arial"/>
                <w:sz w:val="14"/>
                <w:szCs w:val="14"/>
                <w:color w:val="auto"/>
              </w:rPr>
              <w:t>per share to new investors participating in this offering. The</w:t>
            </w:r>
          </w:p>
        </w:tc>
        <w:tc>
          <w:tcPr>
            <w:tcW w:w="0" w:type="dxa"/>
            <w:vAlign w:val="bottom"/>
          </w:tcPr>
          <w:p>
            <w:pPr>
              <w:spacing w:after="0"/>
              <w:rPr>
                <w:sz w:val="1"/>
                <w:szCs w:val="1"/>
                <w:color w:val="auto"/>
              </w:rPr>
            </w:pPr>
          </w:p>
        </w:tc>
      </w:tr>
      <w:tr>
        <w:trPr>
          <w:trHeight w:val="183"/>
        </w:trPr>
        <w:tc>
          <w:tcPr>
            <w:tcW w:w="5820" w:type="dxa"/>
            <w:vAlign w:val="bottom"/>
            <w:gridSpan w:val="5"/>
          </w:tcPr>
          <w:p>
            <w:pPr>
              <w:spacing w:after="0"/>
              <w:rPr>
                <w:sz w:val="20"/>
                <w:szCs w:val="20"/>
                <w:color w:val="auto"/>
              </w:rPr>
            </w:pPr>
            <w:r>
              <w:rPr>
                <w:rFonts w:ascii="Arial" w:cs="Arial" w:eastAsia="Arial" w:hAnsi="Arial"/>
                <w:sz w:val="14"/>
                <w:szCs w:val="14"/>
                <w:color w:val="auto"/>
              </w:rPr>
              <w:t>following table illustrates this dilution on a per share basis:</w:t>
            </w: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620" w:type="dxa"/>
            <w:vAlign w:val="bottom"/>
            <w:gridSpan w:val="4"/>
          </w:tcPr>
          <w:p>
            <w:pPr>
              <w:spacing w:after="0"/>
              <w:rPr>
                <w:sz w:val="10"/>
                <w:szCs w:val="10"/>
                <w:color w:val="auto"/>
              </w:rPr>
            </w:pPr>
          </w:p>
        </w:tc>
        <w:tc>
          <w:tcPr>
            <w:tcW w:w="2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tcBorders>
              <w:top w:val="single" w:sz="8" w:color="auto"/>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Assumed initial public offering price per share</w:t>
            </w:r>
          </w:p>
        </w:tc>
        <w:tc>
          <w:tcPr>
            <w:tcW w:w="2200" w:type="dxa"/>
            <w:vAlign w:val="bottom"/>
            <w:tcBorders>
              <w:top w:val="single" w:sz="8" w:color="auto"/>
              <w:bottom w:val="single" w:sz="8" w:color="CCEEFF"/>
            </w:tcBorders>
            <w:shd w:val="clear" w:color="auto" w:fill="CCEEFF"/>
          </w:tcPr>
          <w:p>
            <w:pPr>
              <w:spacing w:after="0"/>
              <w:rPr>
                <w:sz w:val="17"/>
                <w:szCs w:val="17"/>
                <w:color w:val="auto"/>
              </w:rPr>
            </w:pPr>
          </w:p>
        </w:tc>
        <w:tc>
          <w:tcPr>
            <w:tcW w:w="1400" w:type="dxa"/>
            <w:vAlign w:val="bottom"/>
            <w:tcBorders>
              <w:top w:val="single" w:sz="8" w:color="auto"/>
              <w:bottom w:val="single" w:sz="8" w:color="CCEEFF"/>
            </w:tcBorders>
            <w:gridSpan w:val="3"/>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820" w:type="dxa"/>
            <w:vAlign w:val="bottom"/>
            <w:gridSpan w:val="5"/>
          </w:tcPr>
          <w:p>
            <w:pPr>
              <w:spacing w:after="0"/>
              <w:rPr>
                <w:sz w:val="20"/>
                <w:szCs w:val="20"/>
                <w:color w:val="auto"/>
              </w:rPr>
            </w:pPr>
            <w:r>
              <w:rPr>
                <w:rFonts w:ascii="Arial" w:cs="Arial" w:eastAsia="Arial" w:hAnsi="Arial"/>
                <w:sz w:val="14"/>
                <w:szCs w:val="14"/>
                <w:color w:val="auto"/>
              </w:rPr>
              <w:t>Historical net tangible book value (deficit) per share as of March 31, 2021</w:t>
            </w:r>
          </w:p>
        </w:tc>
        <w:tc>
          <w:tcPr>
            <w:tcW w:w="1400" w:type="dxa"/>
            <w:vAlign w:val="bottom"/>
            <w:gridSpan w:val="3"/>
          </w:tcPr>
          <w:p>
            <w:pPr>
              <w:jc w:val="right"/>
              <w:ind w:right="3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20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62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Pro forma increase in net tangible book value per share as of March 31, 2021 attributable to</w:t>
            </w:r>
          </w:p>
        </w:tc>
        <w:tc>
          <w:tcPr>
            <w:tcW w:w="100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6"/>
                <w:szCs w:val="16"/>
                <w:color w:val="auto"/>
              </w:rPr>
            </w:pPr>
          </w:p>
        </w:tc>
        <w:tc>
          <w:tcPr>
            <w:tcW w:w="36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the pro forma transactions described above</w:t>
            </w:r>
          </w:p>
        </w:tc>
        <w:tc>
          <w:tcPr>
            <w:tcW w:w="2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200" w:type="dxa"/>
            <w:vAlign w:val="bottom"/>
            <w:tcBorders>
              <w:top w:val="single" w:sz="8" w:color="CCEEFF"/>
            </w:tcBorders>
            <w:gridSpan w:val="5"/>
          </w:tcPr>
          <w:p>
            <w:pPr>
              <w:spacing w:after="0"/>
              <w:rPr>
                <w:sz w:val="20"/>
                <w:szCs w:val="20"/>
                <w:color w:val="auto"/>
              </w:rPr>
            </w:pPr>
            <w:r>
              <w:rPr>
                <w:rFonts w:ascii="Arial" w:cs="Arial" w:eastAsia="Arial" w:hAnsi="Arial"/>
                <w:sz w:val="14"/>
                <w:szCs w:val="14"/>
                <w:color w:val="auto"/>
              </w:rPr>
              <w:t>Pro forma net tangible book value per share as of March 31, 2021 before giving effect to this</w:t>
            </w:r>
          </w:p>
        </w:tc>
        <w:tc>
          <w:tcPr>
            <w:tcW w:w="500" w:type="dxa"/>
            <w:vAlign w:val="bottom"/>
            <w:tcBorders>
              <w:top w:val="single" w:sz="8" w:color="auto"/>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Arial" w:cs="Arial" w:eastAsia="Arial" w:hAnsi="Arial"/>
                <w:sz w:val="14"/>
                <w:szCs w:val="14"/>
                <w:color w:val="auto"/>
              </w:rPr>
              <w:t>offering</w:t>
            </w: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800" w:type="dxa"/>
            <w:vAlign w:val="bottom"/>
            <w:gridSpan w:val="4"/>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8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Increase in pro forma net tangible book value per share attributable to new investors</w:t>
            </w: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6"/>
                <w:szCs w:val="16"/>
                <w:color w:val="auto"/>
              </w:rPr>
            </w:pPr>
          </w:p>
        </w:tc>
        <w:tc>
          <w:tcPr>
            <w:tcW w:w="2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participating in this offering</w:t>
            </w:r>
          </w:p>
        </w:tc>
        <w:tc>
          <w:tcPr>
            <w:tcW w:w="130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0" w:type="dxa"/>
            <w:vAlign w:val="bottom"/>
            <w:tcBorders>
              <w:top w:val="single" w:sz="8" w:color="CCEEFF"/>
              <w:bottom w:val="single" w:sz="8" w:color="CCEEFF"/>
            </w:tcBorders>
            <w:gridSpan w:val="4"/>
          </w:tcPr>
          <w:p>
            <w:pPr>
              <w:spacing w:after="0"/>
              <w:rPr>
                <w:sz w:val="20"/>
                <w:szCs w:val="20"/>
                <w:color w:val="auto"/>
              </w:rPr>
            </w:pPr>
            <w:r>
              <w:rPr>
                <w:rFonts w:ascii="Arial" w:cs="Arial" w:eastAsia="Arial" w:hAnsi="Arial"/>
                <w:sz w:val="14"/>
                <w:szCs w:val="14"/>
                <w:color w:val="auto"/>
              </w:rPr>
              <w:t>Pro forma as adjusted net tangible book value per share immediately after this offering</w:t>
            </w:r>
          </w:p>
        </w:tc>
        <w:tc>
          <w:tcPr>
            <w:tcW w:w="400" w:type="dxa"/>
            <w:vAlign w:val="bottom"/>
            <w:tcBorders>
              <w:top w:val="single" w:sz="8" w:color="CCEEFF"/>
              <w:bottom w:val="single" w:sz="8" w:color="CCEEFF"/>
            </w:tcBorders>
          </w:tcPr>
          <w:p>
            <w:pPr>
              <w:spacing w:after="0"/>
              <w:rPr>
                <w:sz w:val="14"/>
                <w:szCs w:val="14"/>
                <w:color w:val="auto"/>
              </w:rPr>
            </w:pPr>
          </w:p>
        </w:tc>
        <w:tc>
          <w:tcPr>
            <w:tcW w:w="500" w:type="dxa"/>
            <w:vAlign w:val="bottom"/>
            <w:tcBorders>
              <w:top w:val="single" w:sz="8" w:color="auto"/>
              <w:bottom w:val="single" w:sz="8" w:color="CCEEFF"/>
            </w:tcBorders>
          </w:tcPr>
          <w:p>
            <w:pPr>
              <w:spacing w:after="0"/>
              <w:rPr>
                <w:sz w:val="14"/>
                <w:szCs w:val="14"/>
                <w:color w:val="auto"/>
              </w:rPr>
            </w:pPr>
          </w:p>
        </w:tc>
        <w:tc>
          <w:tcPr>
            <w:tcW w:w="500" w:type="dxa"/>
            <w:vAlign w:val="bottom"/>
            <w:tcBorders>
              <w:top w:val="single" w:sz="8" w:color="CCEEFF"/>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8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Dilution per share to new investors participating in this offering</w:t>
            </w:r>
          </w:p>
        </w:tc>
        <w:tc>
          <w:tcPr>
            <w:tcW w:w="900" w:type="dxa"/>
            <w:vAlign w:val="bottom"/>
            <w:tcBorders>
              <w:bottom w:val="single" w:sz="8" w:color="CCEEFF"/>
            </w:tcBorders>
            <w:gridSpan w:val="2"/>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800" w:type="dxa"/>
            <w:vAlign w:val="bottom"/>
            <w:gridSpan w:val="4"/>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820" w:type="dxa"/>
            <w:vAlign w:val="bottom"/>
            <w:gridSpan w:val="5"/>
          </w:tcPr>
          <w:p>
            <w:pPr>
              <w:spacing w:after="0"/>
              <w:rPr>
                <w:sz w:val="20"/>
                <w:szCs w:val="20"/>
                <w:color w:val="auto"/>
              </w:rPr>
            </w:pPr>
            <w:r>
              <w:rPr>
                <w:rFonts w:ascii="Arial" w:cs="Arial" w:eastAsia="Arial" w:hAnsi="Arial"/>
                <w:sz w:val="14"/>
                <w:szCs w:val="14"/>
                <w:color w:val="auto"/>
              </w:rPr>
              <w:t>Each $1.00 increase or decrease in the assumed initial public offering price of $</w:t>
            </w:r>
          </w:p>
        </w:tc>
        <w:tc>
          <w:tcPr>
            <w:tcW w:w="1400" w:type="dxa"/>
            <w:vAlign w:val="bottom"/>
            <w:gridSpan w:val="3"/>
          </w:tcPr>
          <w:p>
            <w:pPr>
              <w:jc w:val="right"/>
              <w:ind w:right="608"/>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183"/>
        </w:trPr>
        <w:tc>
          <w:tcPr>
            <w:tcW w:w="7220" w:type="dxa"/>
            <w:vAlign w:val="bottom"/>
            <w:gridSpan w:val="8"/>
          </w:tcPr>
          <w:p>
            <w:pPr>
              <w:spacing w:after="0"/>
              <w:rPr>
                <w:sz w:val="20"/>
                <w:szCs w:val="20"/>
                <w:color w:val="auto"/>
              </w:rPr>
            </w:pPr>
            <w:r>
              <w:rPr>
                <w:rFonts w:ascii="Arial" w:cs="Arial" w:eastAsia="Arial" w:hAnsi="Arial"/>
                <w:sz w:val="14"/>
                <w:szCs w:val="14"/>
                <w:color w:val="auto"/>
              </w:rPr>
              <w:t>the midpoint of the price range set forth on the cover page of this prospectus, would increase or</w:t>
            </w:r>
          </w:p>
        </w:tc>
        <w:tc>
          <w:tcPr>
            <w:tcW w:w="0" w:type="dxa"/>
            <w:vAlign w:val="bottom"/>
          </w:tcPr>
          <w:p>
            <w:pPr>
              <w:spacing w:after="0"/>
              <w:rPr>
                <w:sz w:val="1"/>
                <w:szCs w:val="1"/>
                <w:color w:val="auto"/>
              </w:rPr>
            </w:pPr>
          </w:p>
        </w:tc>
      </w:tr>
      <w:tr>
        <w:trPr>
          <w:trHeight w:val="183"/>
        </w:trPr>
        <w:tc>
          <w:tcPr>
            <w:tcW w:w="7220" w:type="dxa"/>
            <w:vAlign w:val="bottom"/>
            <w:gridSpan w:val="8"/>
          </w:tcPr>
          <w:p>
            <w:pPr>
              <w:spacing w:after="0"/>
              <w:rPr>
                <w:sz w:val="20"/>
                <w:szCs w:val="20"/>
                <w:color w:val="auto"/>
              </w:rPr>
            </w:pPr>
            <w:r>
              <w:rPr>
                <w:rFonts w:ascii="Arial" w:cs="Arial" w:eastAsia="Arial" w:hAnsi="Arial"/>
                <w:sz w:val="14"/>
                <w:szCs w:val="14"/>
                <w:color w:val="auto"/>
              </w:rPr>
              <w:t>decrease, as applicable, our pro forma as adjusted net tangible book value per share after this</w:t>
            </w:r>
          </w:p>
        </w:tc>
        <w:tc>
          <w:tcPr>
            <w:tcW w:w="0" w:type="dxa"/>
            <w:vAlign w:val="bottom"/>
          </w:tcPr>
          <w:p>
            <w:pPr>
              <w:spacing w:after="0"/>
              <w:rPr>
                <w:sz w:val="1"/>
                <w:szCs w:val="1"/>
                <w:color w:val="auto"/>
              </w:rPr>
            </w:pPr>
          </w:p>
        </w:tc>
      </w:tr>
      <w:tr>
        <w:trPr>
          <w:trHeight w:val="183"/>
        </w:trPr>
        <w:tc>
          <w:tcPr>
            <w:tcW w:w="1080" w:type="dxa"/>
            <w:vAlign w:val="bottom"/>
            <w:gridSpan w:val="2"/>
          </w:tcPr>
          <w:p>
            <w:pPr>
              <w:spacing w:after="0"/>
              <w:rPr>
                <w:sz w:val="20"/>
                <w:szCs w:val="20"/>
                <w:color w:val="auto"/>
              </w:rPr>
            </w:pPr>
            <w:r>
              <w:rPr>
                <w:rFonts w:ascii="Arial" w:cs="Arial" w:eastAsia="Arial" w:hAnsi="Arial"/>
                <w:sz w:val="14"/>
                <w:szCs w:val="14"/>
                <w:color w:val="auto"/>
              </w:rPr>
              <w:t>offering by $</w:t>
            </w:r>
          </w:p>
        </w:tc>
        <w:tc>
          <w:tcPr>
            <w:tcW w:w="6140" w:type="dxa"/>
            <w:vAlign w:val="bottom"/>
            <w:gridSpan w:val="6"/>
          </w:tcPr>
          <w:p>
            <w:pPr>
              <w:ind w:left="260"/>
              <w:spacing w:after="0"/>
              <w:rPr>
                <w:sz w:val="20"/>
                <w:szCs w:val="20"/>
                <w:color w:val="auto"/>
              </w:rPr>
            </w:pPr>
            <w:r>
              <w:rPr>
                <w:rFonts w:ascii="Arial" w:cs="Arial" w:eastAsia="Arial" w:hAnsi="Arial"/>
                <w:sz w:val="14"/>
                <w:szCs w:val="14"/>
                <w:color w:val="auto"/>
              </w:rPr>
              <w:t>per share and the dilution per share to new investors participating in this</w:t>
            </w:r>
          </w:p>
        </w:tc>
        <w:tc>
          <w:tcPr>
            <w:tcW w:w="0" w:type="dxa"/>
            <w:vAlign w:val="bottom"/>
          </w:tcPr>
          <w:p>
            <w:pPr>
              <w:spacing w:after="0"/>
              <w:rPr>
                <w:sz w:val="1"/>
                <w:szCs w:val="1"/>
                <w:color w:val="auto"/>
              </w:rPr>
            </w:pPr>
          </w:p>
        </w:tc>
      </w:tr>
      <w:tr>
        <w:trPr>
          <w:trHeight w:val="183"/>
        </w:trPr>
        <w:tc>
          <w:tcPr>
            <w:tcW w:w="1080" w:type="dxa"/>
            <w:vAlign w:val="bottom"/>
            <w:gridSpan w:val="2"/>
          </w:tcPr>
          <w:p>
            <w:pPr>
              <w:spacing w:after="0"/>
              <w:rPr>
                <w:sz w:val="20"/>
                <w:szCs w:val="20"/>
                <w:color w:val="auto"/>
              </w:rPr>
            </w:pPr>
            <w:r>
              <w:rPr>
                <w:rFonts w:ascii="Arial" w:cs="Arial" w:eastAsia="Arial" w:hAnsi="Arial"/>
                <w:sz w:val="14"/>
                <w:szCs w:val="14"/>
                <w:color w:val="auto"/>
              </w:rPr>
              <w:t>offering by $</w:t>
            </w:r>
          </w:p>
        </w:tc>
        <w:tc>
          <w:tcPr>
            <w:tcW w:w="6140" w:type="dxa"/>
            <w:vAlign w:val="bottom"/>
            <w:gridSpan w:val="6"/>
          </w:tcPr>
          <w:p>
            <w:pPr>
              <w:ind w:left="260"/>
              <w:spacing w:after="0"/>
              <w:rPr>
                <w:sz w:val="20"/>
                <w:szCs w:val="20"/>
                <w:color w:val="auto"/>
              </w:rPr>
            </w:pPr>
            <w:r>
              <w:rPr>
                <w:rFonts w:ascii="Arial" w:cs="Arial" w:eastAsia="Arial" w:hAnsi="Arial"/>
                <w:sz w:val="14"/>
                <w:szCs w:val="14"/>
                <w:color w:val="auto"/>
              </w:rPr>
              <w:t>per share, assuming that the number of shares of common stock offered by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-772795</wp:posOffset>
            </wp:positionV>
            <wp:extent cx="426148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261485" cy="6985"/>
                    </a:xfrm>
                    <a:prstGeom prst="rect">
                      <a:avLst/>
                    </a:prstGeom>
                    <a:noFill/>
                  </pic:spPr>
                </pic:pic>
              </a:graphicData>
            </a:graphic>
          </wp:anchor>
        </w:drawing>
      </w:r>
    </w:p>
    <w:p>
      <w:pPr>
        <w:ind w:left="1220" w:right="1279"/>
        <w:spacing w:after="0" w:line="273" w:lineRule="auto"/>
        <w:rPr>
          <w:sz w:val="20"/>
          <w:szCs w:val="20"/>
          <w:color w:val="auto"/>
        </w:rPr>
      </w:pPr>
      <w:r>
        <w:rPr>
          <w:rFonts w:ascii="Arial" w:cs="Arial" w:eastAsia="Arial" w:hAnsi="Arial"/>
          <w:sz w:val="14"/>
          <w:szCs w:val="14"/>
          <w:color w:val="auto"/>
        </w:rPr>
        <w:t>us, as set forth on the cover page of this prospectus, remains the same and after deducting underwriting discounts and commissions and estimated offering expenses payable by us. Similarly, an increase of 1.0 million in the number of shares of common stock offered by us would</w:t>
      </w:r>
    </w:p>
    <w:p>
      <w:pPr>
        <w:spacing w:after="0" w:line="1" w:lineRule="exact"/>
        <w:rPr>
          <w:sz w:val="20"/>
          <w:szCs w:val="20"/>
          <w:color w:val="auto"/>
        </w:rPr>
      </w:pPr>
    </w:p>
    <w:p>
      <w:pPr>
        <w:ind w:left="1220" w:right="1619"/>
        <w:spacing w:after="0" w:line="273" w:lineRule="auto"/>
        <w:rPr>
          <w:sz w:val="20"/>
          <w:szCs w:val="20"/>
          <w:color w:val="auto"/>
        </w:rPr>
      </w:pPr>
      <w:r>
        <w:rPr>
          <w:rFonts w:ascii="Arial" w:cs="Arial" w:eastAsia="Arial" w:hAnsi="Arial"/>
          <w:sz w:val="14"/>
          <w:szCs w:val="14"/>
          <w:color w:val="auto"/>
        </w:rPr>
        <w:t>increase the pro forma as adjusted net tangible book value after this offering by $ per share and decrease the dilution per share to new investors participating in this offering by</w:t>
      </w:r>
    </w:p>
    <w:p>
      <w:pPr>
        <w:spacing w:after="0" w:line="1" w:lineRule="exact"/>
        <w:rPr>
          <w:sz w:val="20"/>
          <w:szCs w:val="20"/>
          <w:color w:val="auto"/>
        </w:rPr>
      </w:pPr>
    </w:p>
    <w:p>
      <w:pPr>
        <w:ind w:left="1800" w:hanging="576"/>
        <w:spacing w:after="0"/>
        <w:tabs>
          <w:tab w:leader="none" w:pos="18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per share, and a decrease of 1.0 million shares of common stock offered by us would</w:t>
      </w:r>
    </w:p>
    <w:p>
      <w:pPr>
        <w:spacing w:after="0" w:line="22" w:lineRule="exact"/>
        <w:rPr>
          <w:sz w:val="20"/>
          <w:szCs w:val="20"/>
          <w:color w:val="auto"/>
        </w:rPr>
      </w:pPr>
    </w:p>
    <w:p>
      <w:pPr>
        <w:ind w:left="1220"/>
        <w:spacing w:after="0"/>
        <w:tabs>
          <w:tab w:leader="none" w:pos="6020" w:val="left"/>
        </w:tabs>
        <w:rPr>
          <w:sz w:val="20"/>
          <w:szCs w:val="20"/>
          <w:color w:val="auto"/>
        </w:rPr>
      </w:pPr>
      <w:r>
        <w:rPr>
          <w:rFonts w:ascii="Arial" w:cs="Arial" w:eastAsia="Arial" w:hAnsi="Arial"/>
          <w:sz w:val="14"/>
          <w:szCs w:val="14"/>
          <w:color w:val="auto"/>
        </w:rPr>
        <w:t>decrease the pro forma as adjusted net tangible book value by $</w:t>
      </w:r>
      <w:r>
        <w:rPr>
          <w:sz w:val="20"/>
          <w:szCs w:val="20"/>
          <w:color w:val="auto"/>
        </w:rPr>
        <w:tab/>
      </w:r>
      <w:r>
        <w:rPr>
          <w:rFonts w:ascii="Arial" w:cs="Arial" w:eastAsia="Arial" w:hAnsi="Arial"/>
          <w:sz w:val="14"/>
          <w:szCs w:val="14"/>
          <w:color w:val="auto"/>
        </w:rPr>
        <w:t>per share,</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1" w:name="page82"/>
    <w:bookmarkEnd w:id="8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419"/>
        <w:spacing w:after="0" w:line="289" w:lineRule="auto"/>
        <w:rPr>
          <w:sz w:val="20"/>
          <w:szCs w:val="20"/>
          <w:color w:val="auto"/>
        </w:rPr>
      </w:pPr>
      <w:r>
        <w:rPr>
          <w:rFonts w:ascii="Arial" w:cs="Arial" w:eastAsia="Arial" w:hAnsi="Arial"/>
          <w:sz w:val="14"/>
          <w:szCs w:val="14"/>
          <w:color w:val="auto"/>
        </w:rPr>
        <w:t>and increase the dilution per share to new investors in this offering by $ per share, assuming that the assumed initial public offering price of $ per share, the midpoint of the</w:t>
      </w:r>
    </w:p>
    <w:p>
      <w:pPr>
        <w:spacing w:after="0" w:line="1" w:lineRule="exact"/>
        <w:rPr>
          <w:sz w:val="20"/>
          <w:szCs w:val="20"/>
          <w:color w:val="auto"/>
        </w:rPr>
      </w:pPr>
    </w:p>
    <w:p>
      <w:pPr>
        <w:ind w:left="1220" w:right="1319"/>
        <w:spacing w:after="0" w:line="306" w:lineRule="auto"/>
        <w:rPr>
          <w:sz w:val="20"/>
          <w:szCs w:val="20"/>
          <w:color w:val="auto"/>
        </w:rPr>
      </w:pPr>
      <w:r>
        <w:rPr>
          <w:rFonts w:ascii="Arial" w:cs="Arial" w:eastAsia="Arial" w:hAnsi="Arial"/>
          <w:sz w:val="14"/>
          <w:szCs w:val="14"/>
          <w:color w:val="auto"/>
        </w:rPr>
        <w:t>price range set forth on the cover page of this prospectus, remains the same and after deducting underwriting discounts and commissions and estimated offering expenses payable by us.</w:t>
      </w:r>
    </w:p>
    <w:p>
      <w:pPr>
        <w:spacing w:after="0" w:line="43" w:lineRule="exact"/>
        <w:rPr>
          <w:sz w:val="20"/>
          <w:szCs w:val="20"/>
          <w:color w:val="auto"/>
        </w:rPr>
      </w:pPr>
    </w:p>
    <w:p>
      <w:pPr>
        <w:ind w:left="1220" w:right="1539"/>
        <w:spacing w:after="0" w:line="289" w:lineRule="auto"/>
        <w:rPr>
          <w:sz w:val="20"/>
          <w:szCs w:val="20"/>
          <w:color w:val="auto"/>
        </w:rPr>
      </w:pPr>
      <w:r>
        <w:rPr>
          <w:rFonts w:ascii="Arial" w:cs="Arial" w:eastAsia="Arial" w:hAnsi="Arial"/>
          <w:sz w:val="14"/>
          <w:szCs w:val="14"/>
          <w:color w:val="auto"/>
        </w:rPr>
        <w:t>If the underwriters exercise in full their option to purchase additional shares of common stock from us, the pro forma as adjusted net tangible book value per share after giving effect to this</w:t>
      </w:r>
    </w:p>
    <w:p>
      <w:pPr>
        <w:spacing w:after="0" w:line="1" w:lineRule="exact"/>
        <w:rPr>
          <w:sz w:val="20"/>
          <w:szCs w:val="20"/>
          <w:color w:val="auto"/>
        </w:rPr>
      </w:pPr>
    </w:p>
    <w:p>
      <w:pPr>
        <w:ind w:left="1220"/>
        <w:spacing w:after="0"/>
        <w:tabs>
          <w:tab w:leader="none" w:pos="5300" w:val="left"/>
        </w:tabs>
        <w:rPr>
          <w:sz w:val="20"/>
          <w:szCs w:val="20"/>
          <w:color w:val="auto"/>
        </w:rPr>
      </w:pPr>
      <w:r>
        <w:rPr>
          <w:rFonts w:ascii="Arial" w:cs="Arial" w:eastAsia="Arial" w:hAnsi="Arial"/>
          <w:sz w:val="14"/>
          <w:szCs w:val="14"/>
          <w:color w:val="auto"/>
        </w:rPr>
        <w:t>offering at an assumed initial public offering price of $</w:t>
      </w:r>
      <w:r>
        <w:rPr>
          <w:sz w:val="20"/>
          <w:szCs w:val="20"/>
          <w:color w:val="auto"/>
        </w:rPr>
        <w:tab/>
      </w:r>
      <w:r>
        <w:rPr>
          <w:rFonts w:ascii="Arial" w:cs="Arial" w:eastAsia="Arial" w:hAnsi="Arial"/>
          <w:sz w:val="14"/>
          <w:szCs w:val="14"/>
          <w:color w:val="auto"/>
        </w:rPr>
        <w:t>per share, the midpoint of the price</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range set forth on the cover page of this prospectus, and after deducting the underwriting</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discounts and commissions and estimated offering expenses payable by us, would be</w:t>
      </w:r>
    </w:p>
    <w:p>
      <w:pPr>
        <w:spacing w:after="0" w:line="33" w:lineRule="exact"/>
        <w:rPr>
          <w:sz w:val="20"/>
          <w:szCs w:val="20"/>
          <w:color w:val="auto"/>
        </w:rPr>
      </w:pPr>
    </w:p>
    <w:p>
      <w:pPr>
        <w:ind w:left="1220"/>
        <w:spacing w:after="0"/>
        <w:tabs>
          <w:tab w:leader="none" w:pos="1780" w:val="left"/>
          <w:tab w:leader="none" w:pos="73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per share, representing an immediate increase to existing stockholders of $</w:t>
      </w:r>
      <w:r>
        <w:rPr>
          <w:sz w:val="20"/>
          <w:szCs w:val="20"/>
          <w:color w:val="auto"/>
        </w:rPr>
        <w:tab/>
      </w:r>
      <w:r>
        <w:rPr>
          <w:rFonts w:ascii="Arial" w:cs="Arial" w:eastAsia="Arial" w:hAnsi="Arial"/>
          <w:sz w:val="14"/>
          <w:szCs w:val="14"/>
          <w:color w:val="auto"/>
        </w:rPr>
        <w:t>per</w:t>
      </w:r>
    </w:p>
    <w:p>
      <w:pPr>
        <w:spacing w:after="0" w:line="33" w:lineRule="exact"/>
        <w:rPr>
          <w:sz w:val="20"/>
          <w:szCs w:val="20"/>
          <w:color w:val="auto"/>
        </w:rPr>
      </w:pPr>
    </w:p>
    <w:p>
      <w:pPr>
        <w:ind w:left="1220"/>
        <w:spacing w:after="0"/>
        <w:tabs>
          <w:tab w:leader="none" w:pos="6240" w:val="left"/>
        </w:tabs>
        <w:rPr>
          <w:sz w:val="20"/>
          <w:szCs w:val="20"/>
          <w:color w:val="auto"/>
        </w:rPr>
      </w:pPr>
      <w:r>
        <w:rPr>
          <w:rFonts w:ascii="Arial" w:cs="Arial" w:eastAsia="Arial" w:hAnsi="Arial"/>
          <w:sz w:val="14"/>
          <w:szCs w:val="14"/>
          <w:color w:val="auto"/>
        </w:rPr>
        <w:t>share, and dilution to new investors participating in this offering of $</w:t>
      </w:r>
      <w:r>
        <w:rPr>
          <w:sz w:val="20"/>
          <w:szCs w:val="20"/>
          <w:color w:val="auto"/>
        </w:rPr>
        <w:tab/>
      </w:r>
      <w:r>
        <w:rPr>
          <w:rFonts w:ascii="Arial" w:cs="Arial" w:eastAsia="Arial" w:hAnsi="Arial"/>
          <w:sz w:val="14"/>
          <w:szCs w:val="14"/>
          <w:color w:val="auto"/>
        </w:rPr>
        <w:t>per share.</w:t>
      </w:r>
    </w:p>
    <w:p>
      <w:pPr>
        <w:spacing w:after="0" w:line="109" w:lineRule="exact"/>
        <w:rPr>
          <w:sz w:val="20"/>
          <w:szCs w:val="20"/>
          <w:color w:val="auto"/>
        </w:rPr>
      </w:pPr>
    </w:p>
    <w:p>
      <w:pPr>
        <w:ind w:left="1220" w:right="1279"/>
        <w:spacing w:after="0" w:line="289" w:lineRule="auto"/>
        <w:rPr>
          <w:sz w:val="20"/>
          <w:szCs w:val="20"/>
          <w:color w:val="auto"/>
        </w:rPr>
      </w:pPr>
      <w:r>
        <w:rPr>
          <w:rFonts w:ascii="Arial" w:cs="Arial" w:eastAsia="Arial" w:hAnsi="Arial"/>
          <w:sz w:val="14"/>
          <w:szCs w:val="14"/>
          <w:color w:val="auto"/>
        </w:rPr>
        <w:t>The following table summarizes the pro forma as adjusted basis described above, the differences between the number of shares purchased from us, the total consideration paid and the average price per share paid to us by existing stockholders and by investors purchasing shares in this</w:t>
      </w:r>
    </w:p>
    <w:p>
      <w:pPr>
        <w:spacing w:after="0" w:line="1" w:lineRule="exact"/>
        <w:rPr>
          <w:sz w:val="20"/>
          <w:szCs w:val="20"/>
          <w:color w:val="auto"/>
        </w:rPr>
      </w:pPr>
    </w:p>
    <w:p>
      <w:pPr>
        <w:jc w:val="both"/>
        <w:ind w:left="1220" w:right="1259"/>
        <w:spacing w:after="0" w:line="297" w:lineRule="auto"/>
        <w:rPr>
          <w:sz w:val="20"/>
          <w:szCs w:val="20"/>
          <w:color w:val="auto"/>
        </w:rPr>
      </w:pPr>
      <w:r>
        <w:rPr>
          <w:rFonts w:ascii="Arial" w:cs="Arial" w:eastAsia="Arial" w:hAnsi="Arial"/>
          <w:sz w:val="14"/>
          <w:szCs w:val="14"/>
          <w:color w:val="auto"/>
        </w:rPr>
        <w:t>offering at the assumed initial public offering price of $ per share, the midpoint of the price range set forth on the cover page of this prospectus, before deducting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59690</wp:posOffset>
            </wp:positionV>
            <wp:extent cx="4165600" cy="13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02" w:lineRule="exact"/>
        <w:rPr>
          <w:sz w:val="20"/>
          <w:szCs w:val="20"/>
          <w:color w:val="auto"/>
        </w:rPr>
      </w:pPr>
    </w:p>
    <w:tbl>
      <w:tblPr>
        <w:tblLayout w:type="fixed"/>
        <w:tblInd w:w="1220" w:type="dxa"/>
        <w:tblCellMar>
          <w:top w:w="0" w:type="dxa"/>
          <w:left w:w="0" w:type="dxa"/>
          <w:bottom w:w="0" w:type="dxa"/>
          <w:right w:w="0" w:type="dxa"/>
        </w:tblCellMar>
      </w:tblPr>
      <w:tr>
        <w:trPr>
          <w:trHeight w:val="178"/>
        </w:trPr>
        <w:tc>
          <w:tcPr>
            <w:tcW w:w="2840" w:type="dxa"/>
            <w:vAlign w:val="bottom"/>
          </w:tcPr>
          <w:p>
            <w:pPr>
              <w:spacing w:after="0"/>
              <w:rPr>
                <w:sz w:val="15"/>
                <w:szCs w:val="15"/>
                <w:color w:val="auto"/>
              </w:rPr>
            </w:pPr>
          </w:p>
        </w:tc>
        <w:tc>
          <w:tcPr>
            <w:tcW w:w="14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3"/>
                <w:szCs w:val="13"/>
                <w:b w:val="1"/>
                <w:bCs w:val="1"/>
                <w:color w:val="auto"/>
              </w:rPr>
              <w:t>Shares purchased</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Total consideration</w:t>
            </w:r>
          </w:p>
        </w:tc>
        <w:tc>
          <w:tcPr>
            <w:tcW w:w="60" w:type="dxa"/>
            <w:vAlign w:val="bottom"/>
            <w:tcBorders>
              <w:bottom w:val="single" w:sz="8" w:color="auto"/>
            </w:tcBorders>
          </w:tcPr>
          <w:p>
            <w:pPr>
              <w:spacing w:after="0"/>
              <w:rPr>
                <w:sz w:val="15"/>
                <w:szCs w:val="15"/>
                <w:color w:val="auto"/>
              </w:rPr>
            </w:pPr>
          </w:p>
        </w:tc>
        <w:tc>
          <w:tcPr>
            <w:tcW w:w="1000" w:type="dxa"/>
            <w:vAlign w:val="bottom"/>
          </w:tcPr>
          <w:p>
            <w:pPr>
              <w:spacing w:after="0"/>
              <w:rPr>
                <w:sz w:val="15"/>
                <w:szCs w:val="15"/>
                <w:color w:val="auto"/>
              </w:rPr>
            </w:pPr>
          </w:p>
        </w:tc>
      </w:tr>
      <w:tr>
        <w:trPr>
          <w:trHeight w:val="137"/>
        </w:trPr>
        <w:tc>
          <w:tcPr>
            <w:tcW w:w="2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right"/>
              <w:spacing w:after="0" w:line="137" w:lineRule="exact"/>
              <w:rPr>
                <w:sz w:val="20"/>
                <w:szCs w:val="20"/>
                <w:color w:val="auto"/>
              </w:rPr>
            </w:pPr>
            <w:r>
              <w:rPr>
                <w:rFonts w:ascii="Arial" w:cs="Arial" w:eastAsia="Arial" w:hAnsi="Arial"/>
                <w:sz w:val="13"/>
                <w:szCs w:val="13"/>
                <w:b w:val="1"/>
                <w:bCs w:val="1"/>
                <w:color w:val="auto"/>
              </w:rPr>
              <w:t>Average price</w:t>
            </w:r>
          </w:p>
        </w:tc>
      </w:tr>
      <w:tr>
        <w:trPr>
          <w:trHeight w:val="179"/>
        </w:trPr>
        <w:tc>
          <w:tcPr>
            <w:tcW w:w="28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Number</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Percent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Amount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w:t>
            </w:r>
          </w:p>
        </w:tc>
        <w:tc>
          <w:tcPr>
            <w:tcW w:w="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 share</w:t>
            </w:r>
          </w:p>
        </w:tc>
      </w:tr>
      <w:tr>
        <w:trPr>
          <w:trHeight w:val="173"/>
        </w:trPr>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Existing stockholders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735"/>
              <w:spacing w:after="0"/>
              <w:rPr>
                <w:sz w:val="20"/>
                <w:szCs w:val="20"/>
                <w:color w:val="auto"/>
              </w:rPr>
            </w:pPr>
            <w:r>
              <w:rPr>
                <w:rFonts w:ascii="Arial" w:cs="Arial" w:eastAsia="Arial" w:hAnsi="Arial"/>
                <w:sz w:val="14"/>
                <w:szCs w:val="14"/>
                <w:color w:val="auto"/>
                <w:w w:val="99"/>
              </w:rPr>
              <w:t>% $</w:t>
            </w:r>
          </w:p>
        </w:tc>
      </w:tr>
      <w:tr>
        <w:trPr>
          <w:trHeight w:val="182"/>
        </w:trPr>
        <w:tc>
          <w:tcPr>
            <w:tcW w:w="3500" w:type="dxa"/>
            <w:vAlign w:val="bottom"/>
            <w:gridSpan w:val="2"/>
          </w:tcPr>
          <w:p>
            <w:pPr>
              <w:spacing w:after="0"/>
              <w:rPr>
                <w:sz w:val="20"/>
                <w:szCs w:val="20"/>
                <w:color w:val="auto"/>
              </w:rPr>
            </w:pPr>
            <w:r>
              <w:rPr>
                <w:rFonts w:ascii="Arial" w:cs="Arial" w:eastAsia="Arial" w:hAnsi="Arial"/>
                <w:sz w:val="14"/>
                <w:szCs w:val="14"/>
                <w:color w:val="auto"/>
              </w:rPr>
              <w:t>New investors</w:t>
            </w: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
        </w:trPr>
        <w:tc>
          <w:tcPr>
            <w:tcW w:w="2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64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CCEEFF"/>
            </w:tcBorders>
            <w:gridSpan w:val="3"/>
            <w:shd w:val="clear" w:color="auto" w:fill="CCEEFF"/>
          </w:tcPr>
          <w:p>
            <w:pPr>
              <w:jc w:val="right"/>
              <w:ind w:right="875"/>
              <w:spacing w:after="0"/>
              <w:rPr>
                <w:sz w:val="20"/>
                <w:szCs w:val="20"/>
                <w:color w:val="auto"/>
              </w:rPr>
            </w:pPr>
            <w:r>
              <w:rPr>
                <w:rFonts w:ascii="Arial" w:cs="Arial" w:eastAsia="Arial" w:hAnsi="Arial"/>
                <w:sz w:val="14"/>
                <w:szCs w:val="14"/>
                <w:color w:val="auto"/>
              </w:rPr>
              <w:t>100%</w:t>
            </w:r>
          </w:p>
        </w:tc>
      </w:tr>
      <w:tr>
        <w:trPr>
          <w:trHeight w:val="20"/>
        </w:trPr>
        <w:tc>
          <w:tcPr>
            <w:tcW w:w="28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75"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If the underwriters exercise in full their option to purchase additional shares in full, our existing</w:t>
      </w:r>
    </w:p>
    <w:p>
      <w:pPr>
        <w:spacing w:after="0" w:line="33" w:lineRule="exact"/>
        <w:rPr>
          <w:sz w:val="20"/>
          <w:szCs w:val="20"/>
          <w:color w:val="auto"/>
        </w:rPr>
      </w:pPr>
    </w:p>
    <w:p>
      <w:pPr>
        <w:ind w:left="1220" w:right="1419"/>
        <w:spacing w:after="0" w:line="306" w:lineRule="auto"/>
        <w:rPr>
          <w:sz w:val="20"/>
          <w:szCs w:val="20"/>
          <w:color w:val="auto"/>
        </w:rPr>
      </w:pPr>
      <w:r>
        <w:rPr>
          <w:rFonts w:ascii="Arial" w:cs="Arial" w:eastAsia="Arial" w:hAnsi="Arial"/>
          <w:sz w:val="14"/>
          <w:szCs w:val="14"/>
          <w:color w:val="auto"/>
        </w:rPr>
        <w:t>stockholders would own % and our new investors would own % of the total number of shares of our common stock outstanding upon the closing of this offering.</w:t>
      </w:r>
    </w:p>
    <w:p>
      <w:pPr>
        <w:spacing w:after="0" w:line="5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foregoing discussion and tables above (other than the historical net tangible book value</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(deficit) calculation) are based on 110,247,171 shares of common stock outstanding as of</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March 31, 2021 (which includes 4,648,745 shares outstanding that are subject to forfeiture or our</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right to repurchase as of such date), which gives effect to the pro forma transaction described</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above and excludes:</w:t>
      </w:r>
    </w:p>
    <w:p>
      <w:pPr>
        <w:spacing w:after="0" w:line="130" w:lineRule="exact"/>
        <w:rPr>
          <w:sz w:val="20"/>
          <w:szCs w:val="20"/>
          <w:color w:val="auto"/>
        </w:rPr>
      </w:pPr>
    </w:p>
    <w:p>
      <w:pPr>
        <w:ind w:left="1840" w:hanging="616"/>
        <w:spacing w:after="0"/>
        <w:tabs>
          <w:tab w:leader="none" w:pos="18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shares of our common stock issuable upon the exercise of stock options as of March 31,</w:t>
      </w:r>
    </w:p>
    <w:p>
      <w:pPr>
        <w:spacing w:after="0" w:line="22" w:lineRule="exact"/>
        <w:rPr>
          <w:sz w:val="20"/>
          <w:szCs w:val="20"/>
          <w:color w:val="auto"/>
        </w:rPr>
      </w:pPr>
    </w:p>
    <w:p>
      <w:pPr>
        <w:ind w:left="1340"/>
        <w:spacing w:after="0"/>
        <w:tabs>
          <w:tab w:leader="none" w:pos="5020" w:val="left"/>
        </w:tabs>
        <w:rPr>
          <w:sz w:val="20"/>
          <w:szCs w:val="20"/>
          <w:color w:val="auto"/>
        </w:rPr>
      </w:pPr>
      <w:r>
        <w:rPr>
          <w:rFonts w:ascii="Arial" w:cs="Arial" w:eastAsia="Arial" w:hAnsi="Arial"/>
          <w:sz w:val="14"/>
          <w:szCs w:val="14"/>
          <w:color w:val="auto"/>
        </w:rPr>
        <w:t>2021, at a weighted-average exercise price of $</w:t>
      </w:r>
      <w:r>
        <w:rPr>
          <w:sz w:val="20"/>
          <w:szCs w:val="20"/>
          <w:color w:val="auto"/>
        </w:rPr>
        <w:tab/>
      </w:r>
      <w:r>
        <w:rPr>
          <w:rFonts w:ascii="Arial" w:cs="Arial" w:eastAsia="Arial" w:hAnsi="Arial"/>
          <w:sz w:val="14"/>
          <w:szCs w:val="14"/>
          <w:color w:val="auto"/>
        </w:rPr>
        <w:t>per share;</w:t>
      </w:r>
    </w:p>
    <w:p>
      <w:pPr>
        <w:spacing w:after="0" w:line="130" w:lineRule="exact"/>
        <w:rPr>
          <w:sz w:val="20"/>
          <w:szCs w:val="20"/>
          <w:color w:val="auto"/>
        </w:rPr>
      </w:pPr>
    </w:p>
    <w:p>
      <w:pPr>
        <w:ind w:left="1340" w:right="1819" w:hanging="116"/>
        <w:spacing w:after="0" w:line="290" w:lineRule="auto"/>
        <w:tabs>
          <w:tab w:leader="none" w:pos="1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40,540 shares of our common stock issuable upon the exercise of warrants to purchase common stock, at a weighted-average exercise price of $5.55 per share;</w:t>
      </w:r>
    </w:p>
    <w:p>
      <w:pPr>
        <w:spacing w:after="0" w:line="96" w:lineRule="exact"/>
        <w:rPr>
          <w:rFonts w:ascii="Arial" w:cs="Arial" w:eastAsia="Arial" w:hAnsi="Arial"/>
          <w:sz w:val="14"/>
          <w:szCs w:val="14"/>
          <w:color w:val="auto"/>
        </w:rPr>
      </w:pPr>
    </w:p>
    <w:p>
      <w:pPr>
        <w:ind w:left="1340" w:right="1659" w:hanging="116"/>
        <w:spacing w:after="0" w:line="290" w:lineRule="auto"/>
        <w:tabs>
          <w:tab w:leader="none" w:pos="1841" w:val="left"/>
        </w:tabs>
        <w:numPr>
          <w:ilvl w:val="0"/>
          <w:numId w:val="60"/>
        </w:numPr>
        <w:rPr>
          <w:rFonts w:ascii="Arial" w:cs="Arial" w:eastAsia="Arial" w:hAnsi="Arial"/>
          <w:sz w:val="14"/>
          <w:szCs w:val="14"/>
          <w:color w:val="auto"/>
        </w:rPr>
      </w:pPr>
      <w:r>
        <w:rPr>
          <w:rFonts w:ascii="Arial" w:cs="Arial" w:eastAsia="Arial" w:hAnsi="Arial"/>
          <w:sz w:val="14"/>
          <w:szCs w:val="14"/>
          <w:color w:val="auto"/>
        </w:rPr>
        <w:t>shares of our common stock reserved for issuance pursuant to future awards as of March 31, 2021 under the 2018 Plan;</w:t>
      </w:r>
    </w:p>
    <w:p>
      <w:pPr>
        <w:spacing w:after="0" w:line="85" w:lineRule="exact"/>
        <w:rPr>
          <w:rFonts w:ascii="Arial" w:cs="Arial" w:eastAsia="Arial" w:hAnsi="Arial"/>
          <w:sz w:val="14"/>
          <w:szCs w:val="14"/>
          <w:color w:val="auto"/>
        </w:rPr>
      </w:pPr>
    </w:p>
    <w:p>
      <w:pPr>
        <w:jc w:val="both"/>
        <w:ind w:left="1340" w:right="1259" w:hanging="116"/>
        <w:spacing w:after="0" w:line="278" w:lineRule="auto"/>
        <w:tabs>
          <w:tab w:leader="none" w:pos="1841" w:val="left"/>
        </w:tabs>
        <w:numPr>
          <w:ilvl w:val="0"/>
          <w:numId w:val="60"/>
        </w:numPr>
        <w:rPr>
          <w:rFonts w:ascii="Arial" w:cs="Arial" w:eastAsia="Arial" w:hAnsi="Arial"/>
          <w:sz w:val="14"/>
          <w:szCs w:val="14"/>
          <w:color w:val="auto"/>
        </w:rPr>
      </w:pPr>
      <w:r>
        <w:rPr>
          <w:rFonts w:ascii="Arial" w:cs="Arial" w:eastAsia="Arial" w:hAnsi="Arial"/>
          <w:sz w:val="14"/>
          <w:szCs w:val="14"/>
          <w:color w:val="auto"/>
        </w:rPr>
        <w:t>shares of our common stock reserved for future issuance under the 2021 Plan which will become effective upon the effectiveness of the Registration Statement of which this prospectus forms a part, as well as any future increases in the number of shares of our common stock reserved for future issuance pursuant to the 2021 Plan; and</w:t>
      </w:r>
    </w:p>
    <w:p>
      <w:pPr>
        <w:spacing w:after="0" w:line="106" w:lineRule="exact"/>
        <w:rPr>
          <w:rFonts w:ascii="Arial" w:cs="Arial" w:eastAsia="Arial" w:hAnsi="Arial"/>
          <w:sz w:val="14"/>
          <w:szCs w:val="14"/>
          <w:color w:val="auto"/>
        </w:rPr>
      </w:pPr>
    </w:p>
    <w:p>
      <w:pPr>
        <w:ind w:left="1340" w:right="1339" w:hanging="116"/>
        <w:spacing w:after="0" w:line="278" w:lineRule="auto"/>
        <w:tabs>
          <w:tab w:leader="none" w:pos="1841" w:val="left"/>
        </w:tabs>
        <w:numPr>
          <w:ilvl w:val="0"/>
          <w:numId w:val="60"/>
        </w:numPr>
        <w:rPr>
          <w:rFonts w:ascii="Arial" w:cs="Arial" w:eastAsia="Arial" w:hAnsi="Arial"/>
          <w:sz w:val="14"/>
          <w:szCs w:val="14"/>
          <w:color w:val="auto"/>
        </w:rPr>
      </w:pPr>
      <w:r>
        <w:rPr>
          <w:rFonts w:ascii="Arial" w:cs="Arial" w:eastAsia="Arial" w:hAnsi="Arial"/>
          <w:sz w:val="14"/>
          <w:szCs w:val="14"/>
          <w:color w:val="auto"/>
        </w:rPr>
        <w:t>shares of our common stock reserved for future issuance under the ESPP will become effective upon the effectiveness of the Registration Statement of which this prospectus forms a part, as well as any future increases in the number of shares of common stock reserved for issuance under the ESPP.</w:t>
      </w:r>
    </w:p>
    <w:p>
      <w:pPr>
        <w:spacing w:after="0" w:line="53" w:lineRule="exact"/>
        <w:rPr>
          <w:sz w:val="20"/>
          <w:szCs w:val="20"/>
          <w:color w:val="auto"/>
        </w:rPr>
      </w:pPr>
    </w:p>
    <w:p>
      <w:pPr>
        <w:jc w:val="both"/>
        <w:ind w:left="1220" w:right="1339"/>
        <w:spacing w:after="0" w:line="297" w:lineRule="auto"/>
        <w:rPr>
          <w:sz w:val="20"/>
          <w:szCs w:val="20"/>
          <w:color w:val="auto"/>
        </w:rPr>
      </w:pPr>
      <w:r>
        <w:rPr>
          <w:rFonts w:ascii="Arial" w:cs="Arial" w:eastAsia="Arial" w:hAnsi="Arial"/>
          <w:sz w:val="14"/>
          <w:szCs w:val="14"/>
          <w:color w:val="auto"/>
        </w:rPr>
        <w:t>To the extent that any outstanding options are exercised, new options or other equity awards are issued under our equity incentive plans, or we issue additional shares in the future, there will be further dilution to new investors participating in this offering.</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2" w:name="page83"/>
    <w:bookmarkEnd w:id="8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Selected consolidated financial data</w:t>
      </w:r>
    </w:p>
    <w:p>
      <w:pPr>
        <w:spacing w:after="0" w:line="90" w:lineRule="exact"/>
        <w:rPr>
          <w:sz w:val="20"/>
          <w:szCs w:val="20"/>
          <w:color w:val="auto"/>
        </w:rPr>
      </w:pPr>
    </w:p>
    <w:p>
      <w:pPr>
        <w:ind w:left="1220" w:right="1259"/>
        <w:spacing w:after="0" w:line="273" w:lineRule="auto"/>
        <w:rPr>
          <w:sz w:val="20"/>
          <w:szCs w:val="20"/>
          <w:color w:val="auto"/>
        </w:rPr>
      </w:pPr>
      <w:r>
        <w:rPr>
          <w:rFonts w:ascii="Arial" w:cs="Arial" w:eastAsia="Arial" w:hAnsi="Arial"/>
          <w:sz w:val="14"/>
          <w:szCs w:val="14"/>
          <w:color w:val="auto"/>
        </w:rPr>
        <w:t>The following tables set forth our selected consolidated financial data for the periods and as of the dates indicated. The year ended December 31, 2020 and the period of June 21, 2019 through December 31, 2019 are referred to herein as Successor and the period of January 1, 2019 through June 20, 2019 is referred to herein as Predecessor. We have derived the selected consolidated statements of operations data for the Year Ended December 31, 2020 (Successor), the period from June 21, 2019 through December 31, 2019 (Successor) and the period from January 1, 2019 through June 20, 2019 (Predecessor), and the selected consolidated balance sheet data as of December 31, 2020 and 2019 (Successor) from our audited consolidated financial statements and related notes included elsewhere in this prospectus. For interim periods, we have derived our selected statements of operations data for the three months ended</w:t>
      </w:r>
    </w:p>
    <w:p>
      <w:pPr>
        <w:spacing w:after="0" w:line="3"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March 31, 2021 and 2020 and the selected balance sheet data as of March 31, 2021 from our unaudited condensed financial statements and related notes included elsewhere in this prospectus. The unaudited condensed financial statements were prepared on a basis consistent with our audited financial statements and include, in management’s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You should read the following consolidated financial data together with our audited consolidated financial statements and our unaudited condensed consolidated financial statements, and the related notes included elsewhere in this prospectus and the information in the section titled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213360</wp:posOffset>
            </wp:positionV>
            <wp:extent cx="4939665" cy="139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39665" cy="13970"/>
                    </a:xfrm>
                    <a:prstGeom prst="rect">
                      <a:avLst/>
                    </a:prstGeom>
                    <a:noFill/>
                  </pic:spPr>
                </pic:pic>
              </a:graphicData>
            </a:graphic>
          </wp:anchor>
        </w:drawing>
      </w:r>
    </w:p>
    <w:p>
      <w:pPr>
        <w:spacing w:after="0" w:line="355" w:lineRule="exact"/>
        <w:rPr>
          <w:sz w:val="20"/>
          <w:szCs w:val="20"/>
          <w:color w:val="auto"/>
        </w:rPr>
      </w:pPr>
    </w:p>
    <w:tbl>
      <w:tblPr>
        <w:tblLayout w:type="fixed"/>
        <w:tblInd w:w="620" w:type="dxa"/>
        <w:tblCellMar>
          <w:top w:w="0" w:type="dxa"/>
          <w:left w:w="0" w:type="dxa"/>
          <w:bottom w:w="0" w:type="dxa"/>
          <w:right w:w="0" w:type="dxa"/>
        </w:tblCellMar>
      </w:tblPr>
      <w:tr>
        <w:trPr>
          <w:trHeight w:val="151"/>
        </w:trPr>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Successor</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rPr>
                <w:sz w:val="1"/>
                <w:szCs w:val="1"/>
                <w:color w:val="auto"/>
              </w:rPr>
            </w:pPr>
          </w:p>
        </w:tc>
      </w:tr>
      <w:tr>
        <w:trPr>
          <w:trHeight w:val="151"/>
        </w:trPr>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Period from</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Period from</w:t>
            </w:r>
          </w:p>
        </w:tc>
        <w:tc>
          <w:tcPr>
            <w:tcW w:w="0" w:type="dxa"/>
            <w:vAlign w:val="bottom"/>
          </w:tcPr>
          <w:p>
            <w:pPr>
              <w:spacing w:after="0"/>
              <w:rPr>
                <w:sz w:val="1"/>
                <w:szCs w:val="1"/>
                <w:color w:val="auto"/>
              </w:rPr>
            </w:pPr>
          </w:p>
        </w:tc>
      </w:tr>
      <w:tr>
        <w:trPr>
          <w:trHeight w:val="151"/>
        </w:trPr>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21, 2019</w:t>
            </w: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January 1,</w:t>
            </w:r>
          </w:p>
        </w:tc>
        <w:tc>
          <w:tcPr>
            <w:tcW w:w="0" w:type="dxa"/>
            <w:vAlign w:val="bottom"/>
          </w:tcPr>
          <w:p>
            <w:pPr>
              <w:spacing w:after="0"/>
              <w:rPr>
                <w:sz w:val="1"/>
                <w:szCs w:val="1"/>
                <w:color w:val="auto"/>
              </w:rPr>
            </w:pPr>
          </w:p>
        </w:tc>
      </w:tr>
      <w:tr>
        <w:trPr>
          <w:trHeight w:val="151"/>
        </w:trPr>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March 31,</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(Inception) to</w:t>
            </w: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2019 to</w:t>
            </w:r>
          </w:p>
        </w:tc>
        <w:tc>
          <w:tcPr>
            <w:tcW w:w="0" w:type="dxa"/>
            <w:vAlign w:val="bottom"/>
          </w:tcPr>
          <w:p>
            <w:pPr>
              <w:spacing w:after="0"/>
              <w:rPr>
                <w:sz w:val="1"/>
                <w:szCs w:val="1"/>
                <w:color w:val="auto"/>
              </w:rPr>
            </w:pPr>
          </w:p>
        </w:tc>
      </w:tr>
      <w:tr>
        <w:trPr>
          <w:trHeight w:val="155"/>
        </w:trPr>
        <w:tc>
          <w:tcPr>
            <w:tcW w:w="3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920" w:type="dxa"/>
            <w:vAlign w:val="bottom"/>
            <w:gridSpan w:val="5"/>
          </w:tcPr>
          <w:p>
            <w:pPr>
              <w:jc w:val="right"/>
              <w:ind w:right="10"/>
              <w:spacing w:after="0"/>
              <w:rPr>
                <w:sz w:val="20"/>
                <w:szCs w:val="20"/>
                <w:color w:val="auto"/>
              </w:rPr>
            </w:pPr>
            <w:r>
              <w:rPr>
                <w:rFonts w:ascii="Arial" w:cs="Arial" w:eastAsia="Arial" w:hAnsi="Arial"/>
                <w:sz w:val="13"/>
                <w:szCs w:val="13"/>
                <w:b w:val="1"/>
                <w:bCs w:val="1"/>
                <w:color w:val="auto"/>
              </w:rPr>
              <w:t>December 31, December 31,</w:t>
            </w: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20,</w:t>
            </w:r>
          </w:p>
        </w:tc>
        <w:tc>
          <w:tcPr>
            <w:tcW w:w="0" w:type="dxa"/>
            <w:vAlign w:val="bottom"/>
          </w:tcPr>
          <w:p>
            <w:pPr>
              <w:spacing w:after="0"/>
              <w:rPr>
                <w:sz w:val="1"/>
                <w:szCs w:val="1"/>
                <w:color w:val="auto"/>
              </w:rPr>
            </w:pPr>
          </w:p>
        </w:tc>
      </w:tr>
      <w:tr>
        <w:trPr>
          <w:trHeight w:val="153"/>
        </w:trPr>
        <w:tc>
          <w:tcPr>
            <w:tcW w:w="3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 except share and per share data)</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260" w:type="dxa"/>
            <w:vAlign w:val="bottom"/>
            <w:shd w:val="clear" w:color="auto" w:fill="CCEEFF"/>
          </w:tcPr>
          <w:p>
            <w:pPr>
              <w:spacing w:after="0" w:line="131" w:lineRule="exact"/>
              <w:rPr>
                <w:sz w:val="20"/>
                <w:szCs w:val="20"/>
                <w:color w:val="auto"/>
              </w:rPr>
            </w:pPr>
            <w:r>
              <w:rPr>
                <w:rFonts w:ascii="Arial" w:cs="Arial" w:eastAsia="Arial" w:hAnsi="Arial"/>
                <w:sz w:val="14"/>
                <w:szCs w:val="14"/>
                <w:b w:val="1"/>
                <w:bCs w:val="1"/>
                <w:color w:val="auto"/>
              </w:rPr>
              <w:t>Consolidated Statements of Operations Data:</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15,374 $</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39,681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260" w:type="dxa"/>
            <w:vAlign w:val="bottom"/>
          </w:tcPr>
          <w:p>
            <w:pPr>
              <w:ind w:left="140"/>
              <w:spacing w:after="0" w:line="141" w:lineRule="exact"/>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2"/>
                <w:szCs w:val="12"/>
                <w:color w:val="auto"/>
              </w:rPr>
            </w:pPr>
          </w:p>
        </w:tc>
        <w:tc>
          <w:tcPr>
            <w:tcW w:w="800" w:type="dxa"/>
            <w:vAlign w:val="bottom"/>
          </w:tcPr>
          <w:p>
            <w:pPr>
              <w:jc w:val="right"/>
              <w:spacing w:after="0" w:line="141" w:lineRule="exact"/>
              <w:rPr>
                <w:sz w:val="20"/>
                <w:szCs w:val="20"/>
                <w:color w:val="auto"/>
              </w:rPr>
            </w:pPr>
            <w:r>
              <w:rPr>
                <w:rFonts w:ascii="Arial" w:cs="Arial" w:eastAsia="Arial" w:hAnsi="Arial"/>
                <w:sz w:val="14"/>
                <w:szCs w:val="14"/>
                <w:color w:val="auto"/>
              </w:rPr>
              <w:t>2,688</w:t>
            </w:r>
          </w:p>
        </w:tc>
        <w:tc>
          <w:tcPr>
            <w:tcW w:w="340" w:type="dxa"/>
            <w:vAlign w:val="bottom"/>
          </w:tcPr>
          <w:p>
            <w:pPr>
              <w:spacing w:after="0"/>
              <w:rPr>
                <w:sz w:val="12"/>
                <w:szCs w:val="12"/>
                <w:color w:val="auto"/>
              </w:rPr>
            </w:pPr>
          </w:p>
        </w:tc>
        <w:tc>
          <w:tcPr>
            <w:tcW w:w="480" w:type="dxa"/>
            <w:vAlign w:val="bottom"/>
          </w:tcPr>
          <w:p>
            <w:pPr>
              <w:jc w:val="right"/>
              <w:spacing w:after="0" w:line="141" w:lineRule="exact"/>
              <w:rPr>
                <w:sz w:val="20"/>
                <w:szCs w:val="20"/>
                <w:color w:val="auto"/>
              </w:rPr>
            </w:pPr>
            <w:r>
              <w:rPr>
                <w:rFonts w:ascii="Arial" w:cs="Arial" w:eastAsia="Arial" w:hAnsi="Arial"/>
                <w:sz w:val="14"/>
                <w:szCs w:val="14"/>
                <w:color w:val="auto"/>
              </w:rPr>
              <w:t>2,050</w:t>
            </w:r>
          </w:p>
        </w:tc>
        <w:tc>
          <w:tcPr>
            <w:tcW w:w="120" w:type="dxa"/>
            <w:vAlign w:val="bottom"/>
          </w:tcPr>
          <w:p>
            <w:pPr>
              <w:spacing w:after="0"/>
              <w:rPr>
                <w:sz w:val="12"/>
                <w:szCs w:val="12"/>
                <w:color w:val="auto"/>
              </w:rPr>
            </w:pPr>
          </w:p>
        </w:tc>
        <w:tc>
          <w:tcPr>
            <w:tcW w:w="820" w:type="dxa"/>
            <w:vAlign w:val="bottom"/>
          </w:tcPr>
          <w:p>
            <w:pPr>
              <w:jc w:val="right"/>
              <w:spacing w:after="0" w:line="141" w:lineRule="exact"/>
              <w:rPr>
                <w:sz w:val="20"/>
                <w:szCs w:val="20"/>
                <w:color w:val="auto"/>
              </w:rPr>
            </w:pPr>
            <w:r>
              <w:rPr>
                <w:rFonts w:ascii="Arial" w:cs="Arial" w:eastAsia="Arial" w:hAnsi="Arial"/>
                <w:sz w:val="14"/>
                <w:szCs w:val="14"/>
                <w:color w:val="auto"/>
              </w:rPr>
              <w:t>9,495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4"/>
                <w:szCs w:val="14"/>
                <w:color w:val="auto"/>
              </w:rPr>
              <w:t>3,622</w:t>
            </w:r>
          </w:p>
        </w:tc>
        <w:tc>
          <w:tcPr>
            <w:tcW w:w="12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2,145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Write off of in-process research and</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development asset</w:t>
            </w: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4,722</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225,946</w:t>
            </w: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260" w:type="dxa"/>
            <w:vAlign w:val="bottom"/>
          </w:tcPr>
          <w:p>
            <w:pPr>
              <w:ind w:left="280"/>
              <w:spacing w:after="0" w:line="132" w:lineRule="exact"/>
              <w:rPr>
                <w:sz w:val="20"/>
                <w:szCs w:val="20"/>
                <w:color w:val="auto"/>
              </w:rPr>
            </w:pPr>
            <w:r>
              <w:rPr>
                <w:rFonts w:ascii="Arial" w:cs="Arial" w:eastAsia="Arial" w:hAnsi="Arial"/>
                <w:sz w:val="14"/>
                <w:szCs w:val="14"/>
                <w:color w:val="auto"/>
              </w:rPr>
              <w:t>Total operating expenses</w:t>
            </w:r>
          </w:p>
        </w:tc>
        <w:tc>
          <w:tcPr>
            <w:tcW w:w="10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Arial" w:cs="Arial" w:eastAsia="Arial" w:hAnsi="Arial"/>
                <w:sz w:val="14"/>
                <w:szCs w:val="14"/>
                <w:color w:val="auto"/>
              </w:rPr>
              <w:t>18,062</w:t>
            </w:r>
          </w:p>
        </w:tc>
        <w:tc>
          <w:tcPr>
            <w:tcW w:w="340" w:type="dxa"/>
            <w:vAlign w:val="bottom"/>
          </w:tcPr>
          <w:p>
            <w:pPr>
              <w:spacing w:after="0"/>
              <w:rPr>
                <w:sz w:val="11"/>
                <w:szCs w:val="11"/>
                <w:color w:val="auto"/>
              </w:rPr>
            </w:pPr>
          </w:p>
        </w:tc>
        <w:tc>
          <w:tcPr>
            <w:tcW w:w="480" w:type="dxa"/>
            <w:vAlign w:val="bottom"/>
          </w:tcPr>
          <w:p>
            <w:pPr>
              <w:jc w:val="right"/>
              <w:spacing w:after="0" w:line="132" w:lineRule="exact"/>
              <w:rPr>
                <w:sz w:val="20"/>
                <w:szCs w:val="20"/>
                <w:color w:val="auto"/>
              </w:rPr>
            </w:pPr>
            <w:r>
              <w:rPr>
                <w:rFonts w:ascii="Arial" w:cs="Arial" w:eastAsia="Arial" w:hAnsi="Arial"/>
                <w:sz w:val="14"/>
                <w:szCs w:val="14"/>
                <w:color w:val="auto"/>
              </w:rPr>
              <w:t>9,993</w:t>
            </w:r>
          </w:p>
        </w:tc>
        <w:tc>
          <w:tcPr>
            <w:tcW w:w="120" w:type="dxa"/>
            <w:vAlign w:val="bottom"/>
          </w:tcPr>
          <w:p>
            <w:pPr>
              <w:spacing w:after="0"/>
              <w:rPr>
                <w:sz w:val="11"/>
                <w:szCs w:val="11"/>
                <w:color w:val="auto"/>
              </w:rPr>
            </w:pPr>
          </w:p>
        </w:tc>
        <w:tc>
          <w:tcPr>
            <w:tcW w:w="820" w:type="dxa"/>
            <w:vAlign w:val="bottom"/>
          </w:tcPr>
          <w:p>
            <w:pPr>
              <w:jc w:val="right"/>
              <w:spacing w:after="0" w:line="132" w:lineRule="exact"/>
              <w:rPr>
                <w:sz w:val="20"/>
                <w:szCs w:val="20"/>
                <w:color w:val="auto"/>
              </w:rPr>
            </w:pPr>
            <w:r>
              <w:rPr>
                <w:rFonts w:ascii="Arial" w:cs="Arial" w:eastAsia="Arial" w:hAnsi="Arial"/>
                <w:sz w:val="14"/>
                <w:szCs w:val="14"/>
                <w:color w:val="auto"/>
              </w:rPr>
              <w:t>53,898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line="132" w:lineRule="exact"/>
              <w:rPr>
                <w:sz w:val="20"/>
                <w:szCs w:val="20"/>
                <w:color w:val="auto"/>
              </w:rPr>
            </w:pPr>
            <w:r>
              <w:rPr>
                <w:rFonts w:ascii="Arial" w:cs="Arial" w:eastAsia="Arial" w:hAnsi="Arial"/>
                <w:sz w:val="14"/>
                <w:szCs w:val="14"/>
                <w:color w:val="auto"/>
              </w:rPr>
              <w:t>239,675</w:t>
            </w:r>
          </w:p>
        </w:tc>
        <w:tc>
          <w:tcPr>
            <w:tcW w:w="120" w:type="dxa"/>
            <w:vAlign w:val="bottom"/>
          </w:tcPr>
          <w:p>
            <w:pPr>
              <w:spacing w:after="0"/>
              <w:rPr>
                <w:sz w:val="11"/>
                <w:szCs w:val="11"/>
                <w:color w:val="auto"/>
              </w:rPr>
            </w:pPr>
          </w:p>
        </w:tc>
        <w:tc>
          <w:tcPr>
            <w:tcW w:w="760" w:type="dxa"/>
            <w:vAlign w:val="bottom"/>
          </w:tcPr>
          <w:p>
            <w:pPr>
              <w:jc w:val="right"/>
              <w:spacing w:after="0" w:line="132" w:lineRule="exact"/>
              <w:rPr>
                <w:sz w:val="20"/>
                <w:szCs w:val="20"/>
                <w:color w:val="auto"/>
              </w:rPr>
            </w:pPr>
            <w:r>
              <w:rPr>
                <w:rFonts w:ascii="Arial" w:cs="Arial" w:eastAsia="Arial" w:hAnsi="Arial"/>
                <w:sz w:val="14"/>
                <w:szCs w:val="14"/>
                <w:color w:val="auto"/>
              </w:rPr>
              <w:t>6,304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(18,062)</w:t>
            </w: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(9,993)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(53,898)</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(239,675)</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(314)</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260" w:type="dxa"/>
            <w:vAlign w:val="bottom"/>
            <w:tcBorders>
              <w:bottom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Other income, net</w:t>
            </w: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28</w:t>
            </w:r>
          </w:p>
        </w:tc>
        <w:tc>
          <w:tcPr>
            <w:tcW w:w="3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320</w:t>
            </w: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704</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908</w:t>
            </w: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line="142" w:lineRule="exact"/>
              <w:rPr>
                <w:sz w:val="20"/>
                <w:szCs w:val="20"/>
                <w:color w:val="auto"/>
              </w:rPr>
            </w:pPr>
            <w:r>
              <w:rPr>
                <w:rFonts w:ascii="Arial" w:cs="Arial" w:eastAsia="Arial" w:hAnsi="Arial"/>
                <w:sz w:val="14"/>
                <w:szCs w:val="14"/>
                <w:color w:val="auto"/>
              </w:rPr>
              <w:t>Net loss</w:t>
            </w: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color w:val="auto"/>
              </w:rPr>
              <w:t>(18,348)$</w:t>
            </w: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(9,673)$</w:t>
            </w:r>
          </w:p>
        </w:tc>
        <w:tc>
          <w:tcPr>
            <w:tcW w:w="8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(53,575)</w:t>
            </w: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(238,767)$</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2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Net loss per common share</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260" w:type="dxa"/>
            <w:vAlign w:val="bottom"/>
          </w:tcPr>
          <w:p>
            <w:pPr>
              <w:ind w:left="140"/>
              <w:spacing w:after="0" w:line="151" w:lineRule="exact"/>
              <w:rPr>
                <w:sz w:val="20"/>
                <w:szCs w:val="20"/>
                <w:color w:val="auto"/>
              </w:rPr>
            </w:pPr>
            <w:r>
              <w:rPr>
                <w:rFonts w:ascii="Arial" w:cs="Arial" w:eastAsia="Arial" w:hAnsi="Arial"/>
                <w:sz w:val="12"/>
                <w:szCs w:val="12"/>
                <w:color w:val="auto"/>
              </w:rPr>
              <w:t>Basic and Diluted</w:t>
            </w:r>
            <w:r>
              <w:rPr>
                <w:rFonts w:ascii="Arial" w:cs="Arial" w:eastAsia="Arial" w:hAnsi="Arial"/>
                <w:sz w:val="17"/>
                <w:szCs w:val="17"/>
                <w:color w:val="auto"/>
                <w:vertAlign w:val="superscript"/>
              </w:rPr>
              <w:t>(1)</w:t>
            </w:r>
          </w:p>
        </w:tc>
        <w:tc>
          <w:tcPr>
            <w:tcW w:w="1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gridSpan w:val="2"/>
          </w:tcPr>
          <w:p>
            <w:pPr>
              <w:jc w:val="right"/>
              <w:ind w:right="240"/>
              <w:spacing w:after="0" w:line="151" w:lineRule="exact"/>
              <w:rPr>
                <w:sz w:val="20"/>
                <w:szCs w:val="20"/>
                <w:color w:val="auto"/>
              </w:rPr>
            </w:pPr>
            <w:r>
              <w:rPr>
                <w:rFonts w:ascii="Arial" w:cs="Arial" w:eastAsia="Arial" w:hAnsi="Arial"/>
                <w:sz w:val="14"/>
                <w:szCs w:val="14"/>
                <w:color w:val="auto"/>
              </w:rPr>
              <w:t>(0.95)$</w:t>
            </w:r>
          </w:p>
        </w:tc>
        <w:tc>
          <w:tcPr>
            <w:tcW w:w="60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(0.51)$</w:t>
            </w:r>
          </w:p>
        </w:tc>
        <w:tc>
          <w:tcPr>
            <w:tcW w:w="86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(2.85)</w:t>
            </w:r>
          </w:p>
        </w:tc>
        <w:tc>
          <w:tcPr>
            <w:tcW w:w="1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(12.68)$</w:t>
            </w:r>
          </w:p>
        </w:tc>
        <w:tc>
          <w:tcPr>
            <w:tcW w:w="7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(0.40)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260" w:type="dxa"/>
            <w:vAlign w:val="bottom"/>
            <w:shd w:val="clear" w:color="auto" w:fill="CCEEFF"/>
          </w:tcPr>
          <w:p>
            <w:pPr>
              <w:spacing w:after="0" w:line="112" w:lineRule="exact"/>
              <w:rPr>
                <w:sz w:val="20"/>
                <w:szCs w:val="20"/>
                <w:color w:val="auto"/>
              </w:rPr>
            </w:pPr>
            <w:r>
              <w:rPr>
                <w:rFonts w:ascii="Arial" w:cs="Arial" w:eastAsia="Arial" w:hAnsi="Arial"/>
                <w:sz w:val="12"/>
                <w:szCs w:val="12"/>
                <w:color w:val="auto"/>
              </w:rPr>
              <w:t>Weighted average common shares outstanding</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3260" w:type="dxa"/>
            <w:vAlign w:val="bottom"/>
            <w:tcBorders>
              <w:bottom w:val="single" w:sz="8" w:color="CCEEFF"/>
            </w:tcBorders>
            <w:shd w:val="clear" w:color="auto" w:fill="CCEEFF"/>
          </w:tcPr>
          <w:p>
            <w:pPr>
              <w:ind w:left="140"/>
              <w:spacing w:after="0" w:line="195" w:lineRule="exact"/>
              <w:rPr>
                <w:sz w:val="20"/>
                <w:szCs w:val="20"/>
                <w:color w:val="auto"/>
              </w:rPr>
            </w:pPr>
            <w:r>
              <w:rPr>
                <w:rFonts w:ascii="Arial" w:cs="Arial" w:eastAsia="Arial" w:hAnsi="Arial"/>
                <w:sz w:val="14"/>
                <w:szCs w:val="14"/>
                <w:color w:val="auto"/>
              </w:rPr>
              <w:t>Basic and Diluted</w:t>
            </w:r>
            <w:r>
              <w:rPr>
                <w:rFonts w:ascii="Arial" w:cs="Arial" w:eastAsia="Arial" w:hAnsi="Arial"/>
                <w:sz w:val="21"/>
                <w:szCs w:val="21"/>
                <w:color w:val="auto"/>
                <w:vertAlign w:val="superscript"/>
              </w:rPr>
              <w:t>(1)</w:t>
            </w:r>
          </w:p>
        </w:tc>
        <w:tc>
          <w:tcPr>
            <w:tcW w:w="1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19,278,887  18,825,136</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18,825,136</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18,825,136</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15,029,240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spacing w:after="0" w:line="153" w:lineRule="exact"/>
              <w:rPr>
                <w:sz w:val="20"/>
                <w:szCs w:val="20"/>
                <w:color w:val="auto"/>
              </w:rPr>
            </w:pPr>
            <w:r>
              <w:rPr>
                <w:rFonts w:ascii="Arial" w:cs="Arial" w:eastAsia="Arial" w:hAnsi="Arial"/>
                <w:sz w:val="14"/>
                <w:szCs w:val="14"/>
                <w:color w:val="auto"/>
              </w:rPr>
              <w:t>Pro forma net loss per share attributable to</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2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260" w:type="dxa"/>
            <w:vAlign w:val="bottom"/>
          </w:tcPr>
          <w:p>
            <w:pPr>
              <w:ind w:left="140"/>
              <w:spacing w:after="0" w:line="151" w:lineRule="exact"/>
              <w:rPr>
                <w:sz w:val="20"/>
                <w:szCs w:val="20"/>
                <w:color w:val="auto"/>
              </w:rPr>
            </w:pPr>
            <w:r>
              <w:rPr>
                <w:rFonts w:ascii="Arial" w:cs="Arial" w:eastAsia="Arial" w:hAnsi="Arial"/>
                <w:sz w:val="14"/>
                <w:szCs w:val="14"/>
                <w:color w:val="auto"/>
              </w:rPr>
              <w:t>common stockholders – basic and diluted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260" w:type="dxa"/>
            <w:vAlign w:val="bottom"/>
          </w:tcPr>
          <w:p>
            <w:pPr>
              <w:ind w:left="140"/>
              <w:spacing w:after="0" w:line="195" w:lineRule="exact"/>
              <w:rPr>
                <w:sz w:val="20"/>
                <w:szCs w:val="20"/>
                <w:color w:val="auto"/>
              </w:rPr>
            </w:pPr>
            <w:r>
              <w:rPr>
                <w:rFonts w:ascii="Arial" w:cs="Arial" w:eastAsia="Arial" w:hAnsi="Arial"/>
                <w:sz w:val="14"/>
                <w:szCs w:val="14"/>
                <w:color w:val="auto"/>
              </w:rPr>
              <w:t>(unaudited)</w:t>
            </w:r>
            <w:r>
              <w:rPr>
                <w:rFonts w:ascii="Arial" w:cs="Arial" w:eastAsia="Arial" w:hAnsi="Arial"/>
                <w:sz w:val="21"/>
                <w:szCs w:val="21"/>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(0.17)</w:t>
            </w:r>
          </w:p>
        </w:tc>
        <w:tc>
          <w:tcPr>
            <w:tcW w:w="4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(0.51)</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260" w:type="dxa"/>
            <w:vAlign w:val="bottom"/>
            <w:shd w:val="clear" w:color="auto" w:fill="CCEEFF"/>
          </w:tcPr>
          <w:p>
            <w:pPr>
              <w:spacing w:after="0" w:line="112" w:lineRule="exact"/>
              <w:rPr>
                <w:sz w:val="20"/>
                <w:szCs w:val="20"/>
                <w:color w:val="auto"/>
              </w:rPr>
            </w:pPr>
            <w:r>
              <w:rPr>
                <w:rFonts w:ascii="Arial" w:cs="Arial" w:eastAsia="Arial" w:hAnsi="Arial"/>
                <w:sz w:val="12"/>
                <w:szCs w:val="12"/>
                <w:color w:val="auto"/>
              </w:rPr>
              <w:t>Pro forma weighted-average number of common</w:t>
            </w: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260" w:type="dxa"/>
            <w:vAlign w:val="bottom"/>
            <w:tcBorders>
              <w:bottom w:val="single" w:sz="8" w:color="CCEEFF"/>
            </w:tcBorders>
            <w:shd w:val="clear" w:color="auto" w:fill="CCEEFF"/>
          </w:tcPr>
          <w:p>
            <w:pPr>
              <w:ind w:left="140"/>
              <w:spacing w:after="0" w:line="238" w:lineRule="exact"/>
              <w:rPr>
                <w:sz w:val="20"/>
                <w:szCs w:val="20"/>
                <w:color w:val="auto"/>
              </w:rPr>
            </w:pPr>
            <w:r>
              <w:rPr>
                <w:rFonts w:ascii="Arial" w:cs="Arial" w:eastAsia="Arial" w:hAnsi="Arial"/>
                <w:sz w:val="14"/>
                <w:szCs w:val="14"/>
                <w:color w:val="auto"/>
              </w:rPr>
              <w:t>shares – basic and diluted (unaudited)</w:t>
            </w:r>
            <w:r>
              <w:rPr>
                <w:rFonts w:ascii="Arial" w:cs="Arial" w:eastAsia="Arial" w:hAnsi="Arial"/>
                <w:sz w:val="21"/>
                <w:szCs w:val="21"/>
                <w:color w:val="auto"/>
                <w:vertAlign w:val="superscript"/>
              </w:rPr>
              <w:t>(2)</w:t>
            </w: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105,144,676</w:t>
            </w:r>
          </w:p>
        </w:tc>
        <w:tc>
          <w:tcPr>
            <w:tcW w:w="3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104,690,925</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1220" w:right="1239" w:firstLine="4"/>
        <w:spacing w:after="0" w:line="248" w:lineRule="auto"/>
        <w:tabs>
          <w:tab w:leader="none" w:pos="1393" w:val="left"/>
        </w:tabs>
        <w:numPr>
          <w:ilvl w:val="0"/>
          <w:numId w:val="61"/>
        </w:numPr>
        <w:rPr>
          <w:rFonts w:ascii="Arial" w:cs="Arial" w:eastAsia="Arial" w:hAnsi="Arial"/>
          <w:sz w:val="11"/>
          <w:szCs w:val="11"/>
          <w:color w:val="auto"/>
        </w:rPr>
      </w:pPr>
      <w:r>
        <w:rPr>
          <w:rFonts w:ascii="Arial" w:cs="Arial" w:eastAsia="Arial" w:hAnsi="Arial"/>
          <w:sz w:val="11"/>
          <w:szCs w:val="11"/>
          <w:color w:val="auto"/>
        </w:rPr>
        <w:t>See Note 15 of our audited consolidated financial statements and Note 13 of our unaudited condensed consolidated financial statements included elsewhere in this prospectus for an explanation of the calculations of our basic and diluted net loss per share, and the weighted-average number of shares outstanding used in the computation of the per share amounts.</w:t>
      </w:r>
    </w:p>
    <w:p>
      <w:pPr>
        <w:spacing w:after="0" w:line="61" w:lineRule="exact"/>
        <w:rPr>
          <w:rFonts w:ascii="Arial" w:cs="Arial" w:eastAsia="Arial" w:hAnsi="Arial"/>
          <w:sz w:val="11"/>
          <w:szCs w:val="11"/>
          <w:color w:val="auto"/>
        </w:rPr>
      </w:pPr>
    </w:p>
    <w:p>
      <w:pPr>
        <w:ind w:left="1220" w:right="1259" w:firstLine="4"/>
        <w:spacing w:after="0" w:line="248" w:lineRule="auto"/>
        <w:tabs>
          <w:tab w:leader="none" w:pos="1393" w:val="left"/>
        </w:tabs>
        <w:numPr>
          <w:ilvl w:val="0"/>
          <w:numId w:val="61"/>
        </w:numPr>
        <w:rPr>
          <w:rFonts w:ascii="Arial" w:cs="Arial" w:eastAsia="Arial" w:hAnsi="Arial"/>
          <w:sz w:val="11"/>
          <w:szCs w:val="11"/>
          <w:color w:val="auto"/>
        </w:rPr>
      </w:pPr>
      <w:r>
        <w:rPr>
          <w:rFonts w:ascii="Arial" w:cs="Arial" w:eastAsia="Arial" w:hAnsi="Arial"/>
          <w:sz w:val="11"/>
          <w:szCs w:val="11"/>
          <w:color w:val="auto"/>
        </w:rPr>
        <w:t>See the subsection titled “Management’s Discussion and Analysis of Financial Condition and Results of Operations— Unaudited Pro Forma Information” for an explanation of the calculations of our basic and diluted pro forma net loss per share, and the weighted-average number of shares outstanding used in the computation of the per share amounts.</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3" w:name="page84"/>
    <w:bookmarkEnd w:id="8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417195</wp:posOffset>
            </wp:positionV>
            <wp:extent cx="4165600" cy="13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22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640" w:type="dxa"/>
            <w:vAlign w:val="bottom"/>
          </w:tcPr>
          <w:p>
            <w:pPr>
              <w:jc w:val="right"/>
              <w:ind w:right="70"/>
              <w:spacing w:after="0"/>
              <w:rPr>
                <w:sz w:val="20"/>
                <w:szCs w:val="20"/>
                <w:color w:val="auto"/>
              </w:rPr>
            </w:pPr>
            <w:r>
              <w:rPr>
                <w:rFonts w:ascii="Arial" w:cs="Arial" w:eastAsia="Arial" w:hAnsi="Arial"/>
                <w:sz w:val="13"/>
                <w:szCs w:val="13"/>
                <w:b w:val="1"/>
                <w:bCs w:val="1"/>
                <w:color w:val="auto"/>
              </w:rPr>
              <w:t>March 31,</w:t>
            </w:r>
          </w:p>
        </w:tc>
        <w:tc>
          <w:tcPr>
            <w:tcW w:w="164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6"/>
        </w:trPr>
        <w:tc>
          <w:tcPr>
            <w:tcW w:w="334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40" w:type="dxa"/>
            <w:vAlign w:val="bottom"/>
          </w:tcPr>
          <w:p>
            <w:pPr>
              <w:jc w:val="right"/>
              <w:ind w:right="30"/>
              <w:spacing w:after="0"/>
              <w:rPr>
                <w:sz w:val="20"/>
                <w:szCs w:val="20"/>
                <w:color w:val="auto"/>
              </w:rPr>
            </w:pPr>
            <w:r>
              <w:rPr>
                <w:rFonts w:ascii="Arial" w:cs="Arial" w:eastAsia="Arial" w:hAnsi="Arial"/>
                <w:sz w:val="13"/>
                <w:szCs w:val="13"/>
                <w:b w:val="1"/>
                <w:bCs w:val="1"/>
                <w:color w:val="auto"/>
              </w:rPr>
              <w:t>2021</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6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4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640" w:type="dxa"/>
            <w:vAlign w:val="bottom"/>
          </w:tcPr>
          <w:p>
            <w:pPr>
              <w:jc w:val="right"/>
              <w:ind w:right="30"/>
              <w:spacing w:after="0"/>
              <w:rPr>
                <w:sz w:val="20"/>
                <w:szCs w:val="20"/>
                <w:color w:val="auto"/>
              </w:rPr>
            </w:pPr>
            <w:r>
              <w:rPr>
                <w:rFonts w:ascii="Arial" w:cs="Arial" w:eastAsia="Arial" w:hAnsi="Arial"/>
                <w:sz w:val="14"/>
                <w:szCs w:val="14"/>
                <w:color w:val="auto"/>
              </w:rPr>
              <w:t>$  79,483</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  27,211</w:t>
            </w:r>
          </w:p>
        </w:tc>
        <w:tc>
          <w:tcPr>
            <w:tcW w:w="720" w:type="dxa"/>
            <w:vAlign w:val="bottom"/>
          </w:tcPr>
          <w:p>
            <w:pPr>
              <w:jc w:val="right"/>
              <w:spacing w:after="0"/>
              <w:rPr>
                <w:sz w:val="20"/>
                <w:szCs w:val="20"/>
                <w:color w:val="auto"/>
              </w:rPr>
            </w:pPr>
            <w:r>
              <w:rPr>
                <w:rFonts w:ascii="Arial" w:cs="Arial" w:eastAsia="Arial" w:hAnsi="Arial"/>
                <w:sz w:val="14"/>
                <w:szCs w:val="14"/>
                <w:color w:val="auto"/>
              </w:rPr>
              <w:t>$  44,064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Working capital</w:t>
            </w:r>
            <w:r>
              <w:rPr>
                <w:rFonts w:ascii="Arial" w:cs="Arial" w:eastAsia="Arial" w:hAnsi="Arial"/>
                <w:sz w:val="21"/>
                <w:szCs w:val="21"/>
                <w:color w:val="auto"/>
                <w:vertAlign w:val="superscript"/>
              </w:rPr>
              <w:t>(1)</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172,387</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66,685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34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640" w:type="dxa"/>
            <w:vAlign w:val="bottom"/>
          </w:tcPr>
          <w:p>
            <w:pPr>
              <w:jc w:val="right"/>
              <w:ind w:right="30"/>
              <w:spacing w:after="0"/>
              <w:rPr>
                <w:sz w:val="20"/>
                <w:szCs w:val="20"/>
                <w:color w:val="auto"/>
              </w:rPr>
            </w:pPr>
            <w:r>
              <w:rPr>
                <w:rFonts w:ascii="Arial" w:cs="Arial" w:eastAsia="Arial" w:hAnsi="Arial"/>
                <w:sz w:val="14"/>
                <w:szCs w:val="14"/>
                <w:color w:val="auto"/>
              </w:rPr>
              <w:t>286,055</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106,776</w:t>
            </w:r>
          </w:p>
        </w:tc>
        <w:tc>
          <w:tcPr>
            <w:tcW w:w="720" w:type="dxa"/>
            <w:vAlign w:val="bottom"/>
          </w:tcPr>
          <w:p>
            <w:pPr>
              <w:jc w:val="right"/>
              <w:spacing w:after="0"/>
              <w:rPr>
                <w:sz w:val="20"/>
                <w:szCs w:val="20"/>
                <w:color w:val="auto"/>
              </w:rPr>
            </w:pPr>
            <w:r>
              <w:rPr>
                <w:rFonts w:ascii="Arial" w:cs="Arial" w:eastAsia="Arial" w:hAnsi="Arial"/>
                <w:sz w:val="14"/>
                <w:szCs w:val="14"/>
                <w:color w:val="auto"/>
              </w:rPr>
              <w:t>90,896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3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339,389</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179,761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179,761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40" w:type="dxa"/>
            <w:vAlign w:val="bottom"/>
            <w:gridSpan w:val="2"/>
          </w:tcPr>
          <w:p>
            <w:pPr>
              <w:spacing w:after="0"/>
              <w:rPr>
                <w:sz w:val="20"/>
                <w:szCs w:val="20"/>
                <w:color w:val="auto"/>
              </w:rPr>
            </w:pPr>
            <w:r>
              <w:rPr>
                <w:rFonts w:ascii="Arial" w:cs="Arial" w:eastAsia="Arial" w:hAnsi="Arial"/>
                <w:sz w:val="14"/>
                <w:szCs w:val="14"/>
                <w:color w:val="auto"/>
              </w:rPr>
              <w:t>Accumulated deficit</w:t>
            </w:r>
          </w:p>
        </w:tc>
        <w:tc>
          <w:tcPr>
            <w:tcW w:w="1640" w:type="dxa"/>
            <w:vAlign w:val="bottom"/>
          </w:tcPr>
          <w:p>
            <w:pPr>
              <w:jc w:val="right"/>
              <w:spacing w:after="0"/>
              <w:rPr>
                <w:sz w:val="20"/>
                <w:szCs w:val="20"/>
                <w:color w:val="auto"/>
              </w:rPr>
            </w:pPr>
            <w:r>
              <w:rPr>
                <w:rFonts w:ascii="Arial" w:cs="Arial" w:eastAsia="Arial" w:hAnsi="Arial"/>
                <w:sz w:val="14"/>
                <w:szCs w:val="14"/>
                <w:color w:val="auto"/>
              </w:rPr>
              <w:t>(310,690)</w:t>
            </w:r>
          </w:p>
        </w:tc>
        <w:tc>
          <w:tcPr>
            <w:tcW w:w="860" w:type="dxa"/>
            <w:vAlign w:val="bottom"/>
          </w:tcPr>
          <w:p>
            <w:pPr>
              <w:jc w:val="right"/>
              <w:spacing w:after="0"/>
              <w:rPr>
                <w:sz w:val="20"/>
                <w:szCs w:val="20"/>
                <w:color w:val="auto"/>
              </w:rPr>
            </w:pPr>
            <w:r>
              <w:rPr>
                <w:rFonts w:ascii="Arial" w:cs="Arial" w:eastAsia="Arial" w:hAnsi="Arial"/>
                <w:sz w:val="14"/>
                <w:szCs w:val="14"/>
                <w:color w:val="auto"/>
              </w:rPr>
              <w:t>(292,342)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(238,767)</w:t>
            </w:r>
          </w:p>
        </w:tc>
        <w:tc>
          <w:tcPr>
            <w:tcW w:w="0" w:type="dxa"/>
            <w:vAlign w:val="bottom"/>
          </w:tcPr>
          <w:p>
            <w:pPr>
              <w:spacing w:after="0"/>
              <w:rPr>
                <w:sz w:val="1"/>
                <w:szCs w:val="1"/>
                <w:color w:val="auto"/>
              </w:rPr>
            </w:pPr>
          </w:p>
        </w:tc>
      </w:tr>
      <w:tr>
        <w:trPr>
          <w:trHeight w:val="23"/>
        </w:trPr>
        <w:tc>
          <w:tcPr>
            <w:tcW w:w="33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stockholders’ deficit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(91,557)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(106,412)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(91,859)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ind w:left="1220" w:right="1339" w:firstLine="4"/>
        <w:spacing w:after="0" w:line="251" w:lineRule="auto"/>
        <w:tabs>
          <w:tab w:leader="none" w:pos="1393" w:val="left"/>
        </w:tabs>
        <w:numPr>
          <w:ilvl w:val="0"/>
          <w:numId w:val="62"/>
        </w:numPr>
        <w:rPr>
          <w:rFonts w:ascii="Arial" w:cs="Arial" w:eastAsia="Arial" w:hAnsi="Arial"/>
          <w:sz w:val="11"/>
          <w:szCs w:val="11"/>
          <w:color w:val="auto"/>
        </w:rPr>
      </w:pPr>
      <w:r>
        <w:rPr>
          <w:rFonts w:ascii="Arial" w:cs="Arial" w:eastAsia="Arial" w:hAnsi="Arial"/>
          <w:sz w:val="11"/>
          <w:szCs w:val="11"/>
          <w:color w:val="auto"/>
        </w:rPr>
        <w:t>We define working capital as current assets less current liabilities. See our audited consolidated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4" w:name="page85"/>
    <w:bookmarkEnd w:id="8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right="1239"/>
        <w:spacing w:after="0" w:line="251" w:lineRule="auto"/>
        <w:rPr>
          <w:sz w:val="20"/>
          <w:szCs w:val="20"/>
          <w:color w:val="auto"/>
        </w:rPr>
      </w:pPr>
      <w:r>
        <w:rPr>
          <w:rFonts w:ascii="Arial" w:cs="Arial" w:eastAsia="Arial" w:hAnsi="Arial"/>
          <w:sz w:val="23"/>
          <w:szCs w:val="23"/>
          <w:b w:val="1"/>
          <w:bCs w:val="1"/>
          <w:color w:val="auto"/>
        </w:rPr>
        <w:t>Management’s discussion and analysis of financial condition and results of operations</w:t>
      </w:r>
    </w:p>
    <w:p>
      <w:pPr>
        <w:spacing w:after="0" w:line="57"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i w:val="1"/>
          <w:iCs w:val="1"/>
          <w:color w:val="auto"/>
        </w:rPr>
        <w:t>You should read the following discussion and analysis of our consolidated financial condition and results of operations together with the section titled “Selected consolidated financial data,” and our audited consolidated financial statements and unaudited condensed consolidated financial statements and the related notes thereto included elsewhere in this prospectus. The year ended December 31, 2020 and the period of June 21, 2019 through December 31, 2019 are referred to herein as Successor. The period of January 1, 2019 through June 20, 2019 is referred to herein as Predecessor.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in the section titled “Risk factors.” See also the section titled “Special note regarding forward-looking statements.”</w:t>
      </w:r>
    </w:p>
    <w:p>
      <w:pPr>
        <w:spacing w:after="0" w:line="31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Overview</w:t>
      </w:r>
    </w:p>
    <w:p>
      <w:pPr>
        <w:spacing w:after="0" w:line="133" w:lineRule="exact"/>
        <w:rPr>
          <w:sz w:val="20"/>
          <w:szCs w:val="20"/>
          <w:color w:val="auto"/>
        </w:rPr>
      </w:pPr>
    </w:p>
    <w:p>
      <w:pPr>
        <w:ind w:left="1220" w:right="1279"/>
        <w:spacing w:after="0" w:line="251" w:lineRule="auto"/>
        <w:rPr>
          <w:sz w:val="20"/>
          <w:szCs w:val="20"/>
          <w:color w:val="auto"/>
        </w:rPr>
      </w:pPr>
      <w:r>
        <w:rPr>
          <w:rFonts w:ascii="Arial" w:cs="Arial" w:eastAsia="Arial" w:hAnsi="Arial"/>
          <w:sz w:val="14"/>
          <w:szCs w:val="14"/>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iPSC differentiation know-how to generate immune effector cells from iPSCs, or iPSC 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CARs,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cell therapy company by developing and ultimately commercializing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290"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We were formed in 2018 as Prior Century. In 2019, in connection with our investment from Bayer, Prior Century contributed substantially all of its operating assets and cash to a newly formed entity, the LLC Entity. We refer to this transaction as the 2019 Reorganization. The 2019 Reorganization was accounted for as an asset acquisition under US Generally Accepted Accounting Principles, and as a result we recorded a one-time non-cash charge in the amount of $225.9 million which represented the fair value of the contributed in-process research and development of Prior Century. The IPR&amp;D asset acquired was Prior Century’s comprehensive allogeneic cell therapy platform.</w:t>
      </w:r>
    </w:p>
    <w:p>
      <w:pPr>
        <w:spacing w:after="0" w:line="268"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Until February 2021, our business was operated through the LLC Entity. In February 2021, in connection with the Series C Financing, the LLC Entity converted from a Delaware limited liability company to a Delaware C corporation. Upon completion of this conversion, Prior Century, whose only significant asset was its equity investment in LLC, merged with the C corporation, and in connection therewith the C corporation changed its name to “Century Therapeutics, Inc.” We refer to these transactions as the 2021 Reorganization.</w:t>
      </w:r>
    </w:p>
    <w:p>
      <w:pPr>
        <w:spacing w:after="0" w:line="108" w:lineRule="exact"/>
        <w:rPr>
          <w:sz w:val="20"/>
          <w:szCs w:val="20"/>
          <w:color w:val="auto"/>
        </w:rPr>
      </w:pPr>
    </w:p>
    <w:p>
      <w:pPr>
        <w:ind w:left="1220" w:right="1379"/>
        <w:spacing w:after="0" w:line="261" w:lineRule="auto"/>
        <w:rPr>
          <w:sz w:val="20"/>
          <w:szCs w:val="20"/>
          <w:color w:val="auto"/>
        </w:rPr>
      </w:pPr>
      <w:r>
        <w:rPr>
          <w:rFonts w:ascii="Arial" w:cs="Arial" w:eastAsia="Arial" w:hAnsi="Arial"/>
          <w:sz w:val="14"/>
          <w:szCs w:val="14"/>
          <w:color w:val="auto"/>
        </w:rPr>
        <w:t>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and in-licensing intellectual property. All of our programs are currently in the development stage, and we do not have any products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5" w:name="page86"/>
    <w:bookmarkEnd w:id="8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approved for sale. Since our inception, we have incurred net losses each year. We had an accumulated deficit of $310.7 million as of March 31, 2021. Substantially all of our losses have resulted from expenses incurred in connection with our research and development programs, the acquisition of in-process research and development and from general and administrative costs associated with our operations. Included in our accumulated deficit, as noted above, is a non-cash expense of $225.9 million related to the fair value of the in-process research and development of Prior Century.</w:t>
      </w:r>
    </w:p>
    <w:p>
      <w:pPr>
        <w:spacing w:after="0" w:line="270" w:lineRule="exact"/>
        <w:rPr>
          <w:sz w:val="20"/>
          <w:szCs w:val="20"/>
          <w:color w:val="auto"/>
        </w:rPr>
      </w:pPr>
    </w:p>
    <w:p>
      <w:pPr>
        <w:ind w:left="1220" w:right="1499"/>
        <w:spacing w:after="0" w:line="257" w:lineRule="auto"/>
        <w:rPr>
          <w:sz w:val="20"/>
          <w:szCs w:val="20"/>
          <w:color w:val="auto"/>
        </w:rPr>
      </w:pPr>
      <w:r>
        <w:rPr>
          <w:rFonts w:ascii="Arial" w:cs="Arial" w:eastAsia="Arial" w:hAnsi="Arial"/>
          <w:sz w:val="14"/>
          <w:szCs w:val="14"/>
          <w:color w:val="auto"/>
        </w:rPr>
        <w:t>To date, we have funded our operations from the issuance and sale of our preferred stock and have not generated any revenues. Since our inception, we have raised approximately</w:t>
      </w:r>
    </w:p>
    <w:p>
      <w:pPr>
        <w:ind w:left="1220" w:right="1259"/>
        <w:spacing w:after="0" w:line="257" w:lineRule="auto"/>
        <w:rPr>
          <w:sz w:val="20"/>
          <w:szCs w:val="20"/>
          <w:color w:val="auto"/>
        </w:rPr>
      </w:pPr>
      <w:r>
        <w:rPr>
          <w:rFonts w:ascii="Arial" w:cs="Arial" w:eastAsia="Arial" w:hAnsi="Arial"/>
          <w:sz w:val="14"/>
          <w:szCs w:val="14"/>
          <w:color w:val="auto"/>
        </w:rPr>
        <w:t>$340 million in net proceeds from sales of our equity securities. As of March 31, 2021, we had cash, and cash equivalents of $79.5 million and marketable securities of $166.6 million. Based on our current business plans, we believe that the net proceeds from this offering, together with our existing cash, cash equivalents and marketable securities, will be sufficient for us to fund our</w:t>
      </w:r>
    </w:p>
    <w:p>
      <w:pPr>
        <w:spacing w:after="0" w:line="1" w:lineRule="exact"/>
        <w:rPr>
          <w:sz w:val="20"/>
          <w:szCs w:val="20"/>
          <w:color w:val="auto"/>
        </w:rPr>
      </w:pPr>
    </w:p>
    <w:p>
      <w:pPr>
        <w:jc w:val="both"/>
        <w:ind w:left="1220" w:right="1339"/>
        <w:spacing w:after="0" w:line="265" w:lineRule="auto"/>
        <w:rPr>
          <w:sz w:val="20"/>
          <w:szCs w:val="20"/>
          <w:color w:val="auto"/>
        </w:rPr>
      </w:pPr>
      <w:r>
        <w:rPr>
          <w:rFonts w:ascii="Arial" w:cs="Arial" w:eastAsia="Arial" w:hAnsi="Arial"/>
          <w:sz w:val="14"/>
          <w:szCs w:val="14"/>
          <w:color w:val="auto"/>
        </w:rPr>
        <w:t>operating expenses and capital expenditures requirements for the next months from the date of this filing. We have based this estimate on assumptions that may prove to be wrong, and we could exhaust our available capital resources sooner than we expect.</w:t>
      </w:r>
    </w:p>
    <w:p>
      <w:pPr>
        <w:spacing w:after="0" w:line="103" w:lineRule="exact"/>
        <w:rPr>
          <w:sz w:val="20"/>
          <w:szCs w:val="20"/>
          <w:color w:val="auto"/>
        </w:rPr>
      </w:pPr>
    </w:p>
    <w:p>
      <w:pPr>
        <w:ind w:left="1220" w:right="1279"/>
        <w:spacing w:after="0" w:line="265" w:lineRule="auto"/>
        <w:rPr>
          <w:sz w:val="20"/>
          <w:szCs w:val="20"/>
          <w:color w:val="auto"/>
        </w:rPr>
      </w:pPr>
      <w:r>
        <w:rPr>
          <w:rFonts w:ascii="Arial" w:cs="Arial" w:eastAsia="Arial" w:hAnsi="Arial"/>
          <w:sz w:val="14"/>
          <w:szCs w:val="14"/>
          <w:color w:val="auto"/>
        </w:rPr>
        <w:t>We anticipate that our expenses and operating losses will increase substantially over the foreseeable future. The expected increase in expenses will be driven in large part by our ongoing activities, if and as we:</w:t>
      </w:r>
    </w:p>
    <w:p>
      <w:pPr>
        <w:spacing w:after="0" w:line="82" w:lineRule="exact"/>
        <w:rPr>
          <w:sz w:val="20"/>
          <w:szCs w:val="20"/>
          <w:color w:val="auto"/>
        </w:rPr>
      </w:pPr>
    </w:p>
    <w:p>
      <w:pPr>
        <w:ind w:left="1340" w:hanging="116"/>
        <w:spacing w:after="0"/>
        <w:tabs>
          <w:tab w:leader="none" w:pos="1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continue to advance our iPSC cell therapy platforms;</w:t>
      </w:r>
    </w:p>
    <w:p>
      <w:pPr>
        <w:spacing w:after="0" w:line="108" w:lineRule="exact"/>
        <w:rPr>
          <w:rFonts w:ascii="Arial" w:cs="Arial" w:eastAsia="Arial" w:hAnsi="Arial"/>
          <w:sz w:val="14"/>
          <w:szCs w:val="14"/>
          <w:color w:val="auto"/>
        </w:rPr>
      </w:pPr>
    </w:p>
    <w:p>
      <w:pPr>
        <w:ind w:left="1340" w:right="1499" w:hanging="116"/>
        <w:spacing w:after="0" w:line="290" w:lineRule="auto"/>
        <w:tabs>
          <w:tab w:leader="none" w:pos="1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continuing preclinical development of, and initiate clinical development of CNTY-101 and our other product candidates;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seek to discover and develop additional product candidates;</w:t>
      </w:r>
    </w:p>
    <w:p>
      <w:pPr>
        <w:spacing w:after="0" w:line="97" w:lineRule="exact"/>
        <w:rPr>
          <w:rFonts w:ascii="Arial" w:cs="Arial" w:eastAsia="Arial" w:hAnsi="Arial"/>
          <w:sz w:val="14"/>
          <w:szCs w:val="14"/>
          <w:color w:val="auto"/>
        </w:rPr>
      </w:pPr>
    </w:p>
    <w:p>
      <w:pPr>
        <w:ind w:left="1340" w:hanging="116"/>
        <w:spacing w:after="0"/>
        <w:tabs>
          <w:tab w:leader="none" w:pos="1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establish and validate our own clinical-scale cGMP facilities;</w:t>
      </w:r>
    </w:p>
    <w:p>
      <w:pPr>
        <w:spacing w:after="0" w:line="108" w:lineRule="exact"/>
        <w:rPr>
          <w:rFonts w:ascii="Arial" w:cs="Arial" w:eastAsia="Arial" w:hAnsi="Arial"/>
          <w:sz w:val="14"/>
          <w:szCs w:val="14"/>
          <w:color w:val="auto"/>
        </w:rPr>
      </w:pPr>
    </w:p>
    <w:p>
      <w:pPr>
        <w:ind w:left="1340" w:right="1479" w:hanging="116"/>
        <w:spacing w:after="0" w:line="290" w:lineRule="auto"/>
        <w:tabs>
          <w:tab w:leader="none" w:pos="1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seek regulatory approvals for any of our other product candidates that successfully complete clinical trials;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maintain, expand, protect, and enforce our intellectual property portfolio;</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acquire or in-license other product candidates and technologies;</w:t>
      </w:r>
    </w:p>
    <w:p>
      <w:pPr>
        <w:spacing w:after="0" w:line="108" w:lineRule="exact"/>
        <w:rPr>
          <w:rFonts w:ascii="Arial" w:cs="Arial" w:eastAsia="Arial" w:hAnsi="Arial"/>
          <w:sz w:val="14"/>
          <w:szCs w:val="14"/>
          <w:color w:val="auto"/>
        </w:rPr>
      </w:pPr>
    </w:p>
    <w:p>
      <w:pPr>
        <w:ind w:left="1340" w:right="1479" w:hanging="116"/>
        <w:spacing w:after="0" w:line="278" w:lineRule="auto"/>
        <w:tabs>
          <w:tab w:leader="none" w:pos="1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incur additional costs associated with operating as a public company, which will require us to add operational, financial and management information systems and personnel, including personnel to support our drug development, any future commercialization efforts and our transition to a public company; and</w:t>
      </w:r>
    </w:p>
    <w:p>
      <w:pPr>
        <w:spacing w:after="0" w:line="74" w:lineRule="exact"/>
        <w:rPr>
          <w:rFonts w:ascii="Arial" w:cs="Arial" w:eastAsia="Arial" w:hAnsi="Arial"/>
          <w:sz w:val="14"/>
          <w:szCs w:val="14"/>
          <w:color w:val="auto"/>
        </w:rPr>
      </w:pPr>
    </w:p>
    <w:p>
      <w:pPr>
        <w:ind w:left="1340" w:hanging="116"/>
        <w:spacing w:after="0"/>
        <w:tabs>
          <w:tab w:leader="none" w:pos="1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increase our employee headcount and related expenses to support these activities.</w:t>
      </w:r>
    </w:p>
    <w:p>
      <w:pPr>
        <w:spacing w:after="0" w:line="120" w:lineRule="exact"/>
        <w:rPr>
          <w:sz w:val="20"/>
          <w:szCs w:val="20"/>
          <w:color w:val="auto"/>
        </w:rPr>
      </w:pPr>
    </w:p>
    <w:p>
      <w:pPr>
        <w:ind w:left="1220" w:right="1479"/>
        <w:spacing w:after="0" w:line="261" w:lineRule="auto"/>
        <w:rPr>
          <w:sz w:val="20"/>
          <w:szCs w:val="20"/>
          <w:color w:val="auto"/>
        </w:rPr>
      </w:pPr>
      <w:r>
        <w:rPr>
          <w:rFonts w:ascii="Arial" w:cs="Arial" w:eastAsia="Arial" w:hAnsi="Arial"/>
          <w:sz w:val="14"/>
          <w:szCs w:val="14"/>
          <w:color w:val="auto"/>
        </w:rPr>
        <w:t>We are also investing early in building our capabilities in key areas of manufacturing sciences and operations, including development of our iPSC cell therapy platforms, product characterization, and process analytics from the time candidates are in early research phases. Our investments also include scaled research solutions, scaled infrastructure, and novel technologies intended to improve efficiency, characterization, and scalability of manufacturing.</w:t>
      </w:r>
    </w:p>
    <w:p>
      <w:pPr>
        <w:spacing w:after="0" w:line="106" w:lineRule="exact"/>
        <w:rPr>
          <w:sz w:val="20"/>
          <w:szCs w:val="20"/>
          <w:color w:val="auto"/>
        </w:rPr>
      </w:pPr>
    </w:p>
    <w:p>
      <w:pPr>
        <w:ind w:left="1220" w:right="1279"/>
        <w:spacing w:after="0" w:line="258" w:lineRule="auto"/>
        <w:rPr>
          <w:sz w:val="20"/>
          <w:szCs w:val="20"/>
          <w:color w:val="auto"/>
        </w:rPr>
      </w:pPr>
      <w:r>
        <w:rPr>
          <w:rFonts w:ascii="Arial" w:cs="Arial" w:eastAsia="Arial" w:hAnsi="Arial"/>
          <w:sz w:val="14"/>
          <w:szCs w:val="14"/>
          <w:color w:val="auto"/>
        </w:rPr>
        <w:t>We anticipate that we will need to raise additional financing in the future to fund our operations, including funding for preclinical studies, clinical trials and the commercialization of any approved product candidates. We intend to use the proceeds from this offering to, among other uses, fund research and development of our product candidates and development programs, including our pre-clinical and clinical development of CNTY-101, CNTY-103, CNTY-102, and CNTY-104. Until such time, if ever, as we can generate significant product revenue, we expect to finance our operations with our existing cash and cash equivalents, marketable securities, the net proceeds from this offering, any future equity or debt financings, and upfront and milestone and royalties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6" w:name="page87"/>
    <w:bookmarkEnd w:id="8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79"/>
        <w:spacing w:after="0" w:line="258" w:lineRule="auto"/>
        <w:rPr>
          <w:sz w:val="20"/>
          <w:szCs w:val="20"/>
          <w:color w:val="auto"/>
        </w:rPr>
      </w:pPr>
      <w:r>
        <w:rPr>
          <w:rFonts w:ascii="Arial" w:cs="Arial" w:eastAsia="Arial" w:hAnsi="Arial"/>
          <w:sz w:val="14"/>
          <w:szCs w:val="14"/>
          <w:color w:val="auto"/>
        </w:rPr>
        <w:t>The global COVID-19 pandemic continues to evolve rapidly, and we will continue to monitor it closely. The extent of the impact of the COVID-19 pandemic on our business, operations, and clinical development timelines and plans remains uncertain and will depend on certain developments, including the duration and spread of the outbreak and its impact on our clinical trial enrollment, trial sites, CROs, contract manufacturing organizations, and other third parties with whom we do business, as well as its impact on regulatory authorities and our key scientific and management personnel. We have experienced modest delays in our discovery and development activities as a result of the COVID-19 pandemic, primarily due to temporary and partial shutdowns at certain of our CROs and academic institutions that have since resumed operations, and due to the Pennsylvania, and Washington stay-at-home orders where our operations are located. However, to the extent possible, we are conducting business as usual, with necessary or advisable modifications to employee travel and most of our non-laboratory employees working remotely. We will continue to actively monitor the situation related to COVID-19 and may take further actions that alter our operations, including those that may be required by federal, state, or local authorities, or that we determine are in the best interests of our employees and other third parties with whom we do business. The extent to which the outbreak may affect our preclinical studies, clinical trials, business, financial condition, and results of operations will depend on future developments, which are highly uncertain and cannot be predicted at this time.</w:t>
      </w:r>
    </w:p>
    <w:p>
      <w:pPr>
        <w:spacing w:after="0" w:line="31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License and collaboration agreements</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Fujifilm Cellular Dynamics, Inc. (FCDI)</w:t>
      </w:r>
    </w:p>
    <w:p>
      <w:pPr>
        <w:spacing w:after="0" w:line="125"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On September 18, 2018, we entered into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Prior Century issued 7,500,000 shares of common stock to FCDI, which were exchanged for 7,500,000 shares of common stock in connection with the Reorganization. Prior Century recorded acquired research and development expense of $75 thousand in 2018 based on the fair market value of Prior Century common stock of $0.01 per share.</w:t>
      </w:r>
    </w:p>
    <w:p>
      <w:pPr>
        <w:spacing w:after="0" w:line="110"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Also on September 18, 2018, we entered into the non-exclusive Reprogramming License with FCDI. The Reprogramming License, as amended, provides us with a non-exclusive license under certain patents and know-how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The potential development and regulatory milestone payments to be paid by us to FCDI are approximately $6 million per licensed product. In connection with the Reprogramming License, we entered into the Master Collaboration Agreement with FCDI pursuant to which we agreed to fund research and development work at FCDI pursuant to a research plan, or, as amended, the Collaboration Agreement.</w:t>
      </w:r>
    </w:p>
    <w:p>
      <w:pPr>
        <w:spacing w:after="0" w:line="280" w:lineRule="exact"/>
        <w:rPr>
          <w:sz w:val="20"/>
          <w:szCs w:val="20"/>
          <w:color w:val="auto"/>
        </w:rPr>
      </w:pPr>
    </w:p>
    <w:p>
      <w:pPr>
        <w:ind w:left="1220" w:right="1539"/>
        <w:spacing w:after="0" w:line="260" w:lineRule="auto"/>
        <w:rPr>
          <w:sz w:val="20"/>
          <w:szCs w:val="20"/>
          <w:color w:val="auto"/>
        </w:rPr>
      </w:pPr>
      <w:r>
        <w:rPr>
          <w:rFonts w:ascii="Arial" w:cs="Arial" w:eastAsia="Arial" w:hAnsi="Arial"/>
          <w:sz w:val="14"/>
          <w:szCs w:val="14"/>
          <w:color w:val="auto"/>
        </w:rPr>
        <w:t>On October 21, 2019, we entered into the Collaboration Agreement with FCDI, whereby FCDI provides certain services to us to develop and manufacture iPSCs and immune cells derived therefrom. Under the terms of the Collaboration Agreement, as amended, FCDI will provide services in accordance with the approved research plan and related research budget. The research plan covers the period from the date of execution of the Collaboration Agreement through March 31, 2022, with the related research budget of approximately $30.4 million.</w:t>
      </w:r>
    </w:p>
    <w:p>
      <w:pPr>
        <w:spacing w:after="0" w:line="97"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During the period ended March 31, 2021, under the terms of the Reprogramming License and the Collaboration Agreement, the Company made payments of $3.2 million and incurred research and development expenses of $2.8 million and legal fees of $21 thousand recorded within general and administrative expenses within its consolidated statements of operations. As of March 31, 2021, there were $1.4 million of payables recorded within accounts payable on the consolidated balance sheets related to the Collaboration Agreement.</w:t>
      </w:r>
    </w:p>
    <w:p>
      <w:pPr>
        <w:spacing w:after="0" w:line="108" w:lineRule="exact"/>
        <w:rPr>
          <w:sz w:val="20"/>
          <w:szCs w:val="20"/>
          <w:color w:val="auto"/>
        </w:rPr>
      </w:pPr>
    </w:p>
    <w:p>
      <w:pPr>
        <w:ind w:left="1220" w:right="1359"/>
        <w:spacing w:after="0" w:line="262" w:lineRule="auto"/>
        <w:rPr>
          <w:sz w:val="20"/>
          <w:szCs w:val="20"/>
          <w:color w:val="auto"/>
        </w:rPr>
      </w:pPr>
      <w:r>
        <w:rPr>
          <w:rFonts w:ascii="Arial" w:cs="Arial" w:eastAsia="Arial" w:hAnsi="Arial"/>
          <w:sz w:val="14"/>
          <w:szCs w:val="14"/>
          <w:color w:val="auto"/>
        </w:rPr>
        <w:t>During the Successor period ended December 31, 2020, under the terms of the Reprogramming License and the Collaboration Agreement, the Company made payments of $5.3 million and incurred research and development expenses of $9.0 million and legal fees of $52 thousand recorded within general and administrative expenses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7" w:name="page88"/>
    <w:bookmarkEnd w:id="8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within its consolidated statements of operations. As of December 31, 2020, there were</w:t>
      </w:r>
    </w:p>
    <w:p>
      <w:pPr>
        <w:spacing w:after="0" w:line="22" w:lineRule="exact"/>
        <w:rPr>
          <w:sz w:val="20"/>
          <w:szCs w:val="20"/>
          <w:color w:val="auto"/>
        </w:rPr>
      </w:pPr>
    </w:p>
    <w:p>
      <w:pPr>
        <w:ind w:left="1220" w:right="1499"/>
        <w:spacing w:after="0" w:line="290" w:lineRule="auto"/>
        <w:rPr>
          <w:sz w:val="20"/>
          <w:szCs w:val="20"/>
          <w:color w:val="auto"/>
        </w:rPr>
      </w:pPr>
      <w:r>
        <w:rPr>
          <w:rFonts w:ascii="Arial" w:cs="Arial" w:eastAsia="Arial" w:hAnsi="Arial"/>
          <w:sz w:val="14"/>
          <w:szCs w:val="14"/>
          <w:color w:val="auto"/>
        </w:rPr>
        <w:t>$1.8 million of payables recorded within accounts payable on the consolidated balance sheets related to the Collaboration Agreement.</w:t>
      </w:r>
    </w:p>
    <w:p>
      <w:pPr>
        <w:spacing w:after="0" w:line="86"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During the Successor period June 21, 2019 through December 31, 2019, under the terms of the Reprogramming License and the Collaboration Agreement, we made payments of $4.8 million, of which $2.1 million is classified in prepaid expenses and other current assets as of December 31, 2019. During the Successor period June 21, 2019 through December 31, 2019, under the terms of the Reprogramming License and the Collaboration Agreement, we incurred research and development operating expenses of $3.1 million and legal fees of $0.1 million recorded within general and administrative expenses.</w:t>
      </w:r>
    </w:p>
    <w:p>
      <w:pPr>
        <w:spacing w:after="0" w:line="107" w:lineRule="exact"/>
        <w:rPr>
          <w:sz w:val="20"/>
          <w:szCs w:val="20"/>
          <w:color w:val="auto"/>
        </w:rPr>
      </w:pPr>
    </w:p>
    <w:p>
      <w:pPr>
        <w:ind w:left="1220" w:right="1479"/>
        <w:spacing w:after="0" w:line="278" w:lineRule="auto"/>
        <w:rPr>
          <w:sz w:val="20"/>
          <w:szCs w:val="20"/>
          <w:color w:val="auto"/>
        </w:rPr>
      </w:pPr>
      <w:r>
        <w:rPr>
          <w:rFonts w:ascii="Arial" w:cs="Arial" w:eastAsia="Arial" w:hAnsi="Arial"/>
          <w:sz w:val="14"/>
          <w:szCs w:val="14"/>
          <w:color w:val="auto"/>
        </w:rPr>
        <w:t>During the Predecessor period January 1, 2019 through June 20, 2019, under the terms of the Reprogramming License and the Collaboration Agreement, we incurred research and development operating expenses of $1.6 million. There were no payments made during the Predecessor period January 1, 2019 through June 20, 2019.</w:t>
      </w:r>
    </w:p>
    <w:p>
      <w:pPr>
        <w:spacing w:after="0" w:line="106" w:lineRule="exact"/>
        <w:rPr>
          <w:sz w:val="20"/>
          <w:szCs w:val="20"/>
          <w:color w:val="auto"/>
        </w:rPr>
      </w:pPr>
    </w:p>
    <w:p>
      <w:pPr>
        <w:ind w:left="1220" w:right="2079"/>
        <w:spacing w:after="0" w:line="290" w:lineRule="auto"/>
        <w:rPr>
          <w:sz w:val="20"/>
          <w:szCs w:val="20"/>
          <w:color w:val="auto"/>
        </w:rPr>
      </w:pPr>
      <w:r>
        <w:rPr>
          <w:rFonts w:ascii="Arial" w:cs="Arial" w:eastAsia="Arial" w:hAnsi="Arial"/>
          <w:sz w:val="14"/>
          <w:szCs w:val="14"/>
          <w:color w:val="auto"/>
        </w:rPr>
        <w:t>As of March 31, 2021, we incurred $17.1 million of the $30.4 million budget under the Collaboration Agreement.</w:t>
      </w:r>
    </w:p>
    <w:p>
      <w:pPr>
        <w:spacing w:after="0" w:line="86" w:lineRule="exact"/>
        <w:rPr>
          <w:sz w:val="20"/>
          <w:szCs w:val="20"/>
          <w:color w:val="auto"/>
        </w:rPr>
      </w:pPr>
    </w:p>
    <w:p>
      <w:pPr>
        <w:jc w:val="both"/>
        <w:ind w:left="1220" w:right="1799"/>
        <w:spacing w:after="0" w:line="281" w:lineRule="auto"/>
        <w:rPr>
          <w:sz w:val="20"/>
          <w:szCs w:val="20"/>
          <w:color w:val="auto"/>
        </w:rPr>
      </w:pPr>
      <w:r>
        <w:rPr>
          <w:rFonts w:ascii="Arial" w:cs="Arial" w:eastAsia="Arial" w:hAnsi="Arial"/>
          <w:sz w:val="14"/>
          <w:szCs w:val="14"/>
          <w:color w:val="auto"/>
        </w:rPr>
        <w:t>We also have entered into a sublicense agreement with iCELL Inc. and a master services agreement with Distributed Bio, Inc. See Note 11 to our consolidated financial statements included elsewhere in this prospectus.</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Empirica acquisition</w:t>
      </w:r>
    </w:p>
    <w:p>
      <w:pPr>
        <w:spacing w:after="0" w:line="144"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On June 9, 2020, we acquired certain assets of Empirica Therapeutics, or Empirica, a privately-held early-stage biotechnology company focused on the development of adoptive immunotherapies against the most aggressive and treatment-resistant forms of cancers, including glioblastoma and brain metastasis for a total purchase price of $4.7 million.</w:t>
      </w:r>
    </w:p>
    <w:p>
      <w:pPr>
        <w:spacing w:after="0" w:line="106"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The transaction was accounted for as an asset acquisition of IPR&amp;D. Total consideration in the acquisition was $4.7 million, consisting of cash consideration of $4.5 million and transaction expenses of $0.2 million. In addition to the purchase price, $1.5 million was deposited in escrow, or the Escrow Deposit, whereby release of the Escrow Deposit is subject to the terms of a promissory note, which provides for the funds to be released in equal installments over a three-year period related to continuing services by former Empirica shareholders who are employed by the Company. The Escrow Deposit is recognized as an asset and the promissory note is post-acquisition compensation expense, which will be accrued over the term of the promissory note. We recorded $0.4 million and $0.3 million compensation in research and development expense for the three months ended March 31, 2021 and the year ended December 31, 2020, respectively. For further details regarding this acquisition, see Note 4 to our audited consolidated financial statements included elsewhere in this prospectus.</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Components of operating results</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6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Research and development</w:t>
      </w:r>
    </w:p>
    <w:p>
      <w:pPr>
        <w:spacing w:after="0" w:line="134" w:lineRule="exact"/>
        <w:rPr>
          <w:sz w:val="20"/>
          <w:szCs w:val="20"/>
          <w:color w:val="auto"/>
        </w:rPr>
      </w:pPr>
    </w:p>
    <w:p>
      <w:pPr>
        <w:ind w:left="1220" w:right="1319"/>
        <w:spacing w:after="0" w:line="277" w:lineRule="auto"/>
        <w:rPr>
          <w:sz w:val="20"/>
          <w:szCs w:val="20"/>
          <w:color w:val="auto"/>
        </w:rPr>
      </w:pPr>
      <w:r>
        <w:rPr>
          <w:rFonts w:ascii="Arial" w:cs="Arial" w:eastAsia="Arial" w:hAnsi="Arial"/>
          <w:sz w:val="14"/>
          <w:szCs w:val="14"/>
          <w:color w:val="auto"/>
        </w:rPr>
        <w:t>To date, research and development expenses have related primarily to discovery and development of our iPSC cell therapy platform technology and product candidates and acquired in-process research and 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107" w:lineRule="exact"/>
        <w:rPr>
          <w:sz w:val="20"/>
          <w:szCs w:val="20"/>
          <w:color w:val="auto"/>
        </w:rPr>
      </w:pPr>
    </w:p>
    <w:p>
      <w:pPr>
        <w:ind w:left="1220" w:right="1359"/>
        <w:spacing w:after="0" w:line="277" w:lineRule="auto"/>
        <w:rPr>
          <w:sz w:val="20"/>
          <w:szCs w:val="20"/>
          <w:color w:val="auto"/>
        </w:rPr>
      </w:pPr>
      <w:r>
        <w:rPr>
          <w:rFonts w:ascii="Arial" w:cs="Arial" w:eastAsia="Arial" w:hAnsi="Arial"/>
          <w:sz w:val="14"/>
          <w:szCs w:val="14"/>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8" w:name="page89"/>
    <w:bookmarkEnd w:id="8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99"/>
        <w:spacing w:after="0" w:line="292" w:lineRule="auto"/>
        <w:rPr>
          <w:sz w:val="20"/>
          <w:szCs w:val="20"/>
          <w:color w:val="auto"/>
        </w:rPr>
      </w:pPr>
      <w:r>
        <w:rPr>
          <w:rFonts w:ascii="Arial" w:cs="Arial" w:eastAsia="Arial" w:hAnsi="Arial"/>
          <w:sz w:val="14"/>
          <w:szCs w:val="14"/>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98" w:lineRule="exact"/>
        <w:rPr>
          <w:sz w:val="20"/>
          <w:szCs w:val="20"/>
          <w:color w:val="auto"/>
        </w:rPr>
      </w:pPr>
    </w:p>
    <w:p>
      <w:pPr>
        <w:ind w:left="1220" w:right="1239"/>
        <w:spacing w:after="0" w:line="291" w:lineRule="auto"/>
        <w:rPr>
          <w:sz w:val="20"/>
          <w:szCs w:val="20"/>
          <w:color w:val="auto"/>
        </w:rPr>
      </w:pPr>
      <w:r>
        <w:rPr>
          <w:rFonts w:ascii="Arial" w:cs="Arial" w:eastAsia="Arial" w:hAnsi="Arial"/>
          <w:sz w:val="14"/>
          <w:szCs w:val="14"/>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completing preclinical studies and commencing clinical trials,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29"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General and administrative</w:t>
      </w:r>
    </w:p>
    <w:p>
      <w:pPr>
        <w:spacing w:after="0" w:line="144" w:lineRule="exact"/>
        <w:rPr>
          <w:sz w:val="20"/>
          <w:szCs w:val="20"/>
          <w:color w:val="auto"/>
        </w:rPr>
      </w:pPr>
    </w:p>
    <w:p>
      <w:pPr>
        <w:ind w:left="1220" w:right="1259"/>
        <w:spacing w:after="0" w:line="293" w:lineRule="auto"/>
        <w:rPr>
          <w:sz w:val="20"/>
          <w:szCs w:val="20"/>
          <w:color w:val="auto"/>
        </w:rPr>
      </w:pPr>
      <w:r>
        <w:rPr>
          <w:rFonts w:ascii="Arial" w:cs="Arial" w:eastAsia="Arial" w:hAnsi="Arial"/>
          <w:sz w:val="14"/>
          <w:szCs w:val="14"/>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07" w:lineRule="exact"/>
        <w:rPr>
          <w:sz w:val="20"/>
          <w:szCs w:val="20"/>
          <w:color w:val="auto"/>
        </w:rPr>
      </w:pPr>
    </w:p>
    <w:p>
      <w:pPr>
        <w:ind w:left="1220" w:right="1339"/>
        <w:spacing w:after="0" w:line="295" w:lineRule="auto"/>
        <w:rPr>
          <w:sz w:val="20"/>
          <w:szCs w:val="20"/>
          <w:color w:val="auto"/>
        </w:rPr>
      </w:pPr>
      <w:r>
        <w:rPr>
          <w:rFonts w:ascii="Arial" w:cs="Arial" w:eastAsia="Arial" w:hAnsi="Arial"/>
          <w:sz w:val="14"/>
          <w:szCs w:val="14"/>
          <w:color w:val="auto"/>
        </w:rPr>
        <w:t>We anticipate that our general and administrative expenses will increase over the foreseeable future to support our continued research and development activities, operations generally, future business development opportunities, consulting fees, as well as due to the increased costs of operating as a public company.</w:t>
      </w:r>
    </w:p>
    <w:p>
      <w:pPr>
        <w:spacing w:after="0" w:line="122"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Write-off of in-process research and development</w:t>
      </w:r>
    </w:p>
    <w:p>
      <w:pPr>
        <w:spacing w:after="0" w:line="134" w:lineRule="exact"/>
        <w:rPr>
          <w:sz w:val="20"/>
          <w:szCs w:val="20"/>
          <w:color w:val="auto"/>
        </w:rPr>
      </w:pPr>
    </w:p>
    <w:p>
      <w:pPr>
        <w:jc w:val="both"/>
        <w:ind w:left="1220" w:right="1299"/>
        <w:spacing w:after="0" w:line="297" w:lineRule="auto"/>
        <w:rPr>
          <w:sz w:val="20"/>
          <w:szCs w:val="20"/>
          <w:color w:val="auto"/>
        </w:rPr>
      </w:pPr>
      <w:r>
        <w:rPr>
          <w:rFonts w:ascii="Arial" w:cs="Arial" w:eastAsia="Arial" w:hAnsi="Arial"/>
          <w:sz w:val="14"/>
          <w:szCs w:val="14"/>
          <w:color w:val="auto"/>
        </w:rPr>
        <w:t>Acquired in-process research and development assets are charged to expense at the acquisition date. In-process research and development charges in 2020 and 2019 relate to the acquisition of Prior Century’s and Empirica’s assets, respectively.</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46" w:lineRule="exact"/>
        <w:rPr>
          <w:sz w:val="20"/>
          <w:szCs w:val="20"/>
          <w:color w:val="auto"/>
        </w:rPr>
      </w:pPr>
    </w:p>
    <w:p>
      <w:pPr>
        <w:ind w:left="1220" w:right="1319"/>
        <w:spacing w:after="0" w:line="295" w:lineRule="auto"/>
        <w:rPr>
          <w:sz w:val="20"/>
          <w:szCs w:val="20"/>
          <w:color w:val="auto"/>
        </w:rPr>
      </w:pPr>
      <w:r>
        <w:rPr>
          <w:rFonts w:ascii="Arial" w:cs="Arial" w:eastAsia="Arial" w:hAnsi="Arial"/>
          <w:sz w:val="14"/>
          <w:szCs w:val="14"/>
          <w:color w:val="auto"/>
        </w:rPr>
        <w:t>Interest expense relates to interest incurred on the Loan Agreement we entered into with Hercules in September 2020, as well as amortization of the related deferred financing cost (see Note 9 to our audited consolidated financial statements included elsewhere in this prospectus for additional information).</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Other income, net</w:t>
      </w:r>
    </w:p>
    <w:p>
      <w:pPr>
        <w:spacing w:after="0" w:line="146" w:lineRule="exact"/>
        <w:rPr>
          <w:sz w:val="20"/>
          <w:szCs w:val="20"/>
          <w:color w:val="auto"/>
        </w:rPr>
      </w:pPr>
    </w:p>
    <w:p>
      <w:pPr>
        <w:ind w:left="1220" w:right="1519"/>
        <w:spacing w:after="0" w:line="290" w:lineRule="auto"/>
        <w:rPr>
          <w:sz w:val="20"/>
          <w:szCs w:val="20"/>
          <w:color w:val="auto"/>
        </w:rPr>
      </w:pPr>
      <w:r>
        <w:rPr>
          <w:rFonts w:ascii="Arial" w:cs="Arial" w:eastAsia="Arial" w:hAnsi="Arial"/>
          <w:sz w:val="14"/>
          <w:szCs w:val="14"/>
          <w:color w:val="auto"/>
        </w:rPr>
        <w:t>Interest income, net consists of interest earned on our cash, cash equivalents and investment balance.</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Income taxes</w:t>
      </w:r>
    </w:p>
    <w:p>
      <w:pPr>
        <w:spacing w:after="0" w:line="136" w:lineRule="exact"/>
        <w:rPr>
          <w:sz w:val="20"/>
          <w:szCs w:val="20"/>
          <w:color w:val="auto"/>
        </w:rPr>
      </w:pPr>
    </w:p>
    <w:p>
      <w:pPr>
        <w:ind w:left="1220" w:right="1239"/>
        <w:spacing w:after="0" w:line="291" w:lineRule="auto"/>
        <w:rPr>
          <w:sz w:val="20"/>
          <w:szCs w:val="20"/>
          <w:color w:val="auto"/>
        </w:rPr>
      </w:pPr>
      <w:r>
        <w:rPr>
          <w:rFonts w:ascii="Arial" w:cs="Arial" w:eastAsia="Arial" w:hAnsi="Arial"/>
          <w:sz w:val="14"/>
          <w:szCs w:val="14"/>
          <w:color w:val="auto"/>
        </w:rPr>
        <w:t>Until February 25, 2021, we were organized as a limited liability company, which is considered a passthrough entity for federal and state income tax purposes. As such, any taxable income or loss realized by the Company for the year ended December 31, 2020 was allocated to the members in accordance with their respective membership interest and reported on their individual tax returns. Subsequent to the conversion of the LLC entity to a C-Corp on February 25, 2021, we have incurred losses and recorded a full valuation allowance on all of our net deferred tax assets. Therefore, no provisions or benefit for income taxes is necessary in the accompanying consolidated financial statements.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89" w:name="page90"/>
    <w:bookmarkEnd w:id="8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Results of operations</w:t>
      </w:r>
    </w:p>
    <w:p>
      <w:pPr>
        <w:spacing w:after="0" w:line="141"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Comparison of the three months ended March 31, 2021 and 2020</w:t>
      </w:r>
    </w:p>
    <w:p>
      <w:pPr>
        <w:spacing w:after="0" w:line="14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summarizes our results of operations for the periods presented:</w:t>
      </w:r>
    </w:p>
    <w:p>
      <w:pPr>
        <w:spacing w:after="0" w:line="154"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9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3"/>
                <w:szCs w:val="13"/>
                <w:b w:val="1"/>
                <w:bCs w:val="1"/>
                <w:color w:val="auto"/>
              </w:rPr>
              <w:t>Three months ended</w:t>
            </w:r>
          </w:p>
        </w:tc>
        <w:tc>
          <w:tcPr>
            <w:tcW w:w="1520" w:type="dxa"/>
            <w:vAlign w:val="bottom"/>
            <w:tcBorders>
              <w:top w:val="single" w:sz="8" w:color="auto"/>
            </w:tcBorders>
            <w:gridSpan w:val="2"/>
          </w:tcPr>
          <w:p>
            <w:pPr>
              <w:jc w:val="right"/>
              <w:ind w:right="68"/>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98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1520" w:type="dxa"/>
            <w:vAlign w:val="bottom"/>
            <w:gridSpan w:val="2"/>
          </w:tcPr>
          <w:p>
            <w:pPr>
              <w:jc w:val="right"/>
              <w:ind w:right="28"/>
              <w:spacing w:after="0"/>
              <w:rPr>
                <w:sz w:val="20"/>
                <w:szCs w:val="20"/>
                <w:color w:val="auto"/>
              </w:rPr>
            </w:pPr>
            <w:r>
              <w:rPr>
                <w:rFonts w:ascii="Arial" w:cs="Arial" w:eastAsia="Arial" w:hAnsi="Arial"/>
                <w:sz w:val="13"/>
                <w:szCs w:val="13"/>
                <w:b w:val="1"/>
                <w:bCs w:val="1"/>
                <w:color w:val="auto"/>
              </w:rPr>
              <w:t>March 31, 2021</w:t>
            </w:r>
          </w:p>
        </w:tc>
        <w:tc>
          <w:tcPr>
            <w:tcW w:w="1520" w:type="dxa"/>
            <w:vAlign w:val="bottom"/>
            <w:gridSpan w:val="2"/>
          </w:tcPr>
          <w:p>
            <w:pPr>
              <w:jc w:val="right"/>
              <w:ind w:right="28"/>
              <w:spacing w:after="0"/>
              <w:rPr>
                <w:sz w:val="20"/>
                <w:szCs w:val="20"/>
                <w:color w:val="auto"/>
              </w:rPr>
            </w:pPr>
            <w:r>
              <w:rPr>
                <w:rFonts w:ascii="Arial" w:cs="Arial" w:eastAsia="Arial" w:hAnsi="Arial"/>
                <w:sz w:val="13"/>
                <w:szCs w:val="13"/>
                <w:b w:val="1"/>
                <w:bCs w:val="1"/>
                <w:color w:val="auto"/>
              </w:rPr>
              <w:t>March 31, 2020</w:t>
            </w:r>
          </w:p>
        </w:tc>
        <w:tc>
          <w:tcPr>
            <w:tcW w:w="600" w:type="dxa"/>
            <w:vAlign w:val="bottom"/>
            <w:gridSpan w:val="2"/>
          </w:tcPr>
          <w:p>
            <w:pPr>
              <w:ind w:left="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3"/>
        </w:trPr>
        <w:tc>
          <w:tcPr>
            <w:tcW w:w="29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15,374</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7,943</w:t>
            </w:r>
          </w:p>
        </w:tc>
        <w:tc>
          <w:tcPr>
            <w:tcW w:w="540" w:type="dxa"/>
            <w:vAlign w:val="bottom"/>
          </w:tcPr>
          <w:p>
            <w:pPr>
              <w:jc w:val="right"/>
              <w:spacing w:after="0"/>
              <w:rPr>
                <w:sz w:val="20"/>
                <w:szCs w:val="20"/>
                <w:color w:val="auto"/>
              </w:rPr>
            </w:pPr>
            <w:r>
              <w:rPr>
                <w:rFonts w:ascii="Arial" w:cs="Arial" w:eastAsia="Arial" w:hAnsi="Arial"/>
                <w:sz w:val="14"/>
                <w:szCs w:val="14"/>
                <w:color w:val="auto"/>
              </w:rPr>
              <w:t>$ 7,431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8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2,688</w:t>
            </w:r>
          </w:p>
        </w:tc>
        <w:tc>
          <w:tcPr>
            <w:tcW w:w="9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2,050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operating expenses</w:t>
            </w:r>
          </w:p>
        </w:tc>
        <w:tc>
          <w:tcPr>
            <w:tcW w:w="8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18,062</w:t>
            </w: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9,993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8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(18,062)</w:t>
            </w:r>
          </w:p>
        </w:tc>
        <w:tc>
          <w:tcPr>
            <w:tcW w:w="9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(9,993)</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Interest expense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98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4"/>
                <w:szCs w:val="14"/>
                <w:color w:val="auto"/>
              </w:rPr>
              <w:t>(314)</w:t>
            </w:r>
          </w:p>
        </w:tc>
        <w:tc>
          <w:tcPr>
            <w:tcW w:w="960" w:type="dxa"/>
            <w:vAlign w:val="bottom"/>
          </w:tcPr>
          <w:p>
            <w:pPr>
              <w:spacing w:after="0"/>
              <w:rPr>
                <w:sz w:val="11"/>
                <w:szCs w:val="11"/>
                <w:color w:val="auto"/>
              </w:rPr>
            </w:pPr>
          </w:p>
        </w:tc>
        <w:tc>
          <w:tcPr>
            <w:tcW w:w="560" w:type="dxa"/>
            <w:vAlign w:val="bottom"/>
          </w:tcPr>
          <w:p>
            <w:pPr>
              <w:jc w:val="right"/>
              <w:ind w:right="28"/>
              <w:spacing w:after="0" w:line="136"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36" w:lineRule="exact"/>
              <w:rPr>
                <w:sz w:val="20"/>
                <w:szCs w:val="20"/>
                <w:color w:val="auto"/>
              </w:rPr>
            </w:pPr>
            <w:r>
              <w:rPr>
                <w:rFonts w:ascii="Arial" w:cs="Arial" w:eastAsia="Arial" w:hAnsi="Arial"/>
                <w:sz w:val="14"/>
                <w:szCs w:val="14"/>
                <w:color w:val="auto"/>
              </w:rPr>
              <w:t>(314)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8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9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980" w:type="dxa"/>
            <w:vAlign w:val="bottom"/>
          </w:tcPr>
          <w:p>
            <w:pPr>
              <w:spacing w:after="0"/>
              <w:rPr>
                <w:sz w:val="20"/>
                <w:szCs w:val="20"/>
                <w:color w:val="auto"/>
              </w:rPr>
            </w:pPr>
            <w:r>
              <w:rPr>
                <w:rFonts w:ascii="Arial" w:cs="Arial" w:eastAsia="Arial" w:hAnsi="Arial"/>
                <w:sz w:val="14"/>
                <w:szCs w:val="14"/>
                <w:color w:val="auto"/>
              </w:rPr>
              <w:t>Net loss</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(18,348)</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(9,673)</w:t>
            </w:r>
          </w:p>
        </w:tc>
        <w:tc>
          <w:tcPr>
            <w:tcW w:w="540" w:type="dxa"/>
            <w:vAlign w:val="bottom"/>
          </w:tcPr>
          <w:p>
            <w:pPr>
              <w:jc w:val="right"/>
              <w:spacing w:after="0"/>
              <w:rPr>
                <w:sz w:val="20"/>
                <w:szCs w:val="20"/>
                <w:color w:val="auto"/>
              </w:rPr>
            </w:pPr>
            <w:r>
              <w:rPr>
                <w:rFonts w:ascii="Arial" w:cs="Arial" w:eastAsia="Arial" w:hAnsi="Arial"/>
                <w:sz w:val="14"/>
                <w:szCs w:val="14"/>
                <w:color w:val="auto"/>
                <w:w w:val="99"/>
              </w:rPr>
              <w:t>$(8,675)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-561340</wp:posOffset>
            </wp:positionV>
            <wp:extent cx="188404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84045" cy="6985"/>
                    </a:xfrm>
                    <a:prstGeom prst="rect">
                      <a:avLst/>
                    </a:prstGeom>
                    <a:noFill/>
                  </pic:spPr>
                </pic:pic>
              </a:graphicData>
            </a:graphic>
          </wp:anchor>
        </w:drawing>
      </w:r>
    </w:p>
    <w:p>
      <w:pPr>
        <w:spacing w:after="0" w:line="11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25" w:lineRule="exact"/>
        <w:rPr>
          <w:sz w:val="20"/>
          <w:szCs w:val="20"/>
          <w:color w:val="auto"/>
        </w:rPr>
      </w:pPr>
    </w:p>
    <w:p>
      <w:pPr>
        <w:ind w:left="1220" w:right="1379"/>
        <w:spacing w:after="0" w:line="274" w:lineRule="auto"/>
        <w:rPr>
          <w:sz w:val="20"/>
          <w:szCs w:val="20"/>
          <w:color w:val="auto"/>
        </w:rPr>
      </w:pPr>
      <w:r>
        <w:rPr>
          <w:rFonts w:ascii="Arial" w:cs="Arial" w:eastAsia="Arial" w:hAnsi="Arial"/>
          <w:sz w:val="14"/>
          <w:szCs w:val="14"/>
          <w:color w:val="auto"/>
        </w:rPr>
        <w:t>The following table summarizes the components of our research and development expenses for the periods presented:</w:t>
      </w:r>
    </w:p>
    <w:p>
      <w:pPr>
        <w:spacing w:after="0" w:line="109"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31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3"/>
                <w:szCs w:val="13"/>
                <w:b w:val="1"/>
                <w:bCs w:val="1"/>
                <w:color w:val="auto"/>
              </w:rPr>
              <w:t>Three months ended</w:t>
            </w:r>
          </w:p>
        </w:tc>
        <w:tc>
          <w:tcPr>
            <w:tcW w:w="144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Three months ended</w:t>
            </w:r>
          </w:p>
        </w:tc>
        <w:tc>
          <w:tcPr>
            <w:tcW w:w="540" w:type="dxa"/>
            <w:vAlign w:val="bottom"/>
            <w:tcBorders>
              <w:top w:val="single" w:sz="8" w:color="auto"/>
            </w:tcBorders>
          </w:tcPr>
          <w:p>
            <w:pPr>
              <w:spacing w:after="0"/>
              <w:rPr>
                <w:sz w:val="14"/>
                <w:szCs w:val="14"/>
                <w:color w:val="auto"/>
              </w:rPr>
            </w:pPr>
          </w:p>
        </w:tc>
      </w:tr>
      <w:tr>
        <w:trPr>
          <w:trHeight w:val="179"/>
        </w:trPr>
        <w:tc>
          <w:tcPr>
            <w:tcW w:w="3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March 31, 2021</w:t>
            </w:r>
          </w:p>
        </w:tc>
        <w:tc>
          <w:tcPr>
            <w:tcW w:w="1440" w:type="dxa"/>
            <w:vAlign w:val="bottom"/>
            <w:tcBorders>
              <w:bottom w:val="single" w:sz="8" w:color="auto"/>
            </w:tcBorders>
            <w:gridSpan w:val="2"/>
          </w:tcPr>
          <w:p>
            <w:pPr>
              <w:jc w:val="center"/>
              <w:ind w:left="312"/>
              <w:spacing w:after="0"/>
              <w:rPr>
                <w:sz w:val="20"/>
                <w:szCs w:val="20"/>
                <w:color w:val="auto"/>
              </w:rPr>
            </w:pPr>
            <w:r>
              <w:rPr>
                <w:rFonts w:ascii="Arial" w:cs="Arial" w:eastAsia="Arial" w:hAnsi="Arial"/>
                <w:sz w:val="13"/>
                <w:szCs w:val="13"/>
                <w:b w:val="1"/>
                <w:bCs w:val="1"/>
                <w:color w:val="auto"/>
              </w:rPr>
              <w:t>March 31, 2020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w:t>
            </w:r>
          </w:p>
        </w:tc>
      </w:tr>
      <w:tr>
        <w:trPr>
          <w:trHeight w:val="17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Personnel and related costs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4,789</w:t>
            </w:r>
          </w:p>
        </w:tc>
        <w:tc>
          <w:tcPr>
            <w:tcW w:w="980" w:type="dxa"/>
            <w:vAlign w:val="bottom"/>
            <w:tcBorders>
              <w:bottom w:val="single" w:sz="8" w:color="CCEEFF"/>
            </w:tcBorders>
            <w:shd w:val="clear" w:color="auto" w:fill="CCEEFF"/>
          </w:tcPr>
          <w:p>
            <w:pPr>
              <w:jc w:val="center"/>
              <w:ind w:left="752"/>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2,588</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$ 2,201</w:t>
            </w:r>
          </w:p>
        </w:tc>
      </w:tr>
      <w:tr>
        <w:trPr>
          <w:trHeight w:val="182"/>
        </w:trPr>
        <w:tc>
          <w:tcPr>
            <w:tcW w:w="3120" w:type="dxa"/>
            <w:vAlign w:val="bottom"/>
          </w:tcPr>
          <w:p>
            <w:pPr>
              <w:spacing w:after="0"/>
              <w:rPr>
                <w:sz w:val="20"/>
                <w:szCs w:val="20"/>
                <w:color w:val="auto"/>
              </w:rPr>
            </w:pPr>
            <w:r>
              <w:rPr>
                <w:rFonts w:ascii="Arial" w:cs="Arial" w:eastAsia="Arial" w:hAnsi="Arial"/>
                <w:sz w:val="14"/>
                <w:szCs w:val="14"/>
                <w:color w:val="auto"/>
              </w:rPr>
              <w:t>Facility and other allocated costs</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2,075</w:t>
            </w: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668</w:t>
            </w:r>
          </w:p>
        </w:tc>
        <w:tc>
          <w:tcPr>
            <w:tcW w:w="540" w:type="dxa"/>
            <w:vAlign w:val="bottom"/>
          </w:tcPr>
          <w:p>
            <w:pPr>
              <w:jc w:val="right"/>
              <w:spacing w:after="0"/>
              <w:rPr>
                <w:sz w:val="20"/>
                <w:szCs w:val="20"/>
                <w:color w:val="auto"/>
              </w:rPr>
            </w:pPr>
            <w:r>
              <w:rPr>
                <w:rFonts w:ascii="Arial" w:cs="Arial" w:eastAsia="Arial" w:hAnsi="Arial"/>
                <w:sz w:val="14"/>
                <w:szCs w:val="14"/>
                <w:color w:val="auto"/>
              </w:rPr>
              <w:t>1,407</w:t>
            </w:r>
          </w:p>
        </w:tc>
      </w:tr>
      <w:tr>
        <w:trPr>
          <w:trHeight w:val="23"/>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5"/>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Research and laboratory</w:t>
            </w:r>
          </w:p>
        </w:tc>
        <w:tc>
          <w:tcPr>
            <w:tcW w:w="9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4,260</w:t>
            </w:r>
          </w:p>
        </w:tc>
        <w:tc>
          <w:tcPr>
            <w:tcW w:w="9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2,639</w:t>
            </w:r>
          </w:p>
        </w:tc>
      </w:tr>
      <w:tr>
        <w:trPr>
          <w:trHeight w:val="182"/>
        </w:trPr>
        <w:tc>
          <w:tcPr>
            <w:tcW w:w="3120" w:type="dxa"/>
            <w:vAlign w:val="bottom"/>
          </w:tcPr>
          <w:p>
            <w:pPr>
              <w:spacing w:after="0"/>
              <w:rPr>
                <w:sz w:val="20"/>
                <w:szCs w:val="20"/>
                <w:color w:val="auto"/>
              </w:rPr>
            </w:pPr>
            <w:r>
              <w:rPr>
                <w:rFonts w:ascii="Arial" w:cs="Arial" w:eastAsia="Arial" w:hAnsi="Arial"/>
                <w:sz w:val="14"/>
                <w:szCs w:val="14"/>
                <w:color w:val="auto"/>
              </w:rPr>
              <w:t>Collaborations</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2,906</w:t>
            </w: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2,877</w:t>
            </w:r>
          </w:p>
        </w:tc>
        <w:tc>
          <w:tcPr>
            <w:tcW w:w="5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3"/>
        </w:trPr>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5"/>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Consulting</w:t>
            </w:r>
          </w:p>
        </w:tc>
        <w:tc>
          <w:tcPr>
            <w:tcW w:w="9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9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634</w:t>
            </w:r>
          </w:p>
        </w:tc>
      </w:tr>
      <w:tr>
        <w:trPr>
          <w:trHeight w:val="188"/>
        </w:trPr>
        <w:tc>
          <w:tcPr>
            <w:tcW w:w="31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w:t>
            </w: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w:t>
            </w: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r>
      <w:tr>
        <w:trPr>
          <w:trHeight w:val="227"/>
        </w:trPr>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research and development expense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15,374</w:t>
            </w:r>
          </w:p>
        </w:tc>
        <w:tc>
          <w:tcPr>
            <w:tcW w:w="980" w:type="dxa"/>
            <w:vAlign w:val="bottom"/>
            <w:tcBorders>
              <w:bottom w:val="single" w:sz="8" w:color="CCEEFF"/>
            </w:tcBorders>
            <w:shd w:val="clear" w:color="auto" w:fill="CCEEFF"/>
          </w:tcPr>
          <w:p>
            <w:pPr>
              <w:jc w:val="center"/>
              <w:ind w:left="752"/>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7,943</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$ 7,431</w:t>
            </w:r>
          </w:p>
        </w:tc>
      </w:tr>
      <w:tr>
        <w:trPr>
          <w:trHeight w:val="20"/>
        </w:trPr>
        <w:tc>
          <w:tcPr>
            <w:tcW w:w="3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-163830</wp:posOffset>
            </wp:positionV>
            <wp:extent cx="197993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79930" cy="6985"/>
                    </a:xfrm>
                    <a:prstGeom prst="rect">
                      <a:avLst/>
                    </a:prstGeom>
                    <a:noFill/>
                  </pic:spPr>
                </pic:pic>
              </a:graphicData>
            </a:graphic>
          </wp:anchor>
        </w:drawing>
      </w:r>
    </w:p>
    <w:p>
      <w:pPr>
        <w:spacing w:after="0" w:line="87" w:lineRule="exact"/>
        <w:rPr>
          <w:sz w:val="20"/>
          <w:szCs w:val="20"/>
          <w:color w:val="auto"/>
        </w:rPr>
      </w:pPr>
    </w:p>
    <w:p>
      <w:pPr>
        <w:jc w:val="both"/>
        <w:ind w:left="1220" w:right="1419"/>
        <w:spacing w:after="0" w:line="265" w:lineRule="auto"/>
        <w:rPr>
          <w:sz w:val="20"/>
          <w:szCs w:val="20"/>
          <w:color w:val="auto"/>
        </w:rPr>
      </w:pPr>
      <w:r>
        <w:rPr>
          <w:rFonts w:ascii="Arial" w:cs="Arial" w:eastAsia="Arial" w:hAnsi="Arial"/>
          <w:sz w:val="14"/>
          <w:szCs w:val="14"/>
          <w:color w:val="auto"/>
        </w:rPr>
        <w:t>Research and development expenses were $15.4 million for the three months ended March 31, 2021 and $7.9 million for the three months ended March 31, 2020. The increase of $7.4 million was primarily due to:</w:t>
      </w:r>
    </w:p>
    <w:p>
      <w:pPr>
        <w:spacing w:after="0" w:line="82" w:lineRule="exact"/>
        <w:rPr>
          <w:sz w:val="20"/>
          <w:szCs w:val="20"/>
          <w:color w:val="auto"/>
        </w:rPr>
      </w:pPr>
    </w:p>
    <w:p>
      <w:pPr>
        <w:ind w:left="1340" w:right="1259" w:hanging="116"/>
        <w:spacing w:after="0" w:line="290" w:lineRule="auto"/>
        <w:tabs>
          <w:tab w:leader="none" w:pos="1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an increase in personnel-related expenses of $2.2 million, which was primarily attributable to an increase in headcount to expand our research and development capabilities</w:t>
      </w:r>
    </w:p>
    <w:p>
      <w:pPr>
        <w:spacing w:after="0" w:line="42" w:lineRule="exact"/>
        <w:rPr>
          <w:rFonts w:ascii="Arial" w:cs="Arial" w:eastAsia="Arial" w:hAnsi="Arial"/>
          <w:sz w:val="14"/>
          <w:szCs w:val="14"/>
          <w:color w:val="auto"/>
        </w:rPr>
      </w:pPr>
    </w:p>
    <w:p>
      <w:pPr>
        <w:ind w:left="1340" w:right="1319" w:hanging="116"/>
        <w:spacing w:after="0" w:line="290" w:lineRule="auto"/>
        <w:tabs>
          <w:tab w:leader="none" w:pos="1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an increase of $1.4 million of facility and other allocated costs, including rent and allocated overhead costs as a result of an expansion of our geographic footprint for office and lab space;</w:t>
      </w:r>
    </w:p>
    <w:p>
      <w:pPr>
        <w:spacing w:after="0" w:line="42" w:lineRule="exact"/>
        <w:rPr>
          <w:rFonts w:ascii="Arial" w:cs="Arial" w:eastAsia="Arial" w:hAnsi="Arial"/>
          <w:sz w:val="14"/>
          <w:szCs w:val="14"/>
          <w:color w:val="auto"/>
        </w:rPr>
      </w:pPr>
    </w:p>
    <w:p>
      <w:pPr>
        <w:ind w:left="1340" w:right="1659" w:hanging="116"/>
        <w:spacing w:after="0" w:line="290" w:lineRule="auto"/>
        <w:tabs>
          <w:tab w:leader="none" w:pos="1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an increase of $2.6 million in research and laboratory costs, including laboratory supplies, preclinical studies, and other external research expenses;</w:t>
      </w:r>
    </w:p>
    <w:p>
      <w:pPr>
        <w:spacing w:after="0" w:line="53" w:lineRule="exact"/>
        <w:rPr>
          <w:rFonts w:ascii="Arial" w:cs="Arial" w:eastAsia="Arial" w:hAnsi="Arial"/>
          <w:sz w:val="14"/>
          <w:szCs w:val="14"/>
          <w:color w:val="auto"/>
        </w:rPr>
      </w:pPr>
    </w:p>
    <w:p>
      <w:pPr>
        <w:ind w:left="1340" w:right="1319" w:hanging="116"/>
        <w:spacing w:after="0" w:line="290" w:lineRule="auto"/>
        <w:tabs>
          <w:tab w:leader="none" w:pos="1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an increase of $0.6 million of consulting costs primarily for temporary personnel to assist in the expansion of our research and development capabilities; and</w:t>
      </w:r>
    </w:p>
    <w:p>
      <w:pPr>
        <w:spacing w:after="0" w:line="42" w:lineRule="exact"/>
        <w:rPr>
          <w:rFonts w:ascii="Arial" w:cs="Arial" w:eastAsia="Arial" w:hAnsi="Arial"/>
          <w:sz w:val="14"/>
          <w:szCs w:val="14"/>
          <w:color w:val="auto"/>
        </w:rPr>
      </w:pPr>
    </w:p>
    <w:p>
      <w:pPr>
        <w:ind w:left="1340" w:hanging="116"/>
        <w:spacing w:after="0"/>
        <w:tabs>
          <w:tab w:leader="none" w:pos="1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an increase of $0.5 million of other expenses</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25" w:lineRule="exact"/>
        <w:rPr>
          <w:sz w:val="20"/>
          <w:szCs w:val="20"/>
          <w:color w:val="auto"/>
        </w:rPr>
      </w:pPr>
    </w:p>
    <w:p>
      <w:pPr>
        <w:ind w:left="1220" w:right="1359"/>
        <w:spacing w:after="0" w:line="262" w:lineRule="auto"/>
        <w:rPr>
          <w:sz w:val="20"/>
          <w:szCs w:val="20"/>
          <w:color w:val="auto"/>
        </w:rPr>
      </w:pPr>
      <w:r>
        <w:rPr>
          <w:rFonts w:ascii="Arial" w:cs="Arial" w:eastAsia="Arial" w:hAnsi="Arial"/>
          <w:sz w:val="14"/>
          <w:szCs w:val="14"/>
          <w:color w:val="auto"/>
        </w:rPr>
        <w:t>General and administrative expenses were $2.7 million for the three months ended March 31, 2021 and $2.1 million for three months ended March 31, 2020. The increase of $0.6 million was primarily due to increased personnel-related expenses of $0.4 million primarily attributable to an increase in headcount to build our infrastructure, and increased consulting and legal fees of $0.2 million.</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0" w:name="page91"/>
    <w:bookmarkEnd w:id="9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36" w:lineRule="exact"/>
        <w:rPr>
          <w:sz w:val="20"/>
          <w:szCs w:val="20"/>
          <w:color w:val="auto"/>
        </w:rPr>
      </w:pPr>
    </w:p>
    <w:p>
      <w:pPr>
        <w:ind w:left="1220" w:right="1439"/>
        <w:spacing w:after="0" w:line="290" w:lineRule="auto"/>
        <w:rPr>
          <w:sz w:val="20"/>
          <w:szCs w:val="20"/>
          <w:color w:val="auto"/>
        </w:rPr>
      </w:pPr>
      <w:r>
        <w:rPr>
          <w:rFonts w:ascii="Arial" w:cs="Arial" w:eastAsia="Arial" w:hAnsi="Arial"/>
          <w:sz w:val="14"/>
          <w:szCs w:val="14"/>
          <w:color w:val="auto"/>
        </w:rPr>
        <w:t>Interest expense was $0.3 million for the three months ended March 31, 2021, which related to our Loan Agreement with Hercules.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Other income, net</w:t>
      </w:r>
    </w:p>
    <w:p>
      <w:pPr>
        <w:spacing w:after="0" w:line="146" w:lineRule="exact"/>
        <w:rPr>
          <w:sz w:val="20"/>
          <w:szCs w:val="20"/>
          <w:color w:val="auto"/>
        </w:rPr>
      </w:pPr>
    </w:p>
    <w:p>
      <w:pPr>
        <w:ind w:left="1220" w:right="1419"/>
        <w:spacing w:after="0" w:line="281" w:lineRule="auto"/>
        <w:rPr>
          <w:sz w:val="20"/>
          <w:szCs w:val="20"/>
          <w:color w:val="auto"/>
        </w:rPr>
      </w:pPr>
      <w:r>
        <w:rPr>
          <w:rFonts w:ascii="Arial" w:cs="Arial" w:eastAsia="Arial" w:hAnsi="Arial"/>
          <w:sz w:val="14"/>
          <w:szCs w:val="14"/>
          <w:color w:val="auto"/>
        </w:rPr>
        <w:t>Interest income was $28 thousand for the three months ended March 31, 2021 and $0.3 million for the three months ended March 31, 2020, which included interest earned on our cash, cash equivalents, and short-term and long-term investment balances.</w:t>
      </w:r>
    </w:p>
    <w:p>
      <w:pPr>
        <w:spacing w:after="0" w:line="122" w:lineRule="exact"/>
        <w:rPr>
          <w:sz w:val="20"/>
          <w:szCs w:val="20"/>
          <w:color w:val="auto"/>
        </w:rPr>
      </w:pPr>
    </w:p>
    <w:p>
      <w:pPr>
        <w:jc w:val="both"/>
        <w:ind w:left="1220" w:right="1279"/>
        <w:spacing w:after="0" w:line="243" w:lineRule="auto"/>
        <w:rPr>
          <w:sz w:val="20"/>
          <w:szCs w:val="20"/>
          <w:color w:val="auto"/>
        </w:rPr>
      </w:pPr>
      <w:r>
        <w:rPr>
          <w:rFonts w:ascii="Arial" w:cs="Arial" w:eastAsia="Arial" w:hAnsi="Arial"/>
          <w:sz w:val="14"/>
          <w:szCs w:val="14"/>
          <w:i w:val="1"/>
          <w:iCs w:val="1"/>
          <w:color w:val="auto"/>
        </w:rPr>
        <w:t>Comparison of the Year Ended December 31, 2020 (Successor) to the period from June 21, 2019 through December 31, 2019 (Successor), and the Period from January 1, 2019 through June 20, 2019 (Predecessor).</w:t>
      </w:r>
    </w:p>
    <w:p>
      <w:pPr>
        <w:spacing w:after="0" w:line="118" w:lineRule="exact"/>
        <w:rPr>
          <w:sz w:val="20"/>
          <w:szCs w:val="20"/>
          <w:color w:val="auto"/>
        </w:rPr>
      </w:pPr>
    </w:p>
    <w:p>
      <w:pPr>
        <w:ind w:left="1220" w:right="1279"/>
        <w:spacing w:after="0" w:line="278" w:lineRule="auto"/>
        <w:rPr>
          <w:sz w:val="20"/>
          <w:szCs w:val="20"/>
          <w:color w:val="auto"/>
        </w:rPr>
      </w:pPr>
      <w:r>
        <w:rPr>
          <w:rFonts w:ascii="Arial" w:cs="Arial" w:eastAsia="Arial" w:hAnsi="Arial"/>
          <w:sz w:val="14"/>
          <w:szCs w:val="14"/>
          <w:color w:val="auto"/>
        </w:rPr>
        <w:t>The following table summarizes our results of operations for the periods presented. The change in the results of operations is reflective of the (Successor) for the year ended December 31, 2020 compared to combined periods of both (Successor) June 21, 2019 to December 31, 2019 and (Predecessor) January 1, 2019 to June 20, 2019:</w:t>
      </w:r>
    </w:p>
    <w:p>
      <w:pPr>
        <w:spacing w:after="0" w:line="109"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1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3"/>
                <w:szCs w:val="13"/>
                <w:b w:val="1"/>
                <w:bCs w:val="1"/>
                <w:color w:val="auto"/>
              </w:rPr>
              <w:t>Successor</w:t>
            </w:r>
          </w:p>
        </w:tc>
        <w:tc>
          <w:tcPr>
            <w:tcW w:w="1020" w:type="dxa"/>
            <w:vAlign w:val="bottom"/>
            <w:tcBorders>
              <w:top w:val="single" w:sz="8" w:color="auto"/>
            </w:tcBorders>
            <w:gridSpan w:val="2"/>
          </w:tcPr>
          <w:p>
            <w:pPr>
              <w:jc w:val="right"/>
              <w:ind w:right="68"/>
              <w:spacing w:after="0"/>
              <w:rPr>
                <w:sz w:val="20"/>
                <w:szCs w:val="20"/>
                <w:color w:val="auto"/>
              </w:rPr>
            </w:pPr>
            <w:r>
              <w:rPr>
                <w:rFonts w:ascii="Arial" w:cs="Arial" w:eastAsia="Arial" w:hAnsi="Arial"/>
                <w:sz w:val="13"/>
                <w:szCs w:val="13"/>
                <w:b w:val="1"/>
                <w:bCs w:val="1"/>
                <w:color w:val="auto"/>
              </w:rPr>
              <w:t>Predecessor</w:t>
            </w: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1"/>
        </w:trPr>
        <w:tc>
          <w:tcPr>
            <w:tcW w:w="2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20" w:type="dxa"/>
            <w:vAlign w:val="bottom"/>
            <w:gridSpan w:val="2"/>
          </w:tcPr>
          <w:p>
            <w:pPr>
              <w:jc w:val="right"/>
              <w:ind w:right="48"/>
              <w:spacing w:after="0"/>
              <w:rPr>
                <w:sz w:val="20"/>
                <w:szCs w:val="20"/>
                <w:color w:val="auto"/>
              </w:rPr>
            </w:pPr>
            <w:r>
              <w:rPr>
                <w:rFonts w:ascii="Arial" w:cs="Arial" w:eastAsia="Arial" w:hAnsi="Arial"/>
                <w:sz w:val="13"/>
                <w:szCs w:val="13"/>
                <w:b w:val="1"/>
                <w:bCs w:val="1"/>
                <w:color w:val="auto"/>
              </w:rPr>
              <w:t>period from</w:t>
            </w:r>
          </w:p>
        </w:tc>
        <w:tc>
          <w:tcPr>
            <w:tcW w:w="1020" w:type="dxa"/>
            <w:vAlign w:val="bottom"/>
            <w:gridSpan w:val="2"/>
          </w:tcPr>
          <w:p>
            <w:pPr>
              <w:jc w:val="right"/>
              <w:ind w:right="68"/>
              <w:spacing w:after="0"/>
              <w:rPr>
                <w:sz w:val="20"/>
                <w:szCs w:val="20"/>
                <w:color w:val="auto"/>
              </w:rPr>
            </w:pPr>
            <w:r>
              <w:rPr>
                <w:rFonts w:ascii="Arial" w:cs="Arial" w:eastAsia="Arial" w:hAnsi="Arial"/>
                <w:sz w:val="13"/>
                <w:szCs w:val="13"/>
                <w:b w:val="1"/>
                <w:bCs w:val="1"/>
                <w:color w:val="auto"/>
              </w:rPr>
              <w:t>period from</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1"/>
        </w:trPr>
        <w:tc>
          <w:tcPr>
            <w:tcW w:w="2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2"/>
          </w:tcPr>
          <w:p>
            <w:pPr>
              <w:jc w:val="right"/>
              <w:ind w:right="48"/>
              <w:spacing w:after="0"/>
              <w:rPr>
                <w:sz w:val="20"/>
                <w:szCs w:val="20"/>
                <w:color w:val="auto"/>
              </w:rPr>
            </w:pPr>
            <w:r>
              <w:rPr>
                <w:rFonts w:ascii="Arial" w:cs="Arial" w:eastAsia="Arial" w:hAnsi="Arial"/>
                <w:sz w:val="13"/>
                <w:szCs w:val="13"/>
                <w:b w:val="1"/>
                <w:bCs w:val="1"/>
                <w:color w:val="auto"/>
              </w:rPr>
              <w:t>Successor</w:t>
            </w:r>
          </w:p>
        </w:tc>
        <w:tc>
          <w:tcPr>
            <w:tcW w:w="1320" w:type="dxa"/>
            <w:vAlign w:val="bottom"/>
            <w:gridSpan w:val="2"/>
          </w:tcPr>
          <w:p>
            <w:pPr>
              <w:jc w:val="right"/>
              <w:ind w:right="48"/>
              <w:spacing w:after="0"/>
              <w:rPr>
                <w:sz w:val="20"/>
                <w:szCs w:val="20"/>
                <w:color w:val="auto"/>
              </w:rPr>
            </w:pPr>
            <w:r>
              <w:rPr>
                <w:rFonts w:ascii="Arial" w:cs="Arial" w:eastAsia="Arial" w:hAnsi="Arial"/>
                <w:sz w:val="13"/>
                <w:szCs w:val="13"/>
                <w:b w:val="1"/>
                <w:bCs w:val="1"/>
                <w:color w:val="auto"/>
              </w:rPr>
              <w:t>June 21, 2019</w:t>
            </w:r>
          </w:p>
        </w:tc>
        <w:tc>
          <w:tcPr>
            <w:tcW w:w="1020" w:type="dxa"/>
            <w:vAlign w:val="bottom"/>
            <w:gridSpan w:val="2"/>
          </w:tcPr>
          <w:p>
            <w:pPr>
              <w:jc w:val="right"/>
              <w:ind w:right="68"/>
              <w:spacing w:after="0"/>
              <w:rPr>
                <w:sz w:val="20"/>
                <w:szCs w:val="20"/>
                <w:color w:val="auto"/>
              </w:rPr>
            </w:pPr>
            <w:r>
              <w:rPr>
                <w:rFonts w:ascii="Arial" w:cs="Arial" w:eastAsia="Arial" w:hAnsi="Arial"/>
                <w:sz w:val="13"/>
                <w:szCs w:val="13"/>
                <w:b w:val="1"/>
                <w:bCs w:val="1"/>
                <w:color w:val="auto"/>
              </w:rPr>
              <w:t>January 1,</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1"/>
        </w:trPr>
        <w:tc>
          <w:tcPr>
            <w:tcW w:w="2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2"/>
          </w:tcPr>
          <w:p>
            <w:pPr>
              <w:jc w:val="right"/>
              <w:ind w:right="48"/>
              <w:spacing w:after="0"/>
              <w:rPr>
                <w:sz w:val="20"/>
                <w:szCs w:val="20"/>
                <w:color w:val="auto"/>
              </w:rPr>
            </w:pPr>
            <w:r>
              <w:rPr>
                <w:rFonts w:ascii="Arial" w:cs="Arial" w:eastAsia="Arial" w:hAnsi="Arial"/>
                <w:sz w:val="13"/>
                <w:szCs w:val="13"/>
                <w:b w:val="1"/>
                <w:bCs w:val="1"/>
                <w:color w:val="auto"/>
              </w:rPr>
              <w:t>year ended</w:t>
            </w:r>
          </w:p>
        </w:tc>
        <w:tc>
          <w:tcPr>
            <w:tcW w:w="1320" w:type="dxa"/>
            <w:vAlign w:val="bottom"/>
            <w:gridSpan w:val="2"/>
          </w:tcPr>
          <w:p>
            <w:pPr>
              <w:jc w:val="right"/>
              <w:ind w:right="48"/>
              <w:spacing w:after="0"/>
              <w:rPr>
                <w:sz w:val="20"/>
                <w:szCs w:val="20"/>
                <w:color w:val="auto"/>
              </w:rPr>
            </w:pPr>
            <w:r>
              <w:rPr>
                <w:rFonts w:ascii="Arial" w:cs="Arial" w:eastAsia="Arial" w:hAnsi="Arial"/>
                <w:sz w:val="13"/>
                <w:szCs w:val="13"/>
                <w:b w:val="1"/>
                <w:bCs w:val="1"/>
                <w:color w:val="auto"/>
              </w:rPr>
              <w:t>(Inception) to</w:t>
            </w:r>
          </w:p>
        </w:tc>
        <w:tc>
          <w:tcPr>
            <w:tcW w:w="1020" w:type="dxa"/>
            <w:vAlign w:val="bottom"/>
            <w:gridSpan w:val="2"/>
          </w:tcPr>
          <w:p>
            <w:pPr>
              <w:jc w:val="right"/>
              <w:ind w:right="68"/>
              <w:spacing w:after="0"/>
              <w:rPr>
                <w:sz w:val="20"/>
                <w:szCs w:val="20"/>
                <w:color w:val="auto"/>
              </w:rPr>
            </w:pPr>
            <w:r>
              <w:rPr>
                <w:rFonts w:ascii="Arial" w:cs="Arial" w:eastAsia="Arial" w:hAnsi="Arial"/>
                <w:sz w:val="13"/>
                <w:szCs w:val="13"/>
                <w:b w:val="1"/>
                <w:bCs w:val="1"/>
                <w:color w:val="auto"/>
              </w:rPr>
              <w:t>2019 to</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9"/>
        </w:trPr>
        <w:tc>
          <w:tcPr>
            <w:tcW w:w="22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34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December 31, 2020</w:t>
            </w:r>
          </w:p>
        </w:tc>
        <w:tc>
          <w:tcPr>
            <w:tcW w:w="132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December 31, 2019</w:t>
            </w:r>
          </w:p>
        </w:tc>
        <w:tc>
          <w:tcPr>
            <w:tcW w:w="1020" w:type="dxa"/>
            <w:vAlign w:val="bottom"/>
            <w:gridSpan w:val="2"/>
          </w:tcPr>
          <w:p>
            <w:pPr>
              <w:jc w:val="right"/>
              <w:ind w:right="28"/>
              <w:spacing w:after="0"/>
              <w:rPr>
                <w:sz w:val="20"/>
                <w:szCs w:val="20"/>
                <w:color w:val="auto"/>
              </w:rPr>
            </w:pPr>
            <w:r>
              <w:rPr>
                <w:rFonts w:ascii="Arial" w:cs="Arial" w:eastAsia="Arial" w:hAnsi="Arial"/>
                <w:sz w:val="13"/>
                <w:szCs w:val="13"/>
                <w:b w:val="1"/>
                <w:bCs w:val="1"/>
                <w:color w:val="auto"/>
              </w:rPr>
              <w:t>June 20, 2019</w:t>
            </w:r>
          </w:p>
        </w:tc>
        <w:tc>
          <w:tcPr>
            <w:tcW w:w="12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r>
      <w:tr>
        <w:trPr>
          <w:trHeight w:val="173"/>
        </w:trPr>
        <w:tc>
          <w:tcPr>
            <w:tcW w:w="220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2200" w:type="dxa"/>
            <w:vAlign w:val="bottom"/>
            <w:gridSpan w:val="2"/>
          </w:tcPr>
          <w:p>
            <w:pPr>
              <w:ind w:left="140"/>
              <w:spacing w:after="0"/>
              <w:rPr>
                <w:sz w:val="20"/>
                <w:szCs w:val="20"/>
                <w:color w:val="auto"/>
              </w:rPr>
            </w:pPr>
            <w:r>
              <w:rPr>
                <w:rFonts w:ascii="Arial" w:cs="Arial" w:eastAsia="Arial" w:hAnsi="Arial"/>
                <w:sz w:val="14"/>
                <w:szCs w:val="14"/>
                <w:color w:val="auto"/>
              </w:rPr>
              <w:t>Research and development</w:t>
            </w:r>
          </w:p>
        </w:tc>
        <w:tc>
          <w:tcPr>
            <w:tcW w:w="740" w:type="dxa"/>
            <w:vAlign w:val="bottom"/>
          </w:tcPr>
          <w:p>
            <w:pPr>
              <w:jc w:val="center"/>
              <w:ind w:left="512"/>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39,681</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10,107</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4,159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25,415</w:t>
            </w:r>
          </w:p>
        </w:tc>
        <w:tc>
          <w:tcPr>
            <w:tcW w:w="60" w:type="dxa"/>
            <w:vAlign w:val="bottom"/>
          </w:tcPr>
          <w:p>
            <w:pPr>
              <w:spacing w:after="0"/>
              <w:rPr>
                <w:sz w:val="15"/>
                <w:szCs w:val="15"/>
                <w:color w:val="auto"/>
              </w:rPr>
            </w:pPr>
          </w:p>
        </w:tc>
      </w:tr>
      <w:tr>
        <w:trPr>
          <w:trHeight w:val="23"/>
        </w:trPr>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2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General and administrative</w:t>
            </w:r>
          </w:p>
        </w:tc>
        <w:tc>
          <w:tcPr>
            <w:tcW w:w="7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9,495</w:t>
            </w:r>
          </w:p>
        </w:tc>
        <w:tc>
          <w:tcPr>
            <w:tcW w:w="6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3,622</w:t>
            </w:r>
          </w:p>
        </w:tc>
        <w:tc>
          <w:tcPr>
            <w:tcW w:w="4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2,145</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3,728</w:t>
            </w:r>
          </w:p>
        </w:tc>
        <w:tc>
          <w:tcPr>
            <w:tcW w:w="60" w:type="dxa"/>
            <w:vAlign w:val="bottom"/>
          </w:tcPr>
          <w:p>
            <w:pPr>
              <w:spacing w:after="0"/>
              <w:rPr>
                <w:sz w:val="16"/>
                <w:szCs w:val="16"/>
                <w:color w:val="auto"/>
              </w:rPr>
            </w:pPr>
          </w:p>
        </w:tc>
      </w:tr>
      <w:tr>
        <w:trPr>
          <w:trHeight w:val="172"/>
        </w:trPr>
        <w:tc>
          <w:tcPr>
            <w:tcW w:w="2200" w:type="dxa"/>
            <w:vAlign w:val="bottom"/>
            <w:gridSpan w:val="2"/>
          </w:tcPr>
          <w:p>
            <w:pPr>
              <w:ind w:left="140"/>
              <w:spacing w:after="0"/>
              <w:rPr>
                <w:sz w:val="20"/>
                <w:szCs w:val="20"/>
                <w:color w:val="auto"/>
              </w:rPr>
            </w:pPr>
            <w:r>
              <w:rPr>
                <w:rFonts w:ascii="Arial" w:cs="Arial" w:eastAsia="Arial" w:hAnsi="Arial"/>
                <w:sz w:val="14"/>
                <w:szCs w:val="14"/>
                <w:color w:val="auto"/>
              </w:rPr>
              <w:t>Write off of in-process</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2200" w:type="dxa"/>
            <w:vAlign w:val="bottom"/>
            <w:gridSpan w:val="2"/>
          </w:tcPr>
          <w:p>
            <w:pPr>
              <w:ind w:left="300"/>
              <w:spacing w:after="0"/>
              <w:rPr>
                <w:sz w:val="20"/>
                <w:szCs w:val="20"/>
                <w:color w:val="auto"/>
              </w:rPr>
            </w:pPr>
            <w:r>
              <w:rPr>
                <w:rFonts w:ascii="Arial" w:cs="Arial" w:eastAsia="Arial" w:hAnsi="Arial"/>
                <w:sz w:val="14"/>
                <w:szCs w:val="14"/>
                <w:color w:val="auto"/>
              </w:rPr>
              <w:t>research and development</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3"/>
        </w:trPr>
        <w:tc>
          <w:tcPr>
            <w:tcW w:w="2200" w:type="dxa"/>
            <w:vAlign w:val="bottom"/>
            <w:gridSpan w:val="2"/>
          </w:tcPr>
          <w:p>
            <w:pPr>
              <w:ind w:left="300"/>
              <w:spacing w:after="0"/>
              <w:rPr>
                <w:sz w:val="20"/>
                <w:szCs w:val="20"/>
                <w:color w:val="auto"/>
              </w:rPr>
            </w:pPr>
            <w:r>
              <w:rPr>
                <w:rFonts w:ascii="Arial" w:cs="Arial" w:eastAsia="Arial" w:hAnsi="Arial"/>
                <w:sz w:val="14"/>
                <w:szCs w:val="14"/>
                <w:color w:val="auto"/>
              </w:rPr>
              <w:t>asset</w:t>
            </w:r>
          </w:p>
        </w:tc>
        <w:tc>
          <w:tcPr>
            <w:tcW w:w="74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4,722</w:t>
            </w:r>
          </w:p>
        </w:tc>
        <w:tc>
          <w:tcPr>
            <w:tcW w:w="64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225,946</w:t>
            </w:r>
          </w:p>
        </w:tc>
        <w:tc>
          <w:tcPr>
            <w:tcW w:w="48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(221,224)</w:t>
            </w:r>
          </w:p>
        </w:tc>
      </w:tr>
      <w:tr>
        <w:trPr>
          <w:trHeight w:val="23"/>
        </w:trPr>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169"/>
        </w:trPr>
        <w:tc>
          <w:tcPr>
            <w:tcW w:w="216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operating expenses</w:t>
            </w:r>
          </w:p>
        </w:tc>
        <w:tc>
          <w:tcPr>
            <w:tcW w:w="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53,898</w:t>
            </w:r>
          </w:p>
        </w:tc>
        <w:tc>
          <w:tcPr>
            <w:tcW w:w="64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239,675</w:t>
            </w:r>
          </w:p>
        </w:tc>
        <w:tc>
          <w:tcPr>
            <w:tcW w:w="48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6,304</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(192,081)</w:t>
            </w:r>
          </w:p>
        </w:tc>
        <w:tc>
          <w:tcPr>
            <w:tcW w:w="60" w:type="dxa"/>
            <w:vAlign w:val="bottom"/>
          </w:tcPr>
          <w:p>
            <w:pPr>
              <w:spacing w:after="0"/>
              <w:rPr>
                <w:sz w:val="14"/>
                <w:szCs w:val="14"/>
                <w:color w:val="auto"/>
              </w:rPr>
            </w:pPr>
          </w:p>
        </w:tc>
      </w:tr>
      <w:tr>
        <w:trPr>
          <w:trHeight w:val="179"/>
        </w:trPr>
        <w:tc>
          <w:tcPr>
            <w:tcW w:w="2200" w:type="dxa"/>
            <w:vAlign w:val="bottom"/>
            <w:gridSpan w:val="2"/>
          </w:tcPr>
          <w:p>
            <w:pPr>
              <w:spacing w:after="0"/>
              <w:rPr>
                <w:sz w:val="20"/>
                <w:szCs w:val="20"/>
                <w:color w:val="auto"/>
              </w:rPr>
            </w:pPr>
            <w:r>
              <w:rPr>
                <w:rFonts w:ascii="Arial" w:cs="Arial" w:eastAsia="Arial" w:hAnsi="Arial"/>
                <w:sz w:val="14"/>
                <w:szCs w:val="14"/>
                <w:color w:val="auto"/>
              </w:rPr>
              <w:t>Loss from operations</w:t>
            </w:r>
          </w:p>
        </w:tc>
        <w:tc>
          <w:tcPr>
            <w:tcW w:w="7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(53,898)</w:t>
            </w:r>
          </w:p>
        </w:tc>
        <w:tc>
          <w:tcPr>
            <w:tcW w:w="6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(239,675)</w:t>
            </w:r>
          </w:p>
        </w:tc>
        <w:tc>
          <w:tcPr>
            <w:tcW w:w="4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(6,304)</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192,081</w:t>
            </w:r>
          </w:p>
        </w:tc>
        <w:tc>
          <w:tcPr>
            <w:tcW w:w="60" w:type="dxa"/>
            <w:vAlign w:val="bottom"/>
          </w:tcPr>
          <w:p>
            <w:pPr>
              <w:spacing w:after="0"/>
              <w:rPr>
                <w:sz w:val="15"/>
                <w:szCs w:val="15"/>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220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Other income, net</w:t>
            </w:r>
          </w:p>
        </w:tc>
        <w:tc>
          <w:tcPr>
            <w:tcW w:w="7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8"/>
              <w:spacing w:after="0" w:line="156" w:lineRule="exact"/>
              <w:rPr>
                <w:sz w:val="20"/>
                <w:szCs w:val="20"/>
                <w:color w:val="auto"/>
              </w:rPr>
            </w:pPr>
            <w:r>
              <w:rPr>
                <w:rFonts w:ascii="Arial" w:cs="Arial" w:eastAsia="Arial" w:hAnsi="Arial"/>
                <w:sz w:val="14"/>
                <w:szCs w:val="14"/>
                <w:color w:val="auto"/>
              </w:rPr>
              <w:t>704</w:t>
            </w:r>
          </w:p>
        </w:tc>
        <w:tc>
          <w:tcPr>
            <w:tcW w:w="6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jc w:val="right"/>
              <w:ind w:right="8"/>
              <w:spacing w:after="0" w:line="156" w:lineRule="exact"/>
              <w:rPr>
                <w:sz w:val="20"/>
                <w:szCs w:val="20"/>
                <w:color w:val="auto"/>
              </w:rPr>
            </w:pPr>
            <w:r>
              <w:rPr>
                <w:rFonts w:ascii="Arial" w:cs="Arial" w:eastAsia="Arial" w:hAnsi="Arial"/>
                <w:sz w:val="14"/>
                <w:szCs w:val="14"/>
                <w:color w:val="auto"/>
              </w:rPr>
              <w:t>908</w:t>
            </w:r>
          </w:p>
        </w:tc>
        <w:tc>
          <w:tcPr>
            <w:tcW w:w="4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28"/>
              <w:spacing w:after="0" w:line="156" w:lineRule="exact"/>
              <w:rPr>
                <w:sz w:val="20"/>
                <w:szCs w:val="20"/>
                <w:color w:val="auto"/>
              </w:rPr>
            </w:pPr>
            <w:r>
              <w:rPr>
                <w:rFonts w:ascii="Arial" w:cs="Arial" w:eastAsia="Arial" w:hAnsi="Arial"/>
                <w:sz w:val="14"/>
                <w:szCs w:val="14"/>
                <w:color w:val="auto"/>
              </w:rPr>
              <w:t>302</w:t>
            </w:r>
          </w:p>
        </w:tc>
        <w:tc>
          <w:tcPr>
            <w:tcW w:w="1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(506)</w:t>
            </w:r>
          </w:p>
        </w:tc>
        <w:tc>
          <w:tcPr>
            <w:tcW w:w="60" w:type="dxa"/>
            <w:vAlign w:val="bottom"/>
          </w:tcPr>
          <w:p>
            <w:pPr>
              <w:spacing w:after="0"/>
              <w:rPr>
                <w:sz w:val="13"/>
                <w:szCs w:val="13"/>
                <w:color w:val="auto"/>
              </w:rPr>
            </w:pPr>
          </w:p>
        </w:tc>
      </w:tr>
      <w:tr>
        <w:trPr>
          <w:trHeight w:val="188"/>
        </w:trPr>
        <w:tc>
          <w:tcPr>
            <w:tcW w:w="220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7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(381)</w:t>
            </w:r>
          </w:p>
        </w:tc>
        <w:tc>
          <w:tcPr>
            <w:tcW w:w="64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(381)</w:t>
            </w:r>
          </w:p>
        </w:tc>
      </w:tr>
      <w:tr>
        <w:trPr>
          <w:trHeight w:val="182"/>
        </w:trPr>
        <w:tc>
          <w:tcPr>
            <w:tcW w:w="2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740" w:type="dxa"/>
            <w:vAlign w:val="bottom"/>
            <w:tcBorders>
              <w:top w:val="single" w:sz="8" w:color="auto"/>
              <w:bottom w:val="single" w:sz="8" w:color="CCEEFF"/>
            </w:tcBorders>
            <w:shd w:val="clear" w:color="auto" w:fill="CCEEFF"/>
          </w:tcPr>
          <w:p>
            <w:pPr>
              <w:jc w:val="center"/>
              <w:ind w:left="512"/>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(53,575)</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(238,767)</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(6,002)</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191,194</w:t>
            </w:r>
          </w:p>
        </w:tc>
        <w:tc>
          <w:tcPr>
            <w:tcW w:w="60" w:type="dxa"/>
            <w:vAlign w:val="bottom"/>
          </w:tcPr>
          <w:p>
            <w:pPr>
              <w:spacing w:after="0"/>
              <w:rPr>
                <w:sz w:val="15"/>
                <w:szCs w:val="15"/>
                <w:color w:val="auto"/>
              </w:rPr>
            </w:pPr>
          </w:p>
        </w:tc>
      </w:tr>
      <w:tr>
        <w:trPr>
          <w:trHeight w:val="20"/>
        </w:trPr>
        <w:tc>
          <w:tcPr>
            <w:tcW w:w="2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-143510</wp:posOffset>
            </wp:positionV>
            <wp:extent cx="139065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90650" cy="6985"/>
                    </a:xfrm>
                    <a:prstGeom prst="rect">
                      <a:avLst/>
                    </a:prstGeom>
                    <a:noFill/>
                  </pic:spPr>
                </pic:pic>
              </a:graphicData>
            </a:graphic>
          </wp:anchor>
        </w:drawing>
        <w:drawing>
          <wp:anchor simplePos="0" relativeHeight="251657728" behindDoc="1" locked="0" layoutInCell="0" allowOverlap="1">
            <wp:simplePos x="0" y="0"/>
            <wp:positionH relativeFrom="column">
              <wp:posOffset>2143760</wp:posOffset>
            </wp:positionH>
            <wp:positionV relativeFrom="paragraph">
              <wp:posOffset>-540385</wp:posOffset>
            </wp:positionV>
            <wp:extent cx="2730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30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-664210</wp:posOffset>
            </wp:positionV>
            <wp:extent cx="139065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90650" cy="6985"/>
                    </a:xfrm>
                    <a:prstGeom prst="rect">
                      <a:avLst/>
                    </a:prstGeom>
                    <a:noFill/>
                  </pic:spPr>
                </pic:pic>
              </a:graphicData>
            </a:graphic>
          </wp:anchor>
        </w:drawing>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6" w:lineRule="exact"/>
        <w:rPr>
          <w:sz w:val="20"/>
          <w:szCs w:val="20"/>
          <w:color w:val="auto"/>
        </w:rPr>
      </w:pPr>
    </w:p>
    <w:p>
      <w:pPr>
        <w:ind w:left="1220" w:right="1379"/>
        <w:spacing w:after="0" w:line="290" w:lineRule="auto"/>
        <w:rPr>
          <w:sz w:val="20"/>
          <w:szCs w:val="20"/>
          <w:color w:val="auto"/>
        </w:rPr>
      </w:pPr>
      <w:r>
        <w:rPr>
          <w:rFonts w:ascii="Arial" w:cs="Arial" w:eastAsia="Arial" w:hAnsi="Arial"/>
          <w:sz w:val="14"/>
          <w:szCs w:val="14"/>
          <w:color w:val="auto"/>
        </w:rPr>
        <w:t>The following table summarizes the components of our research and development expenses for the periods presented:</w:t>
      </w:r>
    </w:p>
    <w:p>
      <w:pPr>
        <w:spacing w:after="0" w:line="110"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1000" w:type="dxa"/>
            <w:vAlign w:val="bottom"/>
          </w:tcPr>
          <w:p>
            <w:pPr>
              <w:spacing w:after="0"/>
              <w:rPr>
                <w:sz w:val="13"/>
                <w:szCs w:val="13"/>
                <w:color w:val="auto"/>
              </w:rPr>
            </w:pPr>
          </w:p>
        </w:tc>
        <w:tc>
          <w:tcPr>
            <w:tcW w:w="2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Successor</w:t>
            </w:r>
          </w:p>
        </w:tc>
        <w:tc>
          <w:tcPr>
            <w:tcW w:w="128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Predecessor</w:t>
            </w: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300" w:type="dxa"/>
            <w:vAlign w:val="bottom"/>
          </w:tcPr>
          <w:p>
            <w:pPr>
              <w:jc w:val="right"/>
              <w:ind w:right="50"/>
              <w:spacing w:after="0"/>
              <w:rPr>
                <w:sz w:val="20"/>
                <w:szCs w:val="20"/>
                <w:color w:val="auto"/>
              </w:rPr>
            </w:pPr>
            <w:r>
              <w:rPr>
                <w:rFonts w:ascii="Arial" w:cs="Arial" w:eastAsia="Arial" w:hAnsi="Arial"/>
                <w:sz w:val="13"/>
                <w:szCs w:val="13"/>
                <w:b w:val="1"/>
                <w:bCs w:val="1"/>
                <w:color w:val="auto"/>
              </w:rPr>
              <w:t>Successor</w:t>
            </w: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auto"/>
              </w:rPr>
              <w:t>period from</w:t>
            </w:r>
          </w:p>
        </w:tc>
        <w:tc>
          <w:tcPr>
            <w:tcW w:w="128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period from</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300" w:type="dxa"/>
            <w:vAlign w:val="bottom"/>
          </w:tcPr>
          <w:p>
            <w:pPr>
              <w:jc w:val="right"/>
              <w:ind w:right="50"/>
              <w:spacing w:after="0"/>
              <w:rPr>
                <w:sz w:val="20"/>
                <w:szCs w:val="20"/>
                <w:color w:val="auto"/>
              </w:rPr>
            </w:pPr>
            <w:r>
              <w:rPr>
                <w:rFonts w:ascii="Arial" w:cs="Arial" w:eastAsia="Arial" w:hAnsi="Arial"/>
                <w:sz w:val="13"/>
                <w:szCs w:val="13"/>
                <w:b w:val="1"/>
                <w:bCs w:val="1"/>
                <w:color w:val="auto"/>
              </w:rPr>
              <w:t>year ended</w:t>
            </w: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auto"/>
              </w:rPr>
              <w:t>June 21, 2019 to</w:t>
            </w:r>
          </w:p>
        </w:tc>
        <w:tc>
          <w:tcPr>
            <w:tcW w:w="128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rPr>
              <w:t>January 1, 2019 to</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8"/>
        </w:trPr>
        <w:tc>
          <w:tcPr>
            <w:tcW w:w="3240" w:type="dxa"/>
            <w:vAlign w:val="bottom"/>
            <w:gridSpan w:val="2"/>
          </w:tcPr>
          <w:p>
            <w:pPr>
              <w:ind w:left="1000"/>
              <w:spacing w:after="0"/>
              <w:rPr>
                <w:sz w:val="20"/>
                <w:szCs w:val="20"/>
                <w:color w:val="auto"/>
              </w:rPr>
            </w:pPr>
            <w:r>
              <w:rPr>
                <w:rFonts w:ascii="Arial" w:cs="Arial" w:eastAsia="Arial" w:hAnsi="Arial"/>
                <w:sz w:val="13"/>
                <w:szCs w:val="13"/>
                <w:b w:val="1"/>
                <w:bCs w:val="1"/>
                <w:color w:val="auto"/>
              </w:rPr>
              <w:t>(in thousands)</w:t>
            </w:r>
          </w:p>
        </w:tc>
        <w:tc>
          <w:tcPr>
            <w:tcW w:w="2500" w:type="dxa"/>
            <w:vAlign w:val="bottom"/>
            <w:gridSpan w:val="3"/>
          </w:tcPr>
          <w:p>
            <w:pPr>
              <w:jc w:val="right"/>
              <w:spacing w:after="0"/>
              <w:rPr>
                <w:sz w:val="20"/>
                <w:szCs w:val="20"/>
                <w:color w:val="auto"/>
              </w:rPr>
            </w:pPr>
            <w:r>
              <w:rPr>
                <w:rFonts w:ascii="Arial" w:cs="Arial" w:eastAsia="Arial" w:hAnsi="Arial"/>
                <w:sz w:val="13"/>
                <w:szCs w:val="13"/>
                <w:b w:val="1"/>
                <w:bCs w:val="1"/>
                <w:color w:val="auto"/>
              </w:rPr>
              <w:t>December 31, 2020 December 31, 2019</w:t>
            </w:r>
          </w:p>
        </w:tc>
        <w:tc>
          <w:tcPr>
            <w:tcW w:w="1280" w:type="dxa"/>
            <w:vAlign w:val="bottom"/>
            <w:gridSpan w:val="2"/>
          </w:tcPr>
          <w:p>
            <w:pPr>
              <w:jc w:val="right"/>
              <w:spacing w:after="0"/>
              <w:rPr>
                <w:sz w:val="20"/>
                <w:szCs w:val="20"/>
                <w:color w:val="auto"/>
              </w:rPr>
            </w:pPr>
            <w:r>
              <w:rPr>
                <w:rFonts w:ascii="Arial" w:cs="Arial" w:eastAsia="Arial" w:hAnsi="Arial"/>
                <w:sz w:val="13"/>
                <w:szCs w:val="13"/>
                <w:b w:val="1"/>
                <w:bCs w:val="1"/>
                <w:color w:val="auto"/>
              </w:rPr>
              <w:t>June 20, 2019</w:t>
            </w: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rPr>
              <w:t>Change</w:t>
            </w:r>
          </w:p>
        </w:tc>
        <w:tc>
          <w:tcPr>
            <w:tcW w:w="100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Personnel and related costs</w:t>
            </w: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$ 14,901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1,686</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9,993</w:t>
            </w:r>
          </w:p>
        </w:tc>
        <w:tc>
          <w:tcPr>
            <w:tcW w:w="1000" w:type="dxa"/>
            <w:vAlign w:val="bottom"/>
          </w:tcPr>
          <w:p>
            <w:pPr>
              <w:spacing w:after="0"/>
              <w:rPr>
                <w:sz w:val="15"/>
                <w:szCs w:val="15"/>
                <w:color w:val="auto"/>
              </w:rPr>
            </w:pPr>
          </w:p>
        </w:tc>
      </w:tr>
      <w:tr>
        <w:trPr>
          <w:trHeight w:val="172"/>
        </w:trPr>
        <w:tc>
          <w:tcPr>
            <w:tcW w:w="100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Facility and other allocated costs</w:t>
            </w: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3,262</w:t>
            </w:r>
          </w:p>
        </w:tc>
        <w:tc>
          <w:tcPr>
            <w:tcW w:w="7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179</w:t>
            </w:r>
          </w:p>
        </w:tc>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3,012</w:t>
            </w:r>
          </w:p>
        </w:tc>
        <w:tc>
          <w:tcPr>
            <w:tcW w:w="1000" w:type="dxa"/>
            <w:vAlign w:val="bottom"/>
          </w:tcPr>
          <w:p>
            <w:pPr>
              <w:spacing w:after="0"/>
              <w:rPr>
                <w:sz w:val="14"/>
                <w:szCs w:val="14"/>
                <w:color w:val="auto"/>
              </w:rPr>
            </w:pPr>
          </w:p>
        </w:tc>
      </w:tr>
      <w:tr>
        <w:trPr>
          <w:trHeight w:val="195"/>
        </w:trPr>
        <w:tc>
          <w:tcPr>
            <w:tcW w:w="1000" w:type="dxa"/>
            <w:vAlign w:val="bottom"/>
          </w:tcPr>
          <w:p>
            <w:pPr>
              <w:spacing w:after="0"/>
              <w:rPr>
                <w:sz w:val="16"/>
                <w:szCs w:val="16"/>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Research and laboratory</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10,518</w:t>
            </w:r>
          </w:p>
        </w:tc>
        <w:tc>
          <w:tcPr>
            <w:tcW w:w="7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2,394</w:t>
            </w: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7,561</w:t>
            </w:r>
          </w:p>
        </w:tc>
        <w:tc>
          <w:tcPr>
            <w:tcW w:w="1000" w:type="dxa"/>
            <w:vAlign w:val="bottom"/>
          </w:tcPr>
          <w:p>
            <w:pPr>
              <w:spacing w:after="0"/>
              <w:rPr>
                <w:sz w:val="16"/>
                <w:szCs w:val="16"/>
                <w:color w:val="auto"/>
              </w:rPr>
            </w:pPr>
          </w:p>
        </w:tc>
      </w:tr>
      <w:tr>
        <w:trPr>
          <w:trHeight w:val="172"/>
        </w:trPr>
        <w:tc>
          <w:tcPr>
            <w:tcW w:w="100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Collaborations</w:t>
            </w: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9,002</w:t>
            </w:r>
          </w:p>
        </w:tc>
        <w:tc>
          <w:tcPr>
            <w:tcW w:w="7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3,139</w:t>
            </w:r>
          </w:p>
        </w:tc>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1,643</w:t>
            </w: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4,220</w:t>
            </w:r>
          </w:p>
        </w:tc>
        <w:tc>
          <w:tcPr>
            <w:tcW w:w="1000" w:type="dxa"/>
            <w:vAlign w:val="bottom"/>
          </w:tcPr>
          <w:p>
            <w:pPr>
              <w:spacing w:after="0"/>
              <w:rPr>
                <w:sz w:val="14"/>
                <w:szCs w:val="14"/>
                <w:color w:val="auto"/>
              </w:rPr>
            </w:pPr>
          </w:p>
        </w:tc>
      </w:tr>
      <w:tr>
        <w:trPr>
          <w:trHeight w:val="195"/>
        </w:trPr>
        <w:tc>
          <w:tcPr>
            <w:tcW w:w="1000" w:type="dxa"/>
            <w:vAlign w:val="bottom"/>
          </w:tcPr>
          <w:p>
            <w:pPr>
              <w:spacing w:after="0"/>
              <w:rPr>
                <w:sz w:val="16"/>
                <w:szCs w:val="16"/>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Consulting</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730</w:t>
            </w:r>
          </w:p>
        </w:tc>
        <w:tc>
          <w:tcPr>
            <w:tcW w:w="7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000" w:type="dxa"/>
            <w:vAlign w:val="bottom"/>
          </w:tcPr>
          <w:p>
            <w:pPr>
              <w:spacing w:after="0"/>
              <w:rPr>
                <w:sz w:val="16"/>
                <w:szCs w:val="16"/>
                <w:color w:val="auto"/>
              </w:rPr>
            </w:pPr>
          </w:p>
        </w:tc>
      </w:tr>
      <w:tr>
        <w:trPr>
          <w:trHeight w:val="172"/>
        </w:trPr>
        <w:tc>
          <w:tcPr>
            <w:tcW w:w="1000" w:type="dxa"/>
            <w:vAlign w:val="bottom"/>
          </w:tcPr>
          <w:p>
            <w:pPr>
              <w:spacing w:after="0"/>
              <w:rPr>
                <w:sz w:val="14"/>
                <w:szCs w:val="14"/>
                <w:color w:val="auto"/>
              </w:rPr>
            </w:pPr>
          </w:p>
        </w:tc>
        <w:tc>
          <w:tcPr>
            <w:tcW w:w="22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1,268</w:t>
            </w: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w:t>
            </w: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000" w:type="dxa"/>
            <w:vAlign w:val="bottom"/>
          </w:tcPr>
          <w:p>
            <w:pPr>
              <w:spacing w:after="0"/>
              <w:rPr>
                <w:sz w:val="14"/>
                <w:szCs w:val="14"/>
                <w:color w:val="auto"/>
              </w:rPr>
            </w:pPr>
          </w:p>
        </w:tc>
      </w:tr>
      <w:tr>
        <w:trPr>
          <w:trHeight w:val="163"/>
        </w:trPr>
        <w:tc>
          <w:tcPr>
            <w:tcW w:w="1000" w:type="dxa"/>
            <w:vAlign w:val="bottom"/>
          </w:tcPr>
          <w:p>
            <w:pPr>
              <w:spacing w:after="0"/>
              <w:rPr>
                <w:sz w:val="14"/>
                <w:szCs w:val="14"/>
                <w:color w:val="auto"/>
              </w:rPr>
            </w:pPr>
          </w:p>
        </w:tc>
        <w:tc>
          <w:tcPr>
            <w:tcW w:w="2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research and</w:t>
            </w:r>
          </w:p>
        </w:tc>
        <w:tc>
          <w:tcPr>
            <w:tcW w:w="1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tcPr>
          <w:p>
            <w:pPr>
              <w:spacing w:after="0"/>
              <w:rPr>
                <w:sz w:val="14"/>
                <w:szCs w:val="14"/>
                <w:color w:val="auto"/>
              </w:rPr>
            </w:pPr>
          </w:p>
        </w:tc>
      </w:tr>
      <w:tr>
        <w:trPr>
          <w:trHeight w:val="233"/>
        </w:trPr>
        <w:tc>
          <w:tcPr>
            <w:tcW w:w="1000" w:type="dxa"/>
            <w:vAlign w:val="bottom"/>
          </w:tcPr>
          <w:p>
            <w:pPr>
              <w:spacing w:after="0"/>
              <w:rPr>
                <w:sz w:val="19"/>
                <w:szCs w:val="19"/>
                <w:color w:val="auto"/>
              </w:rPr>
            </w:pPr>
          </w:p>
        </w:tc>
        <w:tc>
          <w:tcPr>
            <w:tcW w:w="2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development expense</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$ 39,681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10,107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25,415</w:t>
            </w:r>
          </w:p>
        </w:tc>
        <w:tc>
          <w:tcPr>
            <w:tcW w:w="1000" w:type="dxa"/>
            <w:vAlign w:val="bottom"/>
          </w:tcPr>
          <w:p>
            <w:pPr>
              <w:spacing w:after="0"/>
              <w:rPr>
                <w:sz w:val="19"/>
                <w:szCs w:val="19"/>
                <w:color w:val="auto"/>
              </w:rPr>
            </w:pPr>
          </w:p>
        </w:tc>
      </w:tr>
      <w:tr>
        <w:trPr>
          <w:trHeight w:val="508"/>
        </w:trPr>
        <w:tc>
          <w:tcPr>
            <w:tcW w:w="1000" w:type="dxa"/>
            <w:vAlign w:val="bottom"/>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130"/>
              <w:spacing w:after="0"/>
              <w:rPr>
                <w:sz w:val="20"/>
                <w:szCs w:val="20"/>
                <w:color w:val="auto"/>
              </w:rPr>
            </w:pPr>
            <w:r>
              <w:rPr>
                <w:rFonts w:ascii="Arial" w:cs="Arial" w:eastAsia="Arial" w:hAnsi="Arial"/>
                <w:sz w:val="14"/>
                <w:szCs w:val="14"/>
                <w:color w:val="auto"/>
              </w:rPr>
              <w:t>76</w:t>
            </w:r>
          </w:p>
        </w:tc>
        <w:tc>
          <w:tcPr>
            <w:tcW w:w="7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r>
        <w:trPr>
          <w:trHeight w:val="316"/>
        </w:trPr>
        <w:tc>
          <w:tcPr>
            <w:tcW w:w="10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-807720</wp:posOffset>
            </wp:positionV>
            <wp:extent cx="141160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11605" cy="6985"/>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-26035</wp:posOffset>
            </wp:positionV>
            <wp:extent cx="32385"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-26035</wp:posOffset>
            </wp:positionV>
            <wp:extent cx="32385"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1" w:name="page92"/>
    <w:bookmarkEnd w:id="9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359"/>
        <w:spacing w:after="0" w:line="317" w:lineRule="auto"/>
        <w:rPr>
          <w:sz w:val="20"/>
          <w:szCs w:val="20"/>
          <w:color w:val="auto"/>
        </w:rPr>
      </w:pPr>
      <w:r>
        <w:rPr>
          <w:rFonts w:ascii="Arial" w:cs="Arial" w:eastAsia="Arial" w:hAnsi="Arial"/>
          <w:sz w:val="14"/>
          <w:szCs w:val="14"/>
          <w:color w:val="auto"/>
        </w:rPr>
        <w:t>Research and development expenses were $39.7 million for the year ended December 31, 2020 and $14.3 million for the year ended December 31, 2019. The increase of $25.4 million was primarily due to:</w:t>
      </w:r>
    </w:p>
    <w:p>
      <w:pPr>
        <w:spacing w:after="0" w:line="244" w:lineRule="exact"/>
        <w:rPr>
          <w:sz w:val="20"/>
          <w:szCs w:val="20"/>
          <w:color w:val="auto"/>
        </w:rPr>
      </w:pPr>
    </w:p>
    <w:p>
      <w:pPr>
        <w:ind w:left="1340" w:right="1259" w:hanging="116"/>
        <w:spacing w:after="0" w:line="290" w:lineRule="auto"/>
        <w:tabs>
          <w:tab w:leader="none" w:pos="1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an increase in personnel-related expenses of $9.9 million, which was primarily attributable to an increase in headcount to expand our research and development capabilities</w:t>
      </w:r>
    </w:p>
    <w:p>
      <w:pPr>
        <w:spacing w:after="0" w:line="85" w:lineRule="exact"/>
        <w:rPr>
          <w:rFonts w:ascii="Arial" w:cs="Arial" w:eastAsia="Arial" w:hAnsi="Arial"/>
          <w:sz w:val="14"/>
          <w:szCs w:val="14"/>
          <w:color w:val="auto"/>
        </w:rPr>
      </w:pPr>
    </w:p>
    <w:p>
      <w:pPr>
        <w:ind w:left="1340" w:right="1319" w:hanging="116"/>
        <w:spacing w:after="0" w:line="290" w:lineRule="auto"/>
        <w:tabs>
          <w:tab w:leader="none" w:pos="1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an increase of $3.0 million of facility and other allocated costs, including rent and allocated overhead costs as a result of an expansion of our geographic footprint for office and lab space;</w:t>
      </w:r>
    </w:p>
    <w:p>
      <w:pPr>
        <w:spacing w:after="0" w:line="74" w:lineRule="exact"/>
        <w:rPr>
          <w:rFonts w:ascii="Arial" w:cs="Arial" w:eastAsia="Arial" w:hAnsi="Arial"/>
          <w:sz w:val="14"/>
          <w:szCs w:val="14"/>
          <w:color w:val="auto"/>
        </w:rPr>
      </w:pPr>
    </w:p>
    <w:p>
      <w:pPr>
        <w:ind w:left="1340" w:right="1659" w:hanging="116"/>
        <w:spacing w:after="0" w:line="290" w:lineRule="auto"/>
        <w:tabs>
          <w:tab w:leader="none" w:pos="1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an increase of $7.6 million in research and laboratory costs, including laboratory supplies, preclinical studies, and other external research expenses;</w:t>
      </w:r>
    </w:p>
    <w:p>
      <w:pPr>
        <w:spacing w:after="0" w:line="85" w:lineRule="exact"/>
        <w:rPr>
          <w:rFonts w:ascii="Arial" w:cs="Arial" w:eastAsia="Arial" w:hAnsi="Arial"/>
          <w:sz w:val="14"/>
          <w:szCs w:val="14"/>
          <w:color w:val="auto"/>
        </w:rPr>
      </w:pPr>
    </w:p>
    <w:p>
      <w:pPr>
        <w:ind w:left="1340" w:hanging="116"/>
        <w:spacing w:after="0"/>
        <w:tabs>
          <w:tab w:leader="none" w:pos="1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an increase of $4.2 million for collaborative arrangements with FCDI;</w:t>
      </w:r>
    </w:p>
    <w:p>
      <w:pPr>
        <w:spacing w:after="0" w:line="130" w:lineRule="exact"/>
        <w:rPr>
          <w:rFonts w:ascii="Arial" w:cs="Arial" w:eastAsia="Arial" w:hAnsi="Arial"/>
          <w:sz w:val="14"/>
          <w:szCs w:val="14"/>
          <w:color w:val="auto"/>
        </w:rPr>
      </w:pPr>
    </w:p>
    <w:p>
      <w:pPr>
        <w:ind w:left="1340" w:right="1319" w:hanging="116"/>
        <w:spacing w:after="0" w:line="290" w:lineRule="auto"/>
        <w:tabs>
          <w:tab w:leader="none" w:pos="1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an increase of $0.5 million of consulting costs primarily for temporary personnel to assist in the expansion of our research and development capabilities; and</w:t>
      </w:r>
    </w:p>
    <w:p>
      <w:pPr>
        <w:spacing w:after="0" w:line="74" w:lineRule="exact"/>
        <w:rPr>
          <w:rFonts w:ascii="Arial" w:cs="Arial" w:eastAsia="Arial" w:hAnsi="Arial"/>
          <w:sz w:val="14"/>
          <w:szCs w:val="14"/>
          <w:color w:val="auto"/>
        </w:rPr>
      </w:pPr>
    </w:p>
    <w:p>
      <w:pPr>
        <w:ind w:left="1340" w:hanging="116"/>
        <w:spacing w:after="0"/>
        <w:tabs>
          <w:tab w:leader="none" w:pos="1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an increase of $0.1 million of other expenses</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146" w:lineRule="exact"/>
        <w:rPr>
          <w:sz w:val="20"/>
          <w:szCs w:val="20"/>
          <w:color w:val="auto"/>
        </w:rPr>
      </w:pPr>
    </w:p>
    <w:p>
      <w:pPr>
        <w:ind w:left="1220" w:right="1359"/>
        <w:spacing w:after="0" w:line="293" w:lineRule="auto"/>
        <w:rPr>
          <w:sz w:val="20"/>
          <w:szCs w:val="20"/>
          <w:color w:val="auto"/>
        </w:rPr>
      </w:pPr>
      <w:r>
        <w:rPr>
          <w:rFonts w:ascii="Arial" w:cs="Arial" w:eastAsia="Arial" w:hAnsi="Arial"/>
          <w:sz w:val="14"/>
          <w:szCs w:val="14"/>
          <w:color w:val="auto"/>
        </w:rPr>
        <w:t>General and administrative expenses were $9.5 million for the year ended December 31, 2020 and $5.8 million for year ended December 31, 2019. The increase of $3.7 million was primarily due to increased personnel-related expenses of $1.5 million primarily attributable to an increase in headcount to build our infrastructure, increased consulting and legal fees of $1.1 million, and increased information technology and facility costs, including rent, of $1.1 million.</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Write-off of in-process research and development</w:t>
      </w:r>
    </w:p>
    <w:p>
      <w:pPr>
        <w:spacing w:after="0" w:line="136" w:lineRule="exact"/>
        <w:rPr>
          <w:sz w:val="20"/>
          <w:szCs w:val="20"/>
          <w:color w:val="auto"/>
        </w:rPr>
      </w:pPr>
    </w:p>
    <w:p>
      <w:pPr>
        <w:ind w:left="1220" w:right="1539"/>
        <w:spacing w:after="0" w:line="297" w:lineRule="auto"/>
        <w:rPr>
          <w:sz w:val="20"/>
          <w:szCs w:val="20"/>
          <w:color w:val="auto"/>
        </w:rPr>
      </w:pPr>
      <w:r>
        <w:rPr>
          <w:rFonts w:ascii="Arial" w:cs="Arial" w:eastAsia="Arial" w:hAnsi="Arial"/>
          <w:sz w:val="14"/>
          <w:szCs w:val="14"/>
          <w:color w:val="auto"/>
        </w:rPr>
        <w:t>The write off of in-process research and development of $4.7 million in 2020 relates to the acquisition of the assets of Empirica. The write off of in-process research and development in 2019 of $225.9 million relates to the acquisition of the assets of Prior Century.</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46" w:lineRule="exact"/>
        <w:rPr>
          <w:sz w:val="20"/>
          <w:szCs w:val="20"/>
          <w:color w:val="auto"/>
        </w:rPr>
      </w:pPr>
    </w:p>
    <w:p>
      <w:pPr>
        <w:ind w:left="1220" w:right="1499"/>
        <w:spacing w:after="0" w:line="306" w:lineRule="auto"/>
        <w:rPr>
          <w:sz w:val="20"/>
          <w:szCs w:val="20"/>
          <w:color w:val="auto"/>
        </w:rPr>
      </w:pPr>
      <w:r>
        <w:rPr>
          <w:rFonts w:ascii="Arial" w:cs="Arial" w:eastAsia="Arial" w:hAnsi="Arial"/>
          <w:sz w:val="14"/>
          <w:szCs w:val="14"/>
          <w:color w:val="auto"/>
        </w:rPr>
        <w:t>Interest expense was $0.4 million for the year ended December 31, 2020, which related to our Loan Agreement with Hercules.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Other income, net</w:t>
      </w:r>
    </w:p>
    <w:p>
      <w:pPr>
        <w:spacing w:after="0" w:line="146" w:lineRule="exact"/>
        <w:rPr>
          <w:sz w:val="20"/>
          <w:szCs w:val="20"/>
          <w:color w:val="auto"/>
        </w:rPr>
      </w:pPr>
    </w:p>
    <w:p>
      <w:pPr>
        <w:jc w:val="both"/>
        <w:ind w:left="1220" w:right="1419"/>
        <w:spacing w:after="0" w:line="297" w:lineRule="auto"/>
        <w:rPr>
          <w:sz w:val="20"/>
          <w:szCs w:val="20"/>
          <w:color w:val="auto"/>
        </w:rPr>
      </w:pPr>
      <w:r>
        <w:rPr>
          <w:rFonts w:ascii="Arial" w:cs="Arial" w:eastAsia="Arial" w:hAnsi="Arial"/>
          <w:sz w:val="14"/>
          <w:szCs w:val="14"/>
          <w:color w:val="auto"/>
        </w:rPr>
        <w:t>Interest income was $0.7 million for the year ended December 31, 2020 and $1.2 million for the year ended December 31, 2019, which included interest earned on our cash, cash equivalents, and short-term and long-term investment balances.</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Unaudited pro forma information</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Immediately prior to the completion of this offering, all outstanding shares of our convertible</w:t>
      </w:r>
    </w:p>
    <w:p>
      <w:pPr>
        <w:spacing w:after="0" w:line="33" w:lineRule="exact"/>
        <w:rPr>
          <w:sz w:val="20"/>
          <w:szCs w:val="20"/>
          <w:color w:val="auto"/>
        </w:rPr>
      </w:pPr>
    </w:p>
    <w:p>
      <w:pPr>
        <w:ind w:left="1220" w:right="1299"/>
        <w:spacing w:after="0" w:line="292" w:lineRule="auto"/>
        <w:rPr>
          <w:sz w:val="20"/>
          <w:szCs w:val="20"/>
          <w:color w:val="auto"/>
        </w:rPr>
      </w:pPr>
      <w:r>
        <w:rPr>
          <w:rFonts w:ascii="Arial" w:cs="Arial" w:eastAsia="Arial" w:hAnsi="Arial"/>
          <w:sz w:val="14"/>
          <w:szCs w:val="14"/>
          <w:color w:val="auto"/>
        </w:rPr>
        <w:t>preferred stock will convert into an aggregate of shares of common stock upon the closing of this offering. The unaudited pro forma basic and diluted net loss per share for the year ended December 31, 2020 and the three months ended March 31, 2021 were computed using the weighted-average number of shares of common stock outstanding, including the pro forma effect of the conversion of all outstanding shares of convertible preferred stock into shares of common stock, as if such conversion had occurred at the beginning of the period. Pro forma net loss per share does not include the shares expected to be sold in this offering.</w:t>
      </w:r>
    </w:p>
    <w:p>
      <w:pPr>
        <w:spacing w:after="0" w:line="107" w:lineRule="exact"/>
        <w:rPr>
          <w:sz w:val="20"/>
          <w:szCs w:val="20"/>
          <w:color w:val="auto"/>
        </w:rPr>
      </w:pPr>
    </w:p>
    <w:p>
      <w:pPr>
        <w:ind w:left="1220" w:right="1479"/>
        <w:spacing w:after="0" w:line="306" w:lineRule="auto"/>
        <w:rPr>
          <w:sz w:val="20"/>
          <w:szCs w:val="20"/>
          <w:color w:val="auto"/>
        </w:rPr>
      </w:pPr>
      <w:r>
        <w:rPr>
          <w:rFonts w:ascii="Arial" w:cs="Arial" w:eastAsia="Arial" w:hAnsi="Arial"/>
          <w:sz w:val="14"/>
          <w:szCs w:val="14"/>
          <w:color w:val="auto"/>
        </w:rPr>
        <w:t>The following table sets forth the computation of the unaudited pro forma basic and diluted net loss per share of common stock for the periods presented:</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2" w:name="page93"/>
    <w:bookmarkEnd w:id="9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47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right"/>
              <w:ind w:right="109"/>
              <w:spacing w:after="0"/>
              <w:rPr>
                <w:sz w:val="20"/>
                <w:szCs w:val="20"/>
                <w:color w:val="auto"/>
              </w:rPr>
            </w:pPr>
            <w:r>
              <w:rPr>
                <w:rFonts w:ascii="Arial" w:cs="Arial" w:eastAsia="Arial" w:hAnsi="Arial"/>
                <w:sz w:val="13"/>
                <w:szCs w:val="13"/>
                <w:b w:val="1"/>
                <w:bCs w:val="1"/>
                <w:color w:val="auto"/>
              </w:rPr>
              <w:t>Three months ended</w:t>
            </w: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Year ended</w:t>
            </w:r>
          </w:p>
        </w:tc>
        <w:tc>
          <w:tcPr>
            <w:tcW w:w="40" w:type="dxa"/>
            <w:vAlign w:val="bottom"/>
          </w:tcPr>
          <w:p>
            <w:pPr>
              <w:spacing w:after="0"/>
              <w:rPr>
                <w:sz w:val="14"/>
                <w:szCs w:val="14"/>
                <w:color w:val="auto"/>
              </w:rPr>
            </w:pPr>
          </w:p>
        </w:tc>
      </w:tr>
      <w:tr>
        <w:trPr>
          <w:trHeight w:val="179"/>
        </w:trPr>
        <w:tc>
          <w:tcPr>
            <w:tcW w:w="4700" w:type="dxa"/>
            <w:vAlign w:val="bottom"/>
          </w:tcPr>
          <w:p>
            <w:pPr>
              <w:spacing w:after="0"/>
              <w:rPr>
                <w:sz w:val="20"/>
                <w:szCs w:val="20"/>
                <w:color w:val="auto"/>
              </w:rPr>
            </w:pPr>
            <w:r>
              <w:rPr>
                <w:rFonts w:ascii="Arial" w:cs="Arial" w:eastAsia="Arial" w:hAnsi="Arial"/>
                <w:sz w:val="13"/>
                <w:szCs w:val="13"/>
                <w:b w:val="1"/>
                <w:bCs w:val="1"/>
                <w:color w:val="auto"/>
              </w:rPr>
              <w:t>(in thousands, except share and per share data)</w:t>
            </w:r>
          </w:p>
        </w:tc>
        <w:tc>
          <w:tcPr>
            <w:tcW w:w="420" w:type="dxa"/>
            <w:vAlign w:val="bottom"/>
          </w:tcPr>
          <w:p>
            <w:pPr>
              <w:spacing w:after="0"/>
              <w:rPr>
                <w:sz w:val="15"/>
                <w:szCs w:val="15"/>
                <w:color w:val="auto"/>
              </w:rPr>
            </w:pPr>
          </w:p>
        </w:tc>
        <w:tc>
          <w:tcPr>
            <w:tcW w:w="226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March 31, 2021December 31, 2020</w:t>
            </w:r>
          </w:p>
        </w:tc>
      </w:tr>
      <w:tr>
        <w:trPr>
          <w:trHeight w:val="173"/>
        </w:trPr>
        <w:tc>
          <w:tcPr>
            <w:tcW w:w="47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Numerator:</w:t>
            </w: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72"/>
        </w:trPr>
        <w:tc>
          <w:tcPr>
            <w:tcW w:w="4700" w:type="dxa"/>
            <w:vAlign w:val="bottom"/>
          </w:tcPr>
          <w:p>
            <w:pPr>
              <w:ind w:left="140"/>
              <w:spacing w:after="0"/>
              <w:rPr>
                <w:sz w:val="20"/>
                <w:szCs w:val="20"/>
                <w:color w:val="auto"/>
              </w:rPr>
            </w:pPr>
            <w:r>
              <w:rPr>
                <w:rFonts w:ascii="Arial" w:cs="Arial" w:eastAsia="Arial" w:hAnsi="Arial"/>
                <w:sz w:val="14"/>
                <w:szCs w:val="14"/>
                <w:color w:val="auto"/>
              </w:rPr>
              <w:t>Net loss used in calculating pro forma net loss per share, basic and</w:t>
            </w: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4700" w:type="dxa"/>
            <w:vAlign w:val="bottom"/>
          </w:tcPr>
          <w:p>
            <w:pPr>
              <w:ind w:left="300"/>
              <w:spacing w:after="0"/>
              <w:rPr>
                <w:sz w:val="20"/>
                <w:szCs w:val="20"/>
                <w:color w:val="auto"/>
              </w:rPr>
            </w:pPr>
            <w:r>
              <w:rPr>
                <w:rFonts w:ascii="Arial" w:cs="Arial" w:eastAsia="Arial" w:hAnsi="Arial"/>
                <w:sz w:val="14"/>
                <w:szCs w:val="14"/>
                <w:color w:val="auto"/>
              </w:rPr>
              <w:t>diluted</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(18,348)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(53,575)</w:t>
            </w:r>
          </w:p>
        </w:tc>
      </w:tr>
      <w:tr>
        <w:trPr>
          <w:trHeight w:val="34"/>
        </w:trPr>
        <w:tc>
          <w:tcPr>
            <w:tcW w:w="4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5"/>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Denominator:</w:t>
            </w:r>
          </w:p>
        </w:tc>
        <w:tc>
          <w:tcPr>
            <w:tcW w:w="4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82"/>
        </w:trPr>
        <w:tc>
          <w:tcPr>
            <w:tcW w:w="4700" w:type="dxa"/>
            <w:vAlign w:val="bottom"/>
          </w:tcPr>
          <w:p>
            <w:pPr>
              <w:ind w:left="140"/>
              <w:spacing w:after="0"/>
              <w:rPr>
                <w:sz w:val="20"/>
                <w:szCs w:val="20"/>
                <w:color w:val="auto"/>
              </w:rPr>
            </w:pPr>
            <w:r>
              <w:rPr>
                <w:rFonts w:ascii="Arial" w:cs="Arial" w:eastAsia="Arial" w:hAnsi="Arial"/>
                <w:sz w:val="14"/>
                <w:szCs w:val="14"/>
                <w:color w:val="auto"/>
              </w:rPr>
              <w:t>Weighted-average common shares outstanding</w:t>
            </w:r>
          </w:p>
        </w:tc>
        <w:tc>
          <w:tcPr>
            <w:tcW w:w="42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19,278,887</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18,825,136</w:t>
            </w:r>
          </w:p>
        </w:tc>
        <w:tc>
          <w:tcPr>
            <w:tcW w:w="40" w:type="dxa"/>
            <w:vAlign w:val="bottom"/>
          </w:tcPr>
          <w:p>
            <w:pPr>
              <w:spacing w:after="0"/>
              <w:rPr>
                <w:sz w:val="15"/>
                <w:szCs w:val="15"/>
                <w:color w:val="auto"/>
              </w:rPr>
            </w:pPr>
          </w:p>
        </w:tc>
      </w:tr>
      <w:tr>
        <w:trPr>
          <w:trHeight w:val="23"/>
        </w:trPr>
        <w:tc>
          <w:tcPr>
            <w:tcW w:w="4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Weighted-average convertible preferred stock</w:t>
            </w:r>
          </w:p>
        </w:tc>
        <w:tc>
          <w:tcPr>
            <w:tcW w:w="4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85,865,789</w:t>
            </w: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85,865,789</w:t>
            </w:r>
          </w:p>
        </w:tc>
        <w:tc>
          <w:tcPr>
            <w:tcW w:w="40" w:type="dxa"/>
            <w:vAlign w:val="bottom"/>
          </w:tcPr>
          <w:p>
            <w:pPr>
              <w:spacing w:after="0"/>
              <w:rPr>
                <w:sz w:val="16"/>
                <w:szCs w:val="16"/>
                <w:color w:val="auto"/>
              </w:rPr>
            </w:pPr>
          </w:p>
        </w:tc>
      </w:tr>
      <w:tr>
        <w:trPr>
          <w:trHeight w:val="182"/>
        </w:trPr>
        <w:tc>
          <w:tcPr>
            <w:tcW w:w="4700" w:type="dxa"/>
            <w:vAlign w:val="bottom"/>
          </w:tcPr>
          <w:p>
            <w:pPr>
              <w:spacing w:after="0"/>
              <w:rPr>
                <w:sz w:val="20"/>
                <w:szCs w:val="20"/>
                <w:color w:val="auto"/>
              </w:rPr>
            </w:pPr>
            <w:r>
              <w:rPr>
                <w:rFonts w:ascii="Arial" w:cs="Arial" w:eastAsia="Arial" w:hAnsi="Arial"/>
                <w:sz w:val="14"/>
                <w:szCs w:val="14"/>
                <w:color w:val="auto"/>
              </w:rPr>
              <w:t>Pro forma weighted-average shares outstanding, basic and diluted</w:t>
            </w:r>
          </w:p>
        </w:tc>
        <w:tc>
          <w:tcPr>
            <w:tcW w:w="42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105,144,676</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104,690,925</w:t>
            </w:r>
          </w:p>
        </w:tc>
        <w:tc>
          <w:tcPr>
            <w:tcW w:w="40" w:type="dxa"/>
            <w:vAlign w:val="bottom"/>
          </w:tcPr>
          <w:p>
            <w:pPr>
              <w:spacing w:after="0"/>
              <w:rPr>
                <w:sz w:val="15"/>
                <w:szCs w:val="15"/>
                <w:color w:val="auto"/>
              </w:rPr>
            </w:pPr>
          </w:p>
        </w:tc>
      </w:tr>
      <w:tr>
        <w:trPr>
          <w:trHeight w:val="23"/>
        </w:trPr>
        <w:tc>
          <w:tcPr>
            <w:tcW w:w="4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196"/>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 forma net loss per share, basic and diluted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(0.17)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40" w:type="dxa"/>
            <w:vAlign w:val="bottom"/>
          </w:tcPr>
          <w:p>
            <w:pPr>
              <w:spacing w:after="0"/>
              <w:rPr>
                <w:sz w:val="17"/>
                <w:szCs w:val="17"/>
                <w:color w:val="auto"/>
              </w:rPr>
            </w:pPr>
          </w:p>
        </w:tc>
      </w:tr>
      <w:tr>
        <w:trPr>
          <w:trHeight w:val="20"/>
        </w:trPr>
        <w:tc>
          <w:tcPr>
            <w:tcW w:w="4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Liquidity, capital resources, and capital requirements</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125" w:lineRule="exact"/>
        <w:rPr>
          <w:sz w:val="20"/>
          <w:szCs w:val="20"/>
          <w:color w:val="auto"/>
        </w:rPr>
      </w:pPr>
    </w:p>
    <w:p>
      <w:pPr>
        <w:ind w:left="1220" w:right="1499"/>
        <w:spacing w:after="0" w:line="257" w:lineRule="auto"/>
        <w:rPr>
          <w:sz w:val="20"/>
          <w:szCs w:val="20"/>
          <w:color w:val="auto"/>
        </w:rPr>
      </w:pPr>
      <w:r>
        <w:rPr>
          <w:rFonts w:ascii="Arial" w:cs="Arial" w:eastAsia="Arial" w:hAnsi="Arial"/>
          <w:sz w:val="14"/>
          <w:szCs w:val="14"/>
          <w:color w:val="auto"/>
        </w:rPr>
        <w:t>To date, we have funded our operations from the issuance and sale of our preferred stock and have not generated any revenues. Since our inception, we have raised approximately</w:t>
      </w:r>
    </w:p>
    <w:p>
      <w:pPr>
        <w:jc w:val="both"/>
        <w:ind w:left="1220" w:right="1239"/>
        <w:spacing w:after="0" w:line="257" w:lineRule="auto"/>
        <w:rPr>
          <w:sz w:val="20"/>
          <w:szCs w:val="20"/>
          <w:color w:val="auto"/>
        </w:rPr>
      </w:pPr>
      <w:r>
        <w:rPr>
          <w:rFonts w:ascii="Arial" w:cs="Arial" w:eastAsia="Arial" w:hAnsi="Arial"/>
          <w:sz w:val="14"/>
          <w:szCs w:val="14"/>
          <w:color w:val="auto"/>
        </w:rPr>
        <w:t>$340 million in net proceeds from the sales of our equity securities. As of March 31, 2021, we had cash, and cash equivalents of $79.5 million and marketable securities of $166.6 million. Based on our research and development plans, we believe that the net proceeds from this offering, together with our existing cash, cash equivalents and marketable securities, will be sufficient to fund our</w:t>
      </w:r>
    </w:p>
    <w:p>
      <w:pPr>
        <w:spacing w:after="0" w:line="1" w:lineRule="exact"/>
        <w:rPr>
          <w:sz w:val="20"/>
          <w:szCs w:val="20"/>
          <w:color w:val="auto"/>
        </w:rPr>
      </w:pPr>
    </w:p>
    <w:p>
      <w:pPr>
        <w:ind w:left="1220" w:right="1339"/>
        <w:spacing w:after="0" w:line="257" w:lineRule="auto"/>
        <w:rPr>
          <w:sz w:val="20"/>
          <w:szCs w:val="20"/>
          <w:color w:val="auto"/>
        </w:rPr>
      </w:pPr>
      <w:r>
        <w:rPr>
          <w:rFonts w:ascii="Arial" w:cs="Arial" w:eastAsia="Arial" w:hAnsi="Arial"/>
          <w:sz w:val="14"/>
          <w:szCs w:val="14"/>
          <w:color w:val="auto"/>
        </w:rPr>
        <w:t>operating expenses and capital expenditures requirements for the next months after this filing. Since our inception, we have not generated any revenue from product sales or any other sources, and we have incurred significant operating losses. We have not yet commercialized any products and we do not expect to generate revenue from sales of any product candidates for a number of years, if ever. We had an accumulated deficit of</w:t>
      </w:r>
    </w:p>
    <w:p>
      <w:pPr>
        <w:spacing w:after="0" w:line="1"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$310.7 million as of March 31, 2021. As further described in Note 3 of our audited consolidated financial statements, we obtained a cash capital commitment from Bayer totaling $215 million, from which net proceeds of $74.8 million were received in June 2019, $38.1 million were received in November 2020 and $31.9 million were received in January 2021. The commitment agreement terminated in connection with the Series C Financing, and Bayer has no continuing obligation to invest any additional amounts thereunder. As further described in Note 9 of our audited consolidated financial statements, we entered into a Loan Agreement with Hercules, pursuant to which net proceeds of $9.6 million were received by us in September 2020. We intend to use the proceeds of the Loan Agreement for working capital and general corporate purposes. As further described in Note 17 of our audited consolidated financial statements, in February 2021, we sold 24,721,999 shares of our Series C preferred stock to certain institutional investors for gross proceeds of approximately $160 million.</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Future funding requirements</w:t>
      </w:r>
    </w:p>
    <w:p>
      <w:pPr>
        <w:spacing w:after="0" w:line="136" w:lineRule="exact"/>
        <w:rPr>
          <w:sz w:val="20"/>
          <w:szCs w:val="20"/>
          <w:color w:val="auto"/>
        </w:rPr>
      </w:pPr>
    </w:p>
    <w:p>
      <w:pPr>
        <w:ind w:left="1220" w:right="1279"/>
        <w:spacing w:after="0" w:line="257" w:lineRule="auto"/>
        <w:rPr>
          <w:sz w:val="20"/>
          <w:szCs w:val="20"/>
          <w:color w:val="auto"/>
        </w:rPr>
      </w:pPr>
      <w:r>
        <w:rPr>
          <w:rFonts w:ascii="Arial" w:cs="Arial" w:eastAsia="Arial" w:hAnsi="Arial"/>
          <w:sz w:val="14"/>
          <w:szCs w:val="14"/>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Based on our current business plans, we believe that the net proceeds from this offering, together with our existing cash and cash equivalents, will be sufficient for us to fund our operating expenses and capital expenditure requirements for the</w:t>
      </w:r>
    </w:p>
    <w:p>
      <w:pPr>
        <w:spacing w:after="0" w:line="1"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next months after this filing. We have based this estimate on assumptions that may prove to be wrong, and we could exhaust our available capital resources sooner than we expect. However,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29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Our future capital requirements will depend on many factors, including:</w:t>
      </w:r>
    </w:p>
    <w:p>
      <w:pPr>
        <w:spacing w:after="0" w:line="98" w:lineRule="exact"/>
        <w:rPr>
          <w:sz w:val="20"/>
          <w:szCs w:val="20"/>
          <w:color w:val="auto"/>
        </w:rPr>
      </w:pPr>
    </w:p>
    <w:p>
      <w:pPr>
        <w:ind w:left="1340" w:right="1739" w:hanging="116"/>
        <w:spacing w:after="0" w:line="290" w:lineRule="auto"/>
        <w:tabs>
          <w:tab w:leader="none" w:pos="13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scope, timing, progress, costs, and results of discovery, preclinical development, and clinical trials for our current and future product candidates;</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3" w:name="page94"/>
    <w:bookmarkEnd w:id="9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479" w:hanging="116"/>
        <w:spacing w:after="0" w:line="290" w:lineRule="auto"/>
        <w:tabs>
          <w:tab w:leader="none" w:pos="1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number of clinical trials required for regulatory approval of our current and future product candidates;</w:t>
      </w:r>
    </w:p>
    <w:p>
      <w:pPr>
        <w:spacing w:after="0" w:line="74" w:lineRule="exact"/>
        <w:rPr>
          <w:rFonts w:ascii="Arial" w:cs="Arial" w:eastAsia="Arial" w:hAnsi="Arial"/>
          <w:sz w:val="14"/>
          <w:szCs w:val="14"/>
          <w:color w:val="auto"/>
        </w:rPr>
      </w:pPr>
    </w:p>
    <w:p>
      <w:pPr>
        <w:ind w:left="1340" w:right="1579" w:hanging="116"/>
        <w:spacing w:after="0" w:line="290" w:lineRule="auto"/>
        <w:tabs>
          <w:tab w:leader="none" w:pos="1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costs, timing, and outcome of regulatory review of any of our current and future product candidates;</w:t>
      </w:r>
    </w:p>
    <w:p>
      <w:pPr>
        <w:spacing w:after="0" w:line="85" w:lineRule="exact"/>
        <w:rPr>
          <w:rFonts w:ascii="Arial" w:cs="Arial" w:eastAsia="Arial" w:hAnsi="Arial"/>
          <w:sz w:val="14"/>
          <w:szCs w:val="14"/>
          <w:color w:val="auto"/>
        </w:rPr>
      </w:pPr>
    </w:p>
    <w:p>
      <w:pPr>
        <w:ind w:left="1340" w:right="1539" w:hanging="116"/>
        <w:spacing w:after="0" w:line="290" w:lineRule="auto"/>
        <w:tabs>
          <w:tab w:leader="none" w:pos="1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cost of manufacturing clinical and commercial supplies of our current and future product candidates;</w:t>
      </w:r>
    </w:p>
    <w:p>
      <w:pPr>
        <w:spacing w:after="0" w:line="74" w:lineRule="exact"/>
        <w:rPr>
          <w:rFonts w:ascii="Arial" w:cs="Arial" w:eastAsia="Arial" w:hAnsi="Arial"/>
          <w:sz w:val="14"/>
          <w:szCs w:val="14"/>
          <w:color w:val="auto"/>
        </w:rPr>
      </w:pPr>
    </w:p>
    <w:p>
      <w:pPr>
        <w:ind w:left="1340" w:right="1359" w:hanging="116"/>
        <w:spacing w:after="0" w:line="295" w:lineRule="auto"/>
        <w:tabs>
          <w:tab w:leader="none" w:pos="1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costs and timing of future commercialization activities, including manufacturing, marketing, sales, and distribution, for any of our product candidates for which we receive marketing approval;</w:t>
      </w:r>
    </w:p>
    <w:p>
      <w:pPr>
        <w:spacing w:after="0" w:line="262" w:lineRule="exact"/>
        <w:rPr>
          <w:rFonts w:ascii="Arial" w:cs="Arial" w:eastAsia="Arial" w:hAnsi="Arial"/>
          <w:sz w:val="14"/>
          <w:szCs w:val="14"/>
          <w:color w:val="auto"/>
        </w:rPr>
      </w:pPr>
    </w:p>
    <w:p>
      <w:pPr>
        <w:ind w:left="1340" w:right="1419" w:hanging="116"/>
        <w:spacing w:after="0" w:line="278" w:lineRule="auto"/>
        <w:tabs>
          <w:tab w:leader="none" w:pos="1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95" w:lineRule="exact"/>
        <w:rPr>
          <w:rFonts w:ascii="Arial" w:cs="Arial" w:eastAsia="Arial" w:hAnsi="Arial"/>
          <w:sz w:val="14"/>
          <w:szCs w:val="14"/>
          <w:color w:val="auto"/>
        </w:rPr>
      </w:pPr>
    </w:p>
    <w:p>
      <w:pPr>
        <w:ind w:left="1340" w:right="1299" w:hanging="116"/>
        <w:spacing w:after="0" w:line="281" w:lineRule="auto"/>
        <w:tabs>
          <w:tab w:leader="none" w:pos="1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81" w:lineRule="exact"/>
        <w:rPr>
          <w:rFonts w:ascii="Arial" w:cs="Arial" w:eastAsia="Arial" w:hAnsi="Arial"/>
          <w:sz w:val="14"/>
          <w:szCs w:val="14"/>
          <w:color w:val="auto"/>
        </w:rPr>
      </w:pPr>
    </w:p>
    <w:p>
      <w:pPr>
        <w:ind w:left="1340" w:right="1579" w:hanging="116"/>
        <w:spacing w:after="0" w:line="290" w:lineRule="auto"/>
        <w:tabs>
          <w:tab w:leader="none" w:pos="1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revenue, if any, received from commercial sales of our product candidates for which we receive marketing approval;</w:t>
      </w:r>
    </w:p>
    <w:p>
      <w:pPr>
        <w:spacing w:after="0" w:line="85" w:lineRule="exact"/>
        <w:rPr>
          <w:rFonts w:ascii="Arial" w:cs="Arial" w:eastAsia="Arial" w:hAnsi="Arial"/>
          <w:sz w:val="14"/>
          <w:szCs w:val="14"/>
          <w:color w:val="auto"/>
        </w:rPr>
      </w:pPr>
    </w:p>
    <w:p>
      <w:pPr>
        <w:ind w:left="1340" w:hanging="116"/>
        <w:spacing w:after="0"/>
        <w:tabs>
          <w:tab w:leader="none" w:pos="1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expenses to attract, hire and retain, skilled personnel;</w:t>
      </w:r>
    </w:p>
    <w:p>
      <w:pPr>
        <w:spacing w:after="0" w:line="119" w:lineRule="exact"/>
        <w:rPr>
          <w:rFonts w:ascii="Arial" w:cs="Arial" w:eastAsia="Arial" w:hAnsi="Arial"/>
          <w:sz w:val="14"/>
          <w:szCs w:val="14"/>
          <w:color w:val="auto"/>
        </w:rPr>
      </w:pPr>
    </w:p>
    <w:p>
      <w:pPr>
        <w:ind w:left="1340" w:hanging="116"/>
        <w:spacing w:after="0"/>
        <w:tabs>
          <w:tab w:leader="none" w:pos="1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costs of operating as a public company;</w:t>
      </w:r>
    </w:p>
    <w:p>
      <w:pPr>
        <w:spacing w:after="0" w:line="130" w:lineRule="exact"/>
        <w:rPr>
          <w:rFonts w:ascii="Arial" w:cs="Arial" w:eastAsia="Arial" w:hAnsi="Arial"/>
          <w:sz w:val="14"/>
          <w:szCs w:val="14"/>
          <w:color w:val="auto"/>
        </w:rPr>
      </w:pPr>
    </w:p>
    <w:p>
      <w:pPr>
        <w:ind w:left="1340" w:right="1339" w:hanging="116"/>
        <w:spacing w:after="0" w:line="290" w:lineRule="auto"/>
        <w:tabs>
          <w:tab w:leader="none" w:pos="1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our ability to establish a commercially viable pricing structure and obtain approval for coverage and adequate reimbursement from third-party and government payers;</w:t>
      </w:r>
    </w:p>
    <w:p>
      <w:pPr>
        <w:spacing w:after="0" w:line="74" w:lineRule="exact"/>
        <w:rPr>
          <w:rFonts w:ascii="Arial" w:cs="Arial" w:eastAsia="Arial" w:hAnsi="Arial"/>
          <w:sz w:val="14"/>
          <w:szCs w:val="14"/>
          <w:color w:val="auto"/>
        </w:rPr>
      </w:pPr>
    </w:p>
    <w:p>
      <w:pPr>
        <w:ind w:left="1340" w:right="1359" w:hanging="116"/>
        <w:spacing w:after="0" w:line="290" w:lineRule="auto"/>
        <w:tabs>
          <w:tab w:leader="none" w:pos="1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addressing any potential interruptions or delays resulting from factors related to the COVID-19 pandemic;</w:t>
      </w:r>
    </w:p>
    <w:p>
      <w:pPr>
        <w:spacing w:after="0" w:line="85" w:lineRule="exact"/>
        <w:rPr>
          <w:rFonts w:ascii="Arial" w:cs="Arial" w:eastAsia="Arial" w:hAnsi="Arial"/>
          <w:sz w:val="14"/>
          <w:szCs w:val="14"/>
          <w:color w:val="auto"/>
        </w:rPr>
      </w:pPr>
    </w:p>
    <w:p>
      <w:pPr>
        <w:ind w:left="1340" w:hanging="116"/>
        <w:spacing w:after="0"/>
        <w:tabs>
          <w:tab w:leader="none" w:pos="1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effect of competing technological and market developments; and</w:t>
      </w:r>
    </w:p>
    <w:p>
      <w:pPr>
        <w:spacing w:after="0" w:line="130" w:lineRule="exact"/>
        <w:rPr>
          <w:rFonts w:ascii="Arial" w:cs="Arial" w:eastAsia="Arial" w:hAnsi="Arial"/>
          <w:sz w:val="14"/>
          <w:szCs w:val="14"/>
          <w:color w:val="auto"/>
        </w:rPr>
      </w:pPr>
    </w:p>
    <w:p>
      <w:pPr>
        <w:ind w:left="1340" w:hanging="116"/>
        <w:spacing w:after="0"/>
        <w:tabs>
          <w:tab w:leader="none" w:pos="1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extent to which we acquire or invest in businesses, products, and technologies.</w:t>
      </w:r>
    </w:p>
    <w:p>
      <w:pPr>
        <w:spacing w:after="0" w:line="130" w:lineRule="exact"/>
        <w:rPr>
          <w:sz w:val="20"/>
          <w:szCs w:val="20"/>
          <w:color w:val="auto"/>
        </w:rPr>
      </w:pPr>
    </w:p>
    <w:p>
      <w:pPr>
        <w:ind w:left="1220" w:right="1279"/>
        <w:spacing w:after="0" w:line="290" w:lineRule="auto"/>
        <w:rPr>
          <w:sz w:val="20"/>
          <w:szCs w:val="20"/>
          <w:color w:val="auto"/>
        </w:rPr>
      </w:pPr>
      <w:r>
        <w:rPr>
          <w:rFonts w:ascii="Arial" w:cs="Arial" w:eastAsia="Arial" w:hAnsi="Arial"/>
          <w:sz w:val="14"/>
          <w:szCs w:val="14"/>
          <w:color w:val="auto"/>
        </w:rPr>
        <w:t>Until and unless we can generate substantial product revenue, we expect to finance our cash needs through the proceeds from this offering,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in this offering. If we sell equity or equity-linked securities, our current stockholders, including investors in this offering,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4" w:name="page95"/>
    <w:bookmarkEnd w:id="9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Cash flows</w:t>
      </w:r>
    </w:p>
    <w:p>
      <w:pPr>
        <w:spacing w:after="0" w:line="13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summarizes our cash flows for the periods indicated:</w:t>
      </w:r>
    </w:p>
    <w:p>
      <w:pPr>
        <w:spacing w:after="0" w:line="154"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jc w:val="right"/>
              <w:ind w:right="31"/>
              <w:spacing w:after="0"/>
              <w:rPr>
                <w:sz w:val="20"/>
                <w:szCs w:val="20"/>
                <w:color w:val="auto"/>
              </w:rPr>
            </w:pPr>
            <w:r>
              <w:rPr>
                <w:rFonts w:ascii="Arial" w:cs="Arial" w:eastAsia="Arial" w:hAnsi="Arial"/>
                <w:sz w:val="13"/>
                <w:szCs w:val="13"/>
                <w:b w:val="1"/>
                <w:bCs w:val="1"/>
                <w:color w:val="auto"/>
              </w:rPr>
              <w:t>Successor</w:t>
            </w:r>
          </w:p>
        </w:tc>
        <w:tc>
          <w:tcPr>
            <w:tcW w:w="4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1"/>
        </w:trPr>
        <w:tc>
          <w:tcPr>
            <w:tcW w:w="2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jc w:val="right"/>
              <w:ind w:right="31"/>
              <w:spacing w:after="0"/>
              <w:rPr>
                <w:sz w:val="20"/>
                <w:szCs w:val="20"/>
                <w:color w:val="auto"/>
              </w:rPr>
            </w:pPr>
            <w:r>
              <w:rPr>
                <w:rFonts w:ascii="Arial" w:cs="Arial" w:eastAsia="Arial" w:hAnsi="Arial"/>
                <w:sz w:val="13"/>
                <w:szCs w:val="13"/>
                <w:b w:val="1"/>
                <w:bCs w:val="1"/>
                <w:color w:val="auto"/>
              </w:rPr>
              <w:t>Period from</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Predecessor</w:t>
            </w:r>
          </w:p>
        </w:tc>
      </w:tr>
      <w:tr>
        <w:trPr>
          <w:trHeight w:val="151"/>
        </w:trPr>
        <w:tc>
          <w:tcPr>
            <w:tcW w:w="2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3"/>
                <w:szCs w:val="13"/>
                <w:b w:val="1"/>
                <w:bCs w:val="1"/>
                <w:color w:val="auto"/>
              </w:rPr>
              <w:t>Successor</w:t>
            </w:r>
          </w:p>
        </w:tc>
        <w:tc>
          <w:tcPr>
            <w:tcW w:w="240" w:type="dxa"/>
            <w:vAlign w:val="bottom"/>
          </w:tcPr>
          <w:p>
            <w:pPr>
              <w:spacing w:after="0"/>
              <w:rPr>
                <w:sz w:val="13"/>
                <w:szCs w:val="13"/>
                <w:color w:val="auto"/>
              </w:rPr>
            </w:pPr>
          </w:p>
        </w:tc>
        <w:tc>
          <w:tcPr>
            <w:tcW w:w="660" w:type="dxa"/>
            <w:vAlign w:val="bottom"/>
          </w:tcPr>
          <w:p>
            <w:pPr>
              <w:jc w:val="right"/>
              <w:ind w:right="31"/>
              <w:spacing w:after="0"/>
              <w:rPr>
                <w:sz w:val="20"/>
                <w:szCs w:val="20"/>
                <w:color w:val="auto"/>
              </w:rPr>
            </w:pPr>
            <w:r>
              <w:rPr>
                <w:rFonts w:ascii="Arial" w:cs="Arial" w:eastAsia="Arial" w:hAnsi="Arial"/>
                <w:sz w:val="13"/>
                <w:szCs w:val="13"/>
                <w:b w:val="1"/>
                <w:bCs w:val="1"/>
                <w:color w:val="auto"/>
              </w:rPr>
              <w:t>June 21,</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period from</w:t>
            </w:r>
          </w:p>
        </w:tc>
      </w:tr>
      <w:tr>
        <w:trPr>
          <w:trHeight w:val="151"/>
        </w:trPr>
        <w:tc>
          <w:tcPr>
            <w:tcW w:w="2120" w:type="dxa"/>
            <w:vAlign w:val="bottom"/>
          </w:tcPr>
          <w:p>
            <w:pPr>
              <w:spacing w:after="0"/>
              <w:rPr>
                <w:sz w:val="13"/>
                <w:szCs w:val="13"/>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3"/>
                <w:szCs w:val="13"/>
                <w:b w:val="1"/>
                <w:bCs w:val="1"/>
                <w:color w:val="auto"/>
              </w:rPr>
              <w:t>Three months</w:t>
            </w:r>
          </w:p>
        </w:tc>
        <w:tc>
          <w:tcPr>
            <w:tcW w:w="1040" w:type="dxa"/>
            <w:vAlign w:val="bottom"/>
            <w:gridSpan w:val="2"/>
          </w:tcPr>
          <w:p>
            <w:pPr>
              <w:jc w:val="right"/>
              <w:ind w:right="90"/>
              <w:spacing w:after="0"/>
              <w:rPr>
                <w:sz w:val="20"/>
                <w:szCs w:val="20"/>
                <w:color w:val="auto"/>
              </w:rPr>
            </w:pPr>
            <w:r>
              <w:rPr>
                <w:rFonts w:ascii="Arial" w:cs="Arial" w:eastAsia="Arial" w:hAnsi="Arial"/>
                <w:sz w:val="13"/>
                <w:szCs w:val="13"/>
                <w:b w:val="1"/>
                <w:bCs w:val="1"/>
                <w:color w:val="auto"/>
                <w:w w:val="99"/>
              </w:rPr>
              <w:t>Three months</w:t>
            </w:r>
          </w:p>
        </w:tc>
        <w:tc>
          <w:tcPr>
            <w:tcW w:w="920" w:type="dxa"/>
            <w:vAlign w:val="bottom"/>
            <w:gridSpan w:val="2"/>
          </w:tcPr>
          <w:p>
            <w:pPr>
              <w:jc w:val="right"/>
              <w:ind w:right="70"/>
              <w:spacing w:after="0"/>
              <w:rPr>
                <w:sz w:val="20"/>
                <w:szCs w:val="20"/>
                <w:color w:val="auto"/>
              </w:rPr>
            </w:pPr>
            <w:r>
              <w:rPr>
                <w:rFonts w:ascii="Arial" w:cs="Arial" w:eastAsia="Arial" w:hAnsi="Arial"/>
                <w:sz w:val="13"/>
                <w:szCs w:val="13"/>
                <w:b w:val="1"/>
                <w:bCs w:val="1"/>
                <w:color w:val="auto"/>
              </w:rPr>
              <w:t>year ended</w:t>
            </w:r>
          </w:p>
        </w:tc>
        <w:tc>
          <w:tcPr>
            <w:tcW w:w="240" w:type="dxa"/>
            <w:vAlign w:val="bottom"/>
          </w:tcPr>
          <w:p>
            <w:pPr>
              <w:spacing w:after="0"/>
              <w:rPr>
                <w:sz w:val="13"/>
                <w:szCs w:val="13"/>
                <w:color w:val="auto"/>
              </w:rPr>
            </w:pPr>
          </w:p>
        </w:tc>
        <w:tc>
          <w:tcPr>
            <w:tcW w:w="660" w:type="dxa"/>
            <w:vAlign w:val="bottom"/>
          </w:tcPr>
          <w:p>
            <w:pPr>
              <w:jc w:val="right"/>
              <w:ind w:right="31"/>
              <w:spacing w:after="0"/>
              <w:rPr>
                <w:sz w:val="20"/>
                <w:szCs w:val="20"/>
                <w:color w:val="auto"/>
              </w:rPr>
            </w:pPr>
            <w:r>
              <w:rPr>
                <w:rFonts w:ascii="Arial" w:cs="Arial" w:eastAsia="Arial" w:hAnsi="Arial"/>
                <w:sz w:val="13"/>
                <w:szCs w:val="13"/>
                <w:b w:val="1"/>
                <w:bCs w:val="1"/>
                <w:color w:val="auto"/>
              </w:rPr>
              <w:t>2019 to</w:t>
            </w:r>
          </w:p>
        </w:tc>
        <w:tc>
          <w:tcPr>
            <w:tcW w:w="9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January 1,</w:t>
            </w:r>
          </w:p>
        </w:tc>
      </w:tr>
      <w:tr>
        <w:trPr>
          <w:trHeight w:val="151"/>
        </w:trPr>
        <w:tc>
          <w:tcPr>
            <w:tcW w:w="2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ind w:right="30"/>
              <w:spacing w:after="0"/>
              <w:rPr>
                <w:sz w:val="20"/>
                <w:szCs w:val="20"/>
                <w:color w:val="auto"/>
              </w:rPr>
            </w:pPr>
            <w:r>
              <w:rPr>
                <w:rFonts w:ascii="Arial" w:cs="Arial" w:eastAsia="Arial" w:hAnsi="Arial"/>
                <w:sz w:val="13"/>
                <w:szCs w:val="13"/>
                <w:b w:val="1"/>
                <w:bCs w:val="1"/>
                <w:color w:val="auto"/>
              </w:rPr>
              <w:t>ended</w:t>
            </w:r>
          </w:p>
        </w:tc>
        <w:tc>
          <w:tcPr>
            <w:tcW w:w="400" w:type="dxa"/>
            <w:vAlign w:val="bottom"/>
          </w:tcPr>
          <w:p>
            <w:pPr>
              <w:spacing w:after="0"/>
              <w:rPr>
                <w:sz w:val="13"/>
                <w:szCs w:val="13"/>
                <w:color w:val="auto"/>
              </w:rPr>
            </w:pPr>
          </w:p>
        </w:tc>
        <w:tc>
          <w:tcPr>
            <w:tcW w:w="2460" w:type="dxa"/>
            <w:vAlign w:val="bottom"/>
            <w:gridSpan w:val="5"/>
          </w:tcPr>
          <w:p>
            <w:pPr>
              <w:jc w:val="right"/>
              <w:ind w:right="31"/>
              <w:spacing w:after="0"/>
              <w:rPr>
                <w:sz w:val="20"/>
                <w:szCs w:val="20"/>
                <w:color w:val="auto"/>
              </w:rPr>
            </w:pPr>
            <w:r>
              <w:rPr>
                <w:rFonts w:ascii="Arial" w:cs="Arial" w:eastAsia="Arial" w:hAnsi="Arial"/>
                <w:sz w:val="13"/>
                <w:szCs w:val="13"/>
                <w:b w:val="1"/>
                <w:bCs w:val="1"/>
                <w:color w:val="auto"/>
              </w:rPr>
              <w:t>ended December 31, December 31,</w:t>
            </w:r>
          </w:p>
        </w:tc>
        <w:tc>
          <w:tcPr>
            <w:tcW w:w="9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2019 to</w:t>
            </w:r>
          </w:p>
        </w:tc>
      </w:tr>
      <w:tr>
        <w:trPr>
          <w:trHeight w:val="179"/>
        </w:trPr>
        <w:tc>
          <w:tcPr>
            <w:tcW w:w="212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2080" w:type="dxa"/>
            <w:vAlign w:val="bottom"/>
            <w:gridSpan w:val="4"/>
          </w:tcPr>
          <w:p>
            <w:pPr>
              <w:jc w:val="right"/>
              <w:ind w:right="50"/>
              <w:spacing w:after="0"/>
              <w:rPr>
                <w:sz w:val="20"/>
                <w:szCs w:val="20"/>
                <w:color w:val="auto"/>
              </w:rPr>
            </w:pPr>
            <w:r>
              <w:rPr>
                <w:rFonts w:ascii="Arial" w:cs="Arial" w:eastAsia="Arial" w:hAnsi="Arial"/>
                <w:sz w:val="13"/>
                <w:szCs w:val="13"/>
                <w:b w:val="1"/>
                <w:bCs w:val="1"/>
                <w:color w:val="auto"/>
              </w:rPr>
              <w:t>March 31, 2021 March 31, 2020</w:t>
            </w:r>
          </w:p>
        </w:tc>
        <w:tc>
          <w:tcPr>
            <w:tcW w:w="280" w:type="dxa"/>
            <w:vAlign w:val="bottom"/>
          </w:tcPr>
          <w:p>
            <w:pPr>
              <w:spacing w:after="0"/>
              <w:rPr>
                <w:sz w:val="15"/>
                <w:szCs w:val="15"/>
                <w:color w:val="auto"/>
              </w:rPr>
            </w:pPr>
          </w:p>
        </w:tc>
        <w:tc>
          <w:tcPr>
            <w:tcW w:w="640" w:type="dxa"/>
            <w:vAlign w:val="bottom"/>
          </w:tcPr>
          <w:p>
            <w:pPr>
              <w:jc w:val="right"/>
              <w:ind w:right="30"/>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5"/>
                <w:szCs w:val="15"/>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2019 June 20, 2019</w:t>
            </w:r>
          </w:p>
        </w:tc>
      </w:tr>
      <w:tr>
        <w:trPr>
          <w:trHeight w:val="173"/>
        </w:trPr>
        <w:tc>
          <w:tcPr>
            <w:tcW w:w="2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cash provided by (used in):</w:t>
            </w: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2120" w:type="dxa"/>
            <w:vAlign w:val="bottom"/>
          </w:tcPr>
          <w:p>
            <w:pPr>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(22,179)</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(6,884)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(41,269)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(11,768)</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(4,400)</w:t>
            </w:r>
          </w:p>
        </w:tc>
      </w:tr>
      <w:tr>
        <w:trPr>
          <w:trHeight w:val="23"/>
        </w:trPr>
        <w:tc>
          <w:tcPr>
            <w:tcW w:w="2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85"/>
        </w:trPr>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Investing activities</w:t>
            </w:r>
          </w:p>
        </w:tc>
        <w:tc>
          <w:tcPr>
            <w:tcW w:w="3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(119,034)</w:t>
            </w:r>
          </w:p>
        </w:tc>
        <w:tc>
          <w:tcPr>
            <w:tcW w:w="4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(4,178)</w:t>
            </w:r>
          </w:p>
        </w:tc>
        <w:tc>
          <w:tcPr>
            <w:tcW w:w="2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(22,757)</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(19,007)</w:t>
            </w:r>
          </w:p>
        </w:tc>
        <w:tc>
          <w:tcPr>
            <w:tcW w:w="4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40" w:type="dxa"/>
            <w:vAlign w:val="bottom"/>
          </w:tcPr>
          <w:p>
            <w:pPr>
              <w:spacing w:after="0"/>
              <w:rPr>
                <w:sz w:val="16"/>
                <w:szCs w:val="16"/>
                <w:color w:val="auto"/>
              </w:rPr>
            </w:pPr>
          </w:p>
        </w:tc>
      </w:tr>
      <w:tr>
        <w:trPr>
          <w:trHeight w:val="188"/>
        </w:trPr>
        <w:tc>
          <w:tcPr>
            <w:tcW w:w="2120" w:type="dxa"/>
            <w:vAlign w:val="bottom"/>
          </w:tcPr>
          <w:p>
            <w:pPr>
              <w:spacing w:after="0"/>
              <w:rPr>
                <w:sz w:val="20"/>
                <w:szCs w:val="20"/>
                <w:color w:val="auto"/>
              </w:rPr>
            </w:pPr>
            <w:r>
              <w:rPr>
                <w:rFonts w:ascii="Arial" w:cs="Arial" w:eastAsia="Arial" w:hAnsi="Arial"/>
                <w:sz w:val="14"/>
                <w:szCs w:val="14"/>
                <w:color w:val="auto"/>
              </w:rPr>
              <w:t>Financing activities</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(193,485)</w:t>
            </w:r>
          </w:p>
        </w:tc>
        <w:tc>
          <w:tcPr>
            <w:tcW w:w="400" w:type="dxa"/>
            <w:vAlign w:val="bottom"/>
          </w:tcPr>
          <w:p>
            <w:pPr>
              <w:spacing w:after="0"/>
              <w:rPr>
                <w:sz w:val="16"/>
                <w:szCs w:val="16"/>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47,690</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74,839</w:t>
            </w:r>
          </w:p>
        </w:tc>
        <w:tc>
          <w:tcPr>
            <w:tcW w:w="42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68"/>
        </w:trPr>
        <w:tc>
          <w:tcPr>
            <w:tcW w:w="2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(decrease) increase in</w:t>
            </w:r>
          </w:p>
        </w:tc>
        <w:tc>
          <w:tcPr>
            <w:tcW w:w="3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73"/>
        </w:trPr>
        <w:tc>
          <w:tcPr>
            <w:tcW w:w="2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cash equivalents, and</w:t>
            </w: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08"/>
        </w:trPr>
        <w:tc>
          <w:tcPr>
            <w:tcW w:w="2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restricted cash</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52,272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(11,062)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(16,336)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44,064</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(5,227)</w:t>
            </w:r>
          </w:p>
        </w:tc>
        <w:tc>
          <w:tcPr>
            <w:tcW w:w="40" w:type="dxa"/>
            <w:vAlign w:val="bottom"/>
          </w:tcPr>
          <w:p>
            <w:pPr>
              <w:spacing w:after="0"/>
              <w:rPr>
                <w:sz w:val="18"/>
                <w:szCs w:val="18"/>
                <w:color w:val="auto"/>
              </w:rPr>
            </w:pPr>
          </w:p>
        </w:tc>
      </w:tr>
      <w:tr>
        <w:trPr>
          <w:trHeight w:val="20"/>
        </w:trPr>
        <w:tc>
          <w:tcPr>
            <w:tcW w:w="2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-375920</wp:posOffset>
            </wp:positionV>
            <wp:extent cx="133604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36040" cy="6985"/>
                    </a:xfrm>
                    <a:prstGeom prst="rect">
                      <a:avLst/>
                    </a:prstGeom>
                    <a:noFill/>
                  </pic:spPr>
                </pic:pic>
              </a:graphicData>
            </a:graphic>
          </wp:anchor>
        </w:drawing>
      </w:r>
    </w:p>
    <w:p>
      <w:pPr>
        <w:spacing w:after="0" w:line="116"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Operating activities</w:t>
      </w:r>
    </w:p>
    <w:p>
      <w:pPr>
        <w:spacing w:after="0" w:line="123"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Net cash used in operating activities was $22.2 million, and $6.9 million for the three months ended March 31, 2021 and 2020, respectively. Net cash used in operating activities during the three months ended March 31, 2021 consisted primarily of our net loss of $18.3 million and net cash outflows from decreases in our accounts payable and accrued expenses and other liabilities of $5.2 million partially offset by increase in operating lease liability of $0.1 million, and non-cash charges of $1.1 million. The non-cash charges of $1.1 million consisted primarily of $0.7 million for depreciation expense, and non-cash operating lease expense of $0.2 million.</w:t>
      </w:r>
    </w:p>
    <w:p>
      <w:pPr>
        <w:spacing w:after="0" w:line="106" w:lineRule="exact"/>
        <w:rPr>
          <w:sz w:val="20"/>
          <w:szCs w:val="20"/>
          <w:color w:val="auto"/>
        </w:rPr>
      </w:pPr>
    </w:p>
    <w:p>
      <w:pPr>
        <w:ind w:left="1220" w:right="1239"/>
        <w:spacing w:after="0" w:line="261" w:lineRule="auto"/>
        <w:rPr>
          <w:sz w:val="20"/>
          <w:szCs w:val="20"/>
          <w:color w:val="auto"/>
        </w:rPr>
      </w:pPr>
      <w:r>
        <w:rPr>
          <w:rFonts w:ascii="Arial" w:cs="Arial" w:eastAsia="Arial" w:hAnsi="Arial"/>
          <w:sz w:val="14"/>
          <w:szCs w:val="14"/>
          <w:color w:val="auto"/>
        </w:rPr>
        <w:t>Net cash used in operating activities for the three months ended March 31, 2020 consisted primarily of our net loss of $9.7 million partially offset by net cash inflows from changes in operating assets and liabilities of $2.3 million and non-cash charges of $0.5 million. The non-cash charges of $0.5 million consisted primarily of $0.2 million for depreciation expense, non-cash stock-based compensation expense of $0.2 million, and non-cash operating lease expense of $0.1 million.</w:t>
      </w:r>
    </w:p>
    <w:p>
      <w:pPr>
        <w:spacing w:after="0" w:line="279"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Net cash used in operating activities was $41.3 million, $11.8 million and $4.4 million for the year ended December 31, 2020 (Successor), the period from June 21, 2019 through December 31, 2019 (Successor) and the period from January 1, 2019 through June 20, 2019 (Predecessor), respectively. Net cash used in operating activities during the year ended December 31, 2020 (Successor) consisted primarily of our net loss of $53.6 million partially offset by increase in operating lease liability of $2.2 million, net cash inflows from increases in our accounts payable and accrued expenses and other liabilities of $4.4 million and non-cash charges of $7.4 million. The non-cash charges of $7.4 million consisted primarily of $1.4 million for depreciation expense, non-cash stock-based compensation expense of $0.9 million, non-cash operating lease expense of $0.4 million and write off of in-process research and development asset of $4.7 million from an asset acquisition.</w:t>
      </w:r>
    </w:p>
    <w:p>
      <w:pPr>
        <w:spacing w:after="0" w:line="270" w:lineRule="exact"/>
        <w:rPr>
          <w:sz w:val="20"/>
          <w:szCs w:val="20"/>
          <w:color w:val="auto"/>
        </w:rPr>
      </w:pPr>
    </w:p>
    <w:p>
      <w:pPr>
        <w:ind w:left="1220" w:right="1279"/>
        <w:spacing w:after="0" w:line="262" w:lineRule="auto"/>
        <w:rPr>
          <w:sz w:val="20"/>
          <w:szCs w:val="20"/>
          <w:color w:val="auto"/>
        </w:rPr>
      </w:pPr>
      <w:r>
        <w:rPr>
          <w:rFonts w:ascii="Arial" w:cs="Arial" w:eastAsia="Arial" w:hAnsi="Arial"/>
          <w:sz w:val="14"/>
          <w:szCs w:val="14"/>
          <w:color w:val="auto"/>
        </w:rPr>
        <w:t>Net cash used in operating activities during the period from June 21, 2019 through December 31, 2019 (Successor), consisted primarily of our net loss of $238.8 million, partially offset by non-cash charges of $226.3 million. The non-cash charges of $226.3 million consisted primarily of $225.9 million for write off of in-process research and development assets, and other non-cash charges of $0.3 million.</w:t>
      </w:r>
    </w:p>
    <w:p>
      <w:pPr>
        <w:spacing w:after="0" w:line="279" w:lineRule="exact"/>
        <w:rPr>
          <w:sz w:val="20"/>
          <w:szCs w:val="20"/>
          <w:color w:val="auto"/>
        </w:rPr>
      </w:pPr>
    </w:p>
    <w:p>
      <w:pPr>
        <w:ind w:left="1220" w:right="1339"/>
        <w:spacing w:after="0" w:line="265" w:lineRule="auto"/>
        <w:rPr>
          <w:sz w:val="20"/>
          <w:szCs w:val="20"/>
          <w:color w:val="auto"/>
        </w:rPr>
      </w:pPr>
      <w:r>
        <w:rPr>
          <w:rFonts w:ascii="Arial" w:cs="Arial" w:eastAsia="Arial" w:hAnsi="Arial"/>
          <w:sz w:val="14"/>
          <w:szCs w:val="14"/>
          <w:color w:val="auto"/>
        </w:rPr>
        <w:t>Net cash used in operating activities during the period from January 1, 2019 through June 20, 2019 (Predecessor) consisted primarily of our net loss of $6.0 million, partially offset by net cash inflows from changes in operating assets and liabilities of $1.5 million.</w:t>
      </w:r>
    </w:p>
    <w:p>
      <w:pPr>
        <w:spacing w:after="0" w:line="132"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Investing activities</w:t>
      </w:r>
    </w:p>
    <w:p>
      <w:pPr>
        <w:spacing w:after="0" w:line="134" w:lineRule="exact"/>
        <w:rPr>
          <w:sz w:val="20"/>
          <w:szCs w:val="20"/>
          <w:color w:val="auto"/>
        </w:rPr>
      </w:pPr>
    </w:p>
    <w:p>
      <w:pPr>
        <w:ind w:left="1220" w:right="1339"/>
        <w:spacing w:after="0" w:line="265" w:lineRule="auto"/>
        <w:rPr>
          <w:sz w:val="20"/>
          <w:szCs w:val="20"/>
          <w:color w:val="auto"/>
        </w:rPr>
      </w:pPr>
      <w:r>
        <w:rPr>
          <w:rFonts w:ascii="Arial" w:cs="Arial" w:eastAsia="Arial" w:hAnsi="Arial"/>
          <w:sz w:val="14"/>
          <w:szCs w:val="14"/>
          <w:color w:val="auto"/>
        </w:rPr>
        <w:t>Cash used in investing activities was $119.0 million, and $4.2 million for the three months ended March 31, 2021 and 2020, respectively. Cash used in investing activities for the three months ended March 31, 2021</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5" w:name="page96"/>
    <w:bookmarkEnd w:id="9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39"/>
        <w:spacing w:after="0" w:line="274" w:lineRule="auto"/>
        <w:rPr>
          <w:sz w:val="20"/>
          <w:szCs w:val="20"/>
          <w:color w:val="auto"/>
        </w:rPr>
      </w:pPr>
      <w:r>
        <w:rPr>
          <w:rFonts w:ascii="Arial" w:cs="Arial" w:eastAsia="Arial" w:hAnsi="Arial"/>
          <w:sz w:val="14"/>
          <w:szCs w:val="14"/>
          <w:color w:val="auto"/>
        </w:rPr>
        <w:t>consisted primarily of net purchases of fixed maturity securities of $117.2 million, and purchases of property and equipment of $1.9 million.</w:t>
      </w:r>
    </w:p>
    <w:p>
      <w:pPr>
        <w:spacing w:after="0" w:line="86" w:lineRule="exact"/>
        <w:rPr>
          <w:sz w:val="20"/>
          <w:szCs w:val="20"/>
          <w:color w:val="auto"/>
        </w:rPr>
      </w:pPr>
    </w:p>
    <w:p>
      <w:pPr>
        <w:ind w:left="1220" w:right="1379"/>
        <w:spacing w:after="0" w:line="265" w:lineRule="auto"/>
        <w:rPr>
          <w:sz w:val="20"/>
          <w:szCs w:val="20"/>
          <w:color w:val="auto"/>
        </w:rPr>
      </w:pPr>
      <w:r>
        <w:rPr>
          <w:rFonts w:ascii="Arial" w:cs="Arial" w:eastAsia="Arial" w:hAnsi="Arial"/>
          <w:sz w:val="14"/>
          <w:szCs w:val="14"/>
          <w:color w:val="auto"/>
        </w:rPr>
        <w:t>Cash used in investing activities for the three months ended March 31, 2020 consisted primarily of net purchases of fixed maturity securities of $1.5 million, and purchases of property and equipment of $2.7 million.</w:t>
      </w:r>
    </w:p>
    <w:p>
      <w:pPr>
        <w:spacing w:after="0" w:line="103"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Cash used in investing activities was $22.8 million, $19.0 million and $0.8 million for the year ended December 31, 2020 (Successor), the period from June 21, 2019 through December 31, 2019 (Successor) and the period from January 1, 2019 through June 20, 2019 (Predecessor), respectively. Cash used in investing activities for the year ended December 31, 2020 (Successor) consisted primarily of net purchases of fixed maturity securities of $8.2 million, purchases of property and equipment of $9.8 million, and net cash used for an asset acquisition of $4.7 million.</w:t>
      </w:r>
    </w:p>
    <w:p>
      <w:pPr>
        <w:spacing w:after="0" w:line="108"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color w:val="auto"/>
        </w:rPr>
        <w:t>Cash used in investing activities for the period from June 21, 2019 through December 31, 2019 (Successor) consisted primarily of purchases of fixed maturity securities of $41.5 million, and purchases of property and equipment of $1.6 million, partially offset by net cash resulting from an asset acquisition of $24.2 million. Cash used in investing activities for the period from January 1, 2019 through June 20, 2019 (Predecessor) consisted primarily of purchases of property and equipment of $0.8 million.</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Financing activities</w:t>
      </w:r>
    </w:p>
    <w:p>
      <w:pPr>
        <w:spacing w:after="0" w:line="123"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Cash provided by financing activities was $193.5 million for the three months ended March 31, 2021 . There was no financing activities for the three months ended March 31, 2020. Cash provided by financing activities for the three months ended March 31, 2021 consisted primarily of net proceeds from collection of subscription receivable of $31.9 million and from sale of our Series C Preferred shares of $159.6 million, payments of deferred offering costs associated with incremental legal, professional and other third-party fees directly associated with the planned IPO of $0.6 million, and cash resulting from the merger of $2.4 million.</w:t>
      </w:r>
    </w:p>
    <w:p>
      <w:pPr>
        <w:spacing w:after="0" w:line="106"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Cash provided by financing activities was $47.7 million and $74.8 million for the year ended December 31, 2020 (Successor) and the period from June 21, 2019 through December 31, 2019 (Successor), respectively. There was no cash used in or provided by financing activities for the period from January 1, 2019 through June 20, 2019 (predecessor). Cash provided by financing activities for the year ended December 31, 2020 (Successor) consisted primarily of net proceeds from collection of subscription receivable of $38.1 million. Additionally, on September 14, 2020, the Company entered into a $10 million Loan Agreement with Hercules, pursuant to which net proceeds of $9.6 million were received by us.</w:t>
      </w:r>
    </w:p>
    <w:p>
      <w:pPr>
        <w:spacing w:after="0" w:line="279" w:lineRule="exact"/>
        <w:rPr>
          <w:sz w:val="20"/>
          <w:szCs w:val="20"/>
          <w:color w:val="auto"/>
        </w:rPr>
      </w:pPr>
    </w:p>
    <w:p>
      <w:pPr>
        <w:jc w:val="both"/>
        <w:ind w:left="1220" w:right="1259"/>
        <w:spacing w:after="0" w:line="274" w:lineRule="auto"/>
        <w:rPr>
          <w:sz w:val="20"/>
          <w:szCs w:val="20"/>
          <w:color w:val="auto"/>
        </w:rPr>
      </w:pPr>
      <w:r>
        <w:rPr>
          <w:rFonts w:ascii="Arial" w:cs="Arial" w:eastAsia="Arial" w:hAnsi="Arial"/>
          <w:sz w:val="14"/>
          <w:szCs w:val="14"/>
          <w:color w:val="auto"/>
        </w:rPr>
        <w:t>Cash provided by financing activities during the period from June 21, 2019 through December 31, 2019 (Successor) consisted of net proceeds of $74.8 million from the sale of our common shares.</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summarizes our significant contractual obligations and commitments as of</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Payments due by period</w:t>
            </w:r>
          </w:p>
        </w:tc>
        <w:tc>
          <w:tcPr>
            <w:tcW w:w="0" w:type="dxa"/>
            <w:vAlign w:val="bottom"/>
          </w:tcPr>
          <w:p>
            <w:pPr>
              <w:spacing w:after="0"/>
              <w:rPr>
                <w:sz w:val="1"/>
                <w:szCs w:val="1"/>
                <w:color w:val="auto"/>
              </w:rPr>
            </w:pPr>
          </w:p>
        </w:tc>
      </w:tr>
      <w:tr>
        <w:trPr>
          <w:trHeight w:val="186"/>
        </w:trPr>
        <w:tc>
          <w:tcPr>
            <w:tcW w:w="23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 year</w:t>
            </w:r>
          </w:p>
        </w:tc>
        <w:tc>
          <w:tcPr>
            <w:tcW w:w="900" w:type="dxa"/>
            <w:vAlign w:val="bottom"/>
          </w:tcPr>
          <w:p>
            <w:pPr>
              <w:jc w:val="right"/>
              <w:ind w:right="10"/>
              <w:spacing w:after="0"/>
              <w:rPr>
                <w:sz w:val="20"/>
                <w:szCs w:val="20"/>
                <w:color w:val="auto"/>
              </w:rPr>
            </w:pPr>
            <w:r>
              <w:rPr>
                <w:rFonts w:ascii="Arial" w:cs="Arial" w:eastAsia="Arial" w:hAnsi="Arial"/>
                <w:sz w:val="13"/>
                <w:szCs w:val="13"/>
                <w:b w:val="1"/>
                <w:bCs w:val="1"/>
                <w:color w:val="auto"/>
              </w:rPr>
              <w:t>1 to 3 years</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3 to 5 years</w:t>
            </w:r>
          </w:p>
        </w:tc>
        <w:tc>
          <w:tcPr>
            <w:tcW w:w="1300" w:type="dxa"/>
            <w:vAlign w:val="bottom"/>
          </w:tcPr>
          <w:p>
            <w:pPr>
              <w:jc w:val="right"/>
              <w:ind w:right="11"/>
              <w:spacing w:after="0"/>
              <w:rPr>
                <w:sz w:val="20"/>
                <w:szCs w:val="20"/>
                <w:color w:val="auto"/>
              </w:rPr>
            </w:pPr>
            <w:r>
              <w:rPr>
                <w:rFonts w:ascii="Arial" w:cs="Arial" w:eastAsia="Arial" w:hAnsi="Arial"/>
                <w:sz w:val="13"/>
                <w:szCs w:val="13"/>
                <w:b w:val="1"/>
                <w:bCs w:val="1"/>
                <w:color w:val="auto"/>
              </w:rPr>
              <w:t>More than 5 years</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$ 3,347</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$ 3,629</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$ 13,207</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$21,403</w:t>
            </w:r>
          </w:p>
        </w:tc>
        <w:tc>
          <w:tcPr>
            <w:tcW w:w="0" w:type="dxa"/>
            <w:vAlign w:val="bottom"/>
          </w:tcPr>
          <w:p>
            <w:pPr>
              <w:spacing w:after="0"/>
              <w:rPr>
                <w:sz w:val="1"/>
                <w:szCs w:val="1"/>
                <w:color w:val="auto"/>
              </w:rPr>
            </w:pPr>
          </w:p>
        </w:tc>
      </w:tr>
      <w:tr>
        <w:trPr>
          <w:trHeight w:val="182"/>
        </w:trPr>
        <w:tc>
          <w:tcPr>
            <w:tcW w:w="23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7,642</w:t>
            </w:r>
          </w:p>
        </w:tc>
        <w:tc>
          <w:tcPr>
            <w:tcW w:w="880" w:type="dxa"/>
            <w:vAlign w:val="bottom"/>
          </w:tcPr>
          <w:p>
            <w:pPr>
              <w:jc w:val="right"/>
              <w:spacing w:after="0"/>
              <w:rPr>
                <w:sz w:val="20"/>
                <w:szCs w:val="20"/>
                <w:color w:val="auto"/>
              </w:rPr>
            </w:pPr>
            <w:r>
              <w:rPr>
                <w:rFonts w:ascii="Arial" w:cs="Arial" w:eastAsia="Arial" w:hAnsi="Arial"/>
                <w:sz w:val="14"/>
                <w:szCs w:val="14"/>
                <w:color w:val="auto"/>
              </w:rPr>
              <w:t>2,753</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10,395</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vMerge w:val="continue"/>
          </w:tcPr>
          <w:p>
            <w:pPr>
              <w:spacing w:after="0"/>
              <w:rPr>
                <w:sz w:val="19"/>
                <w:szCs w:val="19"/>
                <w:color w:val="auto"/>
              </w:rPr>
            </w:pPr>
          </w:p>
        </w:tc>
        <w:tc>
          <w:tcPr>
            <w:tcW w:w="2300" w:type="dxa"/>
            <w:vAlign w:val="bottom"/>
            <w:tcBorders>
              <w:bottom w:val="single" w:sz="8" w:color="auto"/>
            </w:tcBorders>
            <w:shd w:val="clear" w:color="auto" w:fill="CCEEFF"/>
          </w:tcPr>
          <w:p>
            <w:pPr>
              <w:spacing w:after="0" w:line="227" w:lineRule="exact"/>
              <w:rPr>
                <w:sz w:val="20"/>
                <w:szCs w:val="20"/>
                <w:color w:val="auto"/>
              </w:rPr>
            </w:pPr>
            <w:r>
              <w:rPr>
                <w:rFonts w:ascii="Arial" w:cs="Arial" w:eastAsia="Arial" w:hAnsi="Arial"/>
                <w:sz w:val="14"/>
                <w:szCs w:val="14"/>
                <w:color w:val="auto"/>
              </w:rPr>
              <w:t>Interest on long-term debt</w:t>
            </w:r>
            <w:r>
              <w:rPr>
                <w:rFonts w:ascii="Arial" w:cs="Arial" w:eastAsia="Arial" w:hAnsi="Arial"/>
                <w:sz w:val="21"/>
                <w:szCs w:val="21"/>
                <w:color w:val="auto"/>
                <w:vertAlign w:val="superscript"/>
              </w:rPr>
              <w:t>(1)</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1,543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-13335</wp:posOffset>
            </wp:positionV>
            <wp:extent cx="3429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6985"/>
                    </a:xfrm>
                    <a:prstGeom prst="rect">
                      <a:avLst/>
                    </a:prstGeom>
                    <a:noFill/>
                  </pic:spPr>
                </pic:pic>
              </a:graphicData>
            </a:graphic>
          </wp:anchor>
        </w:drawing>
      </w:r>
    </w:p>
    <w:p>
      <w:pPr>
        <w:spacing w:after="0" w:line="23" w:lineRule="exact"/>
        <w:rPr>
          <w:sz w:val="20"/>
          <w:szCs w:val="20"/>
          <w:color w:val="auto"/>
        </w:rPr>
      </w:pPr>
    </w:p>
    <w:p>
      <w:pPr>
        <w:ind w:left="1480" w:right="1359" w:hanging="256"/>
        <w:spacing w:after="0" w:line="251" w:lineRule="auto"/>
        <w:tabs>
          <w:tab w:leader="none" w:pos="1480" w:val="left"/>
        </w:tabs>
        <w:numPr>
          <w:ilvl w:val="0"/>
          <w:numId w:val="68"/>
        </w:numPr>
        <w:rPr>
          <w:rFonts w:ascii="Arial" w:cs="Arial" w:eastAsia="Arial" w:hAnsi="Arial"/>
          <w:sz w:val="11"/>
          <w:szCs w:val="11"/>
          <w:color w:val="auto"/>
        </w:rPr>
      </w:pPr>
      <w:r>
        <w:rPr>
          <w:rFonts w:ascii="Arial" w:cs="Arial" w:eastAsia="Arial" w:hAnsi="Arial"/>
          <w:sz w:val="11"/>
          <w:szCs w:val="11"/>
          <w:color w:val="auto"/>
        </w:rPr>
        <w:t>Reflects minimum interest payable under the Loan Agreement. Payment herein are subject to variable rate debt have been estimated.</w:t>
      </w:r>
    </w:p>
    <w:p>
      <w:pPr>
        <w:spacing w:after="0" w:line="113" w:lineRule="exact"/>
        <w:rPr>
          <w:sz w:val="20"/>
          <w:szCs w:val="20"/>
          <w:color w:val="auto"/>
        </w:rPr>
      </w:pPr>
    </w:p>
    <w:p>
      <w:pPr>
        <w:ind w:left="1220" w:right="1439"/>
        <w:spacing w:after="0" w:line="261" w:lineRule="auto"/>
        <w:rPr>
          <w:sz w:val="20"/>
          <w:szCs w:val="20"/>
          <w:color w:val="auto"/>
        </w:rPr>
      </w:pPr>
      <w:r>
        <w:rPr>
          <w:rFonts w:ascii="Arial" w:cs="Arial" w:eastAsia="Arial" w:hAnsi="Arial"/>
          <w:sz w:val="14"/>
          <w:szCs w:val="14"/>
          <w:color w:val="auto"/>
        </w:rPr>
        <w:t>Other than as disclosed in the table above, the payment obligations under our license, collaboration, and acquisition agreements as of December 31, 2020 are contingent upon future events such as our achievement of pre-specified development, regulatory, and commercial milestones, or royalties on net product sales. See the section titled “Business—Licensing, Partnerships and Collaborations” for more information about these payment</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6" w:name="page97"/>
    <w:bookmarkEnd w:id="9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obligations. As of December 31, 2020, the timing and likelihood of achieving the milestones and</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success payments and generating future product sales are uncertain and therefore, any related</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payments are not included in the table above. The Company has commitments under operating</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leases for certain facilities used in its operations. The Company’s leases have initial lease terms</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ranging from five to 16 years. The Company entered into three leases that had not commenced at</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December 31, 2020. As a result, future lease payments of approximately $0.5 million in 1 year,</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$4.8 million in 1 to 3 years, $5.0 million in 3 to 5 years and $16.3 million in more than 5 years are</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not included within the table above.</w:t>
      </w:r>
    </w:p>
    <w:p>
      <w:pPr>
        <w:spacing w:after="0" w:line="130" w:lineRule="exact"/>
        <w:rPr>
          <w:sz w:val="20"/>
          <w:szCs w:val="20"/>
          <w:color w:val="auto"/>
        </w:rPr>
      </w:pPr>
    </w:p>
    <w:p>
      <w:pPr>
        <w:ind w:left="1220" w:right="1739"/>
        <w:spacing w:after="0" w:line="277" w:lineRule="auto"/>
        <w:rPr>
          <w:sz w:val="20"/>
          <w:szCs w:val="20"/>
          <w:color w:val="auto"/>
        </w:rPr>
      </w:pPr>
      <w:r>
        <w:rPr>
          <w:rFonts w:ascii="Arial" w:cs="Arial" w:eastAsia="Arial" w:hAnsi="Arial"/>
          <w:sz w:val="14"/>
          <w:szCs w:val="14"/>
          <w:color w:val="auto"/>
        </w:rPr>
        <w:t>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11 to our audited consolidated financial statements included elsewhere in this prospectus for additional information.</w:t>
      </w:r>
    </w:p>
    <w:p>
      <w:pPr>
        <w:spacing w:after="0" w:line="107" w:lineRule="exact"/>
        <w:rPr>
          <w:sz w:val="20"/>
          <w:szCs w:val="20"/>
          <w:color w:val="auto"/>
        </w:rPr>
      </w:pPr>
    </w:p>
    <w:p>
      <w:pPr>
        <w:ind w:left="1220" w:right="1279"/>
        <w:spacing w:after="0" w:line="278" w:lineRule="auto"/>
        <w:rPr>
          <w:sz w:val="20"/>
          <w:szCs w:val="20"/>
          <w:color w:val="auto"/>
        </w:rPr>
      </w:pPr>
      <w:r>
        <w:rPr>
          <w:rFonts w:ascii="Arial" w:cs="Arial" w:eastAsia="Arial" w:hAnsi="Arial"/>
          <w:sz w:val="14"/>
          <w:szCs w:val="14"/>
          <w:color w:val="auto"/>
        </w:rPr>
        <w:t>We have entered into a $10.0 million Term Loan Agreement with Hercules. Amounts borrowed under the Loan Agreement have an interest-only period of up to 24 months and a maturity date of April 1, 2024. See Note 9 to our audited consolidated financial statements included elsewhere in this prospectus for additional information.</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Off-balance sheet arrangements</w:t>
      </w:r>
    </w:p>
    <w:p>
      <w:pPr>
        <w:spacing w:after="0" w:line="144" w:lineRule="exact"/>
        <w:rPr>
          <w:sz w:val="20"/>
          <w:szCs w:val="20"/>
          <w:color w:val="auto"/>
        </w:rPr>
      </w:pPr>
    </w:p>
    <w:p>
      <w:pPr>
        <w:ind w:left="1220" w:right="1599"/>
        <w:spacing w:after="0" w:line="290" w:lineRule="auto"/>
        <w:rPr>
          <w:sz w:val="20"/>
          <w:szCs w:val="20"/>
          <w:color w:val="auto"/>
        </w:rPr>
      </w:pPr>
      <w:r>
        <w:rPr>
          <w:rFonts w:ascii="Arial" w:cs="Arial" w:eastAsia="Arial" w:hAnsi="Arial"/>
          <w:sz w:val="14"/>
          <w:szCs w:val="14"/>
          <w:color w:val="auto"/>
        </w:rPr>
        <w:t>Since our inception, we have not engaged in any off-balance sheet arrangements as defined under the rules and regulations of the SEC.</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33" w:lineRule="exact"/>
        <w:rPr>
          <w:sz w:val="20"/>
          <w:szCs w:val="20"/>
          <w:color w:val="auto"/>
        </w:rPr>
      </w:pPr>
    </w:p>
    <w:p>
      <w:pPr>
        <w:ind w:left="1220" w:right="1319"/>
        <w:spacing w:after="0" w:line="283" w:lineRule="auto"/>
        <w:rPr>
          <w:sz w:val="20"/>
          <w:szCs w:val="20"/>
          <w:color w:val="auto"/>
        </w:rPr>
      </w:pPr>
      <w:r>
        <w:rPr>
          <w:rFonts w:ascii="Arial" w:cs="Arial" w:eastAsia="Arial" w:hAnsi="Arial"/>
          <w:sz w:val="14"/>
          <w:szCs w:val="14"/>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29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46" w:lineRule="exact"/>
        <w:rPr>
          <w:sz w:val="20"/>
          <w:szCs w:val="20"/>
          <w:color w:val="auto"/>
        </w:rPr>
      </w:pPr>
    </w:p>
    <w:p>
      <w:pPr>
        <w:ind w:left="1220" w:right="1299"/>
        <w:spacing w:after="0" w:line="274" w:lineRule="auto"/>
        <w:rPr>
          <w:sz w:val="20"/>
          <w:szCs w:val="20"/>
          <w:color w:val="auto"/>
        </w:rPr>
      </w:pPr>
      <w:r>
        <w:rPr>
          <w:rFonts w:ascii="Arial" w:cs="Arial" w:eastAsia="Arial" w:hAnsi="Arial"/>
          <w:sz w:val="14"/>
          <w:szCs w:val="14"/>
          <w:color w:val="auto"/>
        </w:rPr>
        <w:t>We had cash, cash equivalents, and restricted cash of $80.0 million as of March 31, 2021, which consisted of bank deposits and money market funds. We also had marketable securities of $166.6 million as of March 31, 2021. The primary objective of our investment activities is to preserve capital to fund our operations while earning a low risk return. Because our marketable securities are primarily short-term in duration, we believe that our exposure to interest rate risk is not significant, and a hypothetical 1.0% change in market interest rates during any of the periods presented would not have had a significant impact on the total value of our portfolio. Additionally, we had the $10.0 million borrowing related to the Loan Agreement in September 2020 with a floating interest rate per annum (based on a year of 360 days) equal to (i) the sum of (a) the greater of 6.30% plus (b) the prime rate as reported in The Wall Street Journal on the last business day of the month that immediately precedes the month in which the interest will accrue, or (ii) 9.55%. We are therefore exposed to changes in variable United States interest rates on borrowings under our Loan Agreement. A hypothetical 1% increase in interest rates would not result in a material impact to our business.</w:t>
      </w:r>
    </w:p>
    <w:p>
      <w:pPr>
        <w:spacing w:after="0" w:line="31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JOBS act accounting election</w:t>
      </w:r>
    </w:p>
    <w:p>
      <w:pPr>
        <w:spacing w:after="0" w:line="144" w:lineRule="exact"/>
        <w:rPr>
          <w:sz w:val="20"/>
          <w:szCs w:val="20"/>
          <w:color w:val="auto"/>
        </w:rPr>
      </w:pPr>
    </w:p>
    <w:p>
      <w:pPr>
        <w:ind w:left="1220" w:right="1319"/>
        <w:spacing w:after="0" w:line="276" w:lineRule="auto"/>
        <w:rPr>
          <w:sz w:val="20"/>
          <w:szCs w:val="20"/>
          <w:color w:val="auto"/>
        </w:rPr>
      </w:pPr>
      <w:r>
        <w:rPr>
          <w:rFonts w:ascii="Arial" w:cs="Arial" w:eastAsia="Arial" w:hAnsi="Arial"/>
          <w:sz w:val="14"/>
          <w:szCs w:val="14"/>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76" w:lineRule="exact"/>
        <w:rPr>
          <w:sz w:val="20"/>
          <w:szCs w:val="20"/>
          <w:color w:val="auto"/>
        </w:rPr>
      </w:pPr>
    </w:p>
    <w:p>
      <w:pPr>
        <w:ind w:left="1340" w:right="1319" w:hanging="116"/>
        <w:spacing w:after="0" w:line="281" w:lineRule="auto"/>
        <w:tabs>
          <w:tab w:leader="none" w:pos="1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presenting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7" w:name="page98"/>
    <w:bookmarkEnd w:id="9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959" w:hanging="116"/>
        <w:spacing w:after="0" w:line="290" w:lineRule="auto"/>
        <w:tabs>
          <w:tab w:leader="none" w:pos="1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not being required to have our registered independent public accounting firm attest to management’s assessment of our internal control over financial reporting;</w:t>
      </w:r>
    </w:p>
    <w:p>
      <w:pPr>
        <w:spacing w:after="0" w:line="53" w:lineRule="exact"/>
        <w:rPr>
          <w:rFonts w:ascii="Arial" w:cs="Arial" w:eastAsia="Arial" w:hAnsi="Arial"/>
          <w:sz w:val="14"/>
          <w:szCs w:val="14"/>
          <w:color w:val="auto"/>
        </w:rPr>
      </w:pPr>
    </w:p>
    <w:p>
      <w:pPr>
        <w:ind w:left="1340" w:hanging="116"/>
        <w:spacing w:after="0"/>
        <w:tabs>
          <w:tab w:leader="none" w:pos="1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presenting reduced disclosure about our executive compensation arrangements;</w:t>
      </w:r>
    </w:p>
    <w:p>
      <w:pPr>
        <w:spacing w:after="0" w:line="108" w:lineRule="exact"/>
        <w:rPr>
          <w:rFonts w:ascii="Arial" w:cs="Arial" w:eastAsia="Arial" w:hAnsi="Arial"/>
          <w:sz w:val="14"/>
          <w:szCs w:val="14"/>
          <w:color w:val="auto"/>
        </w:rPr>
      </w:pPr>
    </w:p>
    <w:p>
      <w:pPr>
        <w:ind w:left="1340" w:right="1479" w:hanging="116"/>
        <w:spacing w:after="0" w:line="281" w:lineRule="auto"/>
        <w:tabs>
          <w:tab w:leader="none" w:pos="1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71" w:lineRule="exact"/>
        <w:rPr>
          <w:rFonts w:ascii="Arial" w:cs="Arial" w:eastAsia="Arial" w:hAnsi="Arial"/>
          <w:sz w:val="14"/>
          <w:szCs w:val="14"/>
          <w:color w:val="auto"/>
        </w:rPr>
      </w:pPr>
    </w:p>
    <w:p>
      <w:pPr>
        <w:ind w:left="1340" w:right="1559" w:hanging="116"/>
        <w:spacing w:after="0" w:line="290" w:lineRule="auto"/>
        <w:tabs>
          <w:tab w:leader="none" w:pos="1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not being required to hold non-binding advisory votes on executive compensation or golden parachute arrangements; and</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extended transition periods for complying with new or revised accounting standards.</w:t>
      </w:r>
    </w:p>
    <w:p>
      <w:pPr>
        <w:spacing w:after="0" w:line="120" w:lineRule="exact"/>
        <w:rPr>
          <w:sz w:val="20"/>
          <w:szCs w:val="20"/>
          <w:color w:val="auto"/>
        </w:rPr>
      </w:pPr>
    </w:p>
    <w:p>
      <w:pPr>
        <w:ind w:left="1220" w:right="1419"/>
        <w:spacing w:after="0" w:line="262" w:lineRule="auto"/>
        <w:rPr>
          <w:sz w:val="20"/>
          <w:szCs w:val="20"/>
          <w:color w:val="auto"/>
        </w:rPr>
      </w:pPr>
      <w:r>
        <w:rPr>
          <w:rFonts w:ascii="Arial" w:cs="Arial" w:eastAsia="Arial" w:hAnsi="Arial"/>
          <w:sz w:val="14"/>
          <w:szCs w:val="14"/>
          <w:color w:val="auto"/>
        </w:rPr>
        <w:t>We have taken advantage of some of these reduced disclosure and other requirements in this prospectus. Accordingly, the information contained herein may be different than the information you receive from our competitors that are public companies or other public companies in which you hold stock.</w:t>
      </w:r>
    </w:p>
    <w:p>
      <w:pPr>
        <w:spacing w:after="0" w:line="106"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283" w:lineRule="exact"/>
        <w:rPr>
          <w:sz w:val="20"/>
          <w:szCs w:val="20"/>
          <w:color w:val="auto"/>
        </w:rPr>
      </w:pPr>
    </w:p>
    <w:p>
      <w:pPr>
        <w:ind w:left="1220" w:right="1339"/>
        <w:spacing w:after="0" w:line="259" w:lineRule="auto"/>
        <w:rPr>
          <w:sz w:val="20"/>
          <w:szCs w:val="20"/>
          <w:color w:val="auto"/>
        </w:rPr>
      </w:pPr>
      <w:r>
        <w:rPr>
          <w:rFonts w:ascii="Arial" w:cs="Arial" w:eastAsia="Arial" w:hAnsi="Arial"/>
          <w:sz w:val="14"/>
          <w:szCs w:val="14"/>
          <w:color w:val="auto"/>
        </w:rPr>
        <w:t>We will remain an emerging growth company until the earliest of (i) the last day of the fiscal year following the fifth anniversary of the closing of this offering, (ii) the last day of the fiscal year in which we have total annual gross revenue of at least $1.07 billion, (iii)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99" w:lineRule="exact"/>
        <w:rPr>
          <w:sz w:val="20"/>
          <w:szCs w:val="20"/>
          <w:color w:val="auto"/>
        </w:rPr>
      </w:pPr>
    </w:p>
    <w:p>
      <w:pPr>
        <w:ind w:left="1220" w:right="1359"/>
        <w:spacing w:after="0" w:line="257" w:lineRule="auto"/>
        <w:rPr>
          <w:sz w:val="20"/>
          <w:szCs w:val="20"/>
          <w:color w:val="auto"/>
        </w:rPr>
      </w:pPr>
      <w:r>
        <w:rPr>
          <w:rFonts w:ascii="Arial" w:cs="Arial" w:eastAsia="Arial" w:hAnsi="Arial"/>
          <w:sz w:val="14"/>
          <w:szCs w:val="14"/>
          <w:color w:val="auto"/>
        </w:rPr>
        <w:t>We are also a “smaller reporting company,” meaning that the market value of our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stock held by non-affiliates is less than</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$250.0 million or (ii) our annual revenue is less than $100.0 million during the most recently</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completed fiscal year and the market value of our stock held by non-affiliates is less than</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$700.0 million. If we are a smaller reporting company at the time we cease to be an emerging</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growth company, we may continue to rely on exemptions from certain disclosure requirements</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that are available to smaller reporting companies. Specifically, as a smaller reporting company we</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may choose to present only the two most recent fiscal years of audited financial statements in our</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Annual Report on Form 10-K and, similar to emerging growth companies, smaller reporting</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companies have reduced disclosure obligations regarding executive compensation.</w:t>
      </w:r>
    </w:p>
    <w:p>
      <w:pPr>
        <w:spacing w:after="0" w:line="15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133" w:lineRule="exact"/>
        <w:rPr>
          <w:sz w:val="20"/>
          <w:szCs w:val="20"/>
          <w:color w:val="auto"/>
        </w:rPr>
      </w:pPr>
    </w:p>
    <w:p>
      <w:pPr>
        <w:ind w:left="1220" w:right="1399"/>
        <w:spacing w:after="0" w:line="259" w:lineRule="auto"/>
        <w:rPr>
          <w:sz w:val="20"/>
          <w:szCs w:val="20"/>
          <w:color w:val="auto"/>
        </w:rPr>
      </w:pPr>
      <w:r>
        <w:rPr>
          <w:rFonts w:ascii="Arial" w:cs="Arial" w:eastAsia="Arial" w:hAnsi="Arial"/>
          <w:sz w:val="14"/>
          <w:szCs w:val="14"/>
          <w:color w:val="auto"/>
        </w:rPr>
        <w:t>Our audited consolidated financial statements are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audited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8" w:name="page99"/>
    <w:bookmarkEnd w:id="9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79"/>
        <w:spacing w:after="0" w:line="278" w:lineRule="auto"/>
        <w:rPr>
          <w:sz w:val="20"/>
          <w:szCs w:val="20"/>
          <w:color w:val="auto"/>
        </w:rPr>
      </w:pPr>
      <w:r>
        <w:rPr>
          <w:rFonts w:ascii="Arial" w:cs="Arial" w:eastAsia="Arial" w:hAnsi="Arial"/>
          <w:sz w:val="14"/>
          <w:szCs w:val="14"/>
          <w:color w:val="auto"/>
        </w:rPr>
        <w:t>policies are described in more detail in the notes to our audited consolidated financial statements included elsewhere in this prospectus, we believe that the following accounting policies are critical to understanding our historical and future performance, as these policies relate to the more significant areas involving management’s judgments and estimates.</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6"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We record research and development costs in the periods in which they are incurred. We accrue for research and development costs based on the estimated services performed, but not yet invoiced, pursuant to contracts with research institutions or other service providers that conduct and manage preclinical studies and other research services on our behalf and record these costs in accrued and other current liabilities. We make judgments and estimates in determining the accrued liabilities balance at each reporting period. Payments made prior to the receipt of goods or services to be used in research and development are recorded as prepaid expenses until the goods or services are received.</w:t>
      </w:r>
    </w:p>
    <w:p>
      <w:pPr>
        <w:spacing w:after="0" w:line="290" w:lineRule="exact"/>
        <w:rPr>
          <w:sz w:val="20"/>
          <w:szCs w:val="20"/>
          <w:color w:val="auto"/>
        </w:rPr>
      </w:pPr>
    </w:p>
    <w:p>
      <w:pPr>
        <w:ind w:left="1220" w:right="1479"/>
        <w:spacing w:after="0" w:line="278" w:lineRule="auto"/>
        <w:rPr>
          <w:sz w:val="20"/>
          <w:szCs w:val="20"/>
          <w:color w:val="auto"/>
        </w:rPr>
      </w:pPr>
      <w:r>
        <w:rPr>
          <w:rFonts w:ascii="Arial" w:cs="Arial" w:eastAsia="Arial" w:hAnsi="Arial"/>
          <w:sz w:val="14"/>
          <w:szCs w:val="14"/>
          <w:color w:val="auto"/>
        </w:rPr>
        <w:t>To date, we have not experienced any material differences between accrued costs and actual costs incurred. However, the status and timing of actual services performed may vary from our estimates, resulting in adjustments to expenses in future periods. Changes in these estimates that result in material changes to our accruals could materially affect our results of operations.</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Acquisitions</w:t>
      </w:r>
    </w:p>
    <w:p>
      <w:pPr>
        <w:spacing w:after="0" w:line="146" w:lineRule="exact"/>
        <w:rPr>
          <w:sz w:val="20"/>
          <w:szCs w:val="20"/>
          <w:color w:val="auto"/>
        </w:rPr>
      </w:pPr>
    </w:p>
    <w:p>
      <w:pPr>
        <w:ind w:left="1220" w:right="1419"/>
        <w:spacing w:after="0" w:line="277" w:lineRule="auto"/>
        <w:rPr>
          <w:sz w:val="20"/>
          <w:szCs w:val="20"/>
          <w:color w:val="auto"/>
        </w:rPr>
      </w:pPr>
      <w:r>
        <w:rPr>
          <w:rFonts w:ascii="Arial" w:cs="Arial" w:eastAsia="Arial" w:hAnsi="Arial"/>
          <w:sz w:val="14"/>
          <w:szCs w:val="14"/>
          <w:color w:val="auto"/>
        </w:rPr>
        <w:t>We account for business combinations using the acquisition method of accounting, which requires the assets acquired, including IPR&amp;D, and liabilities assumed, be recorded at their fair values as of the acquisition date. Any excess of the purchase price over the fair value of net assets acquired is recorded as goodwill. The determination of the estimated fair value of these items requires us to make significant estimates and assumptions.</w:t>
      </w:r>
    </w:p>
    <w:p>
      <w:pPr>
        <w:spacing w:after="0" w:line="96"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color w:val="auto"/>
        </w:rPr>
        <w:t>If we determine the acquisition does not meet the definition of a business combination under the acquisition method of accounting, the transaction is accounted for as an asset acquisition and no goodwill or contingent consideration are recognized at the acquisition date. In an asset acquisition, up-front payments allocated to IPR&amp;D and subsequent milestone payments are recorded in research and development expense.</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46"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We recognize compensation costs related to restricted stock awards, restricted stock shares, and stock options granted to employees and nonemployees based on the estimated fair value of the awards on the date of grant, and we recognize forfeitures as they occur. For restricted stock awards the fair value of our common stock is used to determine the resulting stock-based compensation expense. For stock options we estimate the grant date fair value, and the resulting stock-based compensation expense, using the Black-Scholes option pricing model. The fair value of the stock-based awards is recognized as an expense on a straight-line basis over the requisite service period, which is generally the vesting period.</w:t>
      </w:r>
    </w:p>
    <w:p>
      <w:pPr>
        <w:spacing w:after="0" w:line="290" w:lineRule="exact"/>
        <w:rPr>
          <w:sz w:val="20"/>
          <w:szCs w:val="20"/>
          <w:color w:val="auto"/>
        </w:rPr>
      </w:pPr>
    </w:p>
    <w:p>
      <w:pPr>
        <w:ind w:left="1220" w:right="1619"/>
        <w:spacing w:after="0" w:line="290" w:lineRule="auto"/>
        <w:rPr>
          <w:sz w:val="20"/>
          <w:szCs w:val="20"/>
          <w:color w:val="auto"/>
        </w:rPr>
      </w:pPr>
      <w:r>
        <w:rPr>
          <w:rFonts w:ascii="Arial" w:cs="Arial" w:eastAsia="Arial" w:hAnsi="Arial"/>
          <w:sz w:val="14"/>
          <w:szCs w:val="14"/>
          <w:color w:val="auto"/>
        </w:rPr>
        <w:t>The Black-Scholes option pricing model requires the use of highly subjective assumptions to determine the fair value of stock-based awards. These assumptions include:</w:t>
      </w:r>
    </w:p>
    <w:p>
      <w:pPr>
        <w:spacing w:after="0" w:line="64" w:lineRule="exact"/>
        <w:rPr>
          <w:sz w:val="20"/>
          <w:szCs w:val="20"/>
          <w:color w:val="auto"/>
        </w:rPr>
      </w:pPr>
    </w:p>
    <w:p>
      <w:pPr>
        <w:ind w:left="1340" w:hanging="116"/>
        <w:spacing w:after="0"/>
        <w:tabs>
          <w:tab w:leader="none" w:pos="1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Fair Value of Common Stock—See the subsection titled “—Common Stock Valuations.”</w:t>
      </w:r>
    </w:p>
    <w:p>
      <w:pPr>
        <w:spacing w:after="0" w:line="108" w:lineRule="exact"/>
        <w:rPr>
          <w:rFonts w:ascii="Arial" w:cs="Arial" w:eastAsia="Arial" w:hAnsi="Arial"/>
          <w:sz w:val="14"/>
          <w:szCs w:val="14"/>
          <w:color w:val="auto"/>
        </w:rPr>
      </w:pPr>
    </w:p>
    <w:p>
      <w:pPr>
        <w:jc w:val="both"/>
        <w:ind w:left="1340" w:right="1599" w:hanging="116"/>
        <w:spacing w:after="0" w:line="281" w:lineRule="auto"/>
        <w:tabs>
          <w:tab w:leader="none" w:pos="1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Expected Term—The expected term represents the period that the stock-based awards are expected to be outstanding. We use the simplified method to determine the expected term, which is based on the average of the time-to-vesting and the contractual life of the options.</w:t>
      </w:r>
    </w:p>
    <w:p>
      <w:pPr>
        <w:spacing w:after="0" w:line="71" w:lineRule="exact"/>
        <w:rPr>
          <w:rFonts w:ascii="Arial" w:cs="Arial" w:eastAsia="Arial" w:hAnsi="Arial"/>
          <w:sz w:val="14"/>
          <w:szCs w:val="14"/>
          <w:color w:val="auto"/>
        </w:rPr>
      </w:pPr>
    </w:p>
    <w:p>
      <w:pPr>
        <w:ind w:left="1340" w:right="1299" w:hanging="116"/>
        <w:spacing w:after="0" w:line="277" w:lineRule="auto"/>
        <w:tabs>
          <w:tab w:leader="none" w:pos="1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Expected Volatility—Since we are not yet a public company and do not have any trading history for our common stock, the expected volatility is estimated based on the average historical volatilities of common stock of comparable publicly traded entities over a time period equal to the expected term of the stock option grants. The comparable companies are chosen based on their size, stage in the product development cycle, and area of</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5458460"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99" w:name="page100"/>
    <w:bookmarkEnd w:id="9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right="1399"/>
        <w:spacing w:after="0" w:line="290" w:lineRule="auto"/>
        <w:rPr>
          <w:sz w:val="20"/>
          <w:szCs w:val="20"/>
          <w:color w:val="auto"/>
        </w:rPr>
      </w:pPr>
      <w:r>
        <w:rPr>
          <w:rFonts w:ascii="Arial" w:cs="Arial" w:eastAsia="Arial" w:hAnsi="Arial"/>
          <w:sz w:val="14"/>
          <w:szCs w:val="14"/>
          <w:color w:val="auto"/>
        </w:rPr>
        <w:t>specialty. We will continue to apply this process until sufficient historical information regarding the volatility of our own stock price becomes available.</w:t>
      </w:r>
    </w:p>
    <w:p>
      <w:pPr>
        <w:spacing w:after="0" w:line="64" w:lineRule="exact"/>
        <w:rPr>
          <w:sz w:val="20"/>
          <w:szCs w:val="20"/>
          <w:color w:val="auto"/>
        </w:rPr>
      </w:pPr>
    </w:p>
    <w:p>
      <w:pPr>
        <w:ind w:left="1340" w:right="1279" w:hanging="116"/>
        <w:spacing w:after="0" w:line="281" w:lineRule="auto"/>
        <w:tabs>
          <w:tab w:leader="none" w:pos="1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Risk-Free Interest Rate—The risk-free interest rate is based on the U.S. Treasury yield in effect at the time of grant for zero-coupon U.S. Treasury notes with maturities approximately equal to the expected term of the awards.</w:t>
      </w:r>
    </w:p>
    <w:p>
      <w:pPr>
        <w:spacing w:after="0" w:line="57" w:lineRule="exact"/>
        <w:rPr>
          <w:rFonts w:ascii="Arial" w:cs="Arial" w:eastAsia="Arial" w:hAnsi="Arial"/>
          <w:sz w:val="14"/>
          <w:szCs w:val="14"/>
          <w:color w:val="auto"/>
        </w:rPr>
      </w:pPr>
    </w:p>
    <w:p>
      <w:pPr>
        <w:ind w:left="1340" w:right="1279" w:hanging="116"/>
        <w:spacing w:after="0" w:line="310" w:lineRule="auto"/>
        <w:tabs>
          <w:tab w:leader="none" w:pos="1340" w:val="left"/>
        </w:tabs>
        <w:numPr>
          <w:ilvl w:val="0"/>
          <w:numId w:val="72"/>
        </w:numPr>
        <w:rPr>
          <w:rFonts w:ascii="Arial" w:cs="Arial" w:eastAsia="Arial" w:hAnsi="Arial"/>
          <w:sz w:val="14"/>
          <w:szCs w:val="14"/>
          <w:color w:val="auto"/>
        </w:rPr>
      </w:pPr>
      <w:r>
        <w:rPr>
          <w:rFonts w:ascii="Arial" w:cs="Arial" w:eastAsia="Arial" w:hAnsi="Arial"/>
          <w:sz w:val="14"/>
          <w:szCs w:val="14"/>
          <w:i w:val="1"/>
          <w:iCs w:val="1"/>
          <w:color w:val="auto"/>
        </w:rPr>
        <w:t xml:space="preserve">Expected Dividend— </w:t>
      </w:r>
      <w:r>
        <w:rPr>
          <w:rFonts w:ascii="Arial" w:cs="Arial" w:eastAsia="Arial" w:hAnsi="Arial"/>
          <w:sz w:val="14"/>
          <w:szCs w:val="14"/>
          <w:color w:val="auto"/>
        </w:rPr>
        <w:t>We have never paid dividends on our common stock and have no plans to</w:t>
      </w:r>
      <w:r>
        <w:rPr>
          <w:rFonts w:ascii="Arial" w:cs="Arial" w:eastAsia="Arial" w:hAnsi="Arial"/>
          <w:sz w:val="14"/>
          <w:szCs w:val="14"/>
          <w:i w:val="1"/>
          <w:iCs w:val="1"/>
          <w:color w:val="auto"/>
        </w:rPr>
        <w:t xml:space="preserve"> </w:t>
      </w:r>
      <w:r>
        <w:rPr>
          <w:rFonts w:ascii="Arial" w:cs="Arial" w:eastAsia="Arial" w:hAnsi="Arial"/>
          <w:sz w:val="14"/>
          <w:szCs w:val="14"/>
          <w:color w:val="auto"/>
        </w:rPr>
        <w:t>pay dividends on our common stock. Therefore, we used an expected dividend yield of zero.</w:t>
      </w:r>
    </w:p>
    <w:p>
      <w:pPr>
        <w:spacing w:after="0" w:line="84"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See Note 14 to our audited consolidated financial statements included elsewhere in this prospectus for information concerning certain of the specific assumptions we used in applying the Black-Scholes option pricing model to determine the estimated fair value of our stock options granted in the Year Ended December 31, 2020 (Successor), the period from June 21, 2019 through December 31, 2019 (Successor), and the period from January 1, 2019 through June 20, 2019 (Predecessor).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00" w:lineRule="exact"/>
        <w:rPr>
          <w:sz w:val="20"/>
          <w:szCs w:val="20"/>
          <w:color w:val="auto"/>
        </w:rPr>
      </w:pPr>
    </w:p>
    <w:p>
      <w:pPr>
        <w:ind w:left="1220" w:right="1359"/>
        <w:spacing w:after="0" w:line="280" w:lineRule="auto"/>
        <w:rPr>
          <w:sz w:val="20"/>
          <w:szCs w:val="20"/>
          <w:color w:val="auto"/>
        </w:rPr>
      </w:pPr>
      <w:r>
        <w:rPr>
          <w:rFonts w:ascii="Arial" w:cs="Arial" w:eastAsia="Arial" w:hAnsi="Arial"/>
          <w:sz w:val="14"/>
          <w:szCs w:val="14"/>
          <w:color w:val="auto"/>
        </w:rPr>
        <w:t>In June 2018, Prior Century adopted the 2018 Plan. The 2018 Plan provided for Prior Century to sell or issue common stock or restricted common stock, or to grant incentive stock options or nonqualified stock options for the purchase of common stock, to employees, members of the board of directors, and consultants of Prior Century under terms and provisions established by the board of directors.</w:t>
      </w:r>
    </w:p>
    <w:p>
      <w:pPr>
        <w:spacing w:after="0" w:line="285" w:lineRule="exact"/>
        <w:rPr>
          <w:sz w:val="20"/>
          <w:szCs w:val="20"/>
          <w:color w:val="auto"/>
        </w:rPr>
      </w:pPr>
    </w:p>
    <w:p>
      <w:pPr>
        <w:ind w:left="1220" w:right="1419"/>
        <w:spacing w:after="0" w:line="278" w:lineRule="auto"/>
        <w:rPr>
          <w:sz w:val="20"/>
          <w:szCs w:val="20"/>
          <w:color w:val="auto"/>
        </w:rPr>
      </w:pPr>
      <w:r>
        <w:rPr>
          <w:rFonts w:ascii="Arial" w:cs="Arial" w:eastAsia="Arial" w:hAnsi="Arial"/>
          <w:sz w:val="14"/>
          <w:szCs w:val="14"/>
          <w:color w:val="auto"/>
        </w:rPr>
        <w:t>During the year ended December 31, 2020 and the periods from June 21, 2019 through December 31, 2019, equity compensation awards were granted from Prior Century to our employees. We recognized the costs of the stock based payments incurred by Prior Century on its behalf as our employees vest in the awards (i.e., we recognize expense measured on the same basis as Prior Century). We also record a corresponding capital contribution from Prior Century.</w:t>
      </w:r>
    </w:p>
    <w:p>
      <w:pPr>
        <w:spacing w:after="0" w:line="28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intrinsic value of all outstanding options as of March 31, 2021 was approximately</w:t>
      </w:r>
    </w:p>
    <w:p>
      <w:pPr>
        <w:spacing w:after="0" w:line="22" w:lineRule="exact"/>
        <w:rPr>
          <w:sz w:val="20"/>
          <w:szCs w:val="20"/>
          <w:color w:val="auto"/>
        </w:rPr>
      </w:pPr>
    </w:p>
    <w:p>
      <w:pPr>
        <w:ind w:left="1220"/>
        <w:spacing w:after="0"/>
        <w:tabs>
          <w:tab w:leader="none" w:pos="2160" w:val="left"/>
          <w:tab w:leader="none" w:pos="71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million, based on the assumed initial public offering price of $</w:t>
      </w:r>
      <w:r>
        <w:rPr>
          <w:sz w:val="20"/>
          <w:szCs w:val="20"/>
          <w:color w:val="auto"/>
        </w:rPr>
        <w:tab/>
      </w:r>
      <w:r>
        <w:rPr>
          <w:rFonts w:ascii="Arial" w:cs="Arial" w:eastAsia="Arial" w:hAnsi="Arial"/>
          <w:sz w:val="13"/>
          <w:szCs w:val="13"/>
          <w:color w:val="auto"/>
        </w:rPr>
        <w:t>per</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share, which is the midpoint of the estimated initial public offering price range set forth on the</w:t>
      </w:r>
    </w:p>
    <w:p>
      <w:pPr>
        <w:spacing w:after="0" w:line="344" w:lineRule="exact"/>
        <w:rPr>
          <w:sz w:val="20"/>
          <w:szCs w:val="20"/>
          <w:color w:val="auto"/>
        </w:rPr>
      </w:pPr>
    </w:p>
    <w:p>
      <w:pPr>
        <w:ind w:left="1220" w:right="1419"/>
        <w:spacing w:after="0" w:line="290" w:lineRule="auto"/>
        <w:rPr>
          <w:sz w:val="20"/>
          <w:szCs w:val="20"/>
          <w:color w:val="auto"/>
        </w:rPr>
      </w:pPr>
      <w:r>
        <w:rPr>
          <w:rFonts w:ascii="Arial" w:cs="Arial" w:eastAsia="Arial" w:hAnsi="Arial"/>
          <w:sz w:val="14"/>
          <w:szCs w:val="14"/>
          <w:color w:val="auto"/>
        </w:rPr>
        <w:t>cover page of this prospectus, of which approximately $ million is related to vested options and approximately $ million is related to unvested options.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Common stock valuations</w:t>
      </w:r>
    </w:p>
    <w:p>
      <w:pPr>
        <w:spacing w:after="0" w:line="136" w:lineRule="exact"/>
        <w:rPr>
          <w:sz w:val="20"/>
          <w:szCs w:val="20"/>
          <w:color w:val="auto"/>
        </w:rPr>
      </w:pPr>
    </w:p>
    <w:p>
      <w:pPr>
        <w:ind w:left="1220" w:right="1239"/>
        <w:spacing w:after="0" w:line="276" w:lineRule="auto"/>
        <w:rPr>
          <w:sz w:val="20"/>
          <w:szCs w:val="20"/>
          <w:color w:val="auto"/>
        </w:rPr>
      </w:pPr>
      <w:r>
        <w:rPr>
          <w:rFonts w:ascii="Arial" w:cs="Arial" w:eastAsia="Arial" w:hAnsi="Arial"/>
          <w:sz w:val="14"/>
          <w:szCs w:val="14"/>
          <w:color w:val="auto"/>
        </w:rPr>
        <w:t xml:space="preserve">Prior to this offering, we were a privately-held company with no active public market for our common stock. Therefore, our board of directors, with the assistance and upon the recommendation of management, has for financial reporting purposes periodically determined the estimated per share fair value of our common stock on the date of grant in part using contemporaneous independent third-party valuations consistent with the American Institute of Certified Public Accountants Practice Aid, </w:t>
      </w:r>
      <w:r>
        <w:rPr>
          <w:rFonts w:ascii="Arial" w:cs="Arial" w:eastAsia="Arial" w:hAnsi="Arial"/>
          <w:sz w:val="14"/>
          <w:szCs w:val="14"/>
          <w:i w:val="1"/>
          <w:iCs w:val="1"/>
          <w:color w:val="auto"/>
        </w:rPr>
        <w:t>Valuation of Privately-Held Company Equity Securities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Issued as Compensation </w:t>
      </w:r>
      <w:r>
        <w:rPr>
          <w:rFonts w:ascii="Arial" w:cs="Arial" w:eastAsia="Arial" w:hAnsi="Arial"/>
          <w:sz w:val="14"/>
          <w:szCs w:val="14"/>
          <w:color w:val="auto"/>
        </w:rPr>
        <w:t>(Practice Aid). Within the contemporaneous valuations performed by our</w:t>
      </w:r>
      <w:r>
        <w:rPr>
          <w:rFonts w:ascii="Arial" w:cs="Arial" w:eastAsia="Arial" w:hAnsi="Arial"/>
          <w:sz w:val="14"/>
          <w:szCs w:val="14"/>
          <w:i w:val="1"/>
          <w:iCs w:val="1"/>
          <w:color w:val="auto"/>
        </w:rPr>
        <w:t xml:space="preserve"> </w:t>
      </w:r>
      <w:r>
        <w:rPr>
          <w:rFonts w:ascii="Arial" w:cs="Arial" w:eastAsia="Arial" w:hAnsi="Arial"/>
          <w:sz w:val="14"/>
          <w:szCs w:val="14"/>
          <w:color w:val="auto"/>
        </w:rPr>
        <w:t>board of directors, a range of factors, assumptions, and methodologies were used. The significant objective and subjective factors included, but are not limited to:</w:t>
      </w:r>
    </w:p>
    <w:p>
      <w:pPr>
        <w:spacing w:after="0" w:line="256" w:lineRule="exact"/>
        <w:rPr>
          <w:sz w:val="20"/>
          <w:szCs w:val="20"/>
          <w:color w:val="auto"/>
        </w:rPr>
      </w:pPr>
    </w:p>
    <w:p>
      <w:pPr>
        <w:ind w:left="1340" w:right="1299" w:hanging="116"/>
        <w:spacing w:after="0" w:line="290" w:lineRule="auto"/>
        <w:tabs>
          <w:tab w:leader="none" w:pos="1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our most recently available valuations of our common stock performed by an independent third-party valuation firm;</w:t>
      </w:r>
    </w:p>
    <w:p>
      <w:pPr>
        <w:spacing w:after="0" w:line="64" w:lineRule="exact"/>
        <w:rPr>
          <w:rFonts w:ascii="Arial" w:cs="Arial" w:eastAsia="Arial" w:hAnsi="Arial"/>
          <w:sz w:val="14"/>
          <w:szCs w:val="14"/>
          <w:color w:val="auto"/>
        </w:rPr>
      </w:pPr>
    </w:p>
    <w:p>
      <w:pPr>
        <w:ind w:left="1340" w:right="1719" w:hanging="116"/>
        <w:spacing w:after="0" w:line="281" w:lineRule="auto"/>
        <w:tabs>
          <w:tab w:leader="none" w:pos="1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prices of shares of our convertible preferred stock sold to investors in arm’s length transactions, and the rights, preferences and privileges of our convertible preferred stock relative to our common stock;</w:t>
      </w:r>
    </w:p>
    <w:p>
      <w:pPr>
        <w:spacing w:after="0" w:line="71" w:lineRule="exact"/>
        <w:rPr>
          <w:rFonts w:ascii="Arial" w:cs="Arial" w:eastAsia="Arial" w:hAnsi="Arial"/>
          <w:sz w:val="14"/>
          <w:szCs w:val="14"/>
          <w:color w:val="auto"/>
        </w:rPr>
      </w:pPr>
    </w:p>
    <w:p>
      <w:pPr>
        <w:ind w:left="1340" w:hanging="116"/>
        <w:spacing w:after="0"/>
        <w:tabs>
          <w:tab w:leader="none" w:pos="1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committed future rounds of funding;</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our stage of development and material risks related to our business;</w:t>
      </w:r>
    </w:p>
    <w:p>
      <w:pPr>
        <w:spacing w:after="0" w:line="108" w:lineRule="exact"/>
        <w:rPr>
          <w:rFonts w:ascii="Arial" w:cs="Arial" w:eastAsia="Arial" w:hAnsi="Arial"/>
          <w:sz w:val="14"/>
          <w:szCs w:val="14"/>
          <w:color w:val="auto"/>
        </w:rPr>
      </w:pPr>
    </w:p>
    <w:p>
      <w:pPr>
        <w:ind w:left="1340" w:right="1899" w:hanging="116"/>
        <w:spacing w:after="0" w:line="290" w:lineRule="auto"/>
        <w:tabs>
          <w:tab w:leader="none" w:pos="13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our results of operations and financial position, including our levels of available capital resources;</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0" w:name="page101"/>
    <w:bookmarkEnd w:id="10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340" w:hanging="116"/>
        <w:spacing w:after="0"/>
        <w:tabs>
          <w:tab w:leader="none" w:pos="1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progress of our research and development activities;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lack of marketability of our common stock as a private company;</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hiring of key personnel and the experience of management;</w:t>
      </w:r>
    </w:p>
    <w:p>
      <w:pPr>
        <w:spacing w:after="0" w:line="108" w:lineRule="exact"/>
        <w:rPr>
          <w:rFonts w:ascii="Arial" w:cs="Arial" w:eastAsia="Arial" w:hAnsi="Arial"/>
          <w:sz w:val="14"/>
          <w:szCs w:val="14"/>
          <w:color w:val="auto"/>
        </w:rPr>
      </w:pPr>
    </w:p>
    <w:p>
      <w:pPr>
        <w:ind w:left="1340" w:right="1639" w:hanging="116"/>
        <w:spacing w:after="0" w:line="290" w:lineRule="auto"/>
        <w:tabs>
          <w:tab w:leader="none" w:pos="1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likelihood of achieving a liquidity event for our securityholders, such as an initial public offering or a sale of our company, given prevailing market conditions;</w:t>
      </w:r>
    </w:p>
    <w:p>
      <w:pPr>
        <w:spacing w:after="0" w:line="64" w:lineRule="exact"/>
        <w:rPr>
          <w:rFonts w:ascii="Arial" w:cs="Arial" w:eastAsia="Arial" w:hAnsi="Arial"/>
          <w:sz w:val="14"/>
          <w:szCs w:val="14"/>
          <w:color w:val="auto"/>
        </w:rPr>
      </w:pPr>
    </w:p>
    <w:p>
      <w:pPr>
        <w:ind w:left="1340" w:right="1519" w:hanging="116"/>
        <w:spacing w:after="0" w:line="290" w:lineRule="auto"/>
        <w:tabs>
          <w:tab w:leader="none" w:pos="1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valuation of publicly traded companies in the life sciences and biotechnology sectors, as well as recently completed mergers and acquisitions of peer companies;</w:t>
      </w:r>
    </w:p>
    <w:p>
      <w:pPr>
        <w:spacing w:after="0" w:line="64" w:lineRule="exact"/>
        <w:rPr>
          <w:rFonts w:ascii="Arial" w:cs="Arial" w:eastAsia="Arial" w:hAnsi="Arial"/>
          <w:sz w:val="14"/>
          <w:szCs w:val="14"/>
          <w:color w:val="auto"/>
        </w:rPr>
      </w:pPr>
    </w:p>
    <w:p>
      <w:pPr>
        <w:ind w:left="1340" w:right="1799" w:hanging="116"/>
        <w:spacing w:after="0" w:line="290" w:lineRule="auto"/>
        <w:tabs>
          <w:tab w:leader="none" w:pos="1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status of strategic transactions, including the acquisition and licensing of intellectual property and technology;</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trends and developments in our industry; and</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external market conditions affecting the life sciences and biotechnology industry sectors.</w:t>
      </w:r>
    </w:p>
    <w:p>
      <w:pPr>
        <w:spacing w:after="0" w:line="130"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color w:val="auto"/>
        </w:rPr>
        <w:t>Our board of directors exercises significant judgment in estimating the fair value of our common stock. Such estimates involve inherent uncertainties and the application of significant judgment. As a result, if factors or expected outcomes change and we use significantly different assumptions or estimates, our equity-based compensation could be materially different. Changes in judgments could have a material impact on our results of operations.</w:t>
      </w:r>
    </w:p>
    <w:p>
      <w:pPr>
        <w:spacing w:after="0" w:line="107"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For our valuations performed prior to December 31, 2020, in accordance with the Practice Aid, we determined the option pricing model (OPM) method, utilizing recent rounds of preferred financing when available and if a recent round of financing wasn’t available utilizing an equity value determined by the amount invested in the company plus a market return, was the most appropriate method for determining the fair value of our common stock based on our stage of development and other relevant factors. The OPM framework, utilizing a recent round of financing (the backsolve method) infers the equity value implied by a recent financing transaction by making assumptions for the expected time to liquidity, volatility, discount for lack of marketability, and risk-free rate and then solving for the value of equity such that value for the most recent financing equals the amount paid. This method was selected as management concluded that the contemporaneous financing transactions were arms’-length transactions. The OPM framework utilizing the amount invested in the company plus a return provides the basis for the equity value in the OPM and then utilizes certain assumptions for the expected time to liquidity, volatility, discount for lack of marketability, and risk-free rate to estimate the fair value of the common stock.</w:t>
      </w:r>
    </w:p>
    <w:p>
      <w:pPr>
        <w:spacing w:after="0" w:line="200" w:lineRule="exact"/>
        <w:rPr>
          <w:sz w:val="20"/>
          <w:szCs w:val="20"/>
          <w:color w:val="auto"/>
        </w:rPr>
      </w:pPr>
    </w:p>
    <w:p>
      <w:pPr>
        <w:spacing w:after="0" w:line="272" w:lineRule="exact"/>
        <w:rPr>
          <w:sz w:val="20"/>
          <w:szCs w:val="20"/>
          <w:color w:val="auto"/>
        </w:rPr>
      </w:pPr>
    </w:p>
    <w:p>
      <w:pPr>
        <w:ind w:left="1220" w:right="1319"/>
        <w:spacing w:after="0" w:line="275" w:lineRule="auto"/>
        <w:rPr>
          <w:sz w:val="20"/>
          <w:szCs w:val="20"/>
          <w:color w:val="auto"/>
        </w:rPr>
      </w:pPr>
      <w:r>
        <w:rPr>
          <w:rFonts w:ascii="Arial" w:cs="Arial" w:eastAsia="Arial" w:hAnsi="Arial"/>
          <w:sz w:val="14"/>
          <w:szCs w:val="14"/>
          <w:color w:val="auto"/>
        </w:rPr>
        <w:t>For our valuations performed after December 31, 2020 we determined the equity value of our business using the hybrid method with input from management and contemporaneous third-party valuations. The hybrid method is based upon the probability-weighted value across two scenarios, being (i) successfully consummating an initial public offering and (ii) alternative scenarios in which an initial public offering is not consummated. The hybrid method can be a useful alternative to explicitly modeling all probability-weighted expected return scenarios in situations when the company has transparency into one or more near term exits but is unsure about what will occur if current plans do not materialize. In the first scenario, the potential exit date, the probability exit value and the likelihood of interim financings were considered. In the second scenario, which was assigned the residual probability, the potential exit date, the equity volatility, the assumed interest rate, the dividend yield and equity inflection points at which the allocation of proceeds changes were considered.</w:t>
      </w:r>
    </w:p>
    <w:p>
      <w:pPr>
        <w:spacing w:after="0" w:line="280" w:lineRule="exact"/>
        <w:rPr>
          <w:sz w:val="20"/>
          <w:szCs w:val="20"/>
          <w:color w:val="auto"/>
        </w:rPr>
      </w:pPr>
    </w:p>
    <w:p>
      <w:pPr>
        <w:ind w:left="1220" w:right="1399"/>
        <w:spacing w:after="0" w:line="281" w:lineRule="auto"/>
        <w:rPr>
          <w:sz w:val="20"/>
          <w:szCs w:val="20"/>
          <w:color w:val="auto"/>
        </w:rPr>
      </w:pPr>
      <w:r>
        <w:rPr>
          <w:rFonts w:ascii="Arial" w:cs="Arial" w:eastAsia="Arial" w:hAnsi="Arial"/>
          <w:sz w:val="14"/>
          <w:szCs w:val="14"/>
          <w:color w:val="auto"/>
        </w:rPr>
        <w:t>Following the closing of this offering, the fair market value of our common stock will be the closing price of our common stock on the date of grant on the primary stock exchange on which our common stock is traded.</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Recently adopted and recent accounting pronouncements</w:t>
      </w:r>
    </w:p>
    <w:p>
      <w:pPr>
        <w:spacing w:after="0" w:line="144" w:lineRule="exact"/>
        <w:rPr>
          <w:sz w:val="20"/>
          <w:szCs w:val="20"/>
          <w:color w:val="auto"/>
        </w:rPr>
      </w:pPr>
    </w:p>
    <w:p>
      <w:pPr>
        <w:ind w:left="1220" w:right="1299"/>
        <w:spacing w:after="0" w:line="278" w:lineRule="auto"/>
        <w:rPr>
          <w:sz w:val="20"/>
          <w:szCs w:val="20"/>
          <w:color w:val="auto"/>
        </w:rPr>
      </w:pPr>
      <w:r>
        <w:rPr>
          <w:rFonts w:ascii="Arial" w:cs="Arial" w:eastAsia="Arial" w:hAnsi="Arial"/>
          <w:sz w:val="14"/>
          <w:szCs w:val="14"/>
          <w:color w:val="auto"/>
        </w:rPr>
        <w:t>See Note 2 to our audited consolidated financial statements included elsewhere in this prospectus for information about recent accounting pronouncements, the timing of their adoption, and our assessment, to the extent we have made one yet, of their potential impact on our financial condition or results of operations.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1" w:name="page102"/>
    <w:bookmarkEnd w:id="10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Business</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Overview</w:t>
      </w:r>
    </w:p>
    <w:p>
      <w:pPr>
        <w:spacing w:after="0" w:line="122" w:lineRule="exact"/>
        <w:rPr>
          <w:sz w:val="20"/>
          <w:szCs w:val="20"/>
          <w:color w:val="auto"/>
        </w:rPr>
      </w:pPr>
    </w:p>
    <w:p>
      <w:pPr>
        <w:ind w:left="1220" w:right="1239"/>
        <w:spacing w:after="0" w:line="251" w:lineRule="auto"/>
        <w:rPr>
          <w:sz w:val="20"/>
          <w:szCs w:val="20"/>
          <w:color w:val="auto"/>
        </w:rPr>
      </w:pPr>
      <w:r>
        <w:rPr>
          <w:rFonts w:ascii="Arial" w:cs="Arial" w:eastAsia="Arial" w:hAnsi="Arial"/>
          <w:sz w:val="14"/>
          <w:szCs w:val="14"/>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cell therapy company by developing and ultimately commercializing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295"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The field of cell therapy is rapidly evolving, with autologous and allogeneic technologies demonstrating the strong potential of this therapeutic modality. We believe that our industry leading, end-to-end iPSC-derived allogeneic cell therapy platform will allow us to overcome technical and biological limitations of other donor-derived cell therapies. The unlimited replication capacity of iPSCs allows us to incorporate multiple genetic modifications at precise sites, or loci, in the genome of iPSCs that are designed to improve cell function using a CRISPR-mediated approach targeting a DNA repair pathway called homology directed repair, or HDR. The precision of our CRISPR-HDR gene editing technology and clonal selection eliminates random integration events and allows more controlled expression of transgenes of interest compared to other gene editing methodologies. The self-renewal capacity of iPSCs also enables the generation of master cell banks derived from single genetically engineered clones thus allowing the implementation of cost-efficient manufacturing of drug product that can be made available on demand at any clinical site. We have assembled a unique and powerful combination of technologies that bring together a preeminent iPSC-derived allogeneic cell therapy platform with highly advanced cell engineering and manufacturing capabilities. We believe this unique combination puts us in a position to disrupt the oncology treatment paradigm and market.</w:t>
      </w:r>
    </w:p>
    <w:p>
      <w:pPr>
        <w:spacing w:after="0" w:line="29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key elements of our approach include:</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Our efficient precision gene editing technology:</w:t>
      </w:r>
    </w:p>
    <w:p>
      <w:pPr>
        <w:spacing w:after="0" w:line="125" w:lineRule="exact"/>
        <w:rPr>
          <w:sz w:val="20"/>
          <w:szCs w:val="20"/>
          <w:color w:val="auto"/>
        </w:rPr>
      </w:pPr>
    </w:p>
    <w:p>
      <w:pPr>
        <w:ind w:left="1220" w:right="1339"/>
        <w:spacing w:after="0" w:line="259" w:lineRule="auto"/>
        <w:rPr>
          <w:sz w:val="20"/>
          <w:szCs w:val="20"/>
          <w:color w:val="auto"/>
        </w:rPr>
      </w:pPr>
      <w:r>
        <w:rPr>
          <w:rFonts w:ascii="Arial" w:cs="Arial" w:eastAsia="Arial" w:hAnsi="Arial"/>
          <w:sz w:val="14"/>
          <w:szCs w:val="14"/>
          <w:color w:val="auto"/>
        </w:rPr>
        <w:t>We have developed highly efficient gene engineering processes to generate our product candidates. Our first product candidate will have six CRISPR-mediated homologous recombination and repair edits, and we plan to incorporate additional edits in our future product candidates. We are currently using the CRISPR-MAD7 nuclease to enable precise editing of the iPSC genome, and have developed proprietary applications of the CRISPR-MAD7 technology to genetically modify iPSCs by simultaneously removing target genes or adding transgenes (which is commonly known as knocking-out and knocking-in, respectively) of interest at precise genetic loci. Our approach preserves genome integrity and achieves more predictable and consistent transgene expression as compared to approaches driven by viruses or transposable segments called transposons, which result in varied gene copy number and random integration events that risk mutations, namely insertional mutagenesis.</w:t>
      </w:r>
    </w:p>
    <w:p>
      <w:pPr>
        <w:spacing w:after="0" w:line="29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Our proprietary Allo-Evasion</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technology:</w:t>
      </w:r>
    </w:p>
    <w:p>
      <w:pPr>
        <w:spacing w:after="0" w:line="51" w:lineRule="exact"/>
        <w:rPr>
          <w:sz w:val="20"/>
          <w:szCs w:val="20"/>
          <w:color w:val="auto"/>
        </w:rPr>
      </w:pPr>
    </w:p>
    <w:p>
      <w:pPr>
        <w:ind w:left="1220" w:right="1279"/>
        <w:spacing w:after="0" w:line="238" w:lineRule="auto"/>
        <w:rPr>
          <w:sz w:val="20"/>
          <w:szCs w:val="20"/>
          <w:color w:val="auto"/>
        </w:rPr>
      </w:pPr>
      <w:r>
        <w:rPr>
          <w:rFonts w:ascii="Arial" w:cs="Arial" w:eastAsia="Arial" w:hAnsi="Arial"/>
          <w:sz w:val="14"/>
          <w:szCs w:val="14"/>
          <w:color w:val="auto"/>
        </w:rPr>
        <w:t>We are leveraging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design cells capable of evading identification and destruction by the host immune system. We believe this technology may permit dosing in patients with limited or no</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2" w:name="page103"/>
    <w:bookmarkEnd w:id="10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65" w:lineRule="auto"/>
        <w:rPr>
          <w:sz w:val="20"/>
          <w:szCs w:val="20"/>
          <w:color w:val="auto"/>
        </w:rPr>
      </w:pPr>
      <w:r>
        <w:rPr>
          <w:rFonts w:ascii="Arial" w:cs="Arial" w:eastAsia="Arial" w:hAnsi="Arial"/>
          <w:sz w:val="14"/>
          <w:szCs w:val="14"/>
          <w:color w:val="auto"/>
        </w:rPr>
        <w:t>immune preconditioning regimens. The reduction in allogeneic immune-reactivity enabled by our use of this technology, which is designed to prevent rejection by the patient’s immune system may allow repeat dosing of our CAR-modified cell therapies, and sustain therapeutic efficacy over a long period of time.</w:t>
      </w:r>
    </w:p>
    <w:p>
      <w:pPr>
        <w:spacing w:after="0" w:line="30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CAR and protein engineering:</w:t>
      </w:r>
    </w:p>
    <w:p>
      <w:pPr>
        <w:spacing w:after="0" w:line="125"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CAR design is a critical component of innovative cell therapy product candidates. We assembled a team of scientists with deep protein engineering expertise and invested in the single domain antibody fragment, or VHH, antibody platform to develop world-class CAR engineering capabilities that we believe will allow us to create multi-specific CAR constructs targeting more than one tumor antigen. We believe that targeting multiple antigens on tumor cells will help address tumor heterogeneity and antigen loss, which are frequently observed in tumor cells. We have created a proprietary synthetic library of humanized VHH binders to enable in-house binder screens and multiple campaigns against several tumor antigens are ongoing to generate the CAR constructs for future product candidates.</w:t>
      </w:r>
    </w:p>
    <w:p>
      <w:pPr>
        <w:spacing w:after="0" w:line="31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Common engineered iPSC progenitor accelerates new product candidate generation:</w:t>
      </w:r>
    </w:p>
    <w:p>
      <w:pPr>
        <w:spacing w:after="0" w:line="136"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With other cell therapy platforms generated from cells with limited replicative capacity, the creation of a new product candidate requires starting over with each of the gene engineering steps having to be incorporated into the product. This is not only time and resource intensive; it also makes it more difficult to predict functionality and safety based upon products that may have been clinically tested in earlier programs. In contrast, all of our iPSC-derived product candidates include a set of shared core features intended to increase their functionality, safety, and persistence. We integrate these core features into a common engineered iPSC progenitor, which has several advantages:</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Significant acceleration of new product candidate generation.</w:t>
      </w:r>
    </w:p>
    <w:p>
      <w:pPr>
        <w:spacing w:after="0" w:line="134" w:lineRule="exact"/>
        <w:rPr>
          <w:sz w:val="20"/>
          <w:szCs w:val="20"/>
          <w:color w:val="auto"/>
        </w:rPr>
      </w:pPr>
    </w:p>
    <w:p>
      <w:pPr>
        <w:ind w:left="1220" w:right="1299"/>
        <w:spacing w:after="0" w:line="262" w:lineRule="auto"/>
        <w:rPr>
          <w:sz w:val="20"/>
          <w:szCs w:val="20"/>
          <w:color w:val="auto"/>
        </w:rPr>
      </w:pPr>
      <w:r>
        <w:rPr>
          <w:rFonts w:ascii="Arial" w:cs="Arial" w:eastAsia="Arial" w:hAnsi="Arial"/>
          <w:sz w:val="14"/>
          <w:szCs w:val="14"/>
          <w:color w:val="auto"/>
        </w:rPr>
        <w:t>Multiple product candidates are generated by engineering additional features, such as adding different CARs to the common progenitor to create new clinical candidates for different tumor indications. With this approach, we do not need to re-engineer common functionalities every time we generate a new product candidate.</w:t>
      </w:r>
    </w:p>
    <w:p>
      <w:pPr>
        <w:spacing w:after="0" w:line="13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Robust manufacturing processes for multiple product candidates.</w:t>
      </w:r>
    </w:p>
    <w:p>
      <w:pPr>
        <w:spacing w:after="0" w:line="123" w:lineRule="exact"/>
        <w:rPr>
          <w:sz w:val="20"/>
          <w:szCs w:val="20"/>
          <w:color w:val="auto"/>
        </w:rPr>
      </w:pPr>
    </w:p>
    <w:p>
      <w:pPr>
        <w:ind w:left="1220" w:right="1719"/>
        <w:spacing w:after="0" w:line="274" w:lineRule="auto"/>
        <w:rPr>
          <w:sz w:val="20"/>
          <w:szCs w:val="20"/>
          <w:color w:val="auto"/>
        </w:rPr>
      </w:pPr>
      <w:r>
        <w:rPr>
          <w:rFonts w:ascii="Arial" w:cs="Arial" w:eastAsia="Arial" w:hAnsi="Arial"/>
          <w:sz w:val="14"/>
          <w:szCs w:val="14"/>
          <w:color w:val="auto"/>
        </w:rPr>
        <w:t>Since the starting iPSC line is the same for multiple product candidates, our manufacturing processes are predictable and robust.</w:t>
      </w:r>
    </w:p>
    <w:p>
      <w:pPr>
        <w:spacing w:after="0" w:line="126"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Predictability of product candidate functionality, safety, and persistence.</w:t>
      </w:r>
    </w:p>
    <w:p>
      <w:pPr>
        <w:spacing w:after="0" w:line="134" w:lineRule="exact"/>
        <w:rPr>
          <w:sz w:val="20"/>
          <w:szCs w:val="20"/>
          <w:color w:val="auto"/>
        </w:rPr>
      </w:pPr>
    </w:p>
    <w:p>
      <w:pPr>
        <w:ind w:left="1220" w:right="1559"/>
        <w:spacing w:after="0" w:line="262" w:lineRule="auto"/>
        <w:rPr>
          <w:sz w:val="20"/>
          <w:szCs w:val="20"/>
          <w:color w:val="auto"/>
        </w:rPr>
      </w:pPr>
      <w:r>
        <w:rPr>
          <w:rFonts w:ascii="Arial" w:cs="Arial" w:eastAsia="Arial" w:hAnsi="Arial"/>
          <w:sz w:val="14"/>
          <w:szCs w:val="14"/>
          <w:color w:val="auto"/>
        </w:rPr>
        <w:t>Because multiple clinical candidates are derived from the same engineered iPSC line, the lessons learned from one product candidate can be leveraged across multiple product candidates, which facilitates clinical development. For instance, the allo-reactivity of products derived from the same common engineered iPSC progenitor should be very similar.</w:t>
      </w:r>
    </w:p>
    <w:p>
      <w:pPr>
        <w:spacing w:after="0" w:line="106"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We expect to file an investigational new drug application, or IND, with the U.S. Food and Drug Administration, or the FDA, for our lead product candidate CNTY-101, a CAR-iNK product candidate targeting CD19 for lymphoma, in mid 2022. We expect to file an IND for CNTY-103, our CD133 + EGFR iNK product candidate designed to treat glioblastoma, in the first half of 2023. Our third candidate, CNTY-102, is a bi-specific CD19 + CD79b iNK or iT product candidate targeting lymphoma, with IND filing expected in the second half of 2023, and, our fourth candidate, CNTY-104, is a multi-specific product candidate targeting acute myeloid leukemia, or AML, with IND filing expected in mid 2024. As there are disease settings which will favor iNK or iT products, we are actively investigating both iNK and iT cell platforms for CNTY-102 and CNTY-104, as either may have preferential clinical features. We are also advancing an earlier discovery stage pipeline with novel CARs and binders against multiple solid tumor targets using our iNK and iT cell therapy platforms. We believe that the therapeutics we discover and develop, if approved, will have a significant impact on the quality of life of patients suffering from devastating hematological and solid tumor malignancies. Our approach to developing therapies for life-threatening cancers</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3" w:name="page104"/>
    <w:bookmarkEnd w:id="10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739"/>
        <w:spacing w:after="0" w:line="297" w:lineRule="auto"/>
        <w:rPr>
          <w:sz w:val="20"/>
          <w:szCs w:val="20"/>
          <w:color w:val="auto"/>
        </w:rPr>
      </w:pPr>
      <w:r>
        <w:rPr>
          <w:rFonts w:ascii="Arial" w:cs="Arial" w:eastAsia="Arial" w:hAnsi="Arial"/>
          <w:sz w:val="14"/>
          <w:szCs w:val="14"/>
          <w:color w:val="auto"/>
        </w:rPr>
        <w:t>of highly unmet medical need potentially presents an opportunity to efficiently advance our product candidates through clinical development, regulatory approval and ultimately to commercialization.</w:t>
      </w:r>
    </w:p>
    <w:p>
      <w:pPr>
        <w:spacing w:after="0" w:line="93" w:lineRule="exact"/>
        <w:rPr>
          <w:sz w:val="20"/>
          <w:szCs w:val="20"/>
          <w:color w:val="auto"/>
        </w:rPr>
      </w:pPr>
    </w:p>
    <w:p>
      <w:pPr>
        <w:ind w:left="1220" w:right="1339"/>
        <w:spacing w:after="0" w:line="292" w:lineRule="auto"/>
        <w:rPr>
          <w:sz w:val="20"/>
          <w:szCs w:val="20"/>
          <w:color w:val="auto"/>
        </w:rPr>
      </w:pPr>
      <w:r>
        <w:rPr>
          <w:rFonts w:ascii="Arial" w:cs="Arial" w:eastAsia="Arial" w:hAnsi="Arial"/>
          <w:sz w:val="14"/>
          <w:szCs w:val="14"/>
          <w:color w:val="auto"/>
        </w:rPr>
        <w:t>Our collaboration with FUJIFILM Cellular Dynamics Inc., or FCDI, provides us with licenses to certain premier iPSC technologies, patents and know-how, giving us our initial start which enabled us to accelerate generation of our first-generation product candidates and development of our manufacturing processes. We have built and expanded on this foundation with our own resources, applying our own gene editing, protein engineering, process development, and manufacturing expertise to develop our novel product candidates and platforms for which we are developing our own intellectual property. We retain exclusive commercialization rights in the United States and other major commercial markets for our product candidates developed pursuant to our collaboration with FCDI.</w:t>
      </w:r>
    </w:p>
    <w:p>
      <w:pPr>
        <w:spacing w:after="0" w:line="300" w:lineRule="exact"/>
        <w:rPr>
          <w:sz w:val="20"/>
          <w:szCs w:val="20"/>
          <w:color w:val="auto"/>
        </w:rPr>
      </w:pPr>
    </w:p>
    <w:p>
      <w:pPr>
        <w:ind w:left="1220" w:right="1259"/>
        <w:spacing w:after="0" w:line="291" w:lineRule="auto"/>
        <w:rPr>
          <w:sz w:val="20"/>
          <w:szCs w:val="20"/>
          <w:color w:val="auto"/>
        </w:rPr>
      </w:pPr>
      <w:r>
        <w:rPr>
          <w:rFonts w:ascii="Arial" w:cs="Arial" w:eastAsia="Arial" w:hAnsi="Arial"/>
          <w:sz w:val="14"/>
          <w:szCs w:val="14"/>
          <w:color w:val="auto"/>
        </w:rPr>
        <w:t>We are led by pioneers and subject-matter experts with decades of collective experience in cell therapy and oncology drug development. Dr. Osvaldo Flores, our Chief Executive Officer, has over 25 years of experience in pharmaceutical research and development. Prior to Century, he was Vice President of R&amp;D at Janssen after the acquisition of Novira Therapeutics, where he was a co-founder, President and Chief Science Officer. Earlier in his career, he held senior positions at Merck &amp; Co. and Tularik Inc. Dr. Hyam Levitsky, our President of Research and Development, previously held key R&amp;D positions at Juno Therapeutics and Roche. Dr. Adrienne Farid, our Chief Operations Officer, has over 25 years of drug development experience and previously worked at Celgene, Roche, and SmithKline Beecham. Dr. Greg Russotti, our Chief Technology Officer, has over 30 years of experience and previously worked at Celgene and Merck. Dr. Luis Borges, our Chief Scientific Officer, has over 25 years of experience, with precedent positions in Cell Medica, Five Prime Therapeutics, Amgen, and Immunex. Dr. Michael Diem, our Chief Business Officer, has more than 15 years of experience in the pharmaceutical industry and held business and investment roles at Amicus, AstraZeneca, Aevi Genomics, GlaxoSmithKline, and SR One.</w:t>
      </w:r>
    </w:p>
    <w:p>
      <w:pPr>
        <w:spacing w:after="0" w:line="300" w:lineRule="exact"/>
        <w:rPr>
          <w:sz w:val="20"/>
          <w:szCs w:val="20"/>
          <w:color w:val="auto"/>
        </w:rPr>
      </w:pPr>
    </w:p>
    <w:p>
      <w:pPr>
        <w:ind w:left="1220" w:right="1399"/>
        <w:spacing w:after="0" w:line="292" w:lineRule="auto"/>
        <w:rPr>
          <w:sz w:val="20"/>
          <w:szCs w:val="20"/>
          <w:color w:val="auto"/>
        </w:rPr>
      </w:pPr>
      <w:r>
        <w:rPr>
          <w:rFonts w:ascii="Arial" w:cs="Arial" w:eastAsia="Arial" w:hAnsi="Arial"/>
          <w:sz w:val="14"/>
          <w:szCs w:val="14"/>
          <w:color w:val="auto"/>
        </w:rPr>
        <w:t>Our board of directors includes members with extensive experience leading companies in the fields of biotechnology and biopharmaceuticals, including Joseph Jimenez, former Chief Executive Officer of Novartis, and Toshikazu Ban, Corporate Vice President and Senior Deputy General Manager of the pharmaceutical product division at FUJIFILM Corporation Ltd. Our internal abilities are further underpinned by our Scientific Advisory Board, which consists of world-renowned scientists, clinicians and key opinion leaders with decades of experience in the fields of stem cell biology, immunology, oncology, and cell therapy.</w:t>
      </w:r>
    </w:p>
    <w:p>
      <w:pPr>
        <w:spacing w:after="0" w:line="96" w:lineRule="exact"/>
        <w:rPr>
          <w:sz w:val="20"/>
          <w:szCs w:val="20"/>
          <w:color w:val="auto"/>
        </w:rPr>
      </w:pPr>
    </w:p>
    <w:p>
      <w:pPr>
        <w:ind w:left="1220" w:right="1439"/>
        <w:spacing w:after="0" w:line="293" w:lineRule="auto"/>
        <w:rPr>
          <w:sz w:val="20"/>
          <w:szCs w:val="20"/>
          <w:color w:val="auto"/>
        </w:rPr>
      </w:pPr>
      <w:r>
        <w:rPr>
          <w:rFonts w:ascii="Arial" w:cs="Arial" w:eastAsia="Arial" w:hAnsi="Arial"/>
          <w:sz w:val="14"/>
          <w:szCs w:val="14"/>
          <w:color w:val="auto"/>
        </w:rPr>
        <w:t>Since our inception in 2018, we have raised gross proceeds of approximately $340 million. Our stockholders include premier life science and strategic investors, including Versant Ventures, Leaps by Bayer, FCDI, Casdin Capital, Fidelity Management &amp; Research LLC, the Federated Hermes Kauffmann Funds, RA Capital, Logos Capital, OrbiMed, Marshall Wace, Qatar Investment Authority, Avidity Partners, and Octagon Capital.</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Our pipeline</w:t>
      </w:r>
    </w:p>
    <w:p>
      <w:pPr>
        <w:spacing w:after="0" w:line="144" w:lineRule="exact"/>
        <w:rPr>
          <w:sz w:val="20"/>
          <w:szCs w:val="20"/>
          <w:color w:val="auto"/>
        </w:rPr>
      </w:pPr>
    </w:p>
    <w:p>
      <w:pPr>
        <w:ind w:left="1220" w:right="1359"/>
        <w:spacing w:after="0" w:line="279" w:lineRule="auto"/>
        <w:rPr>
          <w:sz w:val="20"/>
          <w:szCs w:val="20"/>
          <w:color w:val="auto"/>
        </w:rPr>
      </w:pPr>
      <w:r>
        <w:rPr>
          <w:rFonts w:ascii="Arial" w:cs="Arial" w:eastAsia="Arial" w:hAnsi="Arial"/>
          <w:sz w:val="14"/>
          <w:szCs w:val="14"/>
          <w:color w:val="auto"/>
        </w:rPr>
        <w:t>We are assembling a portfolio of allogeneic iNK and iT cell therapy product candidates across solid tumor and hematological malignancies. This pipeline is comprised of cell therapies that will address diseases where we believe current therapies are inadequate. All product candidates incorporate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avoid host rejection and potentially increase the durability of clinical responses. With the exception of our lead product candidate, CNTY-101, each of our product candidates is designed to target multiple tumor antigens. We currently anticipate filing an IND for our lead product candidate, CNTY-101, targeting B-cell lymphoma, mid 2022. Our second product candidate, CNTY-103, is designed to treat glioblastoma, and we currently anticipate filing an IND in the first half of 2023. Our third product candidate, CNTY-102, is designed to further improve B-cell malignancy treatment, and we are planning on filing an IND for it in the second half of 2023. Our fourth product candidate, CNTY-104, is being developed to treat AML with the IND filing expected in mid 2024. Our</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4" w:name="page105"/>
    <w:bookmarkEnd w:id="10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development programs consist of the product candidates illustrated in the pipeline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986155</wp:posOffset>
            </wp:positionH>
            <wp:positionV relativeFrom="paragraph">
              <wp:posOffset>103505</wp:posOffset>
            </wp:positionV>
            <wp:extent cx="3747770" cy="10617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747770" cy="106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80" w:right="1339" w:hanging="256"/>
        <w:spacing w:after="0" w:line="246" w:lineRule="auto"/>
        <w:tabs>
          <w:tab w:leader="none" w:pos="1480" w:val="left"/>
        </w:tabs>
        <w:numPr>
          <w:ilvl w:val="0"/>
          <w:numId w:val="75"/>
        </w:numPr>
        <w:rPr>
          <w:rFonts w:ascii="Arial" w:cs="Arial" w:eastAsia="Arial" w:hAnsi="Arial"/>
          <w:sz w:val="11"/>
          <w:szCs w:val="11"/>
          <w:color w:val="auto"/>
        </w:rPr>
      </w:pPr>
      <w:r>
        <w:rPr>
          <w:rFonts w:ascii="Arial" w:cs="Arial" w:eastAsia="Arial" w:hAnsi="Arial"/>
          <w:sz w:val="11"/>
          <w:szCs w:val="11"/>
          <w:color w:val="auto"/>
        </w:rPr>
        <w:t>We are party to an option agreement with Bayer HealthCare LLC, or Bayer, pursuant to which Bayer was granted certain bidding rights relating to the potential transfer of rights with respect to certain product candidates being researched and developed by us which are comprised of iNK cells, macrophages or dendritic cells, including CNTY-101, CNTY-103 and any other product candidate comprised of iNK cells that we develop in the future. Bayer’s rights under the option agreement are subject to important limitations. See “—Licensing, partnership and collaboration—Bayer HealthCare LLC—Option Agreement” for more information.</w:t>
      </w:r>
    </w:p>
    <w:p>
      <w:pPr>
        <w:spacing w:after="0" w:line="145" w:lineRule="exact"/>
        <w:rPr>
          <w:sz w:val="20"/>
          <w:szCs w:val="20"/>
          <w:color w:val="auto"/>
        </w:rPr>
      </w:pPr>
    </w:p>
    <w:p>
      <w:pPr>
        <w:ind w:left="1220" w:right="2039"/>
        <w:spacing w:after="0" w:line="265" w:lineRule="auto"/>
        <w:rPr>
          <w:sz w:val="20"/>
          <w:szCs w:val="20"/>
          <w:color w:val="auto"/>
        </w:rPr>
      </w:pPr>
      <w:r>
        <w:rPr>
          <w:rFonts w:ascii="Arial" w:cs="Arial" w:eastAsia="Arial" w:hAnsi="Arial"/>
          <w:sz w:val="14"/>
          <w:szCs w:val="14"/>
          <w:b w:val="1"/>
          <w:bCs w:val="1"/>
          <w:i w:val="1"/>
          <w:iCs w:val="1"/>
          <w:color w:val="auto"/>
        </w:rPr>
        <w:t>CNTY-101: Our CAR-iNK candidate targeting CD19 for relapsed, refractory B-cell lymphoma.</w:t>
      </w:r>
    </w:p>
    <w:p>
      <w:pPr>
        <w:spacing w:after="0" w:line="92" w:lineRule="exact"/>
        <w:rPr>
          <w:sz w:val="20"/>
          <w:szCs w:val="20"/>
          <w:color w:val="auto"/>
        </w:rPr>
      </w:pPr>
    </w:p>
    <w:p>
      <w:pPr>
        <w:ind w:left="1220" w:right="1299"/>
        <w:spacing w:after="0" w:line="239" w:lineRule="auto"/>
        <w:rPr>
          <w:sz w:val="20"/>
          <w:szCs w:val="20"/>
          <w:color w:val="auto"/>
        </w:rPr>
      </w:pPr>
      <w:r>
        <w:rPr>
          <w:rFonts w:ascii="Arial" w:cs="Arial" w:eastAsia="Arial" w:hAnsi="Arial"/>
          <w:sz w:val="14"/>
          <w:szCs w:val="14"/>
          <w:color w:val="auto"/>
        </w:rPr>
        <w:t>Our lead product candidate, CNTY-101, is an allogeneic, iPSC-derived CAR-iNK cell therapy that has been engineered to express CD19 CAR, soluble IL-15, an EGFR safety switch, and also contains gene edits needed to incorporate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We expect clinical candidate clone selection in the first half of 2021, and plan to move into IND enabling preclinical and technical studies and manufacturing at that time. We anticipate filing an IND to advance CNTY-101 into a Phase 1 clinical trial in mid 2022.</w:t>
      </w:r>
    </w:p>
    <w:p>
      <w:pPr>
        <w:spacing w:after="0" w:line="15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CNTY-103: Our CAR-iNK candidate targeting CD133 + EGFR for recurrent glioblastoma.</w:t>
      </w:r>
    </w:p>
    <w:p>
      <w:pPr>
        <w:spacing w:after="0" w:line="125"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We are pursuing a differentiated approach addressing glioblastoma multiforme, or GBM, tumor heterogeneity, and planning local administration of the iNK cell product candidate. CNTY-103 represents our first clinical product candidate targeting a solid tumor and we believe targeting GBM with our engineered iNK cells may provide an opportunity to assess the clinical utility of, or establish proof of concept for, our iPSC-derived iNK cell therapy platform. We are projecting filing an IND and/or clinical trial application, or CTA, for recurrent GBM in the first half of 2023.</w:t>
      </w:r>
    </w:p>
    <w:p>
      <w:pPr>
        <w:spacing w:after="0" w:line="135" w:lineRule="exact"/>
        <w:rPr>
          <w:sz w:val="20"/>
          <w:szCs w:val="20"/>
          <w:color w:val="auto"/>
        </w:rPr>
      </w:pPr>
    </w:p>
    <w:p>
      <w:pPr>
        <w:ind w:left="1220" w:right="1859"/>
        <w:spacing w:after="0" w:line="265" w:lineRule="auto"/>
        <w:rPr>
          <w:sz w:val="20"/>
          <w:szCs w:val="20"/>
          <w:color w:val="auto"/>
        </w:rPr>
      </w:pPr>
      <w:r>
        <w:rPr>
          <w:rFonts w:ascii="Arial" w:cs="Arial" w:eastAsia="Arial" w:hAnsi="Arial"/>
          <w:sz w:val="14"/>
          <w:szCs w:val="14"/>
          <w:b w:val="1"/>
          <w:bCs w:val="1"/>
          <w:i w:val="1"/>
          <w:iCs w:val="1"/>
          <w:color w:val="auto"/>
        </w:rPr>
        <w:t>CNTY-102: Our CAR-iT or CAR-iNK candidate targeting CD19 + CD79b for relapsed, refractory B-cell lymphoma and other B-cell malignancies.</w:t>
      </w:r>
    </w:p>
    <w:p>
      <w:pPr>
        <w:spacing w:after="0" w:line="92" w:lineRule="exact"/>
        <w:rPr>
          <w:sz w:val="20"/>
          <w:szCs w:val="20"/>
          <w:color w:val="auto"/>
        </w:rPr>
      </w:pPr>
    </w:p>
    <w:p>
      <w:pPr>
        <w:ind w:left="1220" w:right="1319"/>
        <w:spacing w:after="0" w:line="262" w:lineRule="auto"/>
        <w:rPr>
          <w:sz w:val="20"/>
          <w:szCs w:val="20"/>
          <w:color w:val="auto"/>
        </w:rPr>
      </w:pPr>
      <w:r>
        <w:rPr>
          <w:rFonts w:ascii="Arial" w:cs="Arial" w:eastAsia="Arial" w:hAnsi="Arial"/>
          <w:sz w:val="14"/>
          <w:szCs w:val="14"/>
          <w:color w:val="auto"/>
        </w:rPr>
        <w:t>CNTY-102 will simultaneously target CD19 and CD79b, intended to increase depth and durability of response by eliminating the effect of CD19 antigen loss that has been observed as a factor limiting treatment durability, as well as targeting CD79b, an independently regulated, ubiquitous and validated B-cell target. We currently envision filing the IND for CNTY-102 in the second half of 2023.</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CNTY-104: Our CAR-iNK or CAR-iT multi-specific candidate for acute myeloid leukemia.</w:t>
      </w:r>
    </w:p>
    <w:p>
      <w:pPr>
        <w:spacing w:after="0" w:line="136" w:lineRule="exact"/>
        <w:rPr>
          <w:sz w:val="20"/>
          <w:szCs w:val="20"/>
          <w:color w:val="auto"/>
        </w:rPr>
      </w:pPr>
    </w:p>
    <w:p>
      <w:pPr>
        <w:ind w:left="1220" w:right="1259"/>
        <w:spacing w:after="0" w:line="261" w:lineRule="auto"/>
        <w:rPr>
          <w:sz w:val="20"/>
          <w:szCs w:val="20"/>
          <w:color w:val="auto"/>
        </w:rPr>
      </w:pPr>
      <w:r>
        <w:rPr>
          <w:rFonts w:ascii="Arial" w:cs="Arial" w:eastAsia="Arial" w:hAnsi="Arial"/>
          <w:sz w:val="14"/>
          <w:szCs w:val="14"/>
          <w:color w:val="auto"/>
        </w:rPr>
        <w:t>CNTY-104 will utilize our multi-specific iNK or iT cells for the treatment of AML. Given the known therapeutic activity of natural killer, or NK, cells in AML, there might be an advantage to using the iNK cell platform to build the product candidate, but we will evaluate both the iNK and iT cell therapy platforms and choose the one likely to provide the best therapeutic index in the clinic. We currently envision filing the IND for CNTY-104 in mid 2024.</w:t>
      </w:r>
    </w:p>
    <w:p>
      <w:pPr>
        <w:spacing w:after="0" w:line="13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Discovery platform.</w:t>
      </w:r>
    </w:p>
    <w:p>
      <w:pPr>
        <w:spacing w:after="0" w:line="125" w:lineRule="exact"/>
        <w:rPr>
          <w:sz w:val="20"/>
          <w:szCs w:val="20"/>
          <w:color w:val="auto"/>
        </w:rPr>
      </w:pPr>
    </w:p>
    <w:p>
      <w:pPr>
        <w:ind w:left="1220" w:right="1339"/>
        <w:spacing w:after="0" w:line="260" w:lineRule="auto"/>
        <w:rPr>
          <w:sz w:val="20"/>
          <w:szCs w:val="20"/>
          <w:color w:val="auto"/>
        </w:rPr>
      </w:pPr>
      <w:r>
        <w:rPr>
          <w:rFonts w:ascii="Arial" w:cs="Arial" w:eastAsia="Arial" w:hAnsi="Arial"/>
          <w:sz w:val="14"/>
          <w:szCs w:val="14"/>
          <w:color w:val="auto"/>
        </w:rPr>
        <w:t>In addition to our named programs, we are actively engaged in a number of earlier stage discovery programs where we believe our iPSC-derived allogeneic cell therapy platform may provide differentiated therapeutic benefits. These discovery stage initiatives are focused on several solid tumor indications including bladder cancer and renal cell carcinoma. For these and other indications, we plan to use multispecific CARs and explore the use of both iNK and iT cells to identify the best cell platform to build the product candidate.</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5" w:name="page106"/>
    <w:bookmarkEnd w:id="10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right="1359"/>
        <w:spacing w:after="0" w:line="265" w:lineRule="auto"/>
        <w:rPr>
          <w:sz w:val="20"/>
          <w:szCs w:val="20"/>
          <w:color w:val="auto"/>
        </w:rPr>
      </w:pPr>
      <w:r>
        <w:rPr>
          <w:rFonts w:ascii="Arial" w:cs="Arial" w:eastAsia="Arial" w:hAnsi="Arial"/>
          <w:sz w:val="14"/>
          <w:szCs w:val="14"/>
          <w:b w:val="1"/>
          <w:bCs w:val="1"/>
          <w:i w:val="1"/>
          <w:iCs w:val="1"/>
          <w:color w:val="auto"/>
        </w:rPr>
        <w:t>Our use of iPSCs provides us with a differentiated advantage in product development and manufacturing</w:t>
      </w:r>
    </w:p>
    <w:p>
      <w:pPr>
        <w:spacing w:after="0" w:line="92" w:lineRule="exact"/>
        <w:rPr>
          <w:sz w:val="20"/>
          <w:szCs w:val="20"/>
          <w:color w:val="auto"/>
        </w:rPr>
      </w:pPr>
    </w:p>
    <w:p>
      <w:pPr>
        <w:ind w:left="1220" w:right="1299"/>
        <w:spacing w:after="0" w:line="274" w:lineRule="auto"/>
        <w:rPr>
          <w:sz w:val="20"/>
          <w:szCs w:val="20"/>
          <w:color w:val="auto"/>
        </w:rPr>
      </w:pPr>
      <w:r>
        <w:rPr>
          <w:rFonts w:ascii="Arial" w:cs="Arial" w:eastAsia="Arial" w:hAnsi="Arial"/>
          <w:sz w:val="14"/>
          <w:szCs w:val="14"/>
          <w:color w:val="auto"/>
        </w:rPr>
        <w:t>The majority of allogeneic approaches currently in development use differentiated T cells or NK cells derived from the peripheral blood of healthy donors. Although the use of allogeneic cells in the manufacture of CAR-based T cell or NK cell therapies offers significant advantages, the use of donor cells in the production of allogeneic cell therapies has significant limitations. For example, the number of doses that can be produced from a single donation of blood is limited, such that multiple donations will be needed over the lifetime of a product. Therefore, genetic modifications must be performed in their entirety following each donation. Furthermore, all blood, even from the same donor collected at different times, has some degree of variability and, as a result, product comparability from donation to donation must be demonstrated. In addition, the number of edits that can be introduced into the genome of T cells or NK cells is severely limited, as each engineering step requires cells to replicate. Excessive expansion cycles often result in cell exhaustion, with the engineered lymphocytes (white blood cells) expressing checkpoint molecules, often accompanied by a loss of functionality. As a consequence, the engineering process for these donor-derived cell therapies requires a careful balancing between the number of replication cycles achievable and the generation of fully functional cells resulting in significant limitations.</w:t>
      </w:r>
    </w:p>
    <w:p>
      <w:pPr>
        <w:spacing w:after="0" w:line="200" w:lineRule="exact"/>
        <w:rPr>
          <w:sz w:val="20"/>
          <w:szCs w:val="20"/>
          <w:color w:val="auto"/>
        </w:rPr>
      </w:pPr>
    </w:p>
    <w:p>
      <w:pPr>
        <w:spacing w:after="0" w:line="280" w:lineRule="exact"/>
        <w:rPr>
          <w:sz w:val="20"/>
          <w:szCs w:val="20"/>
          <w:color w:val="auto"/>
        </w:rPr>
      </w:pPr>
    </w:p>
    <w:p>
      <w:pPr>
        <w:ind w:left="1220" w:right="1399"/>
        <w:spacing w:after="0" w:line="278" w:lineRule="auto"/>
        <w:rPr>
          <w:sz w:val="20"/>
          <w:szCs w:val="20"/>
          <w:color w:val="auto"/>
        </w:rPr>
      </w:pPr>
      <w:r>
        <w:rPr>
          <w:rFonts w:ascii="Arial" w:cs="Arial" w:eastAsia="Arial" w:hAnsi="Arial"/>
          <w:sz w:val="14"/>
          <w:szCs w:val="14"/>
          <w:color w:val="auto"/>
        </w:rPr>
        <w:t>We believe our engineered, iPSC-derived allogeneic cell therapy platforms can overcome many of the challenges inherent to cell therapy, provide a significant advantage over existing cell therapy technologies. We are focused on developing novel therapeutics designed to address many of the significant unmet medical needs in cancer treatment.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Core characteristics of our iPSC-derived allogeneic cell therapy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121920</wp:posOffset>
            </wp:positionV>
            <wp:extent cx="3960495" cy="1041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960495" cy="1041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Our iPSC-derived allogeneic cells differentiate our therapeutic development approach</w:t>
      </w:r>
    </w:p>
    <w:p>
      <w:pPr>
        <w:spacing w:after="0" w:line="146" w:lineRule="exact"/>
        <w:rPr>
          <w:sz w:val="20"/>
          <w:szCs w:val="20"/>
          <w:color w:val="auto"/>
        </w:rPr>
      </w:pPr>
    </w:p>
    <w:p>
      <w:pPr>
        <w:ind w:left="1220" w:right="1319"/>
        <w:spacing w:after="0" w:line="275" w:lineRule="auto"/>
        <w:rPr>
          <w:sz w:val="20"/>
          <w:szCs w:val="20"/>
          <w:color w:val="auto"/>
        </w:rPr>
      </w:pPr>
      <w:r>
        <w:rPr>
          <w:rFonts w:ascii="Arial" w:cs="Arial" w:eastAsia="Arial" w:hAnsi="Arial"/>
          <w:sz w:val="14"/>
          <w:szCs w:val="14"/>
          <w:color w:val="auto"/>
        </w:rPr>
        <w:t>The source cells used in the manufacture of our allogeneic cell therapy candidates are induced pluripotent stem cells, or iPSCs. An iPSC is a type of stem cell that can be generated directly from a somatic cell. A somatic cell is a cell that has become functionally differentiated, or specialized, such as a blood cell, skin cell or bone cell. IPSC-derived cell products offer significant technical and manufacturing advantages. These cells have unlimited replication capacity and can act as a progenitor cell for other cell types, including the different types of immune cells. IPSCs share similar biological properties with embryonic stem cells, such as morphology, patterns of gene and protein expression, and growth properties including mitotic activity and doubling time. Our in-licensed iPSC technology allows us to reprogram differentiated cells into iPSCs and to somatic the iPSCs to generate different immune cell types including iNK cells and iT cells.</w:t>
      </w:r>
    </w:p>
    <w:p>
      <w:pPr>
        <w:spacing w:after="0" w:line="281" w:lineRule="exact"/>
        <w:rPr>
          <w:sz w:val="20"/>
          <w:szCs w:val="20"/>
          <w:color w:val="auto"/>
        </w:rPr>
      </w:pPr>
    </w:p>
    <w:p>
      <w:pPr>
        <w:ind w:left="1220" w:right="1359"/>
        <w:spacing w:after="0" w:line="275" w:lineRule="auto"/>
        <w:rPr>
          <w:sz w:val="20"/>
          <w:szCs w:val="20"/>
          <w:color w:val="auto"/>
        </w:rPr>
      </w:pPr>
      <w:r>
        <w:rPr>
          <w:rFonts w:ascii="Arial" w:cs="Arial" w:eastAsia="Arial" w:hAnsi="Arial"/>
          <w:sz w:val="14"/>
          <w:szCs w:val="14"/>
          <w:color w:val="auto"/>
        </w:rPr>
        <w:t>We believe the use of iPSCs will enable us to manufacture cell therapies of increased consistency, in a shorter period of time, at scale and at reduced cost compared to donor-derived NK or T cell therapies. Unlike these donor-derived cell therapies where all the engineering steps are performed using differentiated cells, all of our engineering procedures are performed on iPSCs. We believe that using iPSCs as a starting point for our cell therapies will allow us to produce our allogeneic cell therapies in an efficient and consistent manner. iPSCs are more amenable to multiple genetic manipulations than differentiated lymphocytes and are capable of maintaining their viability through numerous expansion rounds. We select specific single cell clones from bulk engineered cell product, which we characterize to include specified edits and ensure the absence of off-target genomic</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5458460" cy="39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6" w:name="page107"/>
    <w:bookmarkEnd w:id="10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20" w:right="1599"/>
        <w:spacing w:after="0" w:line="274" w:lineRule="auto"/>
        <w:rPr>
          <w:sz w:val="20"/>
          <w:szCs w:val="20"/>
          <w:color w:val="auto"/>
        </w:rPr>
      </w:pPr>
      <w:r>
        <w:rPr>
          <w:rFonts w:ascii="Arial" w:cs="Arial" w:eastAsia="Arial" w:hAnsi="Arial"/>
          <w:sz w:val="14"/>
          <w:szCs w:val="14"/>
          <w:color w:val="auto"/>
        </w:rPr>
        <w:t>alterations. A single cell clone is used to construct a master cell bank capable of providing a sufficient number of doses for the life of a product due to the unlimited replicative capacity of iPSCs.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use of iPSCs provide us with differentiated advantages in product development and</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117475</wp:posOffset>
            </wp:positionV>
            <wp:extent cx="3960495" cy="15278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960495" cy="1527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Our strategy</w:t>
      </w:r>
    </w:p>
    <w:p>
      <w:pPr>
        <w:spacing w:after="0" w:line="122"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Our vision is to be a leader in the treatment of both solid tumor and hematological malignancies that address unmet medical needs by developing innovative allogeneic cell therapy products derived from our proprietary technologies. We are initially focused on advancing the research, clinical development and commercialization of tumor-targeted iNK and iT cell therapeutics. We believe that our iPSC-derived allogeneic cell therapy platforms have the potential to overcome the limitations of existing therapies, lower manufacturing costs and improve patient outcomes. To deliver on our mission, we intend to:</w:t>
      </w:r>
    </w:p>
    <w:p>
      <w:pPr>
        <w:spacing w:after="0" w:line="243" w:lineRule="exact"/>
        <w:rPr>
          <w:sz w:val="20"/>
          <w:szCs w:val="20"/>
          <w:color w:val="auto"/>
        </w:rPr>
      </w:pPr>
    </w:p>
    <w:p>
      <w:pPr>
        <w:ind w:left="1600" w:right="1339" w:hanging="117"/>
        <w:spacing w:after="0" w:line="264" w:lineRule="auto"/>
        <w:tabs>
          <w:tab w:leader="none" w:pos="1600" w:val="left"/>
        </w:tabs>
        <w:numPr>
          <w:ilvl w:val="0"/>
          <w:numId w:val="7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Build a leading cell therapy company leveraging our comprehensive iPSC-derived allogeneic cell therapy platforms designed to overcome the limitations of existing cancer therapies. </w:t>
      </w:r>
      <w:r>
        <w:rPr>
          <w:rFonts w:ascii="Arial" w:cs="Arial" w:eastAsia="Arial" w:hAnsi="Arial"/>
          <w:sz w:val="14"/>
          <w:szCs w:val="14"/>
          <w:color w:val="auto"/>
        </w:rPr>
        <w:t>We have created comprehensive allogeneic cell therapy platforms that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include industry-leading iPSC differentiation know-how, CRISPR-mediated precision gene editing, sophisticated protein engineering capabilities,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and cutting edge manufacturing capabilities. We believe the incorporation of these elements into our platforms affords us numerous advantages over autologous and donor-derived differentiated T, NK and other cell therapies, and may eliminate many of the challenges inherent in these other cell therapy modalities.</w:t>
      </w:r>
    </w:p>
    <w:p>
      <w:pPr>
        <w:spacing w:after="0" w:line="65" w:lineRule="exact"/>
        <w:rPr>
          <w:rFonts w:ascii="Arial" w:cs="Arial" w:eastAsia="Arial" w:hAnsi="Arial"/>
          <w:sz w:val="14"/>
          <w:szCs w:val="14"/>
          <w:color w:val="auto"/>
        </w:rPr>
      </w:pPr>
    </w:p>
    <w:p>
      <w:pPr>
        <w:ind w:left="1600" w:right="1379" w:hanging="117"/>
        <w:spacing w:after="0" w:line="278" w:lineRule="auto"/>
        <w:tabs>
          <w:tab w:leader="none" w:pos="1600" w:val="left"/>
        </w:tabs>
        <w:numPr>
          <w:ilvl w:val="0"/>
          <w:numId w:val="7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Maximize the potential to treat a broad range of cancers by exploiting the distinct biologies of both NK and T cells. </w:t>
      </w:r>
      <w:r>
        <w:rPr>
          <w:rFonts w:ascii="Arial" w:cs="Arial" w:eastAsia="Arial" w:hAnsi="Arial"/>
          <w:sz w:val="14"/>
          <w:szCs w:val="14"/>
          <w:color w:val="auto"/>
        </w:rPr>
        <w:t>We are initially developing our CAR-iNK and CAR-iT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cell therapy platforms for multiple indications including lymphoma, glioblastoma, acute myeloid leukemia and other solid tumor and hematological malignancies. We anticipate each platform will have a distinct biology that influences its function, and accordingly, the disease settings in which it is best suited for development. We view this dual development strategy as an opportunity to maximize the potential benefits of each platform and its associated immune cell. In the future, we may develop therapies that simultaneously incorporate both CAR-iNK and CAR-iT cells in the treatment of individual patients.</w:t>
      </w:r>
    </w:p>
    <w:p>
      <w:pPr>
        <w:spacing w:after="0" w:line="30" w:lineRule="exact"/>
        <w:rPr>
          <w:rFonts w:ascii="Arial" w:cs="Arial" w:eastAsia="Arial" w:hAnsi="Arial"/>
          <w:sz w:val="14"/>
          <w:szCs w:val="14"/>
          <w:color w:val="auto"/>
        </w:rPr>
      </w:pPr>
    </w:p>
    <w:p>
      <w:pPr>
        <w:ind w:left="1600" w:right="1319" w:hanging="117"/>
        <w:spacing w:after="0" w:line="254" w:lineRule="auto"/>
        <w:tabs>
          <w:tab w:leader="none" w:pos="1600" w:val="left"/>
        </w:tabs>
        <w:numPr>
          <w:ilvl w:val="0"/>
          <w:numId w:val="76"/>
        </w:numPr>
        <w:rPr>
          <w:rFonts w:ascii="Arial" w:cs="Arial" w:eastAsia="Arial" w:hAnsi="Arial"/>
          <w:sz w:val="14"/>
          <w:szCs w:val="14"/>
          <w:color w:val="auto"/>
        </w:rPr>
      </w:pPr>
      <w:r>
        <w:rPr>
          <w:rFonts w:ascii="Arial" w:cs="Arial" w:eastAsia="Arial" w:hAnsi="Arial"/>
          <w:sz w:val="14"/>
          <w:szCs w:val="14"/>
          <w:b w:val="1"/>
          <w:bCs w:val="1"/>
          <w:i w:val="1"/>
          <w:iCs w:val="1"/>
          <w:color w:val="auto"/>
        </w:rPr>
        <w:t>Leverage our Allo-Evasion</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technology across our product platform to avoid host rejection and enable repeat dosing. </w:t>
      </w:r>
      <w:r>
        <w:rPr>
          <w:rFonts w:ascii="Arial" w:cs="Arial" w:eastAsia="Arial" w:hAnsi="Arial"/>
          <w:sz w:val="14"/>
          <w:szCs w:val="14"/>
          <w:color w:val="auto"/>
        </w:rPr>
        <w:t>Central to the potential clinical performance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iPSC-derived cell therapies is our novel and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which we intend to implement across our entire product platform. This proprietary technology allows us to engineer cells designed to avoid recognition and rejection by the host immune system. Furthermore, it enables repeat dosing, which we believe will enable us to immediately reinforce the immunological line of defense as cells dosed previously succumb to immune exhaustion and provide our cell therapies the benefit of enhanced durability and persistence. We believe this may reduce or possibly eliminate the need for immune preconditioning regimens, and enhance the</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7" w:name="page108"/>
    <w:bookmarkEnd w:id="10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00" w:right="1279"/>
        <w:spacing w:after="0" w:line="265" w:lineRule="auto"/>
        <w:rPr>
          <w:sz w:val="20"/>
          <w:szCs w:val="20"/>
          <w:color w:val="auto"/>
        </w:rPr>
      </w:pPr>
      <w:r>
        <w:rPr>
          <w:rFonts w:ascii="Arial" w:cs="Arial" w:eastAsia="Arial" w:hAnsi="Arial"/>
          <w:sz w:val="14"/>
          <w:szCs w:val="14"/>
          <w:color w:val="auto"/>
        </w:rPr>
        <w:t>recruitment of host immune cells to participate in the anti-tumor response. We believe these advantages could enable the implementation of more flexible and effective dosing protocols for our off-the-shelf product candidates, which we anticipate will increase physician and patient access.</w:t>
      </w:r>
    </w:p>
    <w:p>
      <w:pPr>
        <w:spacing w:after="0" w:line="228" w:lineRule="exact"/>
        <w:rPr>
          <w:sz w:val="20"/>
          <w:szCs w:val="20"/>
          <w:color w:val="auto"/>
        </w:rPr>
      </w:pPr>
    </w:p>
    <w:p>
      <w:pPr>
        <w:ind w:left="1600" w:right="1439" w:hanging="117"/>
        <w:spacing w:after="0" w:line="277" w:lineRule="auto"/>
        <w:tabs>
          <w:tab w:leader="none" w:pos="1600" w:val="left"/>
        </w:tabs>
        <w:numPr>
          <w:ilvl w:val="0"/>
          <w:numId w:val="7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Exploit serial gene editing of iPSCs to create product candidates with enhanced functionalities and fit for purpose product characteristics. </w:t>
      </w:r>
      <w:r>
        <w:rPr>
          <w:rFonts w:ascii="Arial" w:cs="Arial" w:eastAsia="Arial" w:hAnsi="Arial"/>
          <w:sz w:val="14"/>
          <w:szCs w:val="14"/>
          <w:color w:val="auto"/>
        </w:rPr>
        <w:t>We utilize CRISPR-mediated precision gene editing that allows us to incorporate multiple transgenes and knock-outs to achieve precise genetic modifications at defined locations in the iPSC genome. Our first clinical product candidate, CNTY-101, will incorporate six gene edits, which we believe are essential attributes necessary for meaningful clinical performance, including a CAR to mediate tumor recognition and killing, features to evade immune rejection and a safety switch to enable product elimination if ever necessary. We believe this initial set of gene edits will form the foundation for follow-on product candidate development. Additionally, we believe our investment in our gene editing technology will allow us to expand upon our current capabilities and integrate further fit for purpose gene edits intended to enhance clinical performance of our future product candidates.</w:t>
      </w:r>
    </w:p>
    <w:p>
      <w:pPr>
        <w:spacing w:after="0" w:line="57" w:lineRule="exact"/>
        <w:rPr>
          <w:rFonts w:ascii="Arial" w:cs="Arial" w:eastAsia="Arial" w:hAnsi="Arial"/>
          <w:sz w:val="14"/>
          <w:szCs w:val="14"/>
          <w:color w:val="auto"/>
        </w:rPr>
      </w:pPr>
    </w:p>
    <w:p>
      <w:pPr>
        <w:ind w:left="1600" w:right="1259" w:hanging="117"/>
        <w:spacing w:after="0" w:line="278" w:lineRule="auto"/>
        <w:tabs>
          <w:tab w:leader="none" w:pos="1600" w:val="left"/>
        </w:tabs>
        <w:numPr>
          <w:ilvl w:val="0"/>
          <w:numId w:val="7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Leverage our own manufacturing infrastructure, product and process understanding, and scale-up technologies to minimize manufacturing risk. </w:t>
      </w:r>
      <w:r>
        <w:rPr>
          <w:rFonts w:ascii="Arial" w:cs="Arial" w:eastAsia="Arial" w:hAnsi="Arial"/>
          <w:sz w:val="14"/>
          <w:szCs w:val="14"/>
          <w:color w:val="auto"/>
        </w:rPr>
        <w:t>We are strategically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investing in manufacturing across all aspects of the value chain to become leaders in the industry. We are building internal manufacturing facilities that we believe will enable us to learn and iterate more rapidly and increase control of development timelines for expedited clinical development of high quality products. We will continue to invest in process and analytical development capabilities and closely study our cell process parameters that affect product quality. Furthermore, we intend to establish expertise in scale-up technologies designed to enable optimal manufacturing scale, which will reduce cost of goods and improve patient access.</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Background</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The role of NK cells and T cells in the human immune system</w:t>
      </w:r>
    </w:p>
    <w:p>
      <w:pPr>
        <w:spacing w:after="0" w:line="136" w:lineRule="exact"/>
        <w:rPr>
          <w:sz w:val="20"/>
          <w:szCs w:val="20"/>
          <w:color w:val="auto"/>
        </w:rPr>
      </w:pPr>
    </w:p>
    <w:p>
      <w:pPr>
        <w:ind w:left="1220" w:right="1239"/>
        <w:spacing w:after="0" w:line="262" w:lineRule="auto"/>
        <w:rPr>
          <w:sz w:val="20"/>
          <w:szCs w:val="20"/>
          <w:color w:val="auto"/>
        </w:rPr>
      </w:pPr>
      <w:r>
        <w:rPr>
          <w:rFonts w:ascii="Arial" w:cs="Arial" w:eastAsia="Arial" w:hAnsi="Arial"/>
          <w:sz w:val="14"/>
          <w:szCs w:val="14"/>
          <w:color w:val="auto"/>
        </w:rPr>
        <w:t>The human immune system is comprised of two integrated systems, the innate immune system and the adaptive immune system. The innate immune system involves an immediate, non-specific response to recognize and protect against foreign pathogens based on broadly conserved pathogen associated molecular patterns and generally lacks pathogen or disease-specific immune memory.</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Innate immune system—NK Cells</w:t>
      </w:r>
    </w:p>
    <w:p>
      <w:pPr>
        <w:spacing w:after="0" w:line="123"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Cytotoxic NK cells are part of the front-line innate immune response and, in this capacity, monitor the body for signs of pathogens or signals of disease. NK cells have the unique ability to selectively identify and destroy abnormal cells through multiple direct and indirect mechanisms while leaving normal healthy cells unharmed. These mechanisms include (i) direct innate killing by binding to stress ligands expressed by diseased or dysfunctional cells and releasing toxic granules and perforins, (ii) indirect killing by producing and releasing proinflammatory cytokines that play a pivotal role in orchestrating the adaptive immune response, and (iii) antibody-mediated targeted killing by binding to cells targeted for elimination through a process known as antibody-dependent cellular cytotoxicity.</w:t>
      </w:r>
    </w:p>
    <w:p>
      <w:pPr>
        <w:spacing w:after="0" w:line="312"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Adaptive immune system—T Cells</w:t>
      </w:r>
    </w:p>
    <w:p>
      <w:pPr>
        <w:spacing w:after="0" w:line="134"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The adaptive immune system is characterized by antigen-specific immune responses mediated by T and B cells. T cells are distinguished from other immune system cells by the presence of a T cell receptor, or TCR, on their surface. TCRs are activated through engagement with antigens on the major histocompatibility complex, or MHC, of cells. In humans, these antigens are known as human leukocyte antigens, or HLAs. Upon antigen recognition, CD8 T cells, also referred to as cytotoxic lymphocytes, or CTLs, bind to the MHC-antigen complex, become activated and destroy the targeted cell. The adaptive immune responses require several days to develop because T and B cells need to undergo clonal expansion before they can mount an immune response. The innate and adaptive immune systems also differ on the longevity of the immune response. After elimination of the pathogen, T and B cells can persist for decades as memory cells and quickly respond to new challenges by the</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8" w:name="page109"/>
    <w:bookmarkEnd w:id="10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99"/>
        <w:spacing w:after="0" w:line="274" w:lineRule="auto"/>
        <w:rPr>
          <w:sz w:val="20"/>
          <w:szCs w:val="20"/>
          <w:color w:val="auto"/>
        </w:rPr>
      </w:pPr>
      <w:r>
        <w:rPr>
          <w:rFonts w:ascii="Arial" w:cs="Arial" w:eastAsia="Arial" w:hAnsi="Arial"/>
          <w:sz w:val="14"/>
          <w:szCs w:val="14"/>
          <w:color w:val="auto"/>
        </w:rPr>
        <w:t>same pathogen. We seek to take advantage of the unique properties of T cells and their proven anti-cancer activity to engineer iPSC-derived T cell products.</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Cellular immunotherapy and its use in the treatment of cancer</w:t>
      </w:r>
    </w:p>
    <w:p>
      <w:pPr>
        <w:spacing w:after="0" w:line="122"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Cellular immunotherapy is a type of immunotherapy that focuses on modulating or enhancing the activity of different lymphocytes, in particular CTLs and NK cells, to treat cancer. The cells are typically engineered with receptors that redirect them to recognize and destroy tumor cells. A frequently used approach for cellular immunotherapy involves chimeric antigen receptors, or CARs, on the surface of a lymphocyte that enable the CTL or NK cell to recognize specific antigens that are present on the surface of tumor cells.</w:t>
      </w:r>
    </w:p>
    <w:p>
      <w:pPr>
        <w:spacing w:after="0" w:line="108" w:lineRule="exact"/>
        <w:rPr>
          <w:sz w:val="20"/>
          <w:szCs w:val="20"/>
          <w:color w:val="auto"/>
        </w:rPr>
      </w:pPr>
    </w:p>
    <w:p>
      <w:pPr>
        <w:jc w:val="both"/>
        <w:ind w:left="1220" w:right="1639"/>
        <w:spacing w:after="0" w:line="262" w:lineRule="auto"/>
        <w:rPr>
          <w:sz w:val="20"/>
          <w:szCs w:val="20"/>
          <w:color w:val="auto"/>
        </w:rPr>
      </w:pPr>
      <w:r>
        <w:rPr>
          <w:rFonts w:ascii="Arial" w:cs="Arial" w:eastAsia="Arial" w:hAnsi="Arial"/>
          <w:sz w:val="14"/>
          <w:szCs w:val="14"/>
          <w:color w:val="auto"/>
        </w:rPr>
        <w:t>At one end of the CAR is single or multiple binding domains that engage one or more target antigens. These binding domains are exposed to the outside of the engineered lymphocyte, where they can recognize the target antigen or antigens. To enable the engineering of multi-specific CARs, we use camelid VHH antibodies.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use of camelid VHH antibodies enables our design of multi-specific binding domains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114935</wp:posOffset>
            </wp:positionV>
            <wp:extent cx="3960495" cy="1438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960495" cy="143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color w:val="auto"/>
        </w:rPr>
        <w:t>As illustrated above, our CAR constructs incorporate VHHs. VHH domains are derived from a camelid antibody, a type of antibody found in camels, llamas and sharks, that consists of a heavy chain only with one variable region. This structure gives us greater design flexibility, including the use of concatemers that target multiple epitopes on the same antigen (biparatopic CARs) or multiple tumor antigens (bi- or tri-specific CARs).</w:t>
      </w:r>
    </w:p>
    <w:p>
      <w:pPr>
        <w:spacing w:after="0" w:line="106" w:lineRule="exact"/>
        <w:rPr>
          <w:sz w:val="20"/>
          <w:szCs w:val="20"/>
          <w:color w:val="auto"/>
        </w:rPr>
      </w:pPr>
    </w:p>
    <w:p>
      <w:pPr>
        <w:ind w:left="1220" w:right="1279"/>
        <w:spacing w:after="0" w:line="258" w:lineRule="auto"/>
        <w:rPr>
          <w:sz w:val="20"/>
          <w:szCs w:val="20"/>
          <w:color w:val="auto"/>
        </w:rPr>
      </w:pPr>
      <w:r>
        <w:rPr>
          <w:rFonts w:ascii="Arial" w:cs="Arial" w:eastAsia="Arial" w:hAnsi="Arial"/>
          <w:sz w:val="14"/>
          <w:szCs w:val="14"/>
          <w:color w:val="auto"/>
        </w:rPr>
        <w:t>In 2017, the U.S. Food and Drug Administration, or FDA, approved the first two CAR-T based cell therapies for the treatment of certain types of hematological cancers. They are axicabtagene ciloleucel, sold by Gilead Sciences under the brand name Yescarta®, and tisagenlecleucel, sold by Novartis under the brand name Kymriah®. Subsequently, Gilead Sciences’ Brexucabtagene autoleucel, branded Tecartus®, was approved in July 2020 and Bristol Myers Squibbs’ lisocabtagene maraleucel, branded Breyanzi®, received FDA approval in February 2021. Yescarta®, Kymriah® and Breyanzi® are approved for the treatment for relapsed or refractory large B-cell lymphoma, and Yescarta® is also approved for relapsed or refractory lymphoma and Tecartus® is approved for the treatment of relapsed or refractory mantle cell lymphoma. These therapies are autologous and made from T cells first collected from the patient, which are then genetically modified and administered back to the same patient. While these therapies represent a significant development milestone for the cellular therapy field overall, a significant percentage of patients who receive these therapies ultimately relapse. To date, no CAR-based cell therapies using NK cells have received FDA approval.</w:t>
      </w:r>
    </w:p>
    <w:p>
      <w:pPr>
        <w:spacing w:after="0" w:line="313" w:lineRule="exact"/>
        <w:rPr>
          <w:sz w:val="20"/>
          <w:szCs w:val="20"/>
          <w:color w:val="auto"/>
        </w:rPr>
      </w:pPr>
    </w:p>
    <w:p>
      <w:pPr>
        <w:ind w:left="1220" w:right="1779"/>
        <w:spacing w:after="0" w:line="265" w:lineRule="auto"/>
        <w:rPr>
          <w:sz w:val="20"/>
          <w:szCs w:val="20"/>
          <w:color w:val="auto"/>
        </w:rPr>
      </w:pPr>
      <w:r>
        <w:rPr>
          <w:rFonts w:ascii="Arial" w:cs="Arial" w:eastAsia="Arial" w:hAnsi="Arial"/>
          <w:sz w:val="14"/>
          <w:szCs w:val="14"/>
          <w:b w:val="1"/>
          <w:bCs w:val="1"/>
          <w:i w:val="1"/>
          <w:iCs w:val="1"/>
          <w:color w:val="auto"/>
        </w:rPr>
        <w:t>Advancements in cell therapy approaches have enhanced treatment alternatives for patients</w:t>
      </w:r>
    </w:p>
    <w:p>
      <w:pPr>
        <w:spacing w:after="0" w:line="92" w:lineRule="exact"/>
        <w:rPr>
          <w:sz w:val="20"/>
          <w:szCs w:val="20"/>
          <w:color w:val="auto"/>
        </w:rPr>
      </w:pPr>
    </w:p>
    <w:p>
      <w:pPr>
        <w:ind w:left="1220" w:right="1339"/>
        <w:spacing w:after="0" w:line="261" w:lineRule="auto"/>
        <w:rPr>
          <w:sz w:val="20"/>
          <w:szCs w:val="20"/>
          <w:color w:val="auto"/>
        </w:rPr>
      </w:pPr>
      <w:r>
        <w:rPr>
          <w:rFonts w:ascii="Arial" w:cs="Arial" w:eastAsia="Arial" w:hAnsi="Arial"/>
          <w:sz w:val="14"/>
          <w:szCs w:val="14"/>
          <w:color w:val="auto"/>
        </w:rPr>
        <w:t>Cell therapy has built on the success of already approved autologous CAR-T cell therapies. Allogeneic therapy, which uses lymphocytes donated by a healthy donor as the starting material, is designed to overcome several limitations inherent in the autologous approach. We believe the use of iPSC-derived cells further expands the therapeutic potential of cell therapy beyond those that utilize healthy donor-derived NK or T cells.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09" w:name="page110"/>
    <w:bookmarkEnd w:id="10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Evolution of targeted cell therapies in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114935</wp:posOffset>
            </wp:positionV>
            <wp:extent cx="3960495" cy="21443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960495" cy="214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Limitations of autologous CAR-T therapies</w:t>
      </w:r>
    </w:p>
    <w:p>
      <w:pPr>
        <w:spacing w:after="0" w:line="125" w:lineRule="exact"/>
        <w:rPr>
          <w:sz w:val="20"/>
          <w:szCs w:val="20"/>
          <w:color w:val="auto"/>
        </w:rPr>
      </w:pPr>
    </w:p>
    <w:p>
      <w:pPr>
        <w:ind w:left="1220" w:right="1399"/>
        <w:spacing w:after="0" w:line="260" w:lineRule="auto"/>
        <w:rPr>
          <w:sz w:val="20"/>
          <w:szCs w:val="20"/>
          <w:color w:val="auto"/>
        </w:rPr>
      </w:pPr>
      <w:r>
        <w:rPr>
          <w:rFonts w:ascii="Arial" w:cs="Arial" w:eastAsia="Arial" w:hAnsi="Arial"/>
          <w:sz w:val="14"/>
          <w:szCs w:val="14"/>
          <w:color w:val="auto"/>
        </w:rPr>
        <w:t>Autologous CAR-T therapies have many characteristics that we believe limit their therapeutic potential. These therapies necessitate an individualized and lengthy manufacturing process, resulting in increased wait times for patients, limited product availability and increased supply chain complexity and cost. Additionally, patients may have undergone multiple therapeutic regimens such as chemotherapy or radiation treatment that may negatively impact the health of the donor cells. Damaged or weakened donor cells may not be able to properly proliferate, resulting in manufacturing failure or insufficient potency.</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Limitations of healthy donor-derived allogeneic CAR-NK and CAR-T therapies</w:t>
      </w:r>
    </w:p>
    <w:p>
      <w:pPr>
        <w:spacing w:after="0" w:line="136"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Allogeneic CAR-T and CAR-NK therapy uses lymphocytes donated by a person other than the patient as the starting biological material. Since the manufacturing process for allogeneic therapies is not individualized, allogeneic approaches enable immediate treatment availability and the opportunity to distribute cost across a larger number of doses, lowering the manufacturing cost per dose. Manufacturing healthy donor cells in larger batches provides the opportunity for more rigorous quality control and the production of engineered cells of a more consistent character while reducing the risk of manufacturing failure. While these benefits address some of the key limitations of autologous CAR-T therapies, allogeneic approaches still face challenges, including:</w:t>
      </w:r>
    </w:p>
    <w:p>
      <w:pPr>
        <w:spacing w:after="0" w:line="312"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GvHD.</w:t>
      </w:r>
    </w:p>
    <w:p>
      <w:pPr>
        <w:spacing w:after="0" w:line="123"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Graft versus host disease, or GvHD, is a serious and life-threatening conditions triggered when donor T cells recognize the recipient as non-self and initiate a powerful immune response against the recipient. This recognition is mediated by TCR engagement with the HLA expressed on organs of the recipient. Conversely, allogeneic CAR-T cells may be recognized as foreign to the recipient’s body and eliminated by the recipient’s immune system. CAR-NK cells do not express a TCR, and therefore the use of iNK cells does not trigger GvHD.</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Host versus graft rejection.</w:t>
      </w:r>
    </w:p>
    <w:p>
      <w:pPr>
        <w:spacing w:after="0" w:line="134" w:lineRule="exact"/>
        <w:rPr>
          <w:sz w:val="20"/>
          <w:szCs w:val="20"/>
          <w:color w:val="auto"/>
        </w:rPr>
      </w:pPr>
    </w:p>
    <w:p>
      <w:pPr>
        <w:ind w:left="1220" w:right="1319"/>
        <w:spacing w:after="0" w:line="262" w:lineRule="auto"/>
        <w:rPr>
          <w:sz w:val="20"/>
          <w:szCs w:val="20"/>
          <w:color w:val="auto"/>
        </w:rPr>
      </w:pPr>
      <w:r>
        <w:rPr>
          <w:rFonts w:ascii="Arial" w:cs="Arial" w:eastAsia="Arial" w:hAnsi="Arial"/>
          <w:sz w:val="14"/>
          <w:szCs w:val="14"/>
          <w:color w:val="auto"/>
        </w:rPr>
        <w:t>In a similar fashion, allogeneic CAR-T cells may be recognized as foreign by the recipient’s immune system, leading to their rejection. The patient’s immune system being sensitized to the allogenic CAR-T also precludes the ability for the cells to be effectively re-dosed. Both outcomes diminish the ability of the infused cells to attack the cancer.</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0" w:name="page111"/>
    <w:bookmarkEnd w:id="11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Limited gene editing potential.</w:t>
      </w:r>
    </w:p>
    <w:p>
      <w:pPr>
        <w:spacing w:after="0" w:line="134" w:lineRule="exact"/>
        <w:rPr>
          <w:sz w:val="20"/>
          <w:szCs w:val="20"/>
          <w:color w:val="auto"/>
        </w:rPr>
      </w:pPr>
    </w:p>
    <w:p>
      <w:pPr>
        <w:ind w:left="1220" w:right="1519"/>
        <w:spacing w:after="0" w:line="277" w:lineRule="auto"/>
        <w:rPr>
          <w:sz w:val="20"/>
          <w:szCs w:val="20"/>
          <w:color w:val="auto"/>
        </w:rPr>
      </w:pPr>
      <w:r>
        <w:rPr>
          <w:rFonts w:ascii="Arial" w:cs="Arial" w:eastAsia="Arial" w:hAnsi="Arial"/>
          <w:sz w:val="14"/>
          <w:szCs w:val="14"/>
          <w:color w:val="auto"/>
        </w:rPr>
        <w:t>Allogeneic approaches that utilize differentiated lymphocytes are limited to just a few genetic edits. One edit utilized consistently across all allogeneic approaches is the addition of a CAR. Furthermore, elimination of the HLA-I is another typical edit. The number of edits that can be introduced into the genome of differentiated NK cells or T cells is limited, as each engineering step requires cells to replicate and too many expansion cycles often result in cell exhaustion.</w:t>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Finite replication capacity.</w:t>
      </w:r>
    </w:p>
    <w:p>
      <w:pPr>
        <w:spacing w:after="0" w:line="144"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Once donor cells have been sourced and modified, they must be expanded into a quantity sufficient for therapeutic efficacy. The number of doses that can be produced from a single donation of blood is limited, such that multiple donations will be needed over the lifetime of a product. Therefore, genetic modifications must be performed in their entirety following each donation. Furthermore, all blood, even from the same donor collected at different times, has some degree of variability and, as a result, product comparability from donation to donation must be demonstrated. In addition, the number of edits that can be introduced into the genome of NK cells or T cells is severely limited, as each engineering step requires cells to replicate. Too many expansion cycles often result in cell exhaustion, with the engineered lymphocytes (white blood cells) expressing checkpoint molecules, often accompanied by a loss of functionality.</w:t>
      </w:r>
    </w:p>
    <w:p>
      <w:pPr>
        <w:spacing w:after="0" w:line="30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Advantages of iPSC vs. donor-derived approaches</w:t>
      </w:r>
    </w:p>
    <w:p>
      <w:pPr>
        <w:spacing w:after="0" w:line="146"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An iPSC is a type of stem cell that can be generated directly from a functionally differentiated somatic cell such as a blood cell, skin cell or bone cell. IPSC-derived cell products offer what we believe are significant technical and manufacturing advantages compared to both autologous and other allogeneic approaches. IPSC cells can propagate indefinitely and can act as a progenitor cell for other cell types, including the different types of immune cells. Our in-licensed iPSC technology allows us to reprogram differentiated cells to become iPSCs and to then differentiate the iPSCs to generate different immune cell types including NK cells and T cells. We believe some of the advantages offered by iPSCs are:</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Receptive to complex genetic editing.</w:t>
      </w:r>
    </w:p>
    <w:p>
      <w:pPr>
        <w:spacing w:after="0" w:line="134" w:lineRule="exact"/>
        <w:rPr>
          <w:sz w:val="20"/>
          <w:szCs w:val="20"/>
          <w:color w:val="auto"/>
        </w:rPr>
      </w:pPr>
    </w:p>
    <w:p>
      <w:pPr>
        <w:ind w:left="1220" w:right="1239"/>
        <w:spacing w:after="0" w:line="276" w:lineRule="auto"/>
        <w:rPr>
          <w:sz w:val="20"/>
          <w:szCs w:val="20"/>
          <w:color w:val="auto"/>
        </w:rPr>
      </w:pPr>
      <w:r>
        <w:rPr>
          <w:rFonts w:ascii="Arial" w:cs="Arial" w:eastAsia="Arial" w:hAnsi="Arial"/>
          <w:sz w:val="14"/>
          <w:szCs w:val="14"/>
          <w:color w:val="auto"/>
        </w:rPr>
        <w:t>We believe that iPSCs are far more amenable to multiple genetic manipulations than donor-derived NK cells and T cells because iPSC cells can undergo multiple rounds of replication without loss of functionality. In contrast, differentiated cells used in donor derived allogeneic approaches are limited to just a few genetic edits, which can impact their overall functionality. The number of edits that can be introduced into the genome of differentiated NK cells or T cells is limited because each engineering step requires cells to replicate and too many expansion cycles often result in cell exhaustion and loss of functionality.</w:t>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Significant replication capacity.</w:t>
      </w:r>
    </w:p>
    <w:p>
      <w:pPr>
        <w:spacing w:after="0" w:line="144" w:lineRule="exact"/>
        <w:rPr>
          <w:sz w:val="20"/>
          <w:szCs w:val="20"/>
          <w:color w:val="auto"/>
        </w:rPr>
      </w:pPr>
    </w:p>
    <w:p>
      <w:pPr>
        <w:ind w:left="1220" w:right="1259"/>
        <w:spacing w:after="0" w:line="281" w:lineRule="auto"/>
        <w:rPr>
          <w:sz w:val="20"/>
          <w:szCs w:val="20"/>
          <w:color w:val="auto"/>
        </w:rPr>
      </w:pPr>
      <w:r>
        <w:rPr>
          <w:rFonts w:ascii="Arial" w:cs="Arial" w:eastAsia="Arial" w:hAnsi="Arial"/>
          <w:sz w:val="14"/>
          <w:szCs w:val="14"/>
          <w:color w:val="auto"/>
        </w:rPr>
        <w:t>iPSCs are derived from single cell clones, which are used to construct a master cell bank capable of providing a sufficient number of doses for the life of a product due to the unlimited replicative capacity of iPSCs.</w:t>
      </w:r>
    </w:p>
    <w:p>
      <w:pPr>
        <w:spacing w:after="0" w:line="122"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Streamlined manufacturing and consistent product.</w:t>
      </w:r>
    </w:p>
    <w:p>
      <w:pPr>
        <w:spacing w:after="0" w:line="144" w:lineRule="exact"/>
        <w:rPr>
          <w:sz w:val="20"/>
          <w:szCs w:val="20"/>
          <w:color w:val="auto"/>
        </w:rPr>
      </w:pPr>
    </w:p>
    <w:p>
      <w:pPr>
        <w:jc w:val="both"/>
        <w:ind w:left="1220" w:right="1459"/>
        <w:spacing w:after="0" w:line="281" w:lineRule="auto"/>
        <w:rPr>
          <w:sz w:val="20"/>
          <w:szCs w:val="20"/>
          <w:color w:val="auto"/>
        </w:rPr>
      </w:pPr>
      <w:r>
        <w:rPr>
          <w:rFonts w:ascii="Arial" w:cs="Arial" w:eastAsia="Arial" w:hAnsi="Arial"/>
          <w:sz w:val="14"/>
          <w:szCs w:val="14"/>
          <w:color w:val="auto"/>
        </w:rPr>
        <w:t>The use of a single master cell bank allows iPSC-derived products to be produced with greater consistency, at the greatest possible scale and at reduced cost compared to donor-derived NK cells or T cells.</w:t>
      </w:r>
    </w:p>
    <w:p>
      <w:pPr>
        <w:spacing w:after="0" w:line="93" w:lineRule="exact"/>
        <w:rPr>
          <w:sz w:val="20"/>
          <w:szCs w:val="20"/>
          <w:color w:val="auto"/>
        </w:rPr>
      </w:pPr>
    </w:p>
    <w:p>
      <w:pPr>
        <w:ind w:left="1220" w:right="1279"/>
        <w:spacing w:after="0" w:line="290" w:lineRule="auto"/>
        <w:rPr>
          <w:sz w:val="20"/>
          <w:szCs w:val="20"/>
          <w:color w:val="auto"/>
        </w:rPr>
      </w:pPr>
      <w:r>
        <w:rPr>
          <w:rFonts w:ascii="Arial" w:cs="Arial" w:eastAsia="Arial" w:hAnsi="Arial"/>
          <w:sz w:val="14"/>
          <w:szCs w:val="14"/>
          <w:color w:val="auto"/>
        </w:rPr>
        <w:t>We believe that iPSC-derived cell therapies provide meaningful advantages over other modalities and have the potential to disrupt the oncology treatment paradigm.</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1" w:name="page112"/>
    <w:bookmarkEnd w:id="11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Stages of iPSC gene editing, characterization, and clonal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128905</wp:posOffset>
            </wp:positionV>
            <wp:extent cx="3254375" cy="20897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54375" cy="2089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20" w:right="1319"/>
        <w:spacing w:after="0" w:line="245" w:lineRule="auto"/>
        <w:rPr>
          <w:sz w:val="20"/>
          <w:szCs w:val="20"/>
          <w:color w:val="auto"/>
        </w:rPr>
      </w:pPr>
      <w:r>
        <w:rPr>
          <w:rFonts w:ascii="Arial" w:cs="Arial" w:eastAsia="Arial" w:hAnsi="Arial"/>
          <w:sz w:val="14"/>
          <w:szCs w:val="14"/>
          <w:i w:val="1"/>
          <w:iCs w:val="1"/>
          <w:color w:val="auto"/>
        </w:rPr>
        <w:t>Stages of iPSC gene editing, characterization, and clonal selection prior to the generation of the engineered iPSC master cell bank (MCB). Genetic engineering of our product candidates occurs exclusively at the iPSC stage, where the cells have unlimited replicative capacity and pluripotency. In the above figure, we highlight the multiple steps required for selection of the final CNTY-101 clinical candidate. Gene edited iPSCs from multiple donors were enriched for having the introduced transgenes and knockouts and subsequently cloned at the single cell level. Uniform expression of the transgenes and knockouts was confirmed, and clones were evaluated for their growth potential, genetic profile, differentiation potential into iNK cells, in vitro functionality, and in vivo performance (tumor growth inhibition, persistence and toxicity).</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Our rationale for developing both iNK and iT allogeneic cell therapy platforms</w:t>
      </w:r>
    </w:p>
    <w:p>
      <w:pPr>
        <w:spacing w:after="0" w:line="146" w:lineRule="exact"/>
        <w:rPr>
          <w:sz w:val="20"/>
          <w:szCs w:val="20"/>
          <w:color w:val="auto"/>
        </w:rPr>
      </w:pPr>
    </w:p>
    <w:p>
      <w:pPr>
        <w:ind w:left="1220" w:right="1239"/>
        <w:spacing w:after="0" w:line="290" w:lineRule="auto"/>
        <w:rPr>
          <w:sz w:val="20"/>
          <w:szCs w:val="20"/>
          <w:color w:val="auto"/>
        </w:rPr>
      </w:pPr>
      <w:r>
        <w:rPr>
          <w:rFonts w:ascii="Arial" w:cs="Arial" w:eastAsia="Arial" w:hAnsi="Arial"/>
          <w:sz w:val="14"/>
          <w:szCs w:val="14"/>
          <w:color w:val="auto"/>
        </w:rPr>
        <w:t>We are focusing on two immune effector cell platforms, CAR-iNK and CAR-iT. We anticipate each platform will have a distinct biology that influences its function, and accordingly, the disease settings in which it is best suited for development. We view this dual development strategy as an opportunity to maximize the potential benefits of each platform and its associated immune cell. In the future, we may develop therapies that simultaneously incorporate both CAR-iNK and CAR-iT cells in the treatment of individual patients. We believe that gene engineering and control over differentiation during manufacturing may mitigate some of the liabilities of a given cell type while preserving the most desirable features. Examples of this include the potential reduction of the risk of GvHD in iT cells through the use of TCRs that are not expected to cause GvHD, which we refer to herein as Trusted TCRs, or the potential extension of cell persistence of NK cells through the addition of cytokine signaling to promote survival. Finally, there are also clinical settings in which a putative shortcoming inherent to one cell type (e.g., short persistence of NK cells) might confer an advantage (e.g., when targeting AML antigens that are also expressed on some normal hematopoietic progenitors, enabling a chance for normal cell recovery between doses). Ultimately, the development of both platforms enables a unique opportunity to merge the intrinsic biology of these lymphocyte subsets with desirable engineering attributes to tailor therapies best suited for the clinical path being pursued.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2" w:name="page113"/>
    <w:bookmarkEnd w:id="11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Development of CAR-NK and CAR-T platforms: distinct biology influences disease-specific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83185</wp:posOffset>
            </wp:positionV>
            <wp:extent cx="3528695" cy="21583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528695" cy="2158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Our proprietary technology and differentiated approach</w:t>
      </w:r>
    </w:p>
    <w:p>
      <w:pPr>
        <w:spacing w:after="0" w:line="117" w:lineRule="exact"/>
        <w:rPr>
          <w:sz w:val="20"/>
          <w:szCs w:val="20"/>
          <w:color w:val="auto"/>
        </w:rPr>
      </w:pPr>
    </w:p>
    <w:p>
      <w:pPr>
        <w:ind w:left="1220" w:right="1299"/>
        <w:spacing w:after="0" w:line="265" w:lineRule="auto"/>
        <w:rPr>
          <w:sz w:val="20"/>
          <w:szCs w:val="20"/>
          <w:color w:val="auto"/>
        </w:rPr>
      </w:pPr>
      <w:r>
        <w:rPr>
          <w:rFonts w:ascii="Arial" w:cs="Arial" w:eastAsia="Arial" w:hAnsi="Arial"/>
          <w:sz w:val="14"/>
          <w:szCs w:val="14"/>
          <w:b w:val="1"/>
          <w:bCs w:val="1"/>
          <w:i w:val="1"/>
          <w:iCs w:val="1"/>
          <w:color w:val="auto"/>
        </w:rPr>
        <w:t>Advanced cell engineering expertise further differentiates our iPSC-derived allogeneic cell therapies</w:t>
      </w:r>
    </w:p>
    <w:p>
      <w:pPr>
        <w:spacing w:after="0" w:line="60"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Our research and development team includes personnel with deep expertise in cell engineering. Cell engineering encompasses two critical components: genome engineering and protein engineering. We believe robust expertise in both these areas is of critical importance to realizing the potential of our iPSC-derived allogeneic cell therapy platforms. Genome engineering involves the manipulation of the cellular genome, through the use of genetic manipulation strategies including genetic knock-outs, knock-ins and homology directed repair, to enable the creation of optimized cell products specifically tailored to address a particular disease. Protein engineering refers to the engineering and incorporation of CARs and other transgenes such as stimulatory cytokines, allo-evasive molecules, safety switches, and reporter proteins to generate highly functional cell therapies. We leverage these integrated capabilities to potentially enable our cell therapies to persist longer, to overcome detection by the host immune system and to elicit an enhanced therapeutic effect.</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End-to-end development of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1322070</wp:posOffset>
            </wp:positionH>
            <wp:positionV relativeFrom="paragraph">
              <wp:posOffset>94615</wp:posOffset>
            </wp:positionV>
            <wp:extent cx="3076575" cy="1452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076575" cy="1452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Common engineered iPSC progenitor</w:t>
      </w:r>
    </w:p>
    <w:p>
      <w:pPr>
        <w:spacing w:after="0" w:line="101" w:lineRule="exact"/>
        <w:rPr>
          <w:sz w:val="20"/>
          <w:szCs w:val="20"/>
          <w:color w:val="auto"/>
        </w:rPr>
      </w:pPr>
    </w:p>
    <w:p>
      <w:pPr>
        <w:jc w:val="both"/>
        <w:ind w:left="1220" w:right="1379"/>
        <w:spacing w:after="0" w:line="224" w:lineRule="auto"/>
        <w:rPr>
          <w:sz w:val="20"/>
          <w:szCs w:val="20"/>
          <w:color w:val="auto"/>
        </w:rPr>
      </w:pPr>
      <w:r>
        <w:rPr>
          <w:rFonts w:ascii="Arial" w:cs="Arial" w:eastAsia="Arial" w:hAnsi="Arial"/>
          <w:sz w:val="14"/>
          <w:szCs w:val="14"/>
          <w:color w:val="auto"/>
        </w:rPr>
        <w:t>All of our product candidates include a set of core features to increase their functionality, safety, and persistence. These features include (i)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to enable the cells to avoid detection by the host</w:t>
      </w: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3" w:name="page114"/>
    <w:bookmarkEnd w:id="11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 xml:space="preserve">immune system; (ii) a safety switch to allow for the rapid elimination of the cells from the patient if necessary; (iii) the inclusion of a homeostatic cytokine, IL-15, which promotes increased functionality and persistence </w:t>
      </w:r>
      <w:r>
        <w:rPr>
          <w:rFonts w:ascii="Arial" w:cs="Arial" w:eastAsia="Arial" w:hAnsi="Arial"/>
          <w:sz w:val="14"/>
          <w:szCs w:val="14"/>
          <w:i w:val="1"/>
          <w:iCs w:val="1"/>
          <w:color w:val="auto"/>
        </w:rPr>
        <w:t>in vivo</w:t>
      </w:r>
      <w:r>
        <w:rPr>
          <w:rFonts w:ascii="Arial" w:cs="Arial" w:eastAsia="Arial" w:hAnsi="Arial"/>
          <w:sz w:val="14"/>
          <w:szCs w:val="14"/>
          <w:color w:val="auto"/>
        </w:rPr>
        <w:t>, and is specific to NK cell therapy candidates; and (iv) a positron emission tomography, or PET, reporter molecule to allow for tracing of the distribution of cells upon administration, a capability we intend to include in our future product candidates. Our lead product candidate, CNTY-101, already incorporates the first three of these features. We plan to build all of these core features into a “common engineered iPSC progenitor” which will be utilized in the creation of a mater cell bank. Further engineering to advance a development candidate for a specific target is then limited only to the addition of a CAR construct, allowing the generation of multiple product candidates targeting different indications from a single iPSC progenitor.</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 single engineered iPSC progenitor can be used for multiple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848995</wp:posOffset>
            </wp:positionH>
            <wp:positionV relativeFrom="paragraph">
              <wp:posOffset>121920</wp:posOffset>
            </wp:positionV>
            <wp:extent cx="4028440" cy="1822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28440" cy="1822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Highly efficient engineering processes</w:t>
      </w:r>
    </w:p>
    <w:p>
      <w:pPr>
        <w:spacing w:after="0" w:line="144"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We have designed highly efficient engineering processes to generate our product candidates. During the engineering process, we frequently combine the knock-out of specific genes with the knock-in of transgenes we seek to express. In the case of CNTY-101, our lead product candidate, we incorporate six gene edits into three engineering steps to combine the knock-out of two genes (beta-2-microglobulin, or β2m, and Class II Major Histocompatibility Complex Transactivator, or CIITA) with the knock-in of four transgenes (HLA-E, EGFR safety switch, IL-15, and CD19 CAR). The specific steps include (i) knock-out of β2m to eliminate HLA-I expression with the knock-in of HLA-E, (ii) knock-out of CIITA to eliminate HLA-II expression with the simultaneous knock-in of the EGFR safety switch and IL-15 and (iii) knock-in of the CAR construct into the adeno-associated virus insertion sequence 1, or AAVS1, locus.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4" w:name="page115"/>
    <w:bookmarkEnd w:id="11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Engineering steps used to generate our CNTY-101 clinical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848995</wp:posOffset>
            </wp:positionH>
            <wp:positionV relativeFrom="paragraph">
              <wp:posOffset>114935</wp:posOffset>
            </wp:positionV>
            <wp:extent cx="4028440" cy="15417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028440" cy="154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These modifications are enabled by our innovative use of advanced biological engineering tools and technologies coupled with the application of internal expertise. We use CRISPR-based nuclease to enable precise editing of the iPSC genome. For CNTY-101 we used the nuclease Cpf-1 but have shifted to CRISPR-MAD7 for all subsequent programs for commercial reasons. In addition to our license from Inscripta, Inc. to use CRISPR-MAD7, we also have a license from Inscripta, Inc. to access the sequence of the enzyme which allows us to develop proprietary protocols to produce and purify the enzyme in-house as well as optimize its use to edit the genome. We have optimized our use of CRISPR-MAD7 to enable CRISPR-mediated homologous recombination and repair of multiple edits per iPSC.</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CRISPR mediated homologous recombination/repair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1164590</wp:posOffset>
            </wp:positionH>
            <wp:positionV relativeFrom="paragraph">
              <wp:posOffset>121920</wp:posOffset>
            </wp:positionV>
            <wp:extent cx="3398520" cy="22269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98520" cy="2226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Advantages of our proprietary Allo-Evasion</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technology</w:t>
      </w:r>
    </w:p>
    <w:p>
      <w:pPr>
        <w:spacing w:after="0" w:line="51" w:lineRule="exact"/>
        <w:rPr>
          <w:sz w:val="20"/>
          <w:szCs w:val="20"/>
          <w:color w:val="auto"/>
        </w:rPr>
      </w:pPr>
    </w:p>
    <w:p>
      <w:pPr>
        <w:ind w:left="1220" w:right="1339"/>
        <w:spacing w:after="0" w:line="246" w:lineRule="auto"/>
        <w:rPr>
          <w:sz w:val="20"/>
          <w:szCs w:val="20"/>
          <w:color w:val="auto"/>
        </w:rPr>
      </w:pPr>
      <w:r>
        <w:rPr>
          <w:rFonts w:ascii="Arial" w:cs="Arial" w:eastAsia="Arial" w:hAnsi="Arial"/>
          <w:sz w:val="14"/>
          <w:szCs w:val="14"/>
          <w:color w:val="auto"/>
        </w:rPr>
        <w:t>We believe that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engineering technology will allow our cell product candidates to escape recognition and destruction by the host immune system. We believe the reduction in allogeneic reactivity enabled by our use of this technology will allow us to conduct repeat dosing of our CAR-modified cell therapies to improve therapeutic efficacy. In combination with the extended killing capability of optimized immune cells</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5" w:name="page116"/>
    <w:bookmarkEnd w:id="11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319"/>
        <w:spacing w:after="0" w:line="297" w:lineRule="auto"/>
        <w:rPr>
          <w:sz w:val="20"/>
          <w:szCs w:val="20"/>
          <w:color w:val="auto"/>
        </w:rPr>
      </w:pPr>
      <w:r>
        <w:rPr>
          <w:rFonts w:ascii="Arial" w:cs="Arial" w:eastAsia="Arial" w:hAnsi="Arial"/>
          <w:sz w:val="14"/>
          <w:szCs w:val="14"/>
          <w:color w:val="auto"/>
        </w:rPr>
        <w:t>derived from single genetically engineered cell cloning, we envision utilizing repeat dosing to maximize durability of response and efficacy. Additionally, we believe this technology may permit dosing in patients with limited or no immune preconditioning regimens.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potential of Allo-Evasion</w:t>
      </w:r>
      <w:r>
        <w:rPr>
          <w:rFonts w:ascii="Arial" w:cs="Arial" w:eastAsia="Arial" w:hAnsi="Arial"/>
          <w:sz w:val="21"/>
          <w:szCs w:val="21"/>
          <w:b w:val="1"/>
          <w:bCs w:val="1"/>
          <w:color w:val="auto"/>
          <w:vertAlign w:val="superscript"/>
        </w:rPr>
        <w:t>TM</w:t>
      </w:r>
      <w:r>
        <w:rPr>
          <w:rFonts w:ascii="Arial" w:cs="Arial" w:eastAsia="Arial" w:hAnsi="Arial"/>
          <w:sz w:val="14"/>
          <w:szCs w:val="14"/>
          <w:b w:val="1"/>
          <w:bCs w:val="1"/>
          <w:color w:val="auto"/>
        </w:rPr>
        <w:t xml:space="preserve"> using NK inhibitory ligands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20" w:right="1299"/>
        <w:spacing w:after="0" w:line="230" w:lineRule="auto"/>
        <w:rPr>
          <w:sz w:val="20"/>
          <w:szCs w:val="20"/>
          <w:color w:val="auto"/>
        </w:rPr>
      </w:pPr>
      <w:r>
        <w:rPr>
          <w:rFonts w:ascii="Arial" w:cs="Arial" w:eastAsia="Arial" w:hAnsi="Arial"/>
          <w:sz w:val="14"/>
          <w:szCs w:val="14"/>
          <w:i w:val="1"/>
          <w:iCs w:val="1"/>
          <w:color w:val="auto"/>
        </w:rPr>
        <w:t>Preventing recognition of allogeneic iNK cell product candidates by T cells and NK cells from immune competent recipients. Genetic knockout of genes necessary for HLA I and II molecule expression removes the targets of recognition by allogeneic CD8</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and CD4</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T cells respectively, but renders the cells susceptible to killing by recipient NK cells (middle panel). Introduction of the NK inhibitory ligand HLA-E into the product candidate (right panel) delivers a negative signal to recipient NK cells that protects them from elimination.</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r>
        <w:rPr>
          <w:rFonts w:ascii="Arial" w:cs="Arial" w:eastAsia="Arial" w:hAnsi="Arial"/>
          <w:sz w:val="14"/>
          <w:szCs w:val="14"/>
          <w:b w:val="1"/>
          <w:bCs w:val="1"/>
          <w:color w:val="auto"/>
        </w:rPr>
        <w:t>llustrative potential of PK of Allo-Evasion</w:t>
      </w:r>
      <w:r>
        <w:rPr>
          <w:rFonts w:ascii="Arial" w:cs="Arial" w:eastAsia="Arial" w:hAnsi="Arial"/>
          <w:sz w:val="21"/>
          <w:szCs w:val="21"/>
          <w:b w:val="1"/>
          <w:bCs w:val="1"/>
          <w:color w:val="auto"/>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855980</wp:posOffset>
            </wp:positionH>
            <wp:positionV relativeFrom="paragraph">
              <wp:posOffset>101600</wp:posOffset>
            </wp:positionV>
            <wp:extent cx="4008120" cy="17811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008120" cy="178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Future generations of our cell therapies will embrace an extended range of capabilities</w:t>
      </w:r>
    </w:p>
    <w:p>
      <w:pPr>
        <w:spacing w:after="0" w:line="144" w:lineRule="exact"/>
        <w:rPr>
          <w:sz w:val="20"/>
          <w:szCs w:val="20"/>
          <w:color w:val="auto"/>
        </w:rPr>
      </w:pPr>
    </w:p>
    <w:p>
      <w:pPr>
        <w:ind w:left="1220" w:right="1259"/>
        <w:spacing w:after="0" w:line="291" w:lineRule="auto"/>
        <w:rPr>
          <w:sz w:val="20"/>
          <w:szCs w:val="20"/>
          <w:color w:val="auto"/>
        </w:rPr>
      </w:pPr>
      <w:r>
        <w:rPr>
          <w:rFonts w:ascii="Arial" w:cs="Arial" w:eastAsia="Arial" w:hAnsi="Arial"/>
          <w:sz w:val="14"/>
          <w:szCs w:val="14"/>
          <w:color w:val="auto"/>
        </w:rPr>
        <w:t>We envision future generations of our iPSC-derived allogeneic cell therapy platforms to incorporate additional capabilities. For instance, we are working on new approaches to lessen the effects of immunosuppressive cytokines, increase the secretion of pro-inflammatory cytokines, improve tumor homing through engineered receptors, convert immune checkpoints into co-stimulatory signals and recruit and activate endogenous immunity. We believe therapeutic enhancements such as these may be particularly relevant to cell therapies intended to treat solid tumors. In addition, we intend to engineer into our iPSCs a PET reporter molecule to enable the imaging of the patient to trace the distribution of the administered cells.</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6" w:name="page117"/>
    <w:bookmarkEnd w:id="11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Future product candidates will be designed to embrace a potentially extended range of</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1424940</wp:posOffset>
            </wp:positionH>
            <wp:positionV relativeFrom="paragraph">
              <wp:posOffset>117475</wp:posOffset>
            </wp:positionV>
            <wp:extent cx="2870835" cy="1788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70835" cy="178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To achieve our objective of discovering, developing and ultimately commercializing innovative cell therapies to treat cancer, we believe our core competencies and capabilities must extend well beyond a knowledge of iPSCs. In addition to deep capabilities in cell engineering, we believe the expertise needed in-house must also include iPSC biology, oncology, immunology, and manufacturing which are essential to engineer and develop cell therapies that have a high likelihood of clinical success.</w:t>
      </w:r>
    </w:p>
    <w:p>
      <w:pPr>
        <w:spacing w:after="0" w:line="30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Manufacturing, product quality and COGS advantages</w:t>
      </w:r>
    </w:p>
    <w:p>
      <w:pPr>
        <w:spacing w:after="0" w:line="136" w:lineRule="exact"/>
        <w:rPr>
          <w:sz w:val="20"/>
          <w:szCs w:val="20"/>
          <w:color w:val="auto"/>
        </w:rPr>
      </w:pPr>
    </w:p>
    <w:p>
      <w:pPr>
        <w:ind w:left="1220" w:right="1299"/>
        <w:spacing w:after="0" w:line="280" w:lineRule="auto"/>
        <w:rPr>
          <w:sz w:val="20"/>
          <w:szCs w:val="20"/>
          <w:color w:val="auto"/>
        </w:rPr>
      </w:pPr>
      <w:r>
        <w:rPr>
          <w:rFonts w:ascii="Arial" w:cs="Arial" w:eastAsia="Arial" w:hAnsi="Arial"/>
          <w:sz w:val="14"/>
          <w:szCs w:val="14"/>
          <w:color w:val="auto"/>
        </w:rPr>
        <w:t>We believe our use of iPSCs, which have unlimited replicative capacity, will allow us to develop a streamlined manufacturing process with scalability advantages while producing consistent, high quality, off-the-shelf products at reduced manufacturing costs. Given the unlimited replicative capacity of iPSCs, we believe that a single master cell bank can be used for the lifetime of the product.</w:t>
      </w:r>
    </w:p>
    <w:p>
      <w:pPr>
        <w:spacing w:after="0" w:line="285"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We intend to develop expertise in scale-up technologies to enable optimal manufacturing scale. To achieve this goal, we are building a team of process development engineers and scientists as well as manufacturing and quality staff with experience in scaling cell expansion, cell harvest and final product filling processes. In addition, we are leveraging knowledge from other modalities, such as allogeneic mesenchymal stromal cell therapies, live virus vaccines, and therapeutic proteins such as monoclonal antibodies, to identify and develop scalable technologies intended to enhance our manufacturing and production processes. We believe that these efforts will ultimately result in efficiencies of scale and reduced manufacturing costs for our products. We intend to increase our investment in scale-up technology as our product pipeline advances through clinical trials towards commercialization.</w:t>
      </w:r>
    </w:p>
    <w:p>
      <w:pPr>
        <w:spacing w:after="0" w:line="282"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We are investing in internal manufacturing facilities and capabilities that we believe will enable us to analyze, learn and adapt more rapidly, reduce manufacturing costs and increase control of development and manufacturing timelines for efficient clinical development and, if approved, commercial production of our product candidates. A key aspect of our investment in internal manufacturing facilities and capabilities includes the construction of our Current Good Manufacturing Practices, or cGMP, manufacturing facility in Branchburg, New Jersey. We anticipate that this facility will become operational by the end of 2021. This multi-product, multi-phase facility will have the capabilities and capacity to manufacture both NK and T cells, as well as other immune cell types, for complete optionality.</w:t>
      </w:r>
    </w:p>
    <w:p>
      <w:pPr>
        <w:spacing w:after="0" w:line="288" w:lineRule="exact"/>
        <w:rPr>
          <w:sz w:val="20"/>
          <w:szCs w:val="20"/>
          <w:color w:val="auto"/>
        </w:rPr>
      </w:pPr>
    </w:p>
    <w:p>
      <w:pPr>
        <w:ind w:left="1220" w:right="1379"/>
        <w:spacing w:after="0" w:line="278" w:lineRule="auto"/>
        <w:rPr>
          <w:sz w:val="20"/>
          <w:szCs w:val="20"/>
          <w:color w:val="auto"/>
        </w:rPr>
      </w:pPr>
      <w:r>
        <w:rPr>
          <w:rFonts w:ascii="Arial" w:cs="Arial" w:eastAsia="Arial" w:hAnsi="Arial"/>
          <w:sz w:val="14"/>
          <w:szCs w:val="14"/>
          <w:color w:val="auto"/>
        </w:rPr>
        <w:t>We believe that having access to our internal manufacturing facility, along with that of FCDI, will increase clinical supply availability and provide us with manufacturing and developmental flexibility. Furthermore, the expertise and learnings at each site can be leveraged for a greater probability of success on any project at either site. We</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7" w:name="page118"/>
    <w:bookmarkEnd w:id="11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419"/>
        <w:spacing w:after="0" w:line="281" w:lineRule="auto"/>
        <w:rPr>
          <w:sz w:val="20"/>
          <w:szCs w:val="20"/>
          <w:color w:val="auto"/>
        </w:rPr>
      </w:pPr>
      <w:r>
        <w:rPr>
          <w:rFonts w:ascii="Arial" w:cs="Arial" w:eastAsia="Arial" w:hAnsi="Arial"/>
          <w:sz w:val="14"/>
          <w:szCs w:val="14"/>
          <w:color w:val="auto"/>
        </w:rPr>
        <w:t>believe this manufacturing network, along with our commitment to develop expertise in process scale-up and process understanding, will enable more efficient manufacturing and clinical development with lower cost of goods and consistent product quality.</w:t>
      </w:r>
    </w:p>
    <w:p>
      <w:pPr>
        <w:spacing w:after="0" w:line="120" w:lineRule="exact"/>
        <w:rPr>
          <w:sz w:val="20"/>
          <w:szCs w:val="20"/>
          <w:color w:val="auto"/>
        </w:rPr>
      </w:pPr>
    </w:p>
    <w:p>
      <w:pPr>
        <w:ind w:left="1220" w:right="1759"/>
        <w:spacing w:after="0" w:line="265" w:lineRule="auto"/>
        <w:rPr>
          <w:sz w:val="20"/>
          <w:szCs w:val="20"/>
          <w:color w:val="auto"/>
        </w:rPr>
      </w:pPr>
      <w:r>
        <w:rPr>
          <w:rFonts w:ascii="Arial" w:cs="Arial" w:eastAsia="Arial" w:hAnsi="Arial"/>
          <w:sz w:val="14"/>
          <w:szCs w:val="14"/>
          <w:b w:val="1"/>
          <w:bCs w:val="1"/>
          <w:i w:val="1"/>
          <w:iCs w:val="1"/>
          <w:color w:val="auto"/>
        </w:rPr>
        <w:t>Off-the-shelf commercialization opportunity for iPSC-derived allogeneic cell therapy platform derived product candidates</w:t>
      </w:r>
    </w:p>
    <w:p>
      <w:pPr>
        <w:spacing w:after="0" w:line="92" w:lineRule="exact"/>
        <w:rPr>
          <w:sz w:val="20"/>
          <w:szCs w:val="20"/>
          <w:color w:val="auto"/>
        </w:rPr>
      </w:pPr>
    </w:p>
    <w:p>
      <w:pPr>
        <w:ind w:left="1220" w:right="1359"/>
        <w:spacing w:after="0" w:line="278" w:lineRule="auto"/>
        <w:rPr>
          <w:sz w:val="20"/>
          <w:szCs w:val="20"/>
          <w:color w:val="auto"/>
        </w:rPr>
      </w:pPr>
      <w:r>
        <w:rPr>
          <w:rFonts w:ascii="Arial" w:cs="Arial" w:eastAsia="Arial" w:hAnsi="Arial"/>
          <w:sz w:val="14"/>
          <w:szCs w:val="14"/>
          <w:color w:val="auto"/>
        </w:rPr>
        <w:t>Allogeneic cells that can be cryopreserved offer the inherent advantage of off-the-shelf availability. Unlike autologous products, which cannot be produced until patient material is collected, the timing for manufacturing of allogeneic products is not dependent upon the patient. Primary donor cells can be collected and genetically modified well in advance of manufacturing, and manufacturing can be planned such that product is always readily available off-the-shelf for patients.</w:t>
      </w:r>
    </w:p>
    <w:p>
      <w:pPr>
        <w:spacing w:after="0" w:line="287"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While cell therapies can be cryopreserved, cell quality may be negatively impacted by the freezing and thawing cycle. To combat this, we are making a significant investment in the development of robust and reliable freezing and thawing methods through rigorous examination of pre-freezing conditions that might affect the freeze/thaw, freezing parameters such as excipient types and concentrations, freezing temperature profiles, container configurations, and thawing conditions. The optimization of the many parameters that go into these steps will be enabled by the development of reliable quality testing procedures that measure the critical quality attributes of the product. We believe investing in these procedures and methods will help ensure that our cryopreserved cells maintain their quality through the freezing and thawing process.</w:t>
      </w:r>
    </w:p>
    <w:p>
      <w:pPr>
        <w:spacing w:after="0" w:line="12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Preclinical profiles or characteristics of development candidates</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Our product platforms</w:t>
      </w:r>
    </w:p>
    <w:p>
      <w:pPr>
        <w:spacing w:after="0" w:line="16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iPSC-derived iNK cell platform</w:t>
      </w:r>
    </w:p>
    <w:p>
      <w:pPr>
        <w:spacing w:after="0" w:line="144" w:lineRule="exact"/>
        <w:rPr>
          <w:sz w:val="20"/>
          <w:szCs w:val="20"/>
          <w:color w:val="auto"/>
        </w:rPr>
      </w:pPr>
    </w:p>
    <w:p>
      <w:pPr>
        <w:ind w:left="1220" w:right="1359"/>
        <w:spacing w:after="0" w:line="280" w:lineRule="auto"/>
        <w:rPr>
          <w:sz w:val="20"/>
          <w:szCs w:val="20"/>
          <w:color w:val="auto"/>
        </w:rPr>
      </w:pPr>
      <w:r>
        <w:rPr>
          <w:rFonts w:ascii="Arial" w:cs="Arial" w:eastAsia="Arial" w:hAnsi="Arial"/>
          <w:sz w:val="14"/>
          <w:szCs w:val="14"/>
          <w:color w:val="auto"/>
        </w:rPr>
        <w:t>Multiple processes have evolved to allow for the differentiation of an iPSC into an immune cell. Many of these approaches involve platforms that use various signaling molecules, referred to as feeder cells, to facilitate iPSC differentiation. We have engineered our iNK cell platform so that that it is feeder cell-free, which simplifies the manufacturing process and further reduces manufacturing costs.</w:t>
      </w:r>
    </w:p>
    <w:p>
      <w:pPr>
        <w:spacing w:after="0" w:line="274"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Differentiation of iPSCs to functional immune cells involves a series of process stages conducted under strictly controlled conditions, with different cytokine mixtures introduced at different process stages. IPSCs are initially differentiated into hematopoietic progenitor cells, or HPCs, during which they assemble into three-dimensional aggregates. Cells from these aggregates bud off and are replated onto different tissue culture vessels coated with a specific extracellular matrix and exposed to a cytokine cocktail that promotes differentiation of the HPCs to NK cells, a process that takes fourteen days. After differentiation, cells are incubated for seven days to activate the NK cells. We are currently capable of achieving fully functional iNK cells from iPSCs in 30 days.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phenotype of iPSC-derived NK cells is similar to primary human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121920</wp:posOffset>
            </wp:positionV>
            <wp:extent cx="3960495" cy="12471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960495" cy="1247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8" w:name="page119"/>
    <w:bookmarkEnd w:id="11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319"/>
        <w:spacing w:after="0" w:line="292" w:lineRule="auto"/>
        <w:rPr>
          <w:sz w:val="20"/>
          <w:szCs w:val="20"/>
          <w:color w:val="auto"/>
        </w:rPr>
      </w:pPr>
      <w:r>
        <w:rPr>
          <w:rFonts w:ascii="Arial" w:cs="Arial" w:eastAsia="Arial" w:hAnsi="Arial"/>
          <w:sz w:val="14"/>
          <w:szCs w:val="14"/>
          <w:color w:val="auto"/>
        </w:rPr>
        <w:t>We have intentionally focused on the parameters that define immune cell functionality to direct internal development initiatives. This focus is intended to improve upon the intellectual property licensed from FCDI. Accordingly, the parameters which have been the primary drivers of our activities have been cell persistence, killing potential and lack of induced toxicities, among other considerations. At the same time, we also characterize the cells phenotypically. As evidenced in the comparison presented above, NK cells derived from our iPSC-derived allogeneic cell therapy platforms are similar to primary human NK cells recovered from peripheral blood, with the phenotypic markers we evaluated displaying close alignment and the slight differences observed reflecting expected person-to-person variation.</w:t>
      </w:r>
    </w:p>
    <w:p>
      <w:pPr>
        <w:spacing w:after="0" w:line="289" w:lineRule="exact"/>
        <w:rPr>
          <w:sz w:val="20"/>
          <w:szCs w:val="20"/>
          <w:color w:val="auto"/>
        </w:rPr>
      </w:pPr>
    </w:p>
    <w:p>
      <w:pPr>
        <w:ind w:left="1220" w:right="1239"/>
        <w:spacing w:after="0" w:line="292" w:lineRule="auto"/>
        <w:rPr>
          <w:sz w:val="20"/>
          <w:szCs w:val="20"/>
          <w:color w:val="auto"/>
        </w:rPr>
      </w:pPr>
      <w:r>
        <w:rPr>
          <w:rFonts w:ascii="Arial" w:cs="Arial" w:eastAsia="Arial" w:hAnsi="Arial"/>
          <w:sz w:val="14"/>
          <w:szCs w:val="14"/>
          <w:color w:val="auto"/>
        </w:rPr>
        <w:t xml:space="preserve">Assessment of these cells’ functionality demonstrates their potential for tumor cell cytotoxicity. Through a series of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studies we evaluated the various mechanisms through which iNK cells eliminate tumor cells. As is presented below, one of the mechanisms used by NK cells to kill tumor cells involves the recognition of tumor cells lacking HLA-I by innate immune receptors. Using a leukemic cell line, K562, that lacks HLA molecules, we noted that the cell killing capacity of our iNK cells closely mirrored that of NK cells isolated from peripheral blood.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iNK cells kill K562 tumor cells similarly to PBMC peripheral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128905</wp:posOffset>
            </wp:positionV>
            <wp:extent cx="2952750" cy="20828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5275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20" w:right="1259"/>
        <w:spacing w:after="0" w:line="249" w:lineRule="auto"/>
        <w:rPr>
          <w:sz w:val="20"/>
          <w:szCs w:val="20"/>
          <w:color w:val="auto"/>
        </w:rPr>
      </w:pPr>
      <w:r>
        <w:rPr>
          <w:rFonts w:ascii="Arial" w:cs="Arial" w:eastAsia="Arial" w:hAnsi="Arial"/>
          <w:sz w:val="14"/>
          <w:szCs w:val="14"/>
          <w:i w:val="1"/>
          <w:iCs w:val="1"/>
          <w:color w:val="auto"/>
        </w:rPr>
        <w:t>Century’s iNK cells and peripheral blood mononuclear cell, or PBMC, NK cells where incubated with K562 tumor cells labelled with NuclightRed, or NLR, for 72 hours. Cocultures were imaged every 3 hours on the Incucyte live cell imager. Upon cytolysis the target cells lose their NLR signal. Tumor cell index measures the density of tumor cells in the wells and is calculated as (tumor and iNK well at time x / tumor only well at time x) / (tumor and iNK well at first time point) * 100.</w:t>
      </w:r>
    </w:p>
    <w:p>
      <w:pPr>
        <w:spacing w:after="0" w:line="279" w:lineRule="exact"/>
        <w:rPr>
          <w:sz w:val="20"/>
          <w:szCs w:val="20"/>
          <w:color w:val="auto"/>
        </w:rPr>
      </w:pPr>
    </w:p>
    <w:p>
      <w:pPr>
        <w:ind w:left="1220" w:right="1319"/>
        <w:spacing w:after="0" w:line="295" w:lineRule="auto"/>
        <w:rPr>
          <w:sz w:val="20"/>
          <w:szCs w:val="20"/>
          <w:color w:val="auto"/>
        </w:rPr>
      </w:pPr>
      <w:r>
        <w:rPr>
          <w:rFonts w:ascii="Arial" w:cs="Arial" w:eastAsia="Arial" w:hAnsi="Arial"/>
          <w:sz w:val="14"/>
          <w:szCs w:val="14"/>
          <w:color w:val="auto"/>
        </w:rPr>
        <w:t>The addition of a CAR construct to the NK cell introduces a second mechanism by which tumor cells are eliminated. Our iPSC-derived NK cells demonstrated CAR-mediated tumor-cell killing of CD19 lymphoma cells, or Raji cells, comparable to peripheral blood CAR-Ts engineered with the same CAR construct.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19" w:name="page120"/>
    <w:bookmarkEnd w:id="11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CAR-iNK cells kill lymphoma cells similarly to peripheral blood CAR-T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128905</wp:posOffset>
            </wp:positionV>
            <wp:extent cx="2973705" cy="21856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97370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20" w:right="1359"/>
        <w:spacing w:after="0" w:line="250" w:lineRule="auto"/>
        <w:rPr>
          <w:sz w:val="20"/>
          <w:szCs w:val="20"/>
          <w:color w:val="auto"/>
        </w:rPr>
      </w:pPr>
      <w:r>
        <w:rPr>
          <w:rFonts w:ascii="Arial" w:cs="Arial" w:eastAsia="Arial" w:hAnsi="Arial"/>
          <w:sz w:val="14"/>
          <w:szCs w:val="14"/>
          <w:i w:val="1"/>
          <w:iCs w:val="1"/>
          <w:color w:val="auto"/>
        </w:rPr>
        <w:t>Our CAR-iNK cells and peripheral blood CAR-T cells where incubated with Raji tumor cells labelled with NLR for 60 hours. Cocultures were imaged every 3 hours on the Incucyte live cell imager. Upon cytolysis the target cells lose their NLR signal. Tumor cell index measures the density of tumor cells in the wells and is calculated as (tumor and iNK well at time x / tumor only well at time x) / (tumor and iNK well at first time point) * 100.</w:t>
      </w:r>
    </w:p>
    <w:p>
      <w:pPr>
        <w:spacing w:after="0" w:line="114" w:lineRule="exact"/>
        <w:rPr>
          <w:sz w:val="20"/>
          <w:szCs w:val="20"/>
          <w:color w:val="auto"/>
        </w:rPr>
      </w:pPr>
    </w:p>
    <w:p>
      <w:pPr>
        <w:ind w:left="1220" w:right="1259"/>
        <w:spacing w:after="0" w:line="292" w:lineRule="auto"/>
        <w:rPr>
          <w:sz w:val="20"/>
          <w:szCs w:val="20"/>
          <w:color w:val="auto"/>
        </w:rPr>
      </w:pPr>
      <w:r>
        <w:rPr>
          <w:rFonts w:ascii="Arial" w:cs="Arial" w:eastAsia="Arial" w:hAnsi="Arial"/>
          <w:sz w:val="14"/>
          <w:szCs w:val="14"/>
          <w:color w:val="auto"/>
        </w:rPr>
        <w:t>Our iNK cells also demonstrate the ability to engage and kill cancerous cells through multiple challenge rounds. In an evaluation of sustained killing capability, the results of which are presented below, we observed that iNK cells were successful in eliminating lymphoma cells through seven killing cycles before evidence of cell exhaustion and a decrease in cytolytic activity was observed. These results suggest that not only are the cells capable of retaining functionality and the ability to proliferate, but that the cytolytic machinery and signaling mechanism connecting target recognition to effector immune cells maintains sustained durability as well.</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CAR-iNK cells have robust serial killing activity against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135890</wp:posOffset>
            </wp:positionV>
            <wp:extent cx="2994025" cy="1932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994025" cy="193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20" w:name="page121"/>
    <w:bookmarkEnd w:id="12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20" w:right="1239"/>
        <w:spacing w:after="0" w:line="229" w:lineRule="auto"/>
        <w:rPr>
          <w:sz w:val="20"/>
          <w:szCs w:val="20"/>
          <w:color w:val="auto"/>
        </w:rPr>
      </w:pPr>
      <w:r>
        <w:rPr>
          <w:rFonts w:ascii="Arial" w:cs="Arial" w:eastAsia="Arial" w:hAnsi="Arial"/>
          <w:sz w:val="14"/>
          <w:szCs w:val="14"/>
          <w:i w:val="1"/>
          <w:iCs w:val="1"/>
          <w:color w:val="auto"/>
        </w:rPr>
        <w:t>Our CAR-iNK cells where incubated with Reh tumor cells labelled with NLR for multiple rounds of killing. Every 72 hours, the iNK cells were transferred to new tissue culture wells containing fresh tumor cells and allowed to kill for 72 hours. Cocultures were imaged every 3 hours on the Incucyte live cell imager. Upon cytolysis the target cells lose their NLR signal. Tumor cell index measures the density of tumor cells in the wells and is calculated as (tumor and iNK well at time x</w:t>
      </w:r>
    </w:p>
    <w:p>
      <w:pPr>
        <w:spacing w:after="0" w:line="1" w:lineRule="exact"/>
        <w:rPr>
          <w:sz w:val="20"/>
          <w:szCs w:val="20"/>
          <w:color w:val="auto"/>
        </w:rPr>
      </w:pPr>
    </w:p>
    <w:p>
      <w:pPr>
        <w:ind w:left="1220" w:right="1459" w:firstLine="4"/>
        <w:spacing w:after="0" w:line="241" w:lineRule="auto"/>
        <w:tabs>
          <w:tab w:leader="none" w:pos="1307" w:val="left"/>
        </w:tabs>
        <w:numPr>
          <w:ilvl w:val="0"/>
          <w:numId w:val="78"/>
        </w:numPr>
        <w:rPr>
          <w:rFonts w:ascii="Arial" w:cs="Arial" w:eastAsia="Arial" w:hAnsi="Arial"/>
          <w:sz w:val="14"/>
          <w:szCs w:val="14"/>
          <w:i w:val="1"/>
          <w:iCs w:val="1"/>
          <w:color w:val="auto"/>
        </w:rPr>
      </w:pPr>
      <w:r>
        <w:rPr>
          <w:rFonts w:ascii="Arial" w:cs="Arial" w:eastAsia="Arial" w:hAnsi="Arial"/>
          <w:sz w:val="14"/>
          <w:szCs w:val="14"/>
          <w:i w:val="1"/>
          <w:iCs w:val="1"/>
          <w:color w:val="auto"/>
        </w:rPr>
        <w:t>tumor only well at time x) / (tumor and iNK well at first time point) * 100. Loss in killing activity was observed between rounds seven and eight.</w:t>
      </w:r>
    </w:p>
    <w:p>
      <w:pPr>
        <w:spacing w:after="0" w:line="94" w:lineRule="exact"/>
        <w:rPr>
          <w:sz w:val="20"/>
          <w:szCs w:val="20"/>
          <w:color w:val="auto"/>
        </w:rPr>
      </w:pPr>
    </w:p>
    <w:p>
      <w:pPr>
        <w:ind w:left="1220" w:right="1299"/>
        <w:spacing w:after="0" w:line="279" w:lineRule="auto"/>
        <w:rPr>
          <w:sz w:val="20"/>
          <w:szCs w:val="20"/>
          <w:color w:val="auto"/>
        </w:rPr>
      </w:pPr>
      <w:r>
        <w:rPr>
          <w:rFonts w:ascii="Arial" w:cs="Arial" w:eastAsia="Arial" w:hAnsi="Arial"/>
          <w:sz w:val="14"/>
          <w:szCs w:val="14"/>
          <w:color w:val="auto"/>
        </w:rPr>
        <w:t xml:space="preserve">The tumor-killing potential of our iNK cells was confirmed through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evaluations. Raji lymphoma cells were administered intravenously to mice that were then dosed three consecutive days with both non-engineered and CAR-modified iNK cells, which had also been engineered to express the IL-15 cytokine. Tumor growth was then monitored over the following 20 days. As is illustrated in the graph below, the CAR-IL15 iNK cells showed meaningful anti-tumor activity, with tumor growth inhibition shown to be as high as 84.7%. Notably this study was conducted using bulk engineered material, prior to single cell cloning, which we believe has the potential to enhance anti-tumor activity.</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Our CAR-iNK cells have robust anti-tumor activity </w:t>
      </w:r>
      <w:r>
        <w:rPr>
          <w:rFonts w:ascii="Arial" w:cs="Arial" w:eastAsia="Arial" w:hAnsi="Arial"/>
          <w:sz w:val="14"/>
          <w:szCs w:val="14"/>
          <w:b w:val="1"/>
          <w:bCs w:val="1"/>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1294765</wp:posOffset>
            </wp:positionH>
            <wp:positionV relativeFrom="paragraph">
              <wp:posOffset>121920</wp:posOffset>
            </wp:positionV>
            <wp:extent cx="3131185" cy="2829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131185" cy="282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The above chart displays Daudi tumor growth inhibition, or TGI, of mice treated with CD19-CAR-iNK cells administered under three different dose schedules. Average radiance, bioluminescence, or BLI of mice bearing intraperitoneal Daudi lymphoma xenografts, treated with CD19-CAR-iNK cells. Mice were implanted intraperitoneal with 1x105 cells Daudi-Fluc cells on Day 0 and CD19-CAR-iNK cells were administered intravenously at 1x107 cells per mouse on Days 1, 4, 8, 15, 18, and 22 as indicated by the arrows above.</w:t>
      </w:r>
    </w:p>
    <w:p>
      <w:pPr>
        <w:spacing w:after="0" w:line="108" w:lineRule="exact"/>
        <w:rPr>
          <w:sz w:val="20"/>
          <w:szCs w:val="20"/>
          <w:color w:val="auto"/>
        </w:rPr>
      </w:pPr>
    </w:p>
    <w:p>
      <w:pPr>
        <w:ind w:left="1220" w:right="1359"/>
        <w:spacing w:after="0" w:line="280" w:lineRule="auto"/>
        <w:rPr>
          <w:sz w:val="20"/>
          <w:szCs w:val="20"/>
          <w:color w:val="auto"/>
        </w:rPr>
      </w:pPr>
      <w:r>
        <w:rPr>
          <w:rFonts w:ascii="Arial" w:cs="Arial" w:eastAsia="Arial" w:hAnsi="Arial"/>
          <w:sz w:val="14"/>
          <w:szCs w:val="14"/>
          <w:color w:val="auto"/>
        </w:rPr>
        <w:t>In addition, to enhanced functionality, the engineered IL-15 has shown an identifiable benefit to persistence. As is presented in the illustration below, we observed viable iNK cells in the lungs and peripheral blood of mice 20 days after a single administration of CAR-iNK cells with IL-15, a result which was not noted in mice administered CAR-iNK cells without the addition of the cytokine.</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21" w:name="page122"/>
    <w:bookmarkEnd w:id="12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addition of a homeostatic cytokine significantly enhances iNK persistence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1671320</wp:posOffset>
            </wp:positionH>
            <wp:positionV relativeFrom="paragraph">
              <wp:posOffset>94615</wp:posOffset>
            </wp:positionV>
            <wp:extent cx="2377440" cy="21786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377440" cy="217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IPSC-derived iT cell platform</w:t>
      </w:r>
    </w:p>
    <w:p>
      <w:pPr>
        <w:spacing w:after="0" w:line="103" w:lineRule="exact"/>
        <w:rPr>
          <w:sz w:val="20"/>
          <w:szCs w:val="20"/>
          <w:color w:val="auto"/>
        </w:rPr>
      </w:pPr>
    </w:p>
    <w:p>
      <w:pPr>
        <w:ind w:left="1220" w:right="1319"/>
        <w:spacing w:after="0" w:line="259" w:lineRule="auto"/>
        <w:rPr>
          <w:sz w:val="20"/>
          <w:szCs w:val="20"/>
          <w:color w:val="auto"/>
        </w:rPr>
      </w:pPr>
      <w:r>
        <w:rPr>
          <w:rFonts w:ascii="Arial" w:cs="Arial" w:eastAsia="Arial" w:hAnsi="Arial"/>
          <w:sz w:val="14"/>
          <w:szCs w:val="14"/>
          <w:color w:val="auto"/>
        </w:rPr>
        <w:t xml:space="preserve">In addition to NK cells derived from our iPSC-derived allogeneic cell therapy platforms, we are also advancing the development of iPSC-derived T cells. The therapeutic properties offered by T cells, such as large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expansion capacity, extended immune memory and the potential inclusion of engineered TCRs for additional tumor killing capacity, provide compelling reasons supporting their inclusion in our anti-cancer cell therapy arsenal. However, the development of allogeneic T cell-based therapies requires addressing unique challenges, such as GvHD. GvHD occurs when allogeneic donor T cells recognize an HLA class I and class II molecules on host cells and induce a severe and potentially life-threatening immune response against the host tissues. This is a challenge we plan to overcome by selecting Trusted TCRs that do not mediate GvHD.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 are exploring two major T cell subsets to develop our iT cell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94615</wp:posOffset>
            </wp:positionV>
            <wp:extent cx="3453130" cy="1815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53130" cy="181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Proprietary Trusted TCR constructs enable our generation of TrueT</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cells</w:t>
      </w:r>
    </w:p>
    <w:p>
      <w:pPr>
        <w:spacing w:after="0" w:line="62" w:lineRule="exact"/>
        <w:rPr>
          <w:sz w:val="20"/>
          <w:szCs w:val="20"/>
          <w:color w:val="auto"/>
        </w:rPr>
      </w:pPr>
    </w:p>
    <w:p>
      <w:pPr>
        <w:jc w:val="both"/>
        <w:ind w:left="1220" w:right="1379"/>
        <w:spacing w:after="0" w:line="265" w:lineRule="auto"/>
        <w:rPr>
          <w:sz w:val="20"/>
          <w:szCs w:val="20"/>
          <w:color w:val="auto"/>
        </w:rPr>
      </w:pPr>
      <w:r>
        <w:rPr>
          <w:rFonts w:ascii="Arial" w:cs="Arial" w:eastAsia="Arial" w:hAnsi="Arial"/>
          <w:sz w:val="14"/>
          <w:szCs w:val="14"/>
          <w:color w:val="auto"/>
        </w:rPr>
        <w:t>Many companies that are pursing the development of allogeneic T cell therapies engineer T cell with an intentionally deleted TCR to eliminate the risk of GvHD. We have taken a fundamentally different approach; we</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22" w:name="page123"/>
    <w:bookmarkEnd w:id="12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19"/>
        <w:spacing w:after="0" w:line="262" w:lineRule="auto"/>
        <w:rPr>
          <w:sz w:val="20"/>
          <w:szCs w:val="20"/>
          <w:color w:val="auto"/>
        </w:rPr>
      </w:pPr>
      <w:r>
        <w:rPr>
          <w:rFonts w:ascii="Arial" w:cs="Arial" w:eastAsia="Arial" w:hAnsi="Arial"/>
          <w:sz w:val="14"/>
          <w:szCs w:val="14"/>
          <w:color w:val="auto"/>
        </w:rPr>
        <w:t>believe that retention of the TCR is of significant importance, particularly to iPSC-derived T cells, as it helps with the differentiation and functionality of iPSC-derived T cells. We have devised strategies to utilize αβ or γδ TCRs on iPSC-derived T cells while minimizing risk of GvHD. In general, our approach capitalizes on selection of Trusted TCRs.</w:t>
      </w:r>
    </w:p>
    <w:p>
      <w:pPr>
        <w:spacing w:after="0" w:line="95" w:lineRule="exact"/>
        <w:rPr>
          <w:sz w:val="20"/>
          <w:szCs w:val="20"/>
          <w:color w:val="auto"/>
        </w:rPr>
      </w:pPr>
    </w:p>
    <w:p>
      <w:pPr>
        <w:ind w:left="1220" w:right="1239"/>
        <w:spacing w:after="0" w:line="247" w:lineRule="auto"/>
        <w:rPr>
          <w:sz w:val="20"/>
          <w:szCs w:val="20"/>
          <w:color w:val="auto"/>
        </w:rPr>
      </w:pPr>
      <w:r>
        <w:rPr>
          <w:rFonts w:ascii="Arial" w:cs="Arial" w:eastAsia="Arial" w:hAnsi="Arial"/>
          <w:sz w:val="14"/>
          <w:szCs w:val="14"/>
          <w:color w:val="auto"/>
        </w:rPr>
        <w:t>γδ T cells do not recognize hypervariable HLA class I or II receptors. Instead, γδ TCRs recognize ligands that are mostly invariant between individuals and these TCRs are unlikely to mediate GvHD. We leverage this characteristic of γδ chains to engineer iPSC lines with Trusted TCRs to create T-iPSC line that will be used to differentiate iT cell products. There are also special scenarios where an αβ TCR can have properties that lessen or eliminate the risk for GvHD, such in the case of some TCRs specific for viral antigens or the invariant αβ TCR expressed by, natural killer T cells, or NKT cells. We are pursuing γδ and αβ Trusted TCR approaches because γδ and αβ T cells have meaningfully different biological properties that can be explored for different tumor indications. Because of the importance of the TCR in normal T lymphocyte development, we call iPSC-derived T cells that express a Trusted TCR TrueT</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cells as a contrast to T cell engineered without a TCR.</w:t>
      </w:r>
    </w:p>
    <w:p>
      <w:pPr>
        <w:spacing w:after="0" w:line="257" w:lineRule="exact"/>
        <w:rPr>
          <w:sz w:val="20"/>
          <w:szCs w:val="20"/>
          <w:color w:val="auto"/>
        </w:rPr>
      </w:pPr>
    </w:p>
    <w:p>
      <w:pPr>
        <w:ind w:left="1220" w:right="1239"/>
        <w:spacing w:after="0" w:line="252" w:lineRule="auto"/>
        <w:rPr>
          <w:sz w:val="20"/>
          <w:szCs w:val="20"/>
          <w:color w:val="auto"/>
        </w:rPr>
      </w:pPr>
      <w:r>
        <w:rPr>
          <w:rFonts w:ascii="Arial" w:cs="Arial" w:eastAsia="Arial" w:hAnsi="Arial"/>
          <w:sz w:val="14"/>
          <w:szCs w:val="14"/>
          <w:color w:val="auto"/>
        </w:rPr>
        <w:t>For any TrueT</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cell approach there are two main strategies that can be deployed to make iPSC-derived T cells. The first is to begin with a T cell from a healthy donor where the TCR identity is known (either a γδ T cell, NKT cell or conventional αβ T cell). Such T cells can be isolated, expanded, and purified. Then the desired T cell, which carries the desired rearranged TCR genes, is reprogrammed to generate iPSCs that carry the same TCR genes. We call these T cell-derived iPSCs T-iPSCs and they can be used to produce T cells with the desired TCR. We have developed proof of concept for this approach using T-iPSC lines that were reprogrammed using peripheral blood γδ T cells. A second approach is to use iPSC that were derived from a non-T cell and thus lack a rearranged TCR. In this scenario, the desired TCR is selected and synthesized as a transgenic construct. Then the desired TCR is engineered into iPSCs such that T cells that are produced from the iPSCs will carry the engineered TCR. We have developed proof of concept for approached using an iPSC line that was derived from non-T cells, in this case CD34+ peripheral blood hematopoietic cells, where we introduced a viral-specific TCR.</w:t>
      </w:r>
    </w:p>
    <w:p>
      <w:pPr>
        <w:spacing w:after="0" w:line="292" w:lineRule="exact"/>
        <w:rPr>
          <w:sz w:val="20"/>
          <w:szCs w:val="20"/>
          <w:color w:val="auto"/>
        </w:rPr>
      </w:pPr>
    </w:p>
    <w:p>
      <w:pPr>
        <w:ind w:left="1220" w:right="1719"/>
        <w:spacing w:after="0" w:line="225" w:lineRule="auto"/>
        <w:rPr>
          <w:sz w:val="20"/>
          <w:szCs w:val="20"/>
          <w:color w:val="auto"/>
        </w:rPr>
      </w:pPr>
      <w:r>
        <w:rPr>
          <w:rFonts w:ascii="Arial" w:cs="Arial" w:eastAsia="Arial" w:hAnsi="Arial"/>
          <w:sz w:val="14"/>
          <w:szCs w:val="14"/>
          <w:b w:val="1"/>
          <w:bCs w:val="1"/>
          <w:i w:val="1"/>
          <w:iCs w:val="1"/>
          <w:color w:val="auto"/>
        </w:rPr>
        <w:t>Differentiation of TrueT</w:t>
      </w:r>
      <w:r>
        <w:rPr>
          <w:rFonts w:ascii="Arial" w:cs="Arial" w:eastAsia="Arial" w:hAnsi="Arial"/>
          <w:sz w:val="21"/>
          <w:szCs w:val="21"/>
          <w:b w:val="1"/>
          <w:bCs w:val="1"/>
          <w:i w:val="1"/>
          <w:iCs w:val="1"/>
          <w:color w:val="auto"/>
          <w:vertAlign w:val="superscript"/>
        </w:rPr>
        <w:t>TM</w:t>
      </w:r>
      <w:r>
        <w:rPr>
          <w:rFonts w:ascii="Arial" w:cs="Arial" w:eastAsia="Arial" w:hAnsi="Arial"/>
          <w:sz w:val="14"/>
          <w:szCs w:val="14"/>
          <w:b w:val="1"/>
          <w:bCs w:val="1"/>
          <w:i w:val="1"/>
          <w:iCs w:val="1"/>
          <w:color w:val="auto"/>
        </w:rPr>
        <w:t xml:space="preserve"> cells results in cells that co-express TCR and CD3 and can utilize an engineered CAR for target cell killing</w:t>
      </w:r>
    </w:p>
    <w:p>
      <w:pPr>
        <w:spacing w:after="0" w:line="95" w:lineRule="exact"/>
        <w:rPr>
          <w:sz w:val="20"/>
          <w:szCs w:val="20"/>
          <w:color w:val="auto"/>
        </w:rPr>
      </w:pPr>
    </w:p>
    <w:p>
      <w:pPr>
        <w:ind w:left="1220" w:right="1339"/>
        <w:spacing w:after="0" w:line="269" w:lineRule="auto"/>
        <w:rPr>
          <w:sz w:val="20"/>
          <w:szCs w:val="20"/>
          <w:color w:val="auto"/>
        </w:rPr>
      </w:pPr>
      <w:r>
        <w:rPr>
          <w:rFonts w:ascii="Arial" w:cs="Arial" w:eastAsia="Arial" w:hAnsi="Arial"/>
          <w:sz w:val="14"/>
          <w:szCs w:val="14"/>
          <w:color w:val="auto"/>
        </w:rPr>
        <w:t xml:space="preserve">The process for differentiating T cells from iPSC is a multistage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system that includes several growth factors and key ligands that mimic the developmental signals found in the human thymus where T cells normally develop. We have refined protocols to differentiate T cells from both T-iPSC and TCR-engineered iPSCs.</w:t>
      </w:r>
    </w:p>
    <w:p>
      <w:pPr>
        <w:spacing w:after="0" w:line="91" w:lineRule="exact"/>
        <w:rPr>
          <w:sz w:val="20"/>
          <w:szCs w:val="20"/>
          <w:color w:val="auto"/>
        </w:rPr>
      </w:pPr>
    </w:p>
    <w:p>
      <w:pPr>
        <w:ind w:left="1220" w:right="1399"/>
        <w:spacing w:after="0" w:line="262" w:lineRule="auto"/>
        <w:rPr>
          <w:sz w:val="20"/>
          <w:szCs w:val="20"/>
          <w:color w:val="auto"/>
        </w:rPr>
      </w:pPr>
      <w:r>
        <w:rPr>
          <w:rFonts w:ascii="Arial" w:cs="Arial" w:eastAsia="Arial" w:hAnsi="Arial"/>
          <w:sz w:val="14"/>
          <w:szCs w:val="14"/>
          <w:color w:val="auto"/>
        </w:rPr>
        <w:t>For γδ T cells, the current process yields T cells that uniformly express the γδ TCR and CD3. These iPSCs have been engineered to express a CD19 CAR for initial proof of concept studies. When the iPSC-derived γδ T cells are exposed to CD19-expressing lymphoma cells, the lymphoma cells are killed in an antigen-specific manner.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Differentiation of γδ CAR-iT cells from T-iPSC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108585</wp:posOffset>
            </wp:positionV>
            <wp:extent cx="3672205" cy="1712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672205" cy="1712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23" w:name="page124"/>
    <w:bookmarkEnd w:id="12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99"/>
        <w:spacing w:after="0" w:line="261" w:lineRule="auto"/>
        <w:rPr>
          <w:sz w:val="20"/>
          <w:szCs w:val="20"/>
          <w:color w:val="auto"/>
        </w:rPr>
      </w:pPr>
      <w:r>
        <w:rPr>
          <w:rFonts w:ascii="Arial" w:cs="Arial" w:eastAsia="Arial" w:hAnsi="Arial"/>
          <w:sz w:val="14"/>
          <w:szCs w:val="14"/>
          <w:color w:val="auto"/>
        </w:rPr>
        <w:t>A T-iPSC line that was derived from a γδ T cell was used to differentiate γδ T cells using a process that takes approximately 5-6 weeks. At the end of the process, cells were collected and stained for flow cytometry. The left panel demonstrates co-expression of CD3 and the γδ TCR on the cell surface of resulting iT cells. Because the T-iPSC line was also engineered with a CAR transgene, the CAR protein was also detected on the surface of these iT cells.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γδ CAR-iT cells kill CD19-expressing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121920</wp:posOffset>
            </wp:positionV>
            <wp:extent cx="2267585" cy="17811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267585" cy="178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20" w:right="1319"/>
        <w:spacing w:after="0" w:line="261" w:lineRule="auto"/>
        <w:rPr>
          <w:sz w:val="20"/>
          <w:szCs w:val="20"/>
          <w:color w:val="auto"/>
        </w:rPr>
      </w:pPr>
      <w:r>
        <w:rPr>
          <w:rFonts w:ascii="Arial" w:cs="Arial" w:eastAsia="Arial" w:hAnsi="Arial"/>
          <w:sz w:val="14"/>
          <w:szCs w:val="14"/>
          <w:color w:val="auto"/>
        </w:rPr>
        <w:t>CAR-iT cells were used in a tumor cell killing assay on an IncuCyte instrument. For this study, Reh cells, a CD19-expressing lymphoma line was used. PBMC CAR-T are PBMC-derived T cells that have been engineered to express the same CAR molecule, which have been added as a control for this study. When CD19-positive Reh cells were exposed to CAR-T cells, both iPSC-derived and PBMC-derived CAR-T cells mediated tumor killing.</w:t>
      </w:r>
    </w:p>
    <w:p>
      <w:pPr>
        <w:spacing w:after="0" w:line="106" w:lineRule="exact"/>
        <w:rPr>
          <w:sz w:val="20"/>
          <w:szCs w:val="20"/>
          <w:color w:val="auto"/>
        </w:rPr>
      </w:pPr>
    </w:p>
    <w:p>
      <w:pPr>
        <w:ind w:left="1220" w:right="1259"/>
        <w:spacing w:after="0" w:line="262" w:lineRule="auto"/>
        <w:rPr>
          <w:sz w:val="20"/>
          <w:szCs w:val="20"/>
          <w:color w:val="auto"/>
        </w:rPr>
      </w:pPr>
      <w:r>
        <w:rPr>
          <w:rFonts w:ascii="Arial" w:cs="Arial" w:eastAsia="Arial" w:hAnsi="Arial"/>
          <w:sz w:val="14"/>
          <w:szCs w:val="14"/>
          <w:color w:val="auto"/>
        </w:rPr>
        <w:t>For conventional αβ T cells, the current process yields iT cells that uniformly express the αβ TCR and CD3. These iPSCs were also engineered to express a CD19 CAR to evaluate their tumor cell killing activity. When the iPSC-derived αβ T cells were exposed to CD19-expressing lymphoma cells, the lymphoma cells were killed in an antigen-specific manner.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Differentiation of αβ CAR-iT cells from T-iPSC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1109345</wp:posOffset>
            </wp:positionH>
            <wp:positionV relativeFrom="paragraph">
              <wp:posOffset>114935</wp:posOffset>
            </wp:positionV>
            <wp:extent cx="3507740" cy="1562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507740" cy="1562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20" w:right="1239"/>
        <w:spacing w:after="0" w:line="278" w:lineRule="auto"/>
        <w:rPr>
          <w:sz w:val="20"/>
          <w:szCs w:val="20"/>
          <w:color w:val="auto"/>
        </w:rPr>
      </w:pPr>
      <w:r>
        <w:rPr>
          <w:rFonts w:ascii="Arial" w:cs="Arial" w:eastAsia="Arial" w:hAnsi="Arial"/>
          <w:sz w:val="14"/>
          <w:szCs w:val="14"/>
          <w:color w:val="auto"/>
        </w:rPr>
        <w:t>A T-iPSC line that was derived from a αβ T cell was used to differentiate αβ T cells using a process that takes approximately five to six weeks. At the end of the process, cells were collected and stained for flow cytometry. The left panel demonstrates co-expression of CD3 and the αβ TCR on the cell surface of resulting iT cells. Because</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24" w:name="page125"/>
    <w:bookmarkEnd w:id="12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419"/>
        <w:spacing w:after="0" w:line="274" w:lineRule="auto"/>
        <w:rPr>
          <w:sz w:val="20"/>
          <w:szCs w:val="20"/>
          <w:color w:val="auto"/>
        </w:rPr>
      </w:pPr>
      <w:r>
        <w:rPr>
          <w:rFonts w:ascii="Arial" w:cs="Arial" w:eastAsia="Arial" w:hAnsi="Arial"/>
          <w:sz w:val="14"/>
          <w:szCs w:val="14"/>
          <w:color w:val="auto"/>
        </w:rPr>
        <w:t>the T-iPSC line was also engineered with a CAR transgene, the CAR protein was also detected on the surface of these iT cells (right panel).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αβ CAR-iT cells kill CD19-expressing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78105</wp:posOffset>
            </wp:positionV>
            <wp:extent cx="2713355" cy="20624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713355" cy="2062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20" w:right="1319"/>
        <w:spacing w:after="0" w:line="261" w:lineRule="auto"/>
        <w:rPr>
          <w:sz w:val="20"/>
          <w:szCs w:val="20"/>
          <w:color w:val="auto"/>
        </w:rPr>
      </w:pPr>
      <w:r>
        <w:rPr>
          <w:rFonts w:ascii="Arial" w:cs="Arial" w:eastAsia="Arial" w:hAnsi="Arial"/>
          <w:sz w:val="14"/>
          <w:szCs w:val="14"/>
          <w:color w:val="auto"/>
        </w:rPr>
        <w:t>CAR-iT cells were used in a tumor cell killing assay on an IncuCyte instrument. For this study, Reh cells, a CD19-expressing lymphoma line was used. PBMC CAR-T are PBMC-derived T cells that have been engineered to express the same CAR, which have been added as a control for this study. When CD19-positive Reh cells were exposed to CAR-T cells, both iPSC-derived and PBMC-derived CAR-iT cells mediated tumor killing.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81915</wp:posOffset>
            </wp:positionV>
            <wp:extent cx="4165600" cy="16103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165600" cy="161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Serial killing of CD19</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tumor cells by CAR-γδ-iT cells is comparable to PBMC-derived CAR-T</w:t>
      </w:r>
    </w:p>
    <w:p>
      <w:pPr>
        <w:ind w:left="1220" w:right="1279"/>
        <w:spacing w:after="0" w:line="229" w:lineRule="auto"/>
        <w:rPr>
          <w:sz w:val="20"/>
          <w:szCs w:val="20"/>
          <w:color w:val="auto"/>
        </w:rPr>
      </w:pPr>
      <w:r>
        <w:rPr>
          <w:rFonts w:ascii="Arial" w:cs="Arial" w:eastAsia="Arial" w:hAnsi="Arial"/>
          <w:sz w:val="14"/>
          <w:szCs w:val="14"/>
          <w:i w:val="1"/>
          <w:iCs w:val="1"/>
          <w:color w:val="auto"/>
        </w:rPr>
        <w:t>cells. The serial killing assay was performed using an Incucyte instrument where viable tumor cells expressed Nuclight Red and were enumerated every 3 hours based on Red Calibrated Units, or RCU, a measure of total red fluorescence. At the beginning of the culture, 1e5 CAR-γδ-iT or CAR-T were added to each well followed by addition of 2e4 NALM-6 target cells (Nuclight Red+). Cells were cultured in complete medium with 10 ng/ml rhIL- 15. Every 24 hours, 2e4 fresh NALM-6 cells were added to the culture and data was recorded for 10 days. Increasing RCU indicates daily addition of new targets and/or outgrowth of tumor cells. Decreasing RCU indicates tumor cell killing by γδ CAR-iT cells or PBMC CAR-T cells.</w:t>
      </w:r>
    </w:p>
    <w:p>
      <w:pPr>
        <w:spacing w:after="0" w:line="109" w:lineRule="exact"/>
        <w:rPr>
          <w:sz w:val="20"/>
          <w:szCs w:val="20"/>
          <w:color w:val="auto"/>
        </w:rPr>
      </w:pPr>
    </w:p>
    <w:p>
      <w:pPr>
        <w:ind w:left="1220" w:right="1279"/>
        <w:spacing w:after="0" w:line="224" w:lineRule="auto"/>
        <w:rPr>
          <w:sz w:val="20"/>
          <w:szCs w:val="20"/>
          <w:color w:val="auto"/>
        </w:rPr>
      </w:pPr>
      <w:r>
        <w:rPr>
          <w:rFonts w:ascii="Arial" w:cs="Arial" w:eastAsia="Arial" w:hAnsi="Arial"/>
          <w:sz w:val="14"/>
          <w:szCs w:val="14"/>
          <w:color w:val="auto"/>
        </w:rPr>
        <w:t>Collectively, we have made significant progress in deriving iPSC lines that carry Trusted TCRs as well as refining the differentiation process to generate TrueT</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cells that express a TCR and a CAR. The cells mediate robust killing</w:t>
      </w: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25" w:name="page126"/>
    <w:bookmarkEnd w:id="12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539"/>
        <w:spacing w:after="0" w:line="265" w:lineRule="auto"/>
        <w:rPr>
          <w:sz w:val="20"/>
          <w:szCs w:val="20"/>
          <w:color w:val="auto"/>
        </w:rPr>
      </w:pPr>
      <w:r>
        <w:rPr>
          <w:rFonts w:ascii="Arial" w:cs="Arial" w:eastAsia="Arial" w:hAnsi="Arial"/>
          <w:sz w:val="14"/>
          <w:szCs w:val="14"/>
          <w:color w:val="auto"/>
        </w:rPr>
        <w:t>of lymphoma cells when their CAR is engaged. We believe that we have put in place the fundamental building blocks to continuing the advancement of our iT cell platform to generate iPSC-derived αβ and/or γδ T cell therapies for different tumor indications.</w:t>
      </w:r>
    </w:p>
    <w:p>
      <w:pPr>
        <w:spacing w:after="0" w:line="13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Our development candidates</w:t>
      </w:r>
    </w:p>
    <w:p>
      <w:pPr>
        <w:spacing w:after="0" w:line="122" w:lineRule="exact"/>
        <w:rPr>
          <w:sz w:val="20"/>
          <w:szCs w:val="20"/>
          <w:color w:val="auto"/>
        </w:rPr>
      </w:pPr>
    </w:p>
    <w:p>
      <w:pPr>
        <w:ind w:left="1220" w:right="1259"/>
        <w:spacing w:after="0" w:line="248" w:lineRule="auto"/>
        <w:rPr>
          <w:sz w:val="20"/>
          <w:szCs w:val="20"/>
          <w:color w:val="auto"/>
        </w:rPr>
      </w:pPr>
      <w:r>
        <w:rPr>
          <w:rFonts w:ascii="Arial" w:cs="Arial" w:eastAsia="Arial" w:hAnsi="Arial"/>
          <w:sz w:val="14"/>
          <w:szCs w:val="14"/>
          <w:color w:val="auto"/>
        </w:rPr>
        <w:t>We are assembling a portfolio of allogeneic iNK and iT cell therapy product candidates across solid tumors and hematological malignancies. This pipeline is comprised of cell therapies that will address diseases where we believe current therapies are inadequate. Our product candidates incorporate our proprietary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which is designed to avoid host rejection and potentially increase the durability of clinical responses. With the exception of our lead product candidate, CNTY-101, each of our product candidates is designed to target multiple tumor antigens. We currently anticipate filing an IND for our lead product candidate, CNTY-101, targeting B cell lymphoma, in mid 2022. Our second product candidate, CNTY-103, is designed to treat glioblastoma, and we currently anticipate filing an IND in the first half of 2023. Our third product candidate, CNTY-102, is designed to further improve B-cell malignancy treatment, and we are planning an IND in the second half of 2023. Our fourth product candidate, CNTY-104, is being developed to treat AML with the IND expected in mid 2024. Our development programs consist of the product candidates illustrated in the pipeline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214630</wp:posOffset>
            </wp:positionV>
            <wp:extent cx="3960495" cy="11169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960495" cy="1116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480" w:right="1339" w:hanging="256"/>
        <w:spacing w:after="0" w:line="246" w:lineRule="auto"/>
        <w:tabs>
          <w:tab w:leader="none" w:pos="1480" w:val="left"/>
        </w:tabs>
        <w:numPr>
          <w:ilvl w:val="0"/>
          <w:numId w:val="79"/>
        </w:numPr>
        <w:rPr>
          <w:rFonts w:ascii="Arial" w:cs="Arial" w:eastAsia="Arial" w:hAnsi="Arial"/>
          <w:sz w:val="11"/>
          <w:szCs w:val="11"/>
          <w:color w:val="auto"/>
        </w:rPr>
      </w:pPr>
      <w:r>
        <w:rPr>
          <w:rFonts w:ascii="Arial" w:cs="Arial" w:eastAsia="Arial" w:hAnsi="Arial"/>
          <w:sz w:val="11"/>
          <w:szCs w:val="11"/>
          <w:color w:val="auto"/>
        </w:rPr>
        <w:t>We are party to an option agreement with Bayer HealthCare LLC, or Bayer, pursuant to which Bayer was granted certain bidding rights relating to the potential transfer of rights with respect to certain product candidates being researched and developed by us which are comprised of iNK cells, macrophages or dendritic cells, including CNTY-101, CNTY-103 and any other product candidate comprised of iNK cells that we develop in the future. Bayer’s rights under the option agreement are subject to important limitations. See “—Licensing, partnership and collaboration—Bayer HealthCare LLC—Option Agreement” for more information.</w:t>
      </w:r>
    </w:p>
    <w:p>
      <w:pPr>
        <w:spacing w:after="0" w:line="145" w:lineRule="exact"/>
        <w:rPr>
          <w:sz w:val="20"/>
          <w:szCs w:val="20"/>
          <w:color w:val="auto"/>
        </w:rPr>
      </w:pPr>
    </w:p>
    <w:p>
      <w:pPr>
        <w:ind w:left="1220" w:right="1259"/>
        <w:spacing w:after="0" w:line="462" w:lineRule="auto"/>
        <w:rPr>
          <w:sz w:val="20"/>
          <w:szCs w:val="20"/>
          <w:color w:val="auto"/>
        </w:rPr>
      </w:pPr>
      <w:r>
        <w:rPr>
          <w:rFonts w:ascii="Arial" w:cs="Arial" w:eastAsia="Arial" w:hAnsi="Arial"/>
          <w:sz w:val="14"/>
          <w:szCs w:val="14"/>
          <w:b w:val="1"/>
          <w:bCs w:val="1"/>
          <w:i w:val="1"/>
          <w:iCs w:val="1"/>
          <w:color w:val="auto"/>
        </w:rPr>
        <w:t xml:space="preserve">CNTY-101: Our CAR-iNK candidate targeting CD19 for relapsed, refractory B cell lymphoma </w:t>
      </w:r>
      <w:r>
        <w:rPr>
          <w:rFonts w:ascii="Arial" w:cs="Arial" w:eastAsia="Arial" w:hAnsi="Arial"/>
          <w:sz w:val="14"/>
          <w:szCs w:val="14"/>
          <w:i w:val="1"/>
          <w:iCs w:val="1"/>
          <w:color w:val="auto"/>
        </w:rPr>
        <w:t>Disease background</w:t>
      </w:r>
    </w:p>
    <w:p>
      <w:pPr>
        <w:ind w:left="1220" w:right="1299"/>
        <w:spacing w:after="0" w:line="260" w:lineRule="auto"/>
        <w:rPr>
          <w:sz w:val="20"/>
          <w:szCs w:val="20"/>
          <w:color w:val="auto"/>
        </w:rPr>
      </w:pPr>
      <w:r>
        <w:rPr>
          <w:rFonts w:ascii="Arial" w:cs="Arial" w:eastAsia="Arial" w:hAnsi="Arial"/>
          <w:sz w:val="14"/>
          <w:szCs w:val="14"/>
          <w:color w:val="auto"/>
        </w:rPr>
        <w:t>B cell lymphoma is a cancer that affects B lymphocytes that make up part of the immune system. It generally originates in the lymph nodes. B cell lymphoma includes both Hodgkin’s disease and approximately 80% to 85% of patients diagnosed with non-Hodgkin’s lymphoma, or NHL, a disease classification that includes more than 50 different hematological malignancies. In the United States, approximately 70,000 cases of NHL are diagnosed each year and the number of new diagnoses is increasing each year as the median age in the United States increases. 30 – 40% of these patients will relapse or have disease refractory to current treatments.</w:t>
      </w:r>
    </w:p>
    <w:p>
      <w:pPr>
        <w:spacing w:after="0" w:line="13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Current treatment and shortcomings</w:t>
      </w:r>
    </w:p>
    <w:p>
      <w:pPr>
        <w:spacing w:after="0" w:line="134"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Treatment of non-Hodgkin’s lymphoma is dependent on disease designation. Indolent disease may be treated with localized radiation or simply monitored for disease progression, at which time the disease is often treated with rituximab, with or without chemotherapy. Aggressive disease is treated with chemotherapy if diagnosed in the earlier stages of disease progression or with combination of rituximab and chemotherapy if diagnosed in the more advanced stages. While aggressive NHL is curable, indolent disease currently is not.</w:t>
      </w:r>
    </w:p>
    <w:p>
      <w:pPr>
        <w:spacing w:after="0" w:line="97" w:lineRule="exact"/>
        <w:rPr>
          <w:sz w:val="20"/>
          <w:szCs w:val="20"/>
          <w:color w:val="auto"/>
        </w:rPr>
      </w:pPr>
    </w:p>
    <w:p>
      <w:pPr>
        <w:ind w:left="1220" w:right="1319"/>
        <w:spacing w:after="0" w:line="262" w:lineRule="auto"/>
        <w:rPr>
          <w:sz w:val="20"/>
          <w:szCs w:val="20"/>
          <w:color w:val="auto"/>
        </w:rPr>
      </w:pPr>
      <w:r>
        <w:rPr>
          <w:rFonts w:ascii="Arial" w:cs="Arial" w:eastAsia="Arial" w:hAnsi="Arial"/>
          <w:sz w:val="14"/>
          <w:szCs w:val="14"/>
          <w:color w:val="auto"/>
        </w:rPr>
        <w:t>In aggressive large B-cell lymphomas, existing FDA-approved CD19 CAR-T cell therapies show overall response rates of 50-80%, complete response rates of 30-40%, and where longer term follow up data is available, a three year survival rate of 47%. They are also shown to be effective in aggressive and indolent lymphoma</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26" w:name="page127"/>
    <w:bookmarkEnd w:id="12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419"/>
        <w:spacing w:after="0" w:line="261" w:lineRule="auto"/>
        <w:rPr>
          <w:sz w:val="20"/>
          <w:szCs w:val="20"/>
          <w:color w:val="auto"/>
        </w:rPr>
      </w:pPr>
      <w:r>
        <w:rPr>
          <w:rFonts w:ascii="Arial" w:cs="Arial" w:eastAsia="Arial" w:hAnsi="Arial"/>
          <w:sz w:val="14"/>
          <w:szCs w:val="14"/>
          <w:color w:val="auto"/>
        </w:rPr>
        <w:t>subpopulations and are in active testing in second line lymphoma. While these treatments have transformed care, significant medical need still exists in the relapsing and progressing patients that remain, with additional limitations of the autologous therapies described herein. As such, there is active investigation of several allogeneic B-cell targeting CAR-T therapies and B-cell targeting CAR-NK cell therapies in lymphoma.</w:t>
      </w:r>
    </w:p>
    <w:p>
      <w:pPr>
        <w:spacing w:after="0" w:line="136"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Our therapeutic approach and development program</w:t>
      </w:r>
    </w:p>
    <w:p>
      <w:pPr>
        <w:spacing w:after="0" w:line="123" w:lineRule="exact"/>
        <w:rPr>
          <w:sz w:val="20"/>
          <w:szCs w:val="20"/>
          <w:color w:val="auto"/>
        </w:rPr>
      </w:pPr>
    </w:p>
    <w:p>
      <w:pPr>
        <w:jc w:val="both"/>
        <w:ind w:left="1220" w:right="1379"/>
        <w:spacing w:after="0" w:line="274" w:lineRule="auto"/>
        <w:rPr>
          <w:sz w:val="20"/>
          <w:szCs w:val="20"/>
          <w:color w:val="auto"/>
        </w:rPr>
      </w:pPr>
      <w:r>
        <w:rPr>
          <w:rFonts w:ascii="Arial" w:cs="Arial" w:eastAsia="Arial" w:hAnsi="Arial"/>
          <w:sz w:val="14"/>
          <w:szCs w:val="14"/>
          <w:color w:val="auto"/>
        </w:rPr>
        <w:t>Our lead product candidate, CNTY-101, is an allogeneic, iPSC-derived CAR-iNK cell product for the treatment of B cell lymphomas. CNTY-101 has been engineered with the following features:</w:t>
      </w:r>
    </w:p>
    <w:p>
      <w:pPr>
        <w:spacing w:after="0" w:line="75" w:lineRule="exact"/>
        <w:rPr>
          <w:sz w:val="20"/>
          <w:szCs w:val="20"/>
          <w:color w:val="auto"/>
        </w:rPr>
      </w:pPr>
    </w:p>
    <w:p>
      <w:pPr>
        <w:ind w:left="1600" w:right="1439" w:hanging="117"/>
        <w:spacing w:after="0" w:line="290" w:lineRule="auto"/>
        <w:tabs>
          <w:tab w:leader="none" w:pos="16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expression of CD19 CAR to target malignant B cells. Our CAR construct uses the FMC63 scFv and the signaling domains of CD28 and CD3ζ;</w:t>
      </w:r>
    </w:p>
    <w:p>
      <w:pPr>
        <w:spacing w:after="0" w:line="42" w:lineRule="exact"/>
        <w:rPr>
          <w:rFonts w:ascii="Arial" w:cs="Arial" w:eastAsia="Arial" w:hAnsi="Arial"/>
          <w:sz w:val="14"/>
          <w:szCs w:val="14"/>
          <w:color w:val="auto"/>
        </w:rPr>
      </w:pPr>
    </w:p>
    <w:p>
      <w:pPr>
        <w:ind w:left="1600" w:hanging="117"/>
        <w:spacing w:after="0"/>
        <w:tabs>
          <w:tab w:leader="none" w:pos="16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knock-out of HLA-I and HLA-II to escape elimination by the patient’s CD8 and CD4 T cells;</w:t>
      </w:r>
    </w:p>
    <w:p>
      <w:pPr>
        <w:spacing w:after="0" w:line="97" w:lineRule="exact"/>
        <w:rPr>
          <w:rFonts w:ascii="Arial" w:cs="Arial" w:eastAsia="Arial" w:hAnsi="Arial"/>
          <w:sz w:val="14"/>
          <w:szCs w:val="14"/>
          <w:color w:val="auto"/>
        </w:rPr>
      </w:pPr>
    </w:p>
    <w:p>
      <w:pPr>
        <w:ind w:left="1600" w:hanging="117"/>
        <w:spacing w:after="0"/>
        <w:tabs>
          <w:tab w:leader="none" w:pos="16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knock-in of HLA-E to avoid killing by the patient’s NK cells;</w:t>
      </w:r>
    </w:p>
    <w:p>
      <w:pPr>
        <w:spacing w:after="0" w:line="87" w:lineRule="exact"/>
        <w:rPr>
          <w:rFonts w:ascii="Arial" w:cs="Arial" w:eastAsia="Arial" w:hAnsi="Arial"/>
          <w:sz w:val="14"/>
          <w:szCs w:val="14"/>
          <w:color w:val="auto"/>
        </w:rPr>
      </w:pPr>
    </w:p>
    <w:p>
      <w:pPr>
        <w:ind w:left="1600" w:right="1559" w:hanging="117"/>
        <w:spacing w:after="0" w:line="290" w:lineRule="auto"/>
        <w:tabs>
          <w:tab w:leader="none" w:pos="16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expression of IL-15 to provide homeostatic cytokine support to improve persistence and functionality; and</w:t>
      </w:r>
    </w:p>
    <w:p>
      <w:pPr>
        <w:spacing w:after="0" w:line="53" w:lineRule="exact"/>
        <w:rPr>
          <w:rFonts w:ascii="Arial" w:cs="Arial" w:eastAsia="Arial" w:hAnsi="Arial"/>
          <w:sz w:val="14"/>
          <w:szCs w:val="14"/>
          <w:color w:val="auto"/>
        </w:rPr>
      </w:pPr>
    </w:p>
    <w:p>
      <w:pPr>
        <w:ind w:left="1600" w:hanging="117"/>
        <w:spacing w:after="0"/>
        <w:tabs>
          <w:tab w:leader="none" w:pos="16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incorporation of an EGFR safety switch to allow for elimination of the product if necessary.</w:t>
      </w:r>
    </w:p>
    <w:p>
      <w:pPr>
        <w:spacing w:after="0" w:line="120" w:lineRule="exact"/>
        <w:rPr>
          <w:sz w:val="20"/>
          <w:szCs w:val="20"/>
          <w:color w:val="auto"/>
        </w:rPr>
      </w:pPr>
    </w:p>
    <w:p>
      <w:pPr>
        <w:ind w:left="1220" w:right="1359"/>
        <w:spacing w:after="0" w:line="262" w:lineRule="auto"/>
        <w:rPr>
          <w:sz w:val="20"/>
          <w:szCs w:val="20"/>
          <w:color w:val="auto"/>
        </w:rPr>
      </w:pPr>
      <w:r>
        <w:rPr>
          <w:rFonts w:ascii="Arial" w:cs="Arial" w:eastAsia="Arial" w:hAnsi="Arial"/>
          <w:sz w:val="14"/>
          <w:szCs w:val="14"/>
          <w:color w:val="auto"/>
        </w:rPr>
        <w:t>The safety switch consists of a shorter version of the extracellular domain of EGFR, which binds to clinically approved antibodies, such as Cetuximab, which can trigger product elimination through antibody-dependent cellular cytotoxicity, or ADCC, or antibody-dependent cellular phagocytosis, or ADCP.</w:t>
      </w:r>
    </w:p>
    <w:p>
      <w:pPr>
        <w:spacing w:after="0" w:line="106" w:lineRule="exact"/>
        <w:rPr>
          <w:sz w:val="20"/>
          <w:szCs w:val="20"/>
          <w:color w:val="auto"/>
        </w:rPr>
      </w:pPr>
    </w:p>
    <w:p>
      <w:pPr>
        <w:ind w:left="1220" w:right="1239"/>
        <w:spacing w:after="0" w:line="248" w:lineRule="auto"/>
        <w:rPr>
          <w:sz w:val="20"/>
          <w:szCs w:val="20"/>
          <w:color w:val="auto"/>
        </w:rPr>
      </w:pPr>
      <w:r>
        <w:rPr>
          <w:rFonts w:ascii="Arial" w:cs="Arial" w:eastAsia="Arial" w:hAnsi="Arial"/>
          <w:sz w:val="14"/>
          <w:szCs w:val="14"/>
          <w:color w:val="auto"/>
        </w:rPr>
        <w:t>We believe the modifications described above may lead to treatments with greater potency, persistency and durability. As the CD19 target and the FMC63-CD28z CAR have has been validated by existing FDA-approved CAR-T therapies, we believe target-related risks have been significantly diminished, as the approved CAR-T cell products have been shown to improve remission rates and improve overall survival in patients with various B cell malignancies. The inclusion of a validated CAR construct in our first product candidate eliminates a key variable, i.e. the performance of a novel CAR construct, better enabling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engineered iNK platform to be validated in the initial studies. The validity of this therapeutic approach is further supported by a M.D. Anderson clinical trial of CAR-NK cells targeting CD19 used in the treatment of relapsed or refractory NHL and chronic lymphocytic leukemia, or CLL, patients. In that trial, eight of the 11 patients responded to treatment with seven patients achieving complete remission.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CNTY-101 and CD19 CAR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114935</wp:posOffset>
            </wp:positionV>
            <wp:extent cx="4001135" cy="17468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001135" cy="174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20" w:right="1379"/>
        <w:spacing w:after="0" w:line="310" w:lineRule="auto"/>
        <w:rPr>
          <w:sz w:val="20"/>
          <w:szCs w:val="20"/>
          <w:color w:val="auto"/>
        </w:rPr>
      </w:pPr>
      <w:r>
        <w:rPr>
          <w:rFonts w:ascii="Arial" w:cs="Arial" w:eastAsia="Arial" w:hAnsi="Arial"/>
          <w:sz w:val="14"/>
          <w:szCs w:val="14"/>
          <w:i w:val="1"/>
          <w:iCs w:val="1"/>
          <w:color w:val="auto"/>
        </w:rPr>
        <w:t>Left panel: engineered features of CNTY-101. Right panel: structure of the CD19 CAR construct used in CNTY-101</w:t>
      </w:r>
    </w:p>
    <w:p>
      <w:pPr>
        <w:spacing w:after="0" w:line="73" w:lineRule="exact"/>
        <w:rPr>
          <w:sz w:val="20"/>
          <w:szCs w:val="20"/>
          <w:color w:val="auto"/>
        </w:rPr>
      </w:pPr>
    </w:p>
    <w:p>
      <w:pPr>
        <w:ind w:left="1220" w:right="1299"/>
        <w:spacing w:after="0" w:line="265" w:lineRule="auto"/>
        <w:rPr>
          <w:sz w:val="20"/>
          <w:szCs w:val="20"/>
          <w:color w:val="auto"/>
        </w:rPr>
      </w:pPr>
      <w:r>
        <w:rPr>
          <w:rFonts w:ascii="Arial" w:cs="Arial" w:eastAsia="Arial" w:hAnsi="Arial"/>
          <w:sz w:val="14"/>
          <w:szCs w:val="14"/>
          <w:color w:val="auto"/>
        </w:rPr>
        <w:t>We have completed engineering of iPSC lines from five different donors and single cell cloning of numerous iPSC lines. The single cell clones are undergoing genotype and phenotype identity, purity, safety, manufacturability, and</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27" w:name="page128"/>
    <w:bookmarkEnd w:id="12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20" w:right="1339"/>
        <w:spacing w:after="0" w:line="263" w:lineRule="auto"/>
        <w:rPr>
          <w:sz w:val="20"/>
          <w:szCs w:val="20"/>
          <w:color w:val="auto"/>
        </w:rPr>
      </w:pPr>
      <w:r>
        <w:rPr>
          <w:rFonts w:ascii="Arial" w:cs="Arial" w:eastAsia="Arial" w:hAnsi="Arial"/>
          <w:sz w:val="14"/>
          <w:szCs w:val="14"/>
          <w:i w:val="1"/>
          <w:iCs w:val="1"/>
          <w:color w:val="auto"/>
        </w:rPr>
        <w:t xml:space="preserve">in vitro </w:t>
      </w:r>
      <w:r>
        <w:rPr>
          <w:rFonts w:ascii="Arial" w:cs="Arial" w:eastAsia="Arial" w:hAnsi="Arial"/>
          <w:sz w:val="14"/>
          <w:szCs w:val="14"/>
          <w:color w:val="auto"/>
        </w:rPr>
        <w:t>and</w:t>
      </w:r>
      <w:r>
        <w:rPr>
          <w:rFonts w:ascii="Arial" w:cs="Arial" w:eastAsia="Arial" w:hAnsi="Arial"/>
          <w:sz w:val="14"/>
          <w:szCs w:val="14"/>
          <w:i w:val="1"/>
          <w:iCs w:val="1"/>
          <w:color w:val="auto"/>
        </w:rPr>
        <w:t xml:space="preserve"> in vivo </w:t>
      </w:r>
      <w:r>
        <w:rPr>
          <w:rFonts w:ascii="Arial" w:cs="Arial" w:eastAsia="Arial" w:hAnsi="Arial"/>
          <w:sz w:val="14"/>
          <w:szCs w:val="14"/>
          <w:color w:val="auto"/>
        </w:rPr>
        <w:t>functional testing. CD19 iNK single cell clones demonstrate significant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cytotoxicity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comparable to CAR-T controls, and numerous cycles of serial killing after repeated challenge with lymphoma cells. CNTY-101 single cell clones also demonstrate IL-15 expression and persistence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as well as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tumor growth inhibition. We expect clinical candidate clone selection in the first half of 2021, and plan to move into IND-enabling preclinical and technical studies and manufacturing at that time. We currently anticipate filing an IND in mid 2022 to advance CNTY-101 into a Phase 1 clinical trial.</w:t>
      </w:r>
    </w:p>
    <w:p>
      <w:pPr>
        <w:spacing w:after="0" w:line="13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Preclinical studies and selection of the final product candidate for CNTY-101</w:t>
      </w:r>
    </w:p>
    <w:p>
      <w:pPr>
        <w:spacing w:after="0" w:line="123" w:lineRule="exact"/>
        <w:rPr>
          <w:sz w:val="20"/>
          <w:szCs w:val="20"/>
          <w:color w:val="auto"/>
        </w:rPr>
      </w:pPr>
    </w:p>
    <w:p>
      <w:pPr>
        <w:ind w:left="1220" w:right="1279"/>
        <w:spacing w:after="0"/>
        <w:rPr>
          <w:sz w:val="20"/>
          <w:szCs w:val="20"/>
          <w:color w:val="auto"/>
        </w:rPr>
      </w:pPr>
      <w:r>
        <w:rPr>
          <w:rFonts w:ascii="Arial" w:cs="Arial" w:eastAsia="Arial" w:hAnsi="Arial"/>
          <w:sz w:val="14"/>
          <w:szCs w:val="14"/>
          <w:color w:val="auto"/>
        </w:rPr>
        <w:t>To identify the CNTY-101 clinical candidate, we engineered iPSC lines from five different donors. The initial characterization studies were done with bulk cells prior to single cell cloning (bulk-engineered cells), and we have now generated additional data with single-cell clones. To identify the candidate, we have narrowed down to six clonal cell lines derived from two donors. The initial evaluation of the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features and safety switch was done on bulk-engineered iPSC lines.</w:t>
      </w:r>
    </w:p>
    <w:p>
      <w:pPr>
        <w:spacing w:after="0" w:line="292"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Allo-Evasion</w:t>
      </w:r>
      <w:r>
        <w:rPr>
          <w:rFonts w:ascii="Arial" w:cs="Arial" w:eastAsia="Arial" w:hAnsi="Arial"/>
          <w:sz w:val="21"/>
          <w:szCs w:val="21"/>
          <w:i w:val="1"/>
          <w:iCs w:val="1"/>
          <w:color w:val="auto"/>
          <w:vertAlign w:val="superscript"/>
        </w:rPr>
        <w:t>TM</w:t>
      </w:r>
      <w:r>
        <w:rPr>
          <w:rFonts w:ascii="Arial" w:cs="Arial" w:eastAsia="Arial" w:hAnsi="Arial"/>
          <w:sz w:val="14"/>
          <w:szCs w:val="14"/>
          <w:i w:val="1"/>
          <w:iCs w:val="1"/>
          <w:color w:val="auto"/>
        </w:rPr>
        <w:t xml:space="preserve"> studies with bulk-engineered CAR-iNK cells</w:t>
      </w:r>
    </w:p>
    <w:p>
      <w:pPr>
        <w:spacing w:after="0" w:line="81" w:lineRule="exact"/>
        <w:rPr>
          <w:sz w:val="20"/>
          <w:szCs w:val="20"/>
          <w:color w:val="auto"/>
        </w:rPr>
      </w:pPr>
    </w:p>
    <w:p>
      <w:pPr>
        <w:ind w:left="1220" w:right="1359"/>
        <w:spacing w:after="0" w:line="242" w:lineRule="auto"/>
        <w:rPr>
          <w:sz w:val="20"/>
          <w:szCs w:val="20"/>
          <w:color w:val="auto"/>
        </w:rPr>
      </w:pPr>
      <w:r>
        <w:rPr>
          <w:rFonts w:ascii="Arial" w:cs="Arial" w:eastAsia="Arial" w:hAnsi="Arial"/>
          <w:sz w:val="14"/>
          <w:szCs w:val="14"/>
          <w:color w:val="auto"/>
        </w:rPr>
        <w:t>To prevent recognition of our CAR-iNK cells by CD8 T cells from the patient, we eliminated the expression of the HLA-I by deleting β2m, a protein that is required for the expression of HLA-I molecules on the cell surface. Our current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data has been generated with bulk-engineered iNK cells prior to single cell clonal selection. However, even with bulk-engineered cells where a small percentage of cells (1.6%) in the population still retains HLA-I, it is clear that the deletion of β2m significantly diminishes the allo-reactivity of allogeneic CD8 T cells against our iNK cells. In the final clinical candidate clones for therapeutic products, HLA-I will be uniformly absent from all iNK cells.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Elimination of HLA-I prevents allogeneic immune recognition of iNK cells by CD8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1595755</wp:posOffset>
            </wp:positionH>
            <wp:positionV relativeFrom="paragraph">
              <wp:posOffset>108585</wp:posOffset>
            </wp:positionV>
            <wp:extent cx="2527935" cy="1939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27935" cy="193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20" w:right="1259"/>
        <w:spacing w:after="0" w:line="235" w:lineRule="auto"/>
        <w:rPr>
          <w:sz w:val="20"/>
          <w:szCs w:val="20"/>
          <w:color w:val="auto"/>
        </w:rPr>
      </w:pPr>
      <w:r>
        <w:rPr>
          <w:rFonts w:ascii="Arial" w:cs="Arial" w:eastAsia="Arial" w:hAnsi="Arial"/>
          <w:sz w:val="14"/>
          <w:szCs w:val="14"/>
          <w:i w:val="1"/>
          <w:iCs w:val="1"/>
          <w:color w:val="auto"/>
        </w:rPr>
        <w:t>Elimination of HLA-I prevents allogeneic immune recognition of iNK cells by CD8 T cells. To determine if removal of HLA-I via β2m knock-out prevents recognition of iNK cells by allogeneic T cells, a mixed lymphocyte reaction, or MLR, was performed with CD8 T cells from six allogeneic donors. Allogeneic T cells show virtual no proliferation when incubated with iNK cells that do not express HLA-I (B2Mko iNK), in contrast with iNK cells expressing HLA-I (iNK).</w:t>
      </w:r>
    </w:p>
    <w:p>
      <w:pPr>
        <w:spacing w:after="0" w:line="100" w:lineRule="exact"/>
        <w:rPr>
          <w:sz w:val="20"/>
          <w:szCs w:val="20"/>
          <w:color w:val="auto"/>
        </w:rPr>
      </w:pPr>
    </w:p>
    <w:p>
      <w:pPr>
        <w:ind w:left="1220" w:right="1299"/>
        <w:spacing w:after="0" w:line="242" w:lineRule="auto"/>
        <w:rPr>
          <w:sz w:val="20"/>
          <w:szCs w:val="20"/>
          <w:color w:val="auto"/>
        </w:rPr>
      </w:pPr>
      <w:r>
        <w:rPr>
          <w:rFonts w:ascii="Arial" w:cs="Arial" w:eastAsia="Arial" w:hAnsi="Arial"/>
          <w:sz w:val="14"/>
          <w:szCs w:val="14"/>
          <w:color w:val="auto"/>
        </w:rPr>
        <w:t>Deletion of HLA-I prevents the recognition of our iNK cells by allogeneic T cells, but on the other hand, it exposes the iNK cells to killing by the patient’s NK cells. NK cells can sense the lack of HLA-I as a danger signal (missing self-hypothesis) and eliminate HLA-I negative cells. As part of our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we engineered the expression of HLA-E, a monomorphic MHC Class I related molecule to prevent the killing of the HLA-I null iNK cells. HLA-E engages an inhibitory receptor, NKG2A on NK cells and prevents their cytolytic activity. Our data with bulk-engineered iNK cells indicates that HLA-E is effective in mitigating the killing of the null iNK cells.</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28" w:name="page129"/>
    <w:bookmarkEnd w:id="12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720"/>
        <w:spacing w:after="0"/>
        <w:rPr>
          <w:sz w:val="20"/>
          <w:szCs w:val="20"/>
          <w:color w:val="auto"/>
        </w:rPr>
      </w:pPr>
      <w:r>
        <w:rPr>
          <w:rFonts w:ascii="Arial" w:cs="Arial" w:eastAsia="Arial" w:hAnsi="Arial"/>
          <w:sz w:val="14"/>
          <w:szCs w:val="14"/>
          <w:b w:val="1"/>
          <w:bCs w:val="1"/>
          <w:color w:val="auto"/>
        </w:rPr>
        <w:t>Expression of HLA-E prevents killing of iNK cells</w:t>
      </w:r>
    </w:p>
    <w:p>
      <w:pPr>
        <w:spacing w:after="0" w:line="29"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that have been engineered to prevent HLA-I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69850</wp:posOffset>
            </wp:positionV>
            <wp:extent cx="3432810" cy="17468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32810" cy="1746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20" w:right="1379"/>
        <w:spacing w:after="0" w:line="262" w:lineRule="auto"/>
        <w:rPr>
          <w:sz w:val="20"/>
          <w:szCs w:val="20"/>
          <w:color w:val="auto"/>
        </w:rPr>
      </w:pPr>
      <w:r>
        <w:rPr>
          <w:rFonts w:ascii="Arial" w:cs="Arial" w:eastAsia="Arial" w:hAnsi="Arial"/>
          <w:sz w:val="14"/>
          <w:szCs w:val="14"/>
          <w:i w:val="1"/>
          <w:iCs w:val="1"/>
          <w:color w:val="auto"/>
        </w:rPr>
        <w:t>In contrast with HLA-I null iNK cells, which are killed by allogeneic NK cells, HLA-I null iNK cells engineered with HLA-E are mostly protected from killing by allogeneic NK cells.</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Evaluation of the EGFR safety switch with bulk engineered CAR-iNK cells</w:t>
      </w:r>
    </w:p>
    <w:p>
      <w:pPr>
        <w:spacing w:after="0" w:line="134"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 xml:space="preserve">CNTY-101 is engineered with a safety switch that can be triggered to eliminate the cells if ever necessary. Our switch includes a shorter version of the EGFR extracellular domain, anchored to the plasma membrane. This form of EGFR binds to cetuximab, a clinically approved antibody we plan to use as a trigger for the safety switch. Cetuximab engages FcγR on innate immune cells, such as NK cells and macrophages, to eliminate EFGR-expressing cells through ADCC or ADCP. Our preliminary data from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indicates that the cetuximab effectively triggers the elimination of iNK cells engineered with our EGFR safety switch from different tissues including blood, liver, and lungs.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Elimination of iNK cells using EGFR safety switch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842010</wp:posOffset>
            </wp:positionH>
            <wp:positionV relativeFrom="paragraph">
              <wp:posOffset>74295</wp:posOffset>
            </wp:positionV>
            <wp:extent cx="4042410" cy="2048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04241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20" w:right="1419"/>
        <w:spacing w:after="0" w:line="243" w:lineRule="auto"/>
        <w:rPr>
          <w:sz w:val="20"/>
          <w:szCs w:val="20"/>
          <w:color w:val="auto"/>
        </w:rPr>
      </w:pPr>
      <w:r>
        <w:rPr>
          <w:rFonts w:ascii="Arial" w:cs="Arial" w:eastAsia="Arial" w:hAnsi="Arial"/>
          <w:sz w:val="14"/>
          <w:szCs w:val="14"/>
          <w:i w:val="1"/>
          <w:iCs w:val="1"/>
          <w:color w:val="auto"/>
        </w:rPr>
        <w:t>NSG mice were intravenously infused with 1x107 CD19iNK and one day later treated with 40 mg/kg cetuximab or rituximab (as a control). On Day 8, mice were humanely euthanized and whole blood, liver, and lung samples were collected and analyzed for the presence of iNK cells.</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29" w:name="page130"/>
    <w:bookmarkEnd w:id="12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Single-cell cloning of engineered iPSC from different donors to identify the final clinical candidate</w:t>
      </w:r>
    </w:p>
    <w:p>
      <w:pPr>
        <w:spacing w:after="0" w:line="134" w:lineRule="exact"/>
        <w:rPr>
          <w:sz w:val="20"/>
          <w:szCs w:val="20"/>
          <w:color w:val="auto"/>
        </w:rPr>
      </w:pPr>
    </w:p>
    <w:p>
      <w:pPr>
        <w:ind w:left="1220" w:right="1259"/>
        <w:spacing w:after="0" w:line="273" w:lineRule="auto"/>
        <w:rPr>
          <w:sz w:val="20"/>
          <w:szCs w:val="20"/>
          <w:color w:val="auto"/>
        </w:rPr>
      </w:pPr>
      <w:r>
        <w:rPr>
          <w:rFonts w:ascii="Arial" w:cs="Arial" w:eastAsia="Arial" w:hAnsi="Arial"/>
          <w:sz w:val="14"/>
          <w:szCs w:val="14"/>
          <w:color w:val="auto"/>
        </w:rPr>
        <w:t xml:space="preserve">We have now completed the single cell cloning of engineered iPSC lines from three different donors. The single cell clones have been characterized for the expression of NK cell markers and the inserted transgenes. Selected clones were then characterized genetically by karyotype analysis, copy number variations, transgene copy number and insertion fidelity, and, finally, whole genome sequencing. The phenotype and genotype positive clones were progressed to an iNK differentiation,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functional and manufacturability screens. We have narrowed down the number of candidates to six clonal lines from two different donors. These lines are being evaluated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for final clinical candidate selection, which is set to occur in the first half of</w:t>
      </w:r>
    </w:p>
    <w:p>
      <w:pPr>
        <w:spacing w:after="0" w:line="2" w:lineRule="exact"/>
        <w:rPr>
          <w:sz w:val="20"/>
          <w:szCs w:val="20"/>
          <w:color w:val="auto"/>
        </w:rPr>
      </w:pPr>
    </w:p>
    <w:p>
      <w:pPr>
        <w:ind w:left="1220" w:right="1259"/>
        <w:spacing w:after="0" w:line="290" w:lineRule="auto"/>
        <w:rPr>
          <w:sz w:val="20"/>
          <w:szCs w:val="20"/>
          <w:color w:val="auto"/>
        </w:rPr>
      </w:pPr>
      <w:r>
        <w:rPr>
          <w:rFonts w:ascii="Arial" w:cs="Arial" w:eastAsia="Arial" w:hAnsi="Arial"/>
          <w:sz w:val="14"/>
          <w:szCs w:val="14"/>
          <w:color w:val="auto"/>
        </w:rPr>
        <w:t>2021. We anticipate filing and IND in mid 2022 and subsequently advance CNTY-1 into a Phase 1 clinical trial</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CNTY-101 lead discovery funnel to identify final clinical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121920</wp:posOffset>
            </wp:positionV>
            <wp:extent cx="4165600" cy="16167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165600" cy="161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Selected single-cell clones express engineered transgenes in virtually all cells after expansion</w:t>
      </w:r>
    </w:p>
    <w:p>
      <w:pPr>
        <w:spacing w:after="0" w:line="144" w:lineRule="exact"/>
        <w:rPr>
          <w:sz w:val="20"/>
          <w:szCs w:val="20"/>
          <w:color w:val="auto"/>
        </w:rPr>
      </w:pPr>
    </w:p>
    <w:p>
      <w:pPr>
        <w:ind w:left="1220" w:right="1339"/>
        <w:spacing w:after="0" w:line="276" w:lineRule="auto"/>
        <w:rPr>
          <w:sz w:val="20"/>
          <w:szCs w:val="20"/>
          <w:color w:val="auto"/>
        </w:rPr>
      </w:pPr>
      <w:r>
        <w:rPr>
          <w:rFonts w:ascii="Arial" w:cs="Arial" w:eastAsia="Arial" w:hAnsi="Arial"/>
          <w:sz w:val="14"/>
          <w:szCs w:val="14"/>
          <w:color w:val="auto"/>
        </w:rPr>
        <w:t>We have run a series of phenotypic assays and transgene expression characterization to narrow down the list of top candidates to six iPSC lines. After expansion in culture, the cell populations derived from single cell clones are highly uniform. Virtually all cells from all clones are CD45+, CD56+, CD3- indicating that these cells are NK cells. In addition, the cells uniformly express the CAR, HLA-E, and EGFR (safety switch) transgenes indicating that our product candidate clones are highly uniform when assessed for phenotypic markers.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30" w:name="page131"/>
    <w:bookmarkEnd w:id="13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Transgene expression and purity of iNK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128905</wp:posOffset>
            </wp:positionV>
            <wp:extent cx="3926205" cy="32543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926205" cy="3254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20" w:right="1259"/>
        <w:spacing w:after="0" w:line="255" w:lineRule="auto"/>
        <w:rPr>
          <w:sz w:val="20"/>
          <w:szCs w:val="20"/>
          <w:color w:val="auto"/>
        </w:rPr>
      </w:pPr>
      <w:r>
        <w:rPr>
          <w:rFonts w:ascii="Arial" w:cs="Arial" w:eastAsia="Arial" w:hAnsi="Arial"/>
          <w:sz w:val="14"/>
          <w:szCs w:val="14"/>
          <w:i w:val="1"/>
          <w:iCs w:val="1"/>
          <w:color w:val="auto"/>
        </w:rPr>
        <w:t>Transgene expression and purity of day 21 iNK clones as measured by flow cytometry. All clones were &gt;97% iNK cells defined as live/CD45+/CD56+/CD3- (top left panel). Transgene expression (CAR, EGFR, and HLA-E) was measured on total live population after expansion of the single cell clones.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Functional analysis of iNK cells generated from individual iPSC clones reveals meaningful</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differences in the in vitro persistence and killing capacity of clinical candidates.</w:t>
      </w:r>
    </w:p>
    <w:p>
      <w:pPr>
        <w:spacing w:after="0" w:line="170" w:lineRule="exact"/>
        <w:rPr>
          <w:sz w:val="20"/>
          <w:szCs w:val="20"/>
          <w:color w:val="auto"/>
        </w:rPr>
      </w:pPr>
    </w:p>
    <w:p>
      <w:pPr>
        <w:ind w:left="1220" w:right="1279"/>
        <w:spacing w:after="0" w:line="293" w:lineRule="auto"/>
        <w:rPr>
          <w:sz w:val="20"/>
          <w:szCs w:val="20"/>
          <w:color w:val="auto"/>
        </w:rPr>
      </w:pPr>
      <w:r>
        <w:rPr>
          <w:rFonts w:ascii="Arial" w:cs="Arial" w:eastAsia="Arial" w:hAnsi="Arial"/>
          <w:sz w:val="14"/>
          <w:szCs w:val="14"/>
          <w:color w:val="auto"/>
        </w:rPr>
        <w:t xml:space="preserve">In addition to assuring uniform transgene expression in the clones under consideration for clinical candidate selection, we compared two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functional attributes across clones that could influence their ability to inhibit tumor growth. The first is the cell-intrinsic capacity to persist in culture in the presence or absence of CD19 expressing tumor targets in the absence of exogenous cytokine support. As seen in the figure below, there was a meaningful difference between clones in the recovery of iNK cells after a seven day culture, with three clones demonstrating particularly favorable persistence.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31" w:name="page132"/>
    <w:bookmarkEnd w:id="13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430530</wp:posOffset>
            </wp:positionV>
            <wp:extent cx="4158615" cy="17265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158615" cy="172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20" w:right="1259"/>
        <w:spacing w:after="0" w:line="194" w:lineRule="auto"/>
        <w:rPr>
          <w:sz w:val="20"/>
          <w:szCs w:val="20"/>
          <w:color w:val="auto"/>
        </w:rPr>
      </w:pPr>
      <w:r>
        <w:rPr>
          <w:rFonts w:ascii="Arial" w:cs="Arial" w:eastAsia="Arial" w:hAnsi="Arial"/>
          <w:sz w:val="14"/>
          <w:szCs w:val="14"/>
          <w:i w:val="1"/>
          <w:iCs w:val="1"/>
          <w:color w:val="auto"/>
        </w:rPr>
        <w:t>Average iNK cell number as measured by flow cytometry at the conclusion of the 7 day persistence assay. iNK cells were cultured alone or in co-culture with CD19</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xml:space="preserve"> NALM6 or REH cells</w:t>
      </w:r>
    </w:p>
    <w:p>
      <w:pPr>
        <w:spacing w:after="0" w:line="2" w:lineRule="exact"/>
        <w:rPr>
          <w:sz w:val="20"/>
          <w:szCs w:val="20"/>
          <w:color w:val="auto"/>
        </w:rPr>
      </w:pPr>
    </w:p>
    <w:p>
      <w:pPr>
        <w:ind w:left="1220" w:right="1419"/>
        <w:spacing w:after="0"/>
        <w:rPr>
          <w:sz w:val="20"/>
          <w:szCs w:val="20"/>
          <w:color w:val="auto"/>
        </w:rPr>
      </w:pPr>
      <w:r>
        <w:rPr>
          <w:rFonts w:ascii="Arial" w:cs="Arial" w:eastAsia="Arial" w:hAnsi="Arial"/>
          <w:sz w:val="14"/>
          <w:szCs w:val="14"/>
          <w:i w:val="1"/>
          <w:iCs w:val="1"/>
          <w:color w:val="auto"/>
        </w:rPr>
        <w:t>at an effector to target ratio of 1:1 in the absence of any exogenous cytokine support for 7 days and then analyzed by flow cytometry. The iNK cell population was defined as live, CD45</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 CD56</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cells.</w:t>
      </w:r>
    </w:p>
    <w:p>
      <w:pPr>
        <w:spacing w:after="0" w:line="231"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Single-cell clones mediate serial killing of lymphoma cells</w:t>
      </w:r>
    </w:p>
    <w:p>
      <w:pPr>
        <w:spacing w:after="0" w:line="123"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 xml:space="preserve">In addition to the persistence demonstrated above, for cell therapies to be effective in eliminating cancer cells, single CAR-T or CAR-NK cells need to be able to engage and kill multiple tumor cells in succession a process commonly described as serial killing. To evaluate the fitness of our CAR-iNK cells, we established a serial killing assay in which iNK cells are put through multiple rounds of killing with fresh tumor cell targets added every 24 hours. This is one of our most relevant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assays to characterize and distinguish CAR-iNK cell clones. Our most potent clones (iPSC611, iPSC387, iPSC384) sustain serial killing activity for over ten rounds of killing. These clones have now progressed to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for characterization of their anti-tumor activity against human lymphoma xenografts. These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studies will determine the final choice of the iPSC clone that will be selected to generate the CNTY-101 clinical candidate.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Serial killing assay with single-cell iNK clones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114935</wp:posOffset>
            </wp:positionV>
            <wp:extent cx="4104005" cy="1939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104005" cy="193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1220" w:right="1259"/>
        <w:spacing w:after="0" w:line="243" w:lineRule="auto"/>
        <w:rPr>
          <w:sz w:val="20"/>
          <w:szCs w:val="20"/>
          <w:color w:val="auto"/>
        </w:rPr>
      </w:pPr>
      <w:r>
        <w:rPr>
          <w:rFonts w:ascii="Arial" w:cs="Arial" w:eastAsia="Arial" w:hAnsi="Arial"/>
          <w:sz w:val="14"/>
          <w:szCs w:val="14"/>
          <w:i w:val="1"/>
          <w:iCs w:val="1"/>
          <w:color w:val="auto"/>
        </w:rPr>
        <w:t>To demonstrate the ability of our clonal CAR-iNK cells to kill lymphoma cells over multiple rounds of tumor challenge, NuclightRed labeled Nalm-6 CD19+ lymphoma cells were cocultured with iNK clones at an E:T ratio of 5:1. The</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32" w:name="page133"/>
    <w:bookmarkEnd w:id="13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20" w:right="1379"/>
        <w:spacing w:after="0" w:line="251" w:lineRule="auto"/>
        <w:rPr>
          <w:sz w:val="20"/>
          <w:szCs w:val="20"/>
          <w:color w:val="auto"/>
        </w:rPr>
      </w:pPr>
      <w:r>
        <w:rPr>
          <w:rFonts w:ascii="Arial" w:cs="Arial" w:eastAsia="Arial" w:hAnsi="Arial"/>
          <w:sz w:val="14"/>
          <w:szCs w:val="14"/>
          <w:i w:val="1"/>
          <w:iCs w:val="1"/>
          <w:color w:val="auto"/>
        </w:rPr>
        <w:t>plates were imaged every three hours to record the frequency of tumor cells by recording red fluorescence (Red Calibrated Unit, or RCU). Every 24 hours, new tumor cell targets were added to the wells. Differences in repeated killing are apparent with some clones having tumor serial killing for over ten rounds whereas others show loss of tumor control after five rounds of tumor killing.</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Preliminary assessment of CD19 CAR-iNK cell clone inhibition of tumor growth 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1253490</wp:posOffset>
            </wp:positionH>
            <wp:positionV relativeFrom="paragraph">
              <wp:posOffset>135890</wp:posOffset>
            </wp:positionV>
            <wp:extent cx="3213100" cy="2686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213100" cy="268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20" w:right="1319"/>
        <w:spacing w:after="0" w:line="246" w:lineRule="auto"/>
        <w:rPr>
          <w:sz w:val="20"/>
          <w:szCs w:val="20"/>
          <w:color w:val="auto"/>
        </w:rPr>
      </w:pPr>
      <w:r>
        <w:rPr>
          <w:rFonts w:ascii="Arial" w:cs="Arial" w:eastAsia="Arial" w:hAnsi="Arial"/>
          <w:sz w:val="14"/>
          <w:szCs w:val="14"/>
          <w:i w:val="1"/>
          <w:iCs w:val="1"/>
          <w:color w:val="auto"/>
        </w:rPr>
        <w:t>The clones that performed best in the persistence and serial killing assays shown above were advanced into in vivo tumor growth inhibition studies. The CD19 expressing NALM6 lymphoma model was used in a mouse xenograft model to determine the impact of the three leading clones (as determined above) on tumor growth. Tumor was established on day zero and iNK cells derived from single-cell clones (iPSC384, iPSC387, iPSC611)or bulk engineered iNK cells (iPSC300) were administered intravenously on days 1, 8, and 15. As predicted, each of the three lines derived from single-cell clones mediated significant anti-tumor growth inhibition which was greater than CD19 CAR-iNK cells derived from the bulk culture (iPSC300).</w:t>
      </w:r>
    </w:p>
    <w:p>
      <w:pPr>
        <w:spacing w:after="0" w:line="136"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Single-cell clones eliminate CD19+ B cells</w:t>
      </w:r>
    </w:p>
    <w:p>
      <w:pPr>
        <w:spacing w:after="0" w:line="134" w:lineRule="exact"/>
        <w:rPr>
          <w:sz w:val="20"/>
          <w:szCs w:val="20"/>
          <w:color w:val="auto"/>
        </w:rPr>
      </w:pPr>
    </w:p>
    <w:p>
      <w:pPr>
        <w:ind w:left="1220" w:right="1279"/>
        <w:spacing w:after="0" w:line="292" w:lineRule="auto"/>
        <w:rPr>
          <w:sz w:val="20"/>
          <w:szCs w:val="20"/>
          <w:color w:val="auto"/>
        </w:rPr>
      </w:pPr>
      <w:r>
        <w:rPr>
          <w:rFonts w:ascii="Arial" w:cs="Arial" w:eastAsia="Arial" w:hAnsi="Arial"/>
          <w:sz w:val="14"/>
          <w:szCs w:val="14"/>
          <w:color w:val="auto"/>
        </w:rPr>
        <w:t>One of the key hallmarks of approved CD19 CAR-T cell therapy is the observation that patients who respond to treatment have B cell aplasia (loss of B cells). Because normal B cells express CD19, B cell aplasia is expected during CD19 CAR-T cell treatment and has been used as a pharmacodynamic indicator of CAR-T cell activity. To determine whether our CD19 CAR-iNK cells eliminate normal B cells, we used B cells from four different allogeneic donors and incubated them with our top candidate iNK single cell clones. After 48 hours in culture, all iNK clones showed robust killing of B cells with complete elimination in most assays. This data indicates that B cell aplasia should be expected during treatment of lymphoma patients. B-cell aplasia is expected to benefit our Allo-Evasion™ strategy by further reducing the chance of patients mounting a humoral anti-iNK cell antibody response.</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5458460" cy="393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33" w:name="page134"/>
    <w:bookmarkEnd w:id="13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Elimination of B Cells in Co-cultures of PBMCs with CAR-iNK Cells Derived from Single-</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Cell Clones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124460</wp:posOffset>
            </wp:positionV>
            <wp:extent cx="3446145" cy="22745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46145" cy="2274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20" w:right="1319"/>
        <w:spacing w:after="0" w:line="279" w:lineRule="auto"/>
        <w:rPr>
          <w:sz w:val="20"/>
          <w:szCs w:val="20"/>
          <w:color w:val="auto"/>
        </w:rPr>
      </w:pPr>
      <w:r>
        <w:rPr>
          <w:rFonts w:ascii="Arial" w:cs="Arial" w:eastAsia="Arial" w:hAnsi="Arial"/>
          <w:sz w:val="14"/>
          <w:szCs w:val="14"/>
          <w:b w:val="1"/>
          <w:bCs w:val="1"/>
          <w:i w:val="1"/>
          <w:iCs w:val="1"/>
          <w:color w:val="auto"/>
        </w:rPr>
        <w:t>Elimination of normal B cells from whole PBMCs by our top candidate iNK single-cell clones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To evaluate B cell killing activity in-vitro, CAR-iNK cells derived from six single-cell</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clones were co-cultured for 48 hours with PBMCs from four healthy donors. The PBMCs were labeled with cell trace violet (CTV) and cocultured with CAR-iNK clones at an effector: Target ratio of 1:1. B-cells were defined as CTV+/CD45+/CD19+ and the reduction in B-cell numbers graphed as a percentage of the total B-cells present in the co-culture conditions compared to the “No Effector” condition for each donor (set at 100%). Samples were run on BD Symphony A3 cytometer and the data is represented as average of the four PBMC donors with error bars representing standard deviation.</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Our CNTY-101 clinical development program</w:t>
      </w:r>
    </w:p>
    <w:p>
      <w:pPr>
        <w:spacing w:after="0" w:line="134" w:lineRule="exact"/>
        <w:rPr>
          <w:sz w:val="20"/>
          <w:szCs w:val="20"/>
          <w:color w:val="auto"/>
        </w:rPr>
      </w:pPr>
    </w:p>
    <w:p>
      <w:pPr>
        <w:jc w:val="both"/>
        <w:ind w:left="1220" w:right="1399"/>
        <w:spacing w:after="0" w:line="243" w:lineRule="auto"/>
        <w:rPr>
          <w:sz w:val="20"/>
          <w:szCs w:val="20"/>
          <w:color w:val="auto"/>
        </w:rPr>
      </w:pPr>
      <w:r>
        <w:rPr>
          <w:rFonts w:ascii="Arial" w:cs="Arial" w:eastAsia="Arial" w:hAnsi="Arial"/>
          <w:sz w:val="14"/>
          <w:szCs w:val="14"/>
          <w:color w:val="auto"/>
        </w:rPr>
        <w:t>We believe the successful development of CNTY-101 will enable us to establish clinical proof of concept for our CAR-iNT cell therapy and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CNTY-101 is projected to enter preclinical and technical IND-enabling studies and manufacturing this year, supporting an IND filing in the middle of 2022.</w:t>
      </w:r>
    </w:p>
    <w:p>
      <w:pPr>
        <w:spacing w:after="0" w:line="130"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We intend to initiate a first-in-human Phase 1 clinical study in the United States in 2022, in relapsed and refractory large B-cell lymphoma, or RR NHL, patients including dose escalation and expansion portions, designed to evaluate the safety, tolerability, pharmacokinetics, persistence, efficacy, and recommended Phase 2 dose and schedule of CNTY-101. We plan to assess both CD19-naïve and CD19-CAR-T treated patients who have relapsed. We will evaluate dose and dosing schedule, and characterize repeat dosing and its impact on safety, persistence, and efficacy. Depending on FDA feedback on our study design, we’re expecting to be able to evaluate preliminary safety in several patients approximately six months after study start and preliminary efficacy approximately nine to twelve months after study start. CNTY-101 will allow for benchmarking, where safety and efficacy can be compared to the available results for mono-specific CD19 autologous and allogeneic therapies that also utilize the FMC63 binder and CAR.</w:t>
      </w:r>
    </w:p>
    <w:p>
      <w:pPr>
        <w:spacing w:after="0" w:line="292"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The primary objective of the Phase 1 clinical study will be to evaluate incidence and nature of dose-limiting toxicities within each dose level cohort. The secondary objectives of the study will include cell pharmacokinetics and persistence, incidence, nature, and severity of adverse events, overall response rate, complete and partial response rates, and duration of response, among other measures. Exploratory measures will include evaluation of immunogenicity, correlation of antigen expression with response, and cytokine profile as a reporter of safety.</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34" w:name="page135"/>
    <w:bookmarkEnd w:id="13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59"/>
        <w:spacing w:after="0" w:line="292" w:lineRule="auto"/>
        <w:rPr>
          <w:sz w:val="20"/>
          <w:szCs w:val="20"/>
          <w:color w:val="auto"/>
        </w:rPr>
      </w:pPr>
      <w:r>
        <w:rPr>
          <w:rFonts w:ascii="Arial" w:cs="Arial" w:eastAsia="Arial" w:hAnsi="Arial"/>
          <w:sz w:val="14"/>
          <w:szCs w:val="14"/>
          <w:color w:val="auto"/>
        </w:rPr>
        <w:t>We believe CNTY-101 may provide significant treatment advantages including (i) as a result of our ability to repeat dose, the potential to enhance objective response rates, or ORRs, and the duration of response, or DoR; (ii) the potential to treat patients immediately upon diagnosis since product is available off-the-shelf and, (iii) the potential to use milder lymphodepletion regimens by reducing or eliminating the immunogenicity and alloreactivity of the administered cells, potentially providing an improved safety profile. Off the shelf availability of CNTY-101 at any clinical site, and, a potentially improved safety profile enabling outpatient use, could improve patient access. For these reasons, we believe CNTY-101, if approved by the FDA or other applicable regulatory authorities, will address substantial unmet market needs for an off-the-shelf, safe and effective cell therapy offering an improved therapeutic profile.</w:t>
      </w:r>
    </w:p>
    <w:p>
      <w:pPr>
        <w:spacing w:after="0" w:line="314" w:lineRule="exact"/>
        <w:rPr>
          <w:sz w:val="20"/>
          <w:szCs w:val="20"/>
          <w:color w:val="auto"/>
        </w:rPr>
      </w:pPr>
    </w:p>
    <w:p>
      <w:pPr>
        <w:ind w:left="1220" w:right="1599"/>
        <w:spacing w:after="0" w:line="462" w:lineRule="auto"/>
        <w:rPr>
          <w:sz w:val="20"/>
          <w:szCs w:val="20"/>
          <w:color w:val="auto"/>
        </w:rPr>
      </w:pPr>
      <w:r>
        <w:rPr>
          <w:rFonts w:ascii="Arial" w:cs="Arial" w:eastAsia="Arial" w:hAnsi="Arial"/>
          <w:sz w:val="14"/>
          <w:szCs w:val="14"/>
          <w:b w:val="1"/>
          <w:bCs w:val="1"/>
          <w:i w:val="1"/>
          <w:iCs w:val="1"/>
          <w:color w:val="auto"/>
        </w:rPr>
        <w:t xml:space="preserve">CNTY-103: Our CAR iNK candidate targeting CD133 + EGFR for recurrent glioblastoma </w:t>
      </w:r>
      <w:r>
        <w:rPr>
          <w:rFonts w:ascii="Arial" w:cs="Arial" w:eastAsia="Arial" w:hAnsi="Arial"/>
          <w:sz w:val="14"/>
          <w:szCs w:val="14"/>
          <w:i w:val="1"/>
          <w:iCs w:val="1"/>
          <w:color w:val="auto"/>
        </w:rPr>
        <w:t>Disease background</w:t>
      </w:r>
    </w:p>
    <w:p>
      <w:pPr>
        <w:ind w:left="1220" w:right="1279"/>
        <w:spacing w:after="0" w:line="276" w:lineRule="auto"/>
        <w:rPr>
          <w:sz w:val="20"/>
          <w:szCs w:val="20"/>
          <w:color w:val="auto"/>
        </w:rPr>
      </w:pPr>
      <w:r>
        <w:rPr>
          <w:rFonts w:ascii="Arial" w:cs="Arial" w:eastAsia="Arial" w:hAnsi="Arial"/>
          <w:sz w:val="14"/>
          <w:szCs w:val="14"/>
          <w:color w:val="auto"/>
        </w:rPr>
        <w:t>GBM is the most aggressive cancer that originates in the brain and accounts for 15% of all brain cancers. There is no known cure for this form of cancer and as such, GBM represents a significant unmet medical need. Treatment for GBM involves surgery followed by chemotherapy and radiation and is considered only palliative as patient relapse is virtually inevitable. Surgical removal of the tumor mass is often complicated by tumor growth into critical regions or the brain, which cannot be excised surgically. While Avastin</w:t>
      </w:r>
      <w:r>
        <w:rPr>
          <w:rFonts w:ascii="Arial" w:cs="Arial" w:eastAsia="Arial" w:hAnsi="Arial"/>
          <w:sz w:val="21"/>
          <w:szCs w:val="21"/>
          <w:color w:val="auto"/>
          <w:vertAlign w:val="superscript"/>
        </w:rPr>
        <w:t>®</w:t>
      </w:r>
      <w:r>
        <w:rPr>
          <w:rFonts w:ascii="Arial" w:cs="Arial" w:eastAsia="Arial" w:hAnsi="Arial"/>
          <w:sz w:val="14"/>
          <w:szCs w:val="14"/>
          <w:color w:val="auto"/>
        </w:rPr>
        <w:t xml:space="preserve"> and Gliadel</w:t>
      </w:r>
      <w:r>
        <w:rPr>
          <w:rFonts w:ascii="Arial" w:cs="Arial" w:eastAsia="Arial" w:hAnsi="Arial"/>
          <w:sz w:val="21"/>
          <w:szCs w:val="21"/>
          <w:color w:val="auto"/>
          <w:vertAlign w:val="superscript"/>
        </w:rPr>
        <w:t>®</w:t>
      </w:r>
      <w:r>
        <w:rPr>
          <w:rFonts w:ascii="Arial" w:cs="Arial" w:eastAsia="Arial" w:hAnsi="Arial"/>
          <w:sz w:val="14"/>
          <w:szCs w:val="14"/>
          <w:color w:val="auto"/>
        </w:rPr>
        <w:t xml:space="preserve"> have been approved for use in the treatment of recurrent GBM, their therapeutic benefit is modest. Duration of survival after diagnosis is generally 12 to 15 months with treatment, 3 months without treatment. Recurrence is virtually inevitable, with short survival times and no effective therapies.</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Our therapeutic approach</w:t>
      </w:r>
    </w:p>
    <w:p>
      <w:pPr>
        <w:spacing w:after="0" w:line="144" w:lineRule="exact"/>
        <w:rPr>
          <w:sz w:val="20"/>
          <w:szCs w:val="20"/>
          <w:color w:val="auto"/>
        </w:rPr>
      </w:pPr>
    </w:p>
    <w:p>
      <w:pPr>
        <w:ind w:left="1220" w:right="1239"/>
        <w:spacing w:after="0" w:line="276" w:lineRule="auto"/>
        <w:rPr>
          <w:sz w:val="20"/>
          <w:szCs w:val="20"/>
          <w:color w:val="auto"/>
        </w:rPr>
      </w:pPr>
      <w:r>
        <w:rPr>
          <w:rFonts w:ascii="Arial" w:cs="Arial" w:eastAsia="Arial" w:hAnsi="Arial"/>
          <w:sz w:val="14"/>
          <w:szCs w:val="14"/>
          <w:color w:val="auto"/>
        </w:rPr>
        <w:t>We are pursuing a novel and differentiated approach to the treatment of recurrent GBM using allogeneic iNK cells. Our initial GBM product candidate, CNTY-103, is a dual-targeted CD133 + EGFR iNK,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enabled product, engineered to express IL-15, a safety switch to allow for cell removal and possibly a PET reporter for imaging of the cells after administration to the patients. A dual-target should advantage our treatment strategy, as GBM tumor cells have high target heterogeneity. We believe an iNK cell product will minimize clinical safety risks such as cytokine release syndrome, and our ability to locally administer may minimize systemic toxicity and could eliminate the need for lymphodepletion, allowing older and less fit patients to have access to treatment. CNTY-103 represents our first clinical candidate targeting a solid tumor.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35" w:name="page136"/>
    <w:bookmarkEnd w:id="13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CNTY-103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1671320</wp:posOffset>
            </wp:positionH>
            <wp:positionV relativeFrom="paragraph">
              <wp:posOffset>108585</wp:posOffset>
            </wp:positionV>
            <wp:extent cx="2377440" cy="24460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377440" cy="2446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Through our June 2020 acquisition of the assets of Empirica Therapeutics Inc., or Empirica, we gained access to a broad set of assets to enable the development of novel cell therapies for GBM. This acquisition brought us significant GBM expertise, direct access to tumor tissue from GBM patients, new potential targets for GBM CARs, novel, proprietary preclinical models of GBM, and access to an established laboratory to conduct development activities. These models involve the administration of the human tumor xenografts into mouse brains and delivery of the cell therapy candidates directly to sites in the brain where the tumor cells were implanted. These xenograft GBM models have been used to demonstrate the potential utility of CD133 CAR-T therapy to treat GBM. As seen in the data presented below, the CD133 CAR originally developed by Empirica demonstrates compelling anti-tumor activity against three different GBM tumors that express CD133.</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CD133 CAR-T cells display strong </w:t>
      </w:r>
      <w:r>
        <w:rPr>
          <w:rFonts w:ascii="Arial" w:cs="Arial" w:eastAsia="Arial" w:hAnsi="Arial"/>
          <w:sz w:val="14"/>
          <w:szCs w:val="14"/>
          <w:b w:val="1"/>
          <w:bCs w:val="1"/>
          <w:i w:val="1"/>
          <w:iCs w:val="1"/>
          <w:color w:val="auto"/>
        </w:rPr>
        <w:t>in vivo</w:t>
      </w:r>
      <w:r>
        <w:rPr>
          <w:rFonts w:ascii="Arial" w:cs="Arial" w:eastAsia="Arial" w:hAnsi="Arial"/>
          <w:sz w:val="14"/>
          <w:szCs w:val="14"/>
          <w:b w:val="1"/>
          <w:bCs w:val="1"/>
          <w:color w:val="auto"/>
        </w:rPr>
        <w:t xml:space="preserve"> anti-tumor activity against GBM xenografts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108585</wp:posOffset>
            </wp:positionV>
            <wp:extent cx="3460115" cy="13290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6011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20" w:right="1299"/>
        <w:spacing w:after="0" w:line="264" w:lineRule="auto"/>
        <w:rPr>
          <w:sz w:val="20"/>
          <w:szCs w:val="20"/>
          <w:color w:val="auto"/>
        </w:rPr>
      </w:pPr>
      <w:r>
        <w:rPr>
          <w:rFonts w:ascii="Arial" w:cs="Arial" w:eastAsia="Arial" w:hAnsi="Arial"/>
          <w:sz w:val="14"/>
          <w:szCs w:val="14"/>
          <w:color w:val="auto"/>
        </w:rPr>
        <w:t xml:space="preserve">As is depicted in the cross-sectional images presented below, results achieved in an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mouse model provide further evidence of the utility of CD133 as a therapeutic target. Tumor cells were implanted into the brains of mice and the mice administered either a CAR-control or a CAR targeting CD133. The image on the left, which reflects tumor growth, is representative of mice dosed with the control CAR. Mice treated with the CAR-targeting CD133 through intracranial delivery, shown on the right, displayed significant tumor shrinkage.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36" w:name="page137"/>
    <w:bookmarkEnd w:id="13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CD133 targeted CARs significantly reduced tumor burden in preclinical </w:t>
      </w:r>
      <w:r>
        <w:rPr>
          <w:rFonts w:ascii="Arial" w:cs="Arial" w:eastAsia="Arial" w:hAnsi="Arial"/>
          <w:sz w:val="14"/>
          <w:szCs w:val="14"/>
          <w:b w:val="1"/>
          <w:bCs w:val="1"/>
          <w:i w:val="1"/>
          <w:iCs w:val="1"/>
          <w:color w:val="auto"/>
        </w:rPr>
        <w:t>in-vivo</w:t>
      </w:r>
      <w:r>
        <w:rPr>
          <w:rFonts w:ascii="Arial" w:cs="Arial" w:eastAsia="Arial" w:hAnsi="Arial"/>
          <w:sz w:val="14"/>
          <w:szCs w:val="14"/>
          <w:b w:val="1"/>
          <w:bCs w:val="1"/>
          <w:color w:val="auto"/>
        </w:rPr>
        <w:t xml:space="preserve">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Tumor shrinkage leads to increased survival, as outlined in the graph below.</w:t>
      </w:r>
    </w:p>
    <w:p>
      <w:pPr>
        <w:spacing w:after="0" w:line="123"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Tumor shrinkage led to improved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1294765</wp:posOffset>
            </wp:positionH>
            <wp:positionV relativeFrom="paragraph">
              <wp:posOffset>121920</wp:posOffset>
            </wp:positionV>
            <wp:extent cx="3131185" cy="18497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131185" cy="1849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20" w:right="1339"/>
        <w:spacing w:after="0" w:line="278" w:lineRule="auto"/>
        <w:rPr>
          <w:sz w:val="20"/>
          <w:szCs w:val="20"/>
          <w:color w:val="auto"/>
        </w:rPr>
      </w:pPr>
      <w:r>
        <w:rPr>
          <w:rFonts w:ascii="Arial" w:cs="Arial" w:eastAsia="Arial" w:hAnsi="Arial"/>
          <w:sz w:val="14"/>
          <w:szCs w:val="14"/>
          <w:i w:val="1"/>
          <w:iCs w:val="1"/>
          <w:color w:val="auto"/>
        </w:rPr>
        <w:t>Mice intracranially treated with CART133 cells have improved survival compared to mice treated with control CART cells (p = 0.0027).</w:t>
      </w:r>
    </w:p>
    <w:p>
      <w:pPr>
        <w:spacing w:after="0" w:line="94" w:lineRule="exact"/>
        <w:rPr>
          <w:sz w:val="20"/>
          <w:szCs w:val="20"/>
          <w:color w:val="auto"/>
        </w:rPr>
      </w:pPr>
    </w:p>
    <w:p>
      <w:pPr>
        <w:ind w:left="1220" w:right="1239"/>
        <w:spacing w:after="0" w:line="295" w:lineRule="auto"/>
        <w:rPr>
          <w:sz w:val="20"/>
          <w:szCs w:val="20"/>
          <w:color w:val="auto"/>
        </w:rPr>
      </w:pPr>
      <w:r>
        <w:rPr>
          <w:rFonts w:ascii="Arial" w:cs="Arial" w:eastAsia="Arial" w:hAnsi="Arial"/>
          <w:sz w:val="14"/>
          <w:szCs w:val="14"/>
          <w:color w:val="auto"/>
        </w:rPr>
        <w:t>Epidermal growth factor receptor (EGFR) is a well-known oncogene expressed in multiple tumors. Tumors frequently overexpress wild-type and mutant EGFR, including the EGFRvIII variant which is expressed in a fraction of GBM tumors. EGFR gene amplification and overexpression is present in about 40% of GBM and amongst the tumors with amplified EGFR, about 50% express EGFRvIII. We plan to engineer the EGFR-CAR for CNTY-103 to bind both the wild-type and EGFRvIII variant.</w:t>
      </w:r>
    </w:p>
    <w:p>
      <w:pPr>
        <w:spacing w:after="0" w:line="284" w:lineRule="exact"/>
        <w:rPr>
          <w:sz w:val="20"/>
          <w:szCs w:val="20"/>
          <w:color w:val="auto"/>
        </w:rPr>
      </w:pPr>
    </w:p>
    <w:p>
      <w:pPr>
        <w:ind w:left="1220" w:right="1279"/>
        <w:spacing w:after="0" w:line="292" w:lineRule="auto"/>
        <w:rPr>
          <w:sz w:val="20"/>
          <w:szCs w:val="20"/>
          <w:color w:val="auto"/>
        </w:rPr>
      </w:pPr>
      <w:r>
        <w:rPr>
          <w:rFonts w:ascii="Arial" w:cs="Arial" w:eastAsia="Arial" w:hAnsi="Arial"/>
          <w:sz w:val="14"/>
          <w:szCs w:val="14"/>
          <w:color w:val="auto"/>
        </w:rPr>
        <w:t>CNTY-103 may also allow for additional therapeutic benefit, taking advantage of the ability to administer the cells directly into the brain and repeat dosing to enhance response durability. Current treatment of GBM commonly utilizes the insertion of a catheter through the cranium directly into the tumor space or brain ventricles. We envision mitigating the challenge of therapeutic delivery across the blood-brain barrier through the use of this intracranial port. We believe that accessing the tumor site using an indwelling catheter may not only facilitate localized trafficking of the therapeutic cells to the tumor and limit the need for lymphodepletion, but also significantly diminish issues related to potential systemic toxicity. In addition, we believe the administration of</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37" w:name="page138"/>
    <w:bookmarkEnd w:id="13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859"/>
        <w:spacing w:after="0" w:line="290" w:lineRule="auto"/>
        <w:rPr>
          <w:sz w:val="20"/>
          <w:szCs w:val="20"/>
          <w:color w:val="auto"/>
        </w:rPr>
      </w:pPr>
      <w:r>
        <w:rPr>
          <w:rFonts w:ascii="Arial" w:cs="Arial" w:eastAsia="Arial" w:hAnsi="Arial"/>
          <w:sz w:val="14"/>
          <w:szCs w:val="14"/>
          <w:color w:val="auto"/>
        </w:rPr>
        <w:t>the CAR-NK cells into the brain eliminates the need to use lymphodepletion, which is not tolerated by older patients or patients with low performance status.</w:t>
      </w:r>
    </w:p>
    <w:p>
      <w:pPr>
        <w:spacing w:after="0" w:line="86" w:lineRule="exact"/>
        <w:rPr>
          <w:sz w:val="20"/>
          <w:szCs w:val="20"/>
          <w:color w:val="auto"/>
        </w:rPr>
      </w:pPr>
    </w:p>
    <w:p>
      <w:pPr>
        <w:ind w:left="1220" w:right="1359"/>
        <w:spacing w:after="0" w:line="275" w:lineRule="auto"/>
        <w:rPr>
          <w:sz w:val="20"/>
          <w:szCs w:val="20"/>
          <w:color w:val="auto"/>
        </w:rPr>
      </w:pPr>
      <w:r>
        <w:rPr>
          <w:rFonts w:ascii="Arial" w:cs="Arial" w:eastAsia="Arial" w:hAnsi="Arial"/>
          <w:sz w:val="14"/>
          <w:szCs w:val="14"/>
          <w:color w:val="auto"/>
        </w:rPr>
        <w:t>We anticipate filing an IND and/or CTA to begin a Phase 1 clinical trial of CNTY-103 for the treatment of recurrent GBM in the first half of 2023. As CNTY-103 is our first solid tumor product candidate, Phase 1 development will include clinical proof of concept. The primary objectives of the Phase 1 study will be safety and tolerability, and we will also assess cell pharmacokinetics and persistence, and GBM efficacy and translational measures, including response rate, tumor volume, minimum residual disease, median progression free survival, and overall survival. Upon positive Phase 1 clinical trial results, we would move to develop through registration for use in recurrent GBM, as well as consider evaluating CNTY-103 further in earlier GBM populations.</w:t>
      </w:r>
    </w:p>
    <w:p>
      <w:pPr>
        <w:spacing w:after="0" w:line="127" w:lineRule="exact"/>
        <w:rPr>
          <w:sz w:val="20"/>
          <w:szCs w:val="20"/>
          <w:color w:val="auto"/>
        </w:rPr>
      </w:pPr>
    </w:p>
    <w:p>
      <w:pPr>
        <w:ind w:left="1220" w:right="1859"/>
        <w:spacing w:after="0" w:line="265" w:lineRule="auto"/>
        <w:rPr>
          <w:sz w:val="20"/>
          <w:szCs w:val="20"/>
          <w:color w:val="auto"/>
        </w:rPr>
      </w:pPr>
      <w:r>
        <w:rPr>
          <w:rFonts w:ascii="Arial" w:cs="Arial" w:eastAsia="Arial" w:hAnsi="Arial"/>
          <w:sz w:val="14"/>
          <w:szCs w:val="14"/>
          <w:b w:val="1"/>
          <w:bCs w:val="1"/>
          <w:i w:val="1"/>
          <w:iCs w:val="1"/>
          <w:color w:val="auto"/>
        </w:rPr>
        <w:t>CNTY-102: Our CAR-iNK or CAR -iT candidate targeting CD19 + CD79b for relapsed, refractory B cell lymphoma and other B cell malignancies</w:t>
      </w:r>
    </w:p>
    <w:p>
      <w:pPr>
        <w:spacing w:after="0" w:line="103" w:lineRule="exact"/>
        <w:rPr>
          <w:sz w:val="20"/>
          <w:szCs w:val="20"/>
          <w:color w:val="auto"/>
        </w:rPr>
      </w:pPr>
    </w:p>
    <w:p>
      <w:pPr>
        <w:ind w:left="1220" w:right="1359"/>
        <w:spacing w:after="0" w:line="261" w:lineRule="auto"/>
        <w:rPr>
          <w:sz w:val="20"/>
          <w:szCs w:val="20"/>
          <w:color w:val="auto"/>
        </w:rPr>
      </w:pPr>
      <w:r>
        <w:rPr>
          <w:rFonts w:ascii="Arial" w:cs="Arial" w:eastAsia="Arial" w:hAnsi="Arial"/>
          <w:sz w:val="14"/>
          <w:szCs w:val="14"/>
          <w:color w:val="auto"/>
        </w:rPr>
        <w:t>Our next-generation product candidate directed to treat B-cell malignancies is CNTY-102, an iPSC-derived Allo-Evasion</w:t>
      </w:r>
      <w:r>
        <w:rPr>
          <w:rFonts w:ascii="Arial" w:cs="Arial" w:eastAsia="Arial" w:hAnsi="Arial"/>
          <w:sz w:val="21"/>
          <w:szCs w:val="21"/>
          <w:color w:val="auto"/>
          <w:vertAlign w:val="superscript"/>
        </w:rPr>
        <w:t>TM</w:t>
      </w:r>
      <w:r>
        <w:rPr>
          <w:rFonts w:ascii="Arial" w:cs="Arial" w:eastAsia="Arial" w:hAnsi="Arial"/>
          <w:sz w:val="14"/>
          <w:szCs w:val="14"/>
          <w:color w:val="auto"/>
        </w:rPr>
        <w:t xml:space="preserve"> technology enabled, CAR-iNK or CAR-iT cell therapy designed to simultaneously target two tumor antigens, CD19 and CD79b. CNTY-102 will also be engineered with homeostatic cytokine support, a safety switch to be utilized for cell elimination if required clinically and possibly a PET reporter for imaging of the cells after administration to the patients. Our use of a multi-targeted CAR is intended to increase depth and durability of response by eliminating the effect of CD19 antigen loss that has been observed as a factor limiting durability of CAR-T cell therapies, as well as taking advantage of targeting CD79b, an independently regulated, ubiquitous and validated B-cell target.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CNTY-102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1438275</wp:posOffset>
            </wp:positionH>
            <wp:positionV relativeFrom="paragraph">
              <wp:posOffset>121920</wp:posOffset>
            </wp:positionV>
            <wp:extent cx="2843530" cy="24599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4353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We are actively investigating both iNK and iT cell platforms for this product, as either may have preferential clinical features: iT cells are expected to have high proliferative capacity, persistence, and trafficking, leading to sustained anti-tumor activity, while iNK cell products are intrinsically active against tumor cells, traffic in the hematopoietic compartment where lymphoma is localized, and so far have demonstrated reduced clinical safety risks (e.g., limited observation of cytokine release syndrome). We currently envision filing an IND for CNTY-102 in the second half of 2023.</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38" w:name="page139"/>
    <w:bookmarkEnd w:id="13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Preliminary clinical safety, translational (exploratory biomarker) and efficacy data will be emerging from the CNTY-101 Phase 1 trial at the time we plan to file the CNTY-102 IND, which will allow us to refine the CNTY-102 clinical design and allow for an in depth comparison. We intend to evaluate CNTY-102 in a Phase 1 clinical trial in relapsed, refractory aggressive B-cell NHL, chronic lymphocytic leukemia, or CLL, and/or B cell acute lymphoblastic leukemia, or B-ALL. We will assess safety, tolerability, pharmacokinetics, persistence, and efficacy, with primary objectives of the Phase 1 to evaluate and compare depth and durability of response, as we believe dual tumor antigen targeting will significantly improve the efficacy profile. Additional Phase 1 objectives include determining the recommended Phase 2 clinical trial dose, schedule, and lymphodepletion conditions.</w:t>
      </w:r>
    </w:p>
    <w:p>
      <w:pPr>
        <w:spacing w:after="0" w:line="309" w:lineRule="exact"/>
        <w:rPr>
          <w:sz w:val="20"/>
          <w:szCs w:val="20"/>
          <w:color w:val="auto"/>
        </w:rPr>
      </w:pPr>
    </w:p>
    <w:p>
      <w:pPr>
        <w:ind w:left="1220" w:right="1679"/>
        <w:spacing w:after="0" w:line="265" w:lineRule="auto"/>
        <w:rPr>
          <w:sz w:val="20"/>
          <w:szCs w:val="20"/>
          <w:color w:val="auto"/>
        </w:rPr>
      </w:pPr>
      <w:r>
        <w:rPr>
          <w:rFonts w:ascii="Arial" w:cs="Arial" w:eastAsia="Arial" w:hAnsi="Arial"/>
          <w:sz w:val="14"/>
          <w:szCs w:val="14"/>
          <w:b w:val="1"/>
          <w:bCs w:val="1"/>
          <w:i w:val="1"/>
          <w:iCs w:val="1"/>
          <w:color w:val="auto"/>
        </w:rPr>
        <w:t>CNTY-104: Our CAR-iNK or CAR-iT multi-specific candidate for the treatment of acute myeloid leukemia</w:t>
      </w:r>
    </w:p>
    <w:p>
      <w:pPr>
        <w:spacing w:after="0" w:line="121"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Disease background</w:t>
      </w:r>
    </w:p>
    <w:p>
      <w:pPr>
        <w:spacing w:after="0" w:line="123"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AML is the most common form of acute leukemia, with 20,000 patients per year diagnosed in US. AML is an aggressive, heterogeneous hematopoietic malignancy characterized by genetic abnormalities in myeloid stem cells. 5-year overall survival, or OS, among patients with AML aged &lt;60 years is ~ 35%, with 5-year OS among patients &lt;60 years ~ 11%, reflecting a high unmet need to improve survival and quality of life for the majority of patients with AML. First line therapy includes a combination of cytarabine- and anthracycline-based regimens with allogeneic stem cell transplantation for eligible candidates, and recently approved, targeted therapies for specific mutations. Approximately 50% of patients relapse after achieving a complete remission in AML, leading to a poor prognosis. Allogeneic hematopoietic cell transplantation, or Allo-HCT, after achieving a second remission, likely offers the only possible current chance for cure. Despite numerous clinical studies, outcomes are consistently disappointing with 5-year overall survival rates of ~ 10%.</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Our therapeutic approach</w:t>
      </w:r>
    </w:p>
    <w:p>
      <w:pPr>
        <w:spacing w:after="0" w:line="144" w:lineRule="exact"/>
        <w:rPr>
          <w:sz w:val="20"/>
          <w:szCs w:val="20"/>
          <w:color w:val="auto"/>
        </w:rPr>
      </w:pPr>
    </w:p>
    <w:p>
      <w:pPr>
        <w:ind w:left="1220" w:right="1399"/>
        <w:spacing w:after="0" w:line="278" w:lineRule="auto"/>
        <w:rPr>
          <w:sz w:val="20"/>
          <w:szCs w:val="20"/>
          <w:color w:val="auto"/>
        </w:rPr>
      </w:pPr>
      <w:r>
        <w:rPr>
          <w:rFonts w:ascii="Arial" w:cs="Arial" w:eastAsia="Arial" w:hAnsi="Arial"/>
          <w:sz w:val="14"/>
          <w:szCs w:val="14"/>
          <w:color w:val="auto"/>
        </w:rPr>
        <w:t>We are developing a multi-specific CAR-iNK or CAR-iT cell product candidate to treat relapsed, refractory, and secondary AML. CNTY-104 is a CAR-iNK or CAR-iT product candidate designed to target at least two tumor-associated antigens of relevance in AML. We are currently investigating four tumor targets to select the final candidates for the CNTY-104 product candidate. CNTY-104 will include a safety switch and possibly a PET reporter for imaging of the cells after administration to the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203200</wp:posOffset>
            </wp:positionV>
            <wp:extent cx="2610485" cy="24663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10485" cy="246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39" w:name="page140"/>
    <w:bookmarkEnd w:id="13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 xml:space="preserve">Use of CAR-T cell therapies have been limited to date in myeloid malignancies due to the heterogeneity of AML cells, and, the absence of antigens that are not also expressed on normal hematopoietic stem progenitor cells. Cell therapy approaches targeting these specific antigens have often led to prolonged myeloablation, causing risk of infection and transfusion dependence in patients. As such, we are planning to create a multi-specific CAR-iNK or iT product that allows for controlled dosing and controlled persistence (e.g. enabling resting periods) to enable elimination of AML blasts while mitigating toxicities to the bone marrow. This approach may provide an improvement in treatment efficacy, tolerability, and safety. There may be an advantage to evaluate an iNK cell product, pending characterization of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pharmacokinetics and persistence, but we will evaluate both cell platforms to engineer CNTY-104. We currently envision filing an IND for CNTY-104 in mid 2024.</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Discovery platform</w:t>
      </w:r>
    </w:p>
    <w:p>
      <w:pPr>
        <w:spacing w:after="0" w:line="125" w:lineRule="exact"/>
        <w:rPr>
          <w:sz w:val="20"/>
          <w:szCs w:val="20"/>
          <w:color w:val="auto"/>
        </w:rPr>
      </w:pPr>
    </w:p>
    <w:p>
      <w:pPr>
        <w:ind w:left="1220" w:right="1539"/>
        <w:spacing w:after="0" w:line="260" w:lineRule="auto"/>
        <w:rPr>
          <w:sz w:val="20"/>
          <w:szCs w:val="20"/>
          <w:color w:val="auto"/>
        </w:rPr>
      </w:pPr>
      <w:r>
        <w:rPr>
          <w:rFonts w:ascii="Arial" w:cs="Arial" w:eastAsia="Arial" w:hAnsi="Arial"/>
          <w:sz w:val="14"/>
          <w:szCs w:val="14"/>
          <w:color w:val="auto"/>
        </w:rPr>
        <w:t>In addition to our named programs, we are actively engaged in a number of earlier stage discovery programs where we believe our IPSC-derived allogeneic cell therapy platform may provide differentiated therapeutic benefits. These discovery stage initiatives are focused on several solid tumor indications including bladder cancer and renal cell carcinoma. For these indications we plan to use multi-specific CARs and explore the use of both iNK and iT cells to identify the best cell platform to build the product candidate.</w:t>
      </w:r>
    </w:p>
    <w:p>
      <w:pPr>
        <w:spacing w:after="0" w:line="108" w:lineRule="exact"/>
        <w:rPr>
          <w:sz w:val="20"/>
          <w:szCs w:val="20"/>
          <w:color w:val="auto"/>
        </w:rPr>
      </w:pPr>
    </w:p>
    <w:p>
      <w:pPr>
        <w:ind w:left="1220" w:right="1259"/>
        <w:spacing w:after="0" w:line="261" w:lineRule="auto"/>
        <w:rPr>
          <w:sz w:val="20"/>
          <w:szCs w:val="20"/>
          <w:color w:val="auto"/>
        </w:rPr>
      </w:pPr>
      <w:r>
        <w:rPr>
          <w:rFonts w:ascii="Arial" w:cs="Arial" w:eastAsia="Arial" w:hAnsi="Arial"/>
          <w:sz w:val="14"/>
          <w:szCs w:val="14"/>
          <w:color w:val="auto"/>
        </w:rPr>
        <w:t>We have initiated multiple VHH antibody campaigns to identify binders to build the CAR constructs for the prioritized tumor indications. These campaigns are at different stages of development and include targets for bladder cancer and targets for renal cell carcinoma. Our goal is to do side by side comparisons of the different CARs to select the final CAR constructs for the product candidates. We plan to have these CARs ready in 2022 and add them to the common engineered iPSC progenitor.</w:t>
      </w:r>
    </w:p>
    <w:p>
      <w:pPr>
        <w:spacing w:after="0" w:line="290" w:lineRule="exact"/>
        <w:rPr>
          <w:sz w:val="20"/>
          <w:szCs w:val="20"/>
          <w:color w:val="auto"/>
        </w:rPr>
      </w:pPr>
    </w:p>
    <w:p>
      <w:pPr>
        <w:ind w:left="1220" w:right="1499"/>
        <w:spacing w:after="0" w:line="277" w:lineRule="auto"/>
        <w:rPr>
          <w:sz w:val="20"/>
          <w:szCs w:val="20"/>
          <w:color w:val="auto"/>
        </w:rPr>
      </w:pPr>
      <w:r>
        <w:rPr>
          <w:rFonts w:ascii="Arial" w:cs="Arial" w:eastAsia="Arial" w:hAnsi="Arial"/>
          <w:sz w:val="14"/>
          <w:szCs w:val="14"/>
          <w:color w:val="auto"/>
        </w:rPr>
        <w:t>We intend to evaluate the use of engineered macrophages and dendritic cells in the future as potential anti-cancer cell therapies. We believe the function of these immune cells may enable both standalone use as well as their inclusion in potent effector cell cocktails where the complementary engagement of the different immune cells reinforces and enhance overall therapeutic efficacy against different type of tumor malignancies.</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Manufacturing</w:t>
      </w:r>
    </w:p>
    <w:p>
      <w:pPr>
        <w:spacing w:after="0" w:line="133"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We believe that our iPSC-derived NK cells and T cells afford us a significant opportunity to advance multiplex gene-edited cell therapies that can be produced at substantially lower cost and accessible by a much larger patient population as compared to other donor-derived and autologous cell therapy approaches. To capitalize on these advantages, we believe it is imperative to develop an intimate understanding of the relevant cell types, the processes used to manufacture these cells, and the analytical methods required to accurately and reliably measure critical product attributes. We believe this understanding will enable us to produce safe and efficacious products, implement process and product changes with greater efficiency and accelerate the clinical development of commercializable products. In addition, we intend to develop a significant depth of expertise related to scale manufacturing, which we believe is essential to enable cell expansion, harvest and final container filling, along with cryopreservation, at a significantly reduced per dose cost. We have constructed our manufacturing strategy with the intent of achieving these objectives.</w:t>
      </w:r>
    </w:p>
    <w:p>
      <w:pPr>
        <w:spacing w:after="0" w:line="290" w:lineRule="exact"/>
        <w:rPr>
          <w:sz w:val="20"/>
          <w:szCs w:val="20"/>
          <w:color w:val="auto"/>
        </w:rPr>
      </w:pPr>
    </w:p>
    <w:p>
      <w:pPr>
        <w:ind w:left="1220" w:right="1259"/>
        <w:spacing w:after="0" w:line="277" w:lineRule="auto"/>
        <w:rPr>
          <w:sz w:val="20"/>
          <w:szCs w:val="20"/>
          <w:color w:val="auto"/>
        </w:rPr>
      </w:pPr>
      <w:r>
        <w:rPr>
          <w:rFonts w:ascii="Arial" w:cs="Arial" w:eastAsia="Arial" w:hAnsi="Arial"/>
          <w:sz w:val="14"/>
          <w:szCs w:val="14"/>
          <w:color w:val="auto"/>
        </w:rPr>
        <w:t>We believe that our relationship with FCDI and its role in the manufacture of our initial product candidates has provided valuable know-how that accelerated development of our proprietary methods to generate functional iPSC-derived iNK cells. We believe that our optimized iPSC differentiation methods are scalable and compatible with efficient manufacturing processes. Our process development group is responsible for overall management of process optimization efforts and we have contracted with FCDI to provide us with process development services on an ongoing basis.</w:t>
      </w:r>
    </w:p>
    <w:p>
      <w:pPr>
        <w:spacing w:after="0" w:line="288" w:lineRule="exact"/>
        <w:rPr>
          <w:sz w:val="20"/>
          <w:szCs w:val="20"/>
          <w:color w:val="auto"/>
        </w:rPr>
      </w:pPr>
    </w:p>
    <w:p>
      <w:pPr>
        <w:ind w:left="1220" w:right="1259"/>
        <w:spacing w:after="0" w:line="277" w:lineRule="auto"/>
        <w:rPr>
          <w:sz w:val="20"/>
          <w:szCs w:val="20"/>
          <w:color w:val="auto"/>
        </w:rPr>
      </w:pPr>
      <w:r>
        <w:rPr>
          <w:rFonts w:ascii="Arial" w:cs="Arial" w:eastAsia="Arial" w:hAnsi="Arial"/>
          <w:sz w:val="14"/>
          <w:szCs w:val="14"/>
          <w:color w:val="auto"/>
        </w:rPr>
        <w:t>Current activities with FCDI are focused on enhancements to NK cell production. As the protocols for cryopreservation of NK cells are not as well established as the protocols for T cell freezing and storage, we believe that addressing the key determinants of cryopreservation is of particular relevance to the success of our more advanced therapeutic programs. The ability of NK cells to withstand cryopreservation depends not only on</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40" w:name="page141"/>
    <w:bookmarkEnd w:id="14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the freezing step itself, but on multiple factors in the entire manufacturing process both preceding and following freezing, including the thawing process and post-thaw handling prior to patient administration. As such, all factors involved in the supply chain, from initial cell engineering to patient administration, are being addressed to characterize the impact of cryopreservation on NK cells, especially its impact on yield, activity, stability and consistency. We have invested significant resources to optimize our manufacturing process and continue to iteratively invest in this area. We are also committing additional resources to ensure that adequate infrastructure and expertise is available at clinical sites regarding handling and treatment preparation.</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Effective cryopreservation strategies must consider all elements of the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890270</wp:posOffset>
            </wp:positionH>
            <wp:positionV relativeFrom="paragraph">
              <wp:posOffset>121920</wp:posOffset>
            </wp:positionV>
            <wp:extent cx="3946525" cy="1041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946525" cy="1041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20" w:right="1319"/>
        <w:spacing w:after="0" w:line="275" w:lineRule="auto"/>
        <w:rPr>
          <w:sz w:val="20"/>
          <w:szCs w:val="20"/>
          <w:color w:val="auto"/>
        </w:rPr>
      </w:pPr>
      <w:r>
        <w:rPr>
          <w:rFonts w:ascii="Arial" w:cs="Arial" w:eastAsia="Arial" w:hAnsi="Arial"/>
          <w:sz w:val="14"/>
          <w:szCs w:val="14"/>
          <w:color w:val="auto"/>
        </w:rPr>
        <w:t>We intend to source clinical supply of CNTY-101 from FCDI. FCDI currently maintains a cGMP compliant manufacturing facility in Madison, Wisconsin and our audit of the facility confirmed its Phase 1 readiness. We also intend to source clinical trial supply for our other iNK product candidates, and we will have the option to source NK cell therapies to be sold commercially, if approved, from FCDI. At the same time, we are investing in the construction of our own 53,000 square foot cell therapy manufacturing facility in Branchburg, New Jersey. We anticipate that this facility will become operational by the end of 2021. While we intend to use this facility as the primary manufacturing site for CAR-iT cell therapies, we have designed the facility to be a flexible, multi-product facility, capable of producing any immune cell type, and thereby serving as an alternative manufacturing site for our CAR-iNK cell therapies as well.</w:t>
      </w:r>
    </w:p>
    <w:p>
      <w:pPr>
        <w:spacing w:after="0" w:line="108" w:lineRule="exact"/>
        <w:rPr>
          <w:sz w:val="20"/>
          <w:szCs w:val="20"/>
          <w:color w:val="auto"/>
        </w:rPr>
      </w:pPr>
    </w:p>
    <w:p>
      <w:pPr>
        <w:ind w:left="1220" w:right="1239"/>
        <w:spacing w:after="0" w:line="276" w:lineRule="auto"/>
        <w:rPr>
          <w:sz w:val="20"/>
          <w:szCs w:val="20"/>
          <w:color w:val="auto"/>
        </w:rPr>
      </w:pPr>
      <w:r>
        <w:rPr>
          <w:rFonts w:ascii="Arial" w:cs="Arial" w:eastAsia="Arial" w:hAnsi="Arial"/>
          <w:sz w:val="14"/>
          <w:szCs w:val="14"/>
          <w:color w:val="auto"/>
        </w:rPr>
        <w:t>We believe the development of in-house manufacturing will enable us to analyze, learn and adapt more rapidly and increase control of development and manufacturing timelines for efficient clinical development of our product candidates. Through this enhanced control and investment in our process and analytical development capabilities, we believe we will gain a deeper understanding of our critical product attributes and better understand the factors that affect product quality. We also intend to develop expertise in scale-up technologies to enable optimal manufacturing scale for our product candidates, which will reduce cost of goods and improve patient access.</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Licensing, partnerships and collaborations</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Fujifilm Cellular Dynamics, Inc.</w:t>
      </w:r>
    </w:p>
    <w:p>
      <w:pPr>
        <w:spacing w:after="0" w:line="136"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We are party to an exclusive license with FCDI, dated September 18, 2018, pursuant to which we have licensed from FCDI certain patents and know-how related to differentiation of iPSC cells into immune-effector cells in the field of cancer immunotherapeutics, or, as amended, the Differentiation License. We are also party to a non-exclusive license with FCDI, also dated September 18, 2018, pursuant to which we have licensed from FCDI certain patents and know-how related to the reprogramming of human somatic cells to iPSCs in the field of cancer immunotherapeutics, or, as amended, the Reprogramming License. On October 21, 2019, we entered into a Master Collaboration Agreement with FCDI pursuant to which we agreed to fund research and development work at FCDI pursuant to a research plan, or, as amended, the Collaboration Agreement. On March 23, 2021, we entered into a Manufacturing and Supply Agreement with FCDI, or the Manufacturing Agreement, pursuant to which FCDI will provide certain agreed upon technology transfer, process development, analytical testing and GMP manufacturing services to us.</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41" w:name="page142"/>
    <w:bookmarkEnd w:id="14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Differentiation License Agreement</w:t>
      </w:r>
    </w:p>
    <w:p>
      <w:pPr>
        <w:spacing w:after="0" w:line="123"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Under the Differentiation License, FCDI granted us an exclusive, fully paid-up, sublicensable, worldwide, excluding Japan, license under certain patent rights and know-how related to human iPSC to exploit cancer immunotherapy products consisting of cells that are or are modifications of NK cells, T cells, dendritic cells and macrophages derived from human iPSC, or FCDI Licensed Products. In return, we granted FCDI an exclusive, fully paid-up, sublicensable license under certain patents and know-how controlled by us to exploit FCDI Licensed Products for any cancer immunotherapy use in Japan or, with respect to any abandoned indication, worldwide, and a non-exclusive license to manufacture the FCDI Licensed Products for any cancer immunotherapy use worldwide until the termination of the Differentiation License. We also granted to FCDI a non-exclusive, sublicensable, worldwide license under certain manufacturing know-how developed by us under the Differentiation License or Collaboration Agreement for manufacturing and process development activities outside of the field of cancer immunotherapy for cells other than NK cells, T cells, dendritic cells and macrophages derived from human iPSC until the termination of the Differentiation License.</w:t>
      </w:r>
    </w:p>
    <w:p>
      <w:pPr>
        <w:spacing w:after="0" w:line="286" w:lineRule="exact"/>
        <w:rPr>
          <w:sz w:val="20"/>
          <w:szCs w:val="20"/>
          <w:color w:val="auto"/>
        </w:rPr>
      </w:pPr>
    </w:p>
    <w:p>
      <w:pPr>
        <w:ind w:left="1220" w:right="1419"/>
        <w:spacing w:after="0" w:line="260" w:lineRule="auto"/>
        <w:rPr>
          <w:sz w:val="20"/>
          <w:szCs w:val="20"/>
          <w:color w:val="auto"/>
        </w:rPr>
      </w:pPr>
      <w:r>
        <w:rPr>
          <w:rFonts w:ascii="Arial" w:cs="Arial" w:eastAsia="Arial" w:hAnsi="Arial"/>
          <w:sz w:val="14"/>
          <w:szCs w:val="14"/>
          <w:color w:val="auto"/>
        </w:rPr>
        <w:t>Under the Differentiation License, FCDI has an option, executable once a product candidate meets its primary endpoint(s) in a Phase 2 clinical trial, to exploit FCDI Licensed Products in Japan or, with respect to any abandoned indication, worldwide. If FCDI does not exercise its option, we will have the right to exploit FCDI Licensed Products in Japan, and we and FCDI will amend the Differentiation License as necessary to permit such exploitation. In consideration for the Differentiation License, Prior Century issued 7,500,000 shares of common stock to FCDI, which were exchanged for 7,500,000 shares of common stock in connection with the Reorganization.</w:t>
      </w:r>
    </w:p>
    <w:p>
      <w:pPr>
        <w:spacing w:after="0" w:line="279"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The Differentiation License expires upon the expiration of the last-to-expire patent licensed thereunder, which is currently expected to expire in 2036. Either party may terminate the Differentiation License upon the other party’s breach of any material obligation, subject to a 60-day notice and cure period, or in the event of the other party’s bankruptcy, if not dispensed or otherwise disposed within 60 days. We may terminate the Differentiation License in its entirety or on an indication-by-indication basis, a product-by-product basis or country-by-country basis, for convenience upon 90 days’ written notice. In addition, FCDI may terminate the Differentiation License if we fail to achieve certain development milestones. FCDI may also terminate the Differentiation License upon written notice in the event of termination of Reprogramming License.</w:t>
      </w:r>
    </w:p>
    <w:p>
      <w:pPr>
        <w:spacing w:after="0" w:line="98" w:lineRule="exact"/>
        <w:rPr>
          <w:sz w:val="20"/>
          <w:szCs w:val="20"/>
          <w:color w:val="auto"/>
        </w:rPr>
      </w:pPr>
    </w:p>
    <w:p>
      <w:pPr>
        <w:ind w:left="1220" w:right="2159"/>
        <w:spacing w:after="0" w:line="274" w:lineRule="auto"/>
        <w:rPr>
          <w:sz w:val="20"/>
          <w:szCs w:val="20"/>
          <w:color w:val="auto"/>
        </w:rPr>
      </w:pPr>
      <w:r>
        <w:rPr>
          <w:rFonts w:ascii="Arial" w:cs="Arial" w:eastAsia="Arial" w:hAnsi="Arial"/>
          <w:sz w:val="14"/>
          <w:szCs w:val="14"/>
          <w:color w:val="auto"/>
        </w:rPr>
        <w:t>The Differentiation License also contains customary representations and warranties, confidentiality, insurance and indemnification provisions.</w:t>
      </w:r>
    </w:p>
    <w:p>
      <w:pPr>
        <w:spacing w:after="0" w:line="126"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Reprogramming License Agreement</w:t>
      </w:r>
    </w:p>
    <w:p>
      <w:pPr>
        <w:spacing w:after="0" w:line="134" w:lineRule="exact"/>
        <w:rPr>
          <w:sz w:val="20"/>
          <w:szCs w:val="20"/>
          <w:color w:val="auto"/>
        </w:rPr>
      </w:pPr>
    </w:p>
    <w:p>
      <w:pPr>
        <w:ind w:left="1220" w:right="1319"/>
        <w:spacing w:after="0" w:line="258" w:lineRule="auto"/>
        <w:rPr>
          <w:sz w:val="20"/>
          <w:szCs w:val="20"/>
          <w:color w:val="auto"/>
        </w:rPr>
      </w:pPr>
      <w:r>
        <w:rPr>
          <w:rFonts w:ascii="Arial" w:cs="Arial" w:eastAsia="Arial" w:hAnsi="Arial"/>
          <w:sz w:val="14"/>
          <w:szCs w:val="14"/>
          <w:color w:val="auto"/>
        </w:rPr>
        <w:t>Under the Reprogramming License, FCDI granted us a non-exclusive, worldwide, excluding Japan, license under certain patent rights and know-how related to cell reprogramming of human cells to iPSCs to exploit FCDI Licensed Products within the field of cancer immunotherapeutics. Included within the rights granted to us under such license are rights sublicensed to us under certain patents owned by the Wisconsin Alumni Research Foundation, or WARF, relating to the “Thompson Factors” for reprogramming human cells to iPSCs, pursuant to a license agreement between FCDI and WARF, or the WARF License. In return, we granted FCDI a non-exclusive, fully paid up, sublicensable license to manufacture or practice developments made by us in Japan and to practice developments made by us to manufacture FCDI Licensed Products worldwide until the termination of the Reprogramming License. We also granted to FCDI a non-exclusive, sublicensable, worldwide license under certain developments made by us under the Reprogramming License to make, have made, use, have used, research and develop iPSCs for activities outside of the field of cancer immunotherapy, so long as such rights are not used in conjunction with any other technology to differentiate iPSCs into NK cells, T cells, macrophages, or dendritic cells.</w:t>
      </w:r>
    </w:p>
    <w:p>
      <w:pPr>
        <w:spacing w:after="0" w:line="285" w:lineRule="exact"/>
        <w:rPr>
          <w:sz w:val="20"/>
          <w:szCs w:val="20"/>
          <w:color w:val="auto"/>
        </w:rPr>
      </w:pPr>
    </w:p>
    <w:p>
      <w:pPr>
        <w:ind w:left="1220" w:right="1399"/>
        <w:spacing w:after="0" w:line="261" w:lineRule="auto"/>
        <w:rPr>
          <w:sz w:val="20"/>
          <w:szCs w:val="20"/>
          <w:color w:val="auto"/>
        </w:rPr>
      </w:pPr>
      <w:r>
        <w:rPr>
          <w:rFonts w:ascii="Arial" w:cs="Arial" w:eastAsia="Arial" w:hAnsi="Arial"/>
          <w:sz w:val="14"/>
          <w:szCs w:val="14"/>
          <w:color w:val="auto"/>
        </w:rPr>
        <w:t>Under the Reprogramming License, we agreed to pay FCDI low single-digit percentage royalty payments on net sales of FCDI Licensed Products, as required by the WARF License, until the expiration of the last-to-expire patent licensed thereunder. We also agreed to pay certain milestone payments to FCDI as required by the WARF License upon the achievement of certain development and commercial milestones up to an aggregate of $6 million per FCDI Licensed Product.</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42" w:name="page143"/>
    <w:bookmarkEnd w:id="14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The Reprogramming License expires upon the expiration of the last-to-expire patent licensed thereunder, which is currently expected to expire in 2034. Either party may terminate the Reprogramming License upon the other party’s breach of a material obligation, subject to a 60-day notice and cure period, or in the event of the other party’s bankruptcy, if not dispensed or otherwise disposed within 60 days. We may terminate the Reprogramming License for convenience upon 90 days’ notice in its entirety or on a product-by-product or country-by-country basis. FCDI may terminate the Reprogramming License if we fail to achieve certain development milestones. FCDI may also terminate the Reprogramming License upon written notice in the event of termination of the Differentiation License.</w:t>
      </w:r>
    </w:p>
    <w:p>
      <w:pPr>
        <w:spacing w:after="0" w:line="278" w:lineRule="exact"/>
        <w:rPr>
          <w:sz w:val="20"/>
          <w:szCs w:val="20"/>
          <w:color w:val="auto"/>
        </w:rPr>
      </w:pPr>
    </w:p>
    <w:p>
      <w:pPr>
        <w:ind w:left="1220" w:right="2019"/>
        <w:spacing w:after="0" w:line="290" w:lineRule="auto"/>
        <w:rPr>
          <w:sz w:val="20"/>
          <w:szCs w:val="20"/>
          <w:color w:val="auto"/>
        </w:rPr>
      </w:pPr>
      <w:r>
        <w:rPr>
          <w:rFonts w:ascii="Arial" w:cs="Arial" w:eastAsia="Arial" w:hAnsi="Arial"/>
          <w:sz w:val="14"/>
          <w:szCs w:val="14"/>
          <w:color w:val="auto"/>
        </w:rPr>
        <w:t>The Reprogramming License also contains customary representations and warranties, confidentiality, insurance and indemnification provisions.</w:t>
      </w:r>
    </w:p>
    <w:p>
      <w:pPr>
        <w:spacing w:after="0" w:line="11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Master Collaboration Agreement</w:t>
      </w:r>
    </w:p>
    <w:p>
      <w:pPr>
        <w:spacing w:after="0" w:line="144" w:lineRule="exact"/>
        <w:rPr>
          <w:sz w:val="20"/>
          <w:szCs w:val="20"/>
          <w:color w:val="auto"/>
        </w:rPr>
      </w:pPr>
    </w:p>
    <w:p>
      <w:pPr>
        <w:ind w:left="1220" w:right="1319"/>
        <w:spacing w:after="0" w:line="273" w:lineRule="auto"/>
        <w:rPr>
          <w:sz w:val="20"/>
          <w:szCs w:val="20"/>
          <w:color w:val="auto"/>
        </w:rPr>
      </w:pPr>
      <w:r>
        <w:rPr>
          <w:rFonts w:ascii="Arial" w:cs="Arial" w:eastAsia="Arial" w:hAnsi="Arial"/>
          <w:sz w:val="14"/>
          <w:szCs w:val="14"/>
          <w:color w:val="auto"/>
        </w:rPr>
        <w:t>Under the Collaboration Agreement, we established a collaborative relationship under which FCDI agreed to render certain services to us for the development and manufacture iPSC-derived cells in accordance with a research plan and approved budget funded by us. For the first</w:t>
      </w:r>
    </w:p>
    <w:p>
      <w:pPr>
        <w:spacing w:after="0" w:line="1" w:lineRule="exact"/>
        <w:rPr>
          <w:sz w:val="20"/>
          <w:szCs w:val="20"/>
          <w:color w:val="auto"/>
        </w:rPr>
      </w:pPr>
    </w:p>
    <w:p>
      <w:pPr>
        <w:ind w:left="1220" w:right="1539"/>
        <w:spacing w:after="0" w:line="290" w:lineRule="auto"/>
        <w:rPr>
          <w:sz w:val="20"/>
          <w:szCs w:val="20"/>
          <w:color w:val="auto"/>
        </w:rPr>
      </w:pPr>
      <w:r>
        <w:rPr>
          <w:rFonts w:ascii="Arial" w:cs="Arial" w:eastAsia="Arial" w:hAnsi="Arial"/>
          <w:sz w:val="14"/>
          <w:szCs w:val="14"/>
          <w:color w:val="auto"/>
        </w:rPr>
        <w:t>three years of the term of the Collaboration Agreement, we agreed to pay FCDI a minimum of $2.5 million per year.</w:t>
      </w:r>
    </w:p>
    <w:p>
      <w:pPr>
        <w:spacing w:after="0" w:line="96"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Under the Collaboration Agreement, with certain exceptions, we have ownership rights to the deliverables made under the collaboration, including any intellectual property rights therein. Such exceptions include, among other things, deliverables that are cells obtained or created by changing the state of a cell to a state of pluripotency using methods or materials covered by the licensed patents, or Reprogrammed iPS Cells, or any compositions or materials derived from the use of Reprogrammed iPS Cells, produced by the use of Reprogrammed iPS Cells or which incorporate wholly or partially Reprogrammed iPS Cells, which, in each case, will be owned by FCDI, unless directly or indirectly derived from or made from the cell lines selected by us pursuant to the terms of the Collaboration Agreement.</w:t>
      </w:r>
    </w:p>
    <w:p>
      <w:pPr>
        <w:spacing w:after="0" w:line="98"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The Collaboration Agreement expires upon the termination of the Reprogramming License. Either party may terminate the Collaboration Agreement upon the other party’s material breach, subject to a 30-day notice and cure period. We may terminate the Collaboration Agreement for convenience after October 1, 2021 by providing FCDI 60-days’ written notice.</w:t>
      </w:r>
    </w:p>
    <w:p>
      <w:pPr>
        <w:spacing w:after="0" w:line="106" w:lineRule="exact"/>
        <w:rPr>
          <w:sz w:val="20"/>
          <w:szCs w:val="20"/>
          <w:color w:val="auto"/>
        </w:rPr>
      </w:pPr>
    </w:p>
    <w:p>
      <w:pPr>
        <w:ind w:left="1220" w:right="1979"/>
        <w:spacing w:after="0" w:line="290" w:lineRule="auto"/>
        <w:rPr>
          <w:sz w:val="20"/>
          <w:szCs w:val="20"/>
          <w:color w:val="auto"/>
        </w:rPr>
      </w:pPr>
      <w:r>
        <w:rPr>
          <w:rFonts w:ascii="Arial" w:cs="Arial" w:eastAsia="Arial" w:hAnsi="Arial"/>
          <w:sz w:val="14"/>
          <w:szCs w:val="14"/>
          <w:color w:val="auto"/>
        </w:rPr>
        <w:t>The Collaboration Agreement also contains customary representations and warranties, confidentiality and indemnification provisions.</w:t>
      </w:r>
    </w:p>
    <w:p>
      <w:pPr>
        <w:spacing w:after="0" w:line="11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Manufacturing and Supply Agreement</w:t>
      </w:r>
    </w:p>
    <w:p>
      <w:pPr>
        <w:spacing w:after="0" w:line="144" w:lineRule="exact"/>
        <w:rPr>
          <w:sz w:val="20"/>
          <w:szCs w:val="20"/>
          <w:color w:val="auto"/>
        </w:rPr>
      </w:pPr>
    </w:p>
    <w:p>
      <w:pPr>
        <w:ind w:left="1220" w:right="1339"/>
        <w:spacing w:after="0" w:line="275" w:lineRule="auto"/>
        <w:rPr>
          <w:sz w:val="20"/>
          <w:szCs w:val="20"/>
          <w:color w:val="auto"/>
        </w:rPr>
      </w:pPr>
      <w:r>
        <w:rPr>
          <w:rFonts w:ascii="Arial" w:cs="Arial" w:eastAsia="Arial" w:hAnsi="Arial"/>
          <w:sz w:val="14"/>
          <w:szCs w:val="14"/>
          <w:color w:val="auto"/>
        </w:rPr>
        <w:t>Under the Manufacturing Agreement, FCDI will perform certain agreed upon technology transfer, process development, analytical testing, and GMP manufacturing services for us with respect to clinical supply of our product candidates as agreed to in future work orders. The Manufacturing Agreement contains certain exclusivity provisions, which remain effective until the fifth anniversary of the Manufacturing Agreement, including that FCDI will be our exclusive clinical supplier for the first NK cell product candidate for which we submit an IND and that FCDI will have the option to be our exclusive clinical supplier for certain of our next three or four product candidates for which we may submit an IND, depending on whether they are NK cell product candidates or T cell product candidates. Subject to certain conditions, FCDI may also have the right to be the exclusive clinical supplier for the first product candidate for which we submit an IND after the fifth anniversary of the Manufacturing Agreement.</w:t>
      </w:r>
    </w:p>
    <w:p>
      <w:pPr>
        <w:spacing w:after="0" w:line="281"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Either party may terminate the Manufacturing Agreement upon the other party’s material breach, subject to a 30-day notice and cure period, or in the event that the activities to be performed under the Manufacturing Agreement are unable to be performed for scientific or technical reasons and the parties are unable to resolve such issue within 60 days. We may terminate the Manufacturing Agreement for convenience after March 23, 2026 by providing FCDI 60-days’ written notice.</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43" w:name="page144"/>
    <w:bookmarkEnd w:id="14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Bayer HealthCare LLC</w:t>
      </w:r>
    </w:p>
    <w:p>
      <w:pPr>
        <w:spacing w:after="0" w:line="16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Option Agreement</w:t>
      </w:r>
    </w:p>
    <w:p>
      <w:pPr>
        <w:spacing w:after="0" w:line="123"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In June 2019, we entered into an option agreement with Bayer, or the Option Agreement, which was subsequently amended and restated in February 2021,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For clarity, T cell programs are excluded from the Bayer Option Agreement Research Products. Under the Option Agreement, Bayer was granted a right of first refusal, or ROFR, to submit bids for the transfer or license of rights to research, develop and/or commercialize certain Research Products, which we refer to as the Research Product Rights. The Research Products include CNTY-101, CNTY-103 and any other product candidate comprised of iNK cells that we develop in the future. Bayer’s ROFR is only exercisable with respect to up to four Research Products and the right terminates upon our tenth IND submission. Subject to certain exceptions, Bayer may only exercise these option rights in a non-sequential and alternating manner, and such rights are subject to additional limitations.</w:t>
      </w:r>
    </w:p>
    <w:p>
      <w:pPr>
        <w:spacing w:after="0" w:line="286"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In the event that Bayer exercises its ROFR right, we will provide Bayer with our current, minimum offer terms with respect to the relevant Research Product Rights, or the Minimum Offer Terms, as determined by our Board (excluding any director appointed by Bayer), which will include (i) the minimum upfront cash proceeds to be received by us for the Research Product Rights and (ii) any other applicable licensing and financial terms. If Bayer’s bid does not meet the Minimum Offer Terms, Bayer’s ROFR rights with respect to that Research Product terminate except that Bayer will retain topping rights for future third party bids for that Research Product. If Bayer’s bid meets the Minimum Offer Terms, we can accept the bid or seek a third party valuation to determine the fair market value of the Research Product Rights and Bayer will have the opportunity to match the third party valuation. If Bayer does not match the third party valuation, Bayer’s rights with respect to that Research Product terminate except that Bayer will retain topping rights for future third party bids for that Research Product that are less than the third party valuation. The Option Agreement also contains provisions regarding our receipt of an unsolicited bid for certain Research Product Rights prior to an IND submission for a Research Product under which Bayer will have the option to submit a competing bid or relinquish its rights with respect to the transfer of the applicable Research Product in connection with the unsolicited bid.</w:t>
      </w:r>
    </w:p>
    <w:p>
      <w:pPr>
        <w:spacing w:after="0" w:line="285" w:lineRule="exact"/>
        <w:rPr>
          <w:sz w:val="20"/>
          <w:szCs w:val="20"/>
          <w:color w:val="auto"/>
        </w:rPr>
      </w:pPr>
    </w:p>
    <w:p>
      <w:pPr>
        <w:ind w:left="1220" w:right="1459"/>
        <w:spacing w:after="0" w:line="265" w:lineRule="auto"/>
        <w:rPr>
          <w:sz w:val="20"/>
          <w:szCs w:val="20"/>
          <w:color w:val="auto"/>
        </w:rPr>
      </w:pPr>
      <w:r>
        <w:rPr>
          <w:rFonts w:ascii="Arial" w:cs="Arial" w:eastAsia="Arial" w:hAnsi="Arial"/>
          <w:sz w:val="14"/>
          <w:szCs w:val="14"/>
          <w:color w:val="auto"/>
        </w:rPr>
        <w:t>The Option Agreement terminates upon the earlier of (i) Bayer and its affiliates ceasing to hold any of our capital stock or (ii) a change of control of us, as defined therein. The Option Agreement also contains customary representations and warranties and confidentiality provisions.</w:t>
      </w:r>
    </w:p>
    <w:p>
      <w:pPr>
        <w:spacing w:after="0" w:line="30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iCELL Inc.</w:t>
      </w:r>
    </w:p>
    <w:p>
      <w:pPr>
        <w:spacing w:after="0" w:line="136" w:lineRule="exact"/>
        <w:rPr>
          <w:sz w:val="20"/>
          <w:szCs w:val="20"/>
          <w:color w:val="auto"/>
        </w:rPr>
      </w:pPr>
    </w:p>
    <w:p>
      <w:pPr>
        <w:ind w:left="1220" w:right="1299"/>
        <w:spacing w:after="0" w:line="275" w:lineRule="auto"/>
        <w:rPr>
          <w:sz w:val="20"/>
          <w:szCs w:val="20"/>
          <w:color w:val="auto"/>
        </w:rPr>
      </w:pPr>
      <w:r>
        <w:rPr>
          <w:rFonts w:ascii="Arial" w:cs="Arial" w:eastAsia="Arial" w:hAnsi="Arial"/>
          <w:sz w:val="14"/>
          <w:szCs w:val="14"/>
          <w:color w:val="auto"/>
        </w:rPr>
        <w:t>On March 20, 2020, we entered into an exclusive sublicense, or the iCELL Sublicense, with iCELL Inc., or iCELL, for certain patents related to an immune function reconstruction method using multipotent stem cells and the method for producing antigen specific T-cells, in each case, to research, develop and commercialize products in the United States, France, Germany, Italy, Liechtenstein, the Netherlands, Switzerland and the UK and any other countries where valid claims exist. Additionally, we received a non-exclusive license to such rights in Japan. The rights sublicensed to us under the iCELL Sublicense were licensed to iCELL by the University of Tokyo, or UTokyo, pursuant to an exclusive license agreement, or the UTokyo License. iCELL reserved for itself and for UTokyo an irrevocable, nonexclusive, royalty-free license to make and use certain non-public information for their own internal educational and research activities.</w:t>
      </w:r>
    </w:p>
    <w:p>
      <w:pPr>
        <w:spacing w:after="0" w:line="108" w:lineRule="exact"/>
        <w:rPr>
          <w:sz w:val="20"/>
          <w:szCs w:val="20"/>
          <w:color w:val="auto"/>
        </w:rPr>
      </w:pPr>
    </w:p>
    <w:p>
      <w:pPr>
        <w:ind w:left="1220" w:right="1259"/>
        <w:spacing w:after="0" w:line="277" w:lineRule="auto"/>
        <w:rPr>
          <w:sz w:val="20"/>
          <w:szCs w:val="20"/>
          <w:color w:val="auto"/>
        </w:rPr>
      </w:pPr>
      <w:r>
        <w:rPr>
          <w:rFonts w:ascii="Arial" w:cs="Arial" w:eastAsia="Arial" w:hAnsi="Arial"/>
          <w:sz w:val="14"/>
          <w:szCs w:val="14"/>
          <w:color w:val="auto"/>
        </w:rPr>
        <w:t>The initial term of the sublicense expires on the later of (i) March 31, 2027, or (ii) the expiration of the last-to-expire valid claim covering a licensed product, which is currently expected to expire in 2033. iCELL may terminate the agreement with 30 days’ notice if we have failed to make a payment within 60 days of such payment becoming due and we do not cure such breach within 30 days of written notice. We may terminate the agreement upon 90 days’ written notice if any third party brings a claim against us related to the licensed patents or technology and such claim is not settled within 90 days.</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44" w:name="page145"/>
    <w:bookmarkEnd w:id="14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99"/>
        <w:spacing w:after="0" w:line="275" w:lineRule="auto"/>
        <w:rPr>
          <w:sz w:val="20"/>
          <w:szCs w:val="20"/>
          <w:color w:val="auto"/>
        </w:rPr>
      </w:pPr>
      <w:r>
        <w:rPr>
          <w:rFonts w:ascii="Arial" w:cs="Arial" w:eastAsia="Arial" w:hAnsi="Arial"/>
          <w:sz w:val="14"/>
          <w:szCs w:val="14"/>
          <w:color w:val="auto"/>
        </w:rPr>
        <w:t>Pursuant to the iCELL Sublicense, we paid an upfront license issue fee in the low six-figures and we agreed to make low single-digit percentage royalty payments until the last-to-expire valid claim under the licensed patents to iCELL on certain net sales amounts of the products developed under the iCELL Sublicense, as well as commercial milestone payments on a country-by-country basis based on certain net sales amounts related to products developed under the iCELL Sublicense in the aggregate of $70 million. We also agreed to make certain milestone payments to iCELL upon the achievement of certain developmental and regulatory milestones in the aggregate of $4.25 million. Upon the termination of the UTokyo License, iCELL will use good faith efforts to assist us in exercising any rights available to us under the UTokyo License to become a direct licensee of UTokyo. The iCELL Sublicense also contains customary representation and warranties, confidentiality, insurance, audit, indemnification and miscellaneous provisions.</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University of Toronto and McMaster University</w:t>
      </w:r>
    </w:p>
    <w:p>
      <w:pPr>
        <w:spacing w:after="0" w:line="136"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On June 9, 2020, we entered into an asset purchase agreement by and among Empirica, our wholly-owned subsidiary Century Therapeutics Canada ULC, or Century Canada and us pursuant to which we purchased certain assets of Empirica, including a license agreement, or the Empirica License, dated January 22, 2019, by and among the Governing Council of the University of Toronto, or the Council, the McMaster University, or, together with the Council, the Toronto Universities, and Empirica. Under the Empirica License, we received an exclusive, non-transferable, sublicensable, worldwide license under certain patents and antibody sequences and related intellectual property rights and know-how to, among other things, reproduce, manufacture and commercialize certain CD-133 related antibody and antibody sequence-derived technology, including but not limited to BiTE and bi-Specific or engineered T-Cells, including but not limited to CAR-Ts. The Toronto Universities reserve a royalty-free, non-exclusive, perpetual, irrevocable license to use such technology for non-commercial research, educational and administrative purposes.</w:t>
      </w:r>
    </w:p>
    <w:p>
      <w:pPr>
        <w:spacing w:after="0" w:line="290" w:lineRule="exact"/>
        <w:rPr>
          <w:sz w:val="20"/>
          <w:szCs w:val="20"/>
          <w:color w:val="auto"/>
        </w:rPr>
      </w:pPr>
    </w:p>
    <w:p>
      <w:pPr>
        <w:ind w:left="1220" w:right="1319"/>
        <w:spacing w:after="0" w:line="277" w:lineRule="auto"/>
        <w:rPr>
          <w:sz w:val="20"/>
          <w:szCs w:val="20"/>
          <w:color w:val="auto"/>
        </w:rPr>
      </w:pPr>
      <w:r>
        <w:rPr>
          <w:rFonts w:ascii="Arial" w:cs="Arial" w:eastAsia="Arial" w:hAnsi="Arial"/>
          <w:sz w:val="14"/>
          <w:szCs w:val="14"/>
          <w:color w:val="auto"/>
        </w:rPr>
        <w:t>The Empirica License expires upon the expiration of the last-to-expire valid claim covering the antibody and antibody-derived technology licensed under the agreement, which, if issued, is expected to expire in 2037. The Toronto Universities may immediately terminate the agreement upon certain insolvency events or upon our material breach with 30 days’ prior written notice and cure period. We may terminate the agreement for convenience upon 30 days’ written notice.</w:t>
      </w:r>
    </w:p>
    <w:p>
      <w:pPr>
        <w:spacing w:after="0" w:line="107" w:lineRule="exact"/>
        <w:rPr>
          <w:sz w:val="20"/>
          <w:szCs w:val="20"/>
          <w:color w:val="auto"/>
        </w:rPr>
      </w:pPr>
    </w:p>
    <w:p>
      <w:pPr>
        <w:ind w:left="1220" w:right="1299"/>
        <w:spacing w:after="0" w:line="275" w:lineRule="auto"/>
        <w:rPr>
          <w:sz w:val="20"/>
          <w:szCs w:val="20"/>
          <w:color w:val="auto"/>
        </w:rPr>
      </w:pPr>
      <w:r>
        <w:rPr>
          <w:rFonts w:ascii="Arial" w:cs="Arial" w:eastAsia="Arial" w:hAnsi="Arial"/>
          <w:sz w:val="14"/>
          <w:szCs w:val="14"/>
          <w:color w:val="auto"/>
        </w:rPr>
        <w:t>Pursuant to the Empirica License, we are required to make aggregate milestone payments of $18 million to the Toronto Universities upon the achievement of regulatory approval for certain products developed pursuant to the Empirica License in the United States, European Union and Japan until the expiration of the last-to-expire valid claim covering the antibody and antibody-derived technology licensed under the agreement. We are also required to make royalty payments to the Toronto Universities in an amount equal to a low single-digit percentage of annual net sales of any product commercialized utilizing technology licensed under the Empirica License. We are also required to pay the Toronto Institutions 50% of all non-royalty payments from sublicenses up to certain maximum amounts and 50% of royalty payments from sublicenses up to a maximum low single-digit percentage. The Empirica License contains customary representations and warranties, confidentiality, insurance, audit and indemnification provisions.</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Inscripta</w:t>
      </w:r>
    </w:p>
    <w:p>
      <w:pPr>
        <w:spacing w:after="0" w:line="136"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In January 2019, we entered into a non-exclusive license agreement with Inscripta, Inc. Under the license agreement, we obtained a non-exclusive, worldwide, royalty-free, irrevocable license to a patent portfolio covering the composition, production and use of CRISPR-MAD7, a novel gene-editing CRISPR endonuclease from the Eubacterium rectale genome. The licensed intellectual property includes two issued U.S. patents and any pending applications claiming priority therefrom. Our license covers the use of CRISPR-MAD7 to perform research and development in both academic and commercial setting and use of MAD7 to perform commercial services, provided that such use may not include the (i) sale or resale of MAD7, including as part of a therapeutic product, (ii) continued use of MAD7 in a commercial manufacturing process or (iii) use of MAD7 in the editing of human embryos. Such license will expire upon the expiration of the last valid claim under the licensed patents, which is</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45" w:name="page146"/>
    <w:bookmarkEnd w:id="14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39"/>
        <w:spacing w:after="0" w:line="265" w:lineRule="auto"/>
        <w:rPr>
          <w:sz w:val="20"/>
          <w:szCs w:val="20"/>
          <w:color w:val="auto"/>
        </w:rPr>
      </w:pPr>
      <w:r>
        <w:rPr>
          <w:rFonts w:ascii="Arial" w:cs="Arial" w:eastAsia="Arial" w:hAnsi="Arial"/>
          <w:sz w:val="14"/>
          <w:szCs w:val="14"/>
          <w:color w:val="auto"/>
        </w:rPr>
        <w:t>currently expected to expire in 2037. These licensed issued patents and any licensed patents that may issue from these pending patent applications will expire in 2037, without giving effect to any patent term adjustment or extension.</w:t>
      </w:r>
    </w:p>
    <w:p>
      <w:pPr>
        <w:spacing w:after="0" w:line="13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Intellectual property</w:t>
      </w:r>
    </w:p>
    <w:p>
      <w:pPr>
        <w:spacing w:after="0" w:line="122" w:lineRule="exact"/>
        <w:rPr>
          <w:sz w:val="20"/>
          <w:szCs w:val="20"/>
          <w:color w:val="auto"/>
        </w:rPr>
      </w:pPr>
    </w:p>
    <w:p>
      <w:pPr>
        <w:ind w:left="1220" w:right="1279"/>
        <w:spacing w:after="0" w:line="262" w:lineRule="auto"/>
        <w:rPr>
          <w:sz w:val="20"/>
          <w:szCs w:val="20"/>
          <w:color w:val="auto"/>
        </w:rPr>
      </w:pPr>
      <w:r>
        <w:rPr>
          <w:rFonts w:ascii="Arial" w:cs="Arial" w:eastAsia="Arial" w:hAnsi="Arial"/>
          <w:sz w:val="14"/>
          <w:szCs w:val="14"/>
          <w:color w:val="auto"/>
        </w:rPr>
        <w:t>Intellectual property is of vital importance in our field and in biotechnology generally. We seek to protect and enhance our intellectual property, proprietary technology, inventions, and improvements that are commercially important to the development of our business by seeking, maintaining, enforcing and defending patent rights, whether developed internally or licensed from third parties.</w:t>
      </w:r>
    </w:p>
    <w:p>
      <w:pPr>
        <w:spacing w:after="0" w:line="279"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We do not own any issued patents covering our product candidates, platforms or technology and our patent portfolio is currently comprised only of provisional patent applications. Additionally, we have not filed any patent applications related to our product candidates other than CNTY-101 We have also filed provisional patent applications relating to our T-cell platform related to compositions and methods for generating alpha-beta and gamma delta T-cells from iPSCs. Additionally, we have filed a provisional application on gene transfer vectors and methods of engineering iPSCs. We have sought patent protection in the United States related to our CNTY-101 product candidate, as well as other iPSC-derived engineered CAR cells comprising certain transgene insertions and deletions, including our proprietary Allo-Evasion™ technology. This portfolio covers compositions of programmed cellular immunotherapies, our proprietary Allo-Evasion™ technology and our platform for industrial scale iPSC engineering and differentiation. The portfolio also includes technology for a universal CAR cell platform.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Such applications may not result in issued patents and, even if patents do issue, such patents may not be in a form that will provide us with meaningful protection for our product candidates. We also rely on trade secrets that may be important to the development of our business, but which may be difficult to protect and provide us with only limited protection.</w:t>
      </w:r>
    </w:p>
    <w:p>
      <w:pPr>
        <w:spacing w:after="0" w:line="294"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We expect to file additional patent applications in support of current and new clinical candidates as well as new platform and core technologies. Our commercial success will depend in part on obtaining, maintaining, protecting and enforcing patent protection and trade secret protection of our current and future product candidates and the methods used to develop and manufacture them, as well as successfully defending such patents against third-party challenges and operating without infringing, violating or misappropriating the intellectual property or proprietary rights of others. Our ability to stop unauthorized third parties from making, using, selling, offering to sell or importing our products depends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“Risk factors—Risks related to our intellectual property.”</w:t>
      </w:r>
    </w:p>
    <w:p>
      <w:pPr>
        <w:spacing w:after="0" w:line="286"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The term of individual patents depends upon the legal term of the patents in the countries in which they are obtained. In most countries in which we file, including the United States, the patent term is generally 20 years from the earliest date of filing a non-provisional or Patent Cooperation Treaty, or PCT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In the United States, the patent term of a patent that covers an FDA-approved drug may also be eligible for patent term extension, which permits patent term restoration as compensation for the patent term lost during the FDA regulatory review process. The Drug Price Competition and Patent Term Restoration Act, or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w:t>
      </w:r>
    </w:p>
    <w:p>
      <w:pPr>
        <w:spacing w:after="0" w:line="171" w:lineRule="exact"/>
        <w:rPr>
          <w:sz w:val="20"/>
          <w:szCs w:val="20"/>
          <w:color w:val="auto"/>
        </w:rPr>
      </w:pPr>
    </w:p>
    <w:p>
      <w:pPr>
        <w:ind w:left="1220" w:right="1359"/>
        <w:spacing w:after="0" w:line="265" w:lineRule="auto"/>
        <w:rPr>
          <w:sz w:val="20"/>
          <w:szCs w:val="20"/>
          <w:color w:val="auto"/>
        </w:rPr>
      </w:pPr>
      <w:r>
        <w:rPr>
          <w:rFonts w:ascii="Arial" w:cs="Arial" w:eastAsia="Arial" w:hAnsi="Arial"/>
          <w:sz w:val="14"/>
          <w:szCs w:val="14"/>
          <w:color w:val="auto"/>
        </w:rPr>
        <w:t>14 years from the date of product approval, only one patent applicable to an approved drug may be</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46" w:name="page147"/>
    <w:bookmarkEnd w:id="14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extended and only those claims covering the approved drug, a method for using it, or a method for manufacturing it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p>
    <w:p>
      <w:pPr>
        <w:spacing w:after="0" w:line="97"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In some instances, we submit patent applications directly with the USPTO as provisional patent applications. Corresponding non-provisional patent applications must be filed not later than 12 months after the provisional application filing date to claim priority to the provisional application filing date.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109"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We will file U.S. non-provisional applications and PCT applications that claim the benefit of the priority date of earlier filed provisional applications, when applicable. The PCT system allows a single application to be filed 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for some or all of the claims filed in the application,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At the end of the period of two and a half years from the earliest priority date of the PCT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spacing w:after="0" w:line="285"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For all patent applications, we determine claiming strategy on a case-by-case basis. We seek to file patents containing claims for protection of all useful applications of our proprietary technologies and any product candidates, as well as all new applications and/or uses we discover for existing technologies and product candidates,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p>
    <w:p>
      <w:pPr>
        <w:spacing w:after="0" w:line="99"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product candidates, platform or technology. We cannot predict whether the patent applications we are currently pursuing will issue as patents in any particular jurisdiction or whether the claims of any issued patents will provide sufficient proprietary protection from competitors. In addition, any patents that we hold may be challenged, circumvented or invalidated by third parties.</w:t>
      </w:r>
    </w:p>
    <w:p>
      <w:pPr>
        <w:spacing w:after="0" w:line="108" w:lineRule="exact"/>
        <w:rPr>
          <w:sz w:val="20"/>
          <w:szCs w:val="20"/>
          <w:color w:val="auto"/>
        </w:rPr>
      </w:pPr>
    </w:p>
    <w:p>
      <w:pPr>
        <w:ind w:left="1220" w:right="1379"/>
        <w:spacing w:after="0" w:line="265" w:lineRule="auto"/>
        <w:rPr>
          <w:sz w:val="20"/>
          <w:szCs w:val="20"/>
          <w:color w:val="auto"/>
        </w:rPr>
      </w:pPr>
      <w:r>
        <w:rPr>
          <w:rFonts w:ascii="Arial" w:cs="Arial" w:eastAsia="Arial" w:hAnsi="Arial"/>
          <w:sz w:val="14"/>
          <w:szCs w:val="14"/>
          <w:color w:val="auto"/>
        </w:rPr>
        <w:t>The patent positions of biotechnology companies like ours are generally uncertain and involve complex legal, scientific and factual questions. Our commercial success will also depend in part on not infringing, violating or</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47" w:name="page148"/>
    <w:bookmarkEnd w:id="14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misappropriating the intellectual property or proprietary rights of third parties. Third-party patents could require us to alter our development or commercial strategies, or our product candidates or processes, obtain licenses, which may not be available on commercially reasonable terms, or at all, or cease certain activities. If third parties prepare and file patent applications in the United States that also claim technology to which we have rights, we may have to participate in interference or derivation proceedings in the USPTO to determine priority of invention. Further, our breach of any license agreements or our failure to obtain a license to proprietary rights required to develop or commercialize our product candidates may have a material adverse impact on us. For more information, see “Risk Factors—Risks Related to Intellectual Property.”</w:t>
      </w:r>
    </w:p>
    <w:p>
      <w:pPr>
        <w:spacing w:after="0" w:line="98"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In addition to patent protection, we also rely on trade secrets, know-how, other proprietary information and/or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“Risk factors—Risks related to our intellectual property.”</w:t>
      </w:r>
    </w:p>
    <w:p>
      <w:pPr>
        <w:spacing w:after="0" w:line="200" w:lineRule="exact"/>
        <w:rPr>
          <w:sz w:val="20"/>
          <w:szCs w:val="20"/>
          <w:color w:val="auto"/>
        </w:rPr>
      </w:pPr>
    </w:p>
    <w:p>
      <w:pPr>
        <w:spacing w:after="0" w:line="284"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Intellectual property relating to iPSC technology</w:t>
      </w:r>
    </w:p>
    <w:p>
      <w:pPr>
        <w:spacing w:after="0" w:line="134"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We have licensed from FCDI a portfolio of six patent families including issued patents and pending applications broadly applicable to the reprogramming of somatic cells. Our license is non-exclusive within the field of cancer immunotherapeutics in the worldwide territory outside of Japan. This portfolio covers various aspects of the generation of human iPSCs from somatic cells and, as of March 16, 2021, includes 12 issued U.S. patents claiming methods and compositions used in the reprogramming of human somatic cells to iPSCs. Specifically, the portfolio includes patents with claims for producing human iPSCs from hematopoietic progenitor cells using episomal genetic vectors and includes claims for doing the reprogramming under feeder free conditions. The portfolio also includes a composition of matter patent issued in the United States covering an Epstein-Barr Virus, or EBV, reprogramming vector containing genes for certain reprogramming factors. These issued patents and any patents that may issue from these pending patent applications will expire on dates ranging from 2029 to 2034, without giving effect to any patent term adjustment or extension.</w:t>
      </w:r>
    </w:p>
    <w:p>
      <w:pPr>
        <w:spacing w:after="0" w:line="286" w:lineRule="exact"/>
        <w:rPr>
          <w:sz w:val="20"/>
          <w:szCs w:val="20"/>
          <w:color w:val="auto"/>
        </w:rPr>
      </w:pPr>
    </w:p>
    <w:p>
      <w:pPr>
        <w:ind w:left="1220" w:right="1299"/>
        <w:spacing w:after="0" w:line="262" w:lineRule="auto"/>
        <w:rPr>
          <w:sz w:val="20"/>
          <w:szCs w:val="20"/>
          <w:color w:val="auto"/>
        </w:rPr>
      </w:pPr>
      <w:r>
        <w:rPr>
          <w:rFonts w:ascii="Arial" w:cs="Arial" w:eastAsia="Arial" w:hAnsi="Arial"/>
          <w:sz w:val="14"/>
          <w:szCs w:val="14"/>
          <w:color w:val="auto"/>
        </w:rPr>
        <w:t>Included within the license is a sublicense under certain patents, which are directed to compositions and methods of using and making iPSCs, owned by WARF relating to the so-called “Thompson Factors” for reprogramming human cells to iPSCs, The issued United States patents in this portfolio will expire on dates ranging from 2028 to 2029, without giving effect to any patent term adjustment or extension.</w:t>
      </w:r>
    </w:p>
    <w:p>
      <w:pPr>
        <w:spacing w:after="0" w:line="268"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48" w:name="page149"/>
    <w:bookmarkEnd w:id="14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Intellectual property relating to genetic engineering</w:t>
      </w:r>
    </w:p>
    <w:p>
      <w:pPr>
        <w:spacing w:after="0" w:line="101"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In January 2019, we entered into a non-exclusive license agreement with Inscripta, Inc. Under the license agreement, we obtained a non-exclusive, royalty-free, irrevocable license to a patent portfolio covering the composition, production and use of CRISPR-MAD7, a novel gene-editing CRISPR endonuclease from the Eubacterium rectale genome. The intellectual property includes two issued U.S. patents and any pending applications claiming priority therefrom. Our license covers the making and using of CRISPR-MAD7 for editing iPSCs, making master engineered iPSC lines and using master engineered iPSC lines to manufacture human therapeutic products. These issued patents and any patents that may issue from these pending patent applications will expire in 2037, without giving effect to any patent term adjustment or extension.</w:t>
      </w:r>
    </w:p>
    <w:p>
      <w:pPr>
        <w:spacing w:after="0" w:line="109"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Intellectual property relating to the differentiation of hematopoietic cells</w:t>
      </w:r>
    </w:p>
    <w:p>
      <w:pPr>
        <w:spacing w:after="0" w:line="112"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We have licensed from FCDI a portfolio of six patent families regarding methods of differentiating iPSC cells including issued patents and pending patent applications broadly applicable to the differentiation of iPSC cells, the last of which is currently expected to expire in 2036. Our license is exclusive to exploit cancer immunotherapeutic products consisting of cells that are or are modifications of NK cells, T cells, dendritic cells and macrophages derived from human iPSCs. This portfolio covers various aspects of the generation of hematopoietic precursor and immune effector cells from iPSCs and, as of March 16, 2021, includes five issued U.S. patents claiming methods for the differentiation of human iPSCs to hematopoietic precursor cells and further differentiation into immune effector cells. Specifically, the portfolio includes patents with claims for producing hematopoietic precursor cells from iPSCs using a multi-step process involving certain defined media. These issued patents and any patents that may issue from these pending patent applications will expire on dates ranging from 2030 to 2036, without giving effect to any patent term adjustment or extension.</w:t>
      </w:r>
    </w:p>
    <w:p>
      <w:pPr>
        <w:spacing w:after="0" w:line="31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Intellectual property relating to engineered iPSCs and derivative cells</w:t>
      </w:r>
    </w:p>
    <w:p>
      <w:pPr>
        <w:spacing w:after="0" w:line="112" w:lineRule="exact"/>
        <w:rPr>
          <w:sz w:val="20"/>
          <w:szCs w:val="20"/>
          <w:color w:val="auto"/>
        </w:rPr>
      </w:pPr>
    </w:p>
    <w:p>
      <w:pPr>
        <w:ind w:left="1220" w:right="1319"/>
        <w:spacing w:after="0" w:line="259" w:lineRule="auto"/>
        <w:rPr>
          <w:sz w:val="20"/>
          <w:szCs w:val="20"/>
          <w:color w:val="auto"/>
        </w:rPr>
      </w:pPr>
      <w:r>
        <w:rPr>
          <w:rFonts w:ascii="Arial" w:cs="Arial" w:eastAsia="Arial" w:hAnsi="Arial"/>
          <w:sz w:val="14"/>
          <w:szCs w:val="14"/>
          <w:color w:val="auto"/>
        </w:rPr>
        <w:t>Currently, we own eight pending provisional patent applications covering our engineered iPSC cells, cell differentiation technology, compositions of engineered cellular immunotherapies, and gene transfer vectors and methods of engineering iPSC cells. The portfolio includes composition of matter claims covering our CNTY-101 product, as well as other iPSC-derived engineered CAR cells comprising certain transgene insertions and deletions, including our proprietary Allo-Evasion™ technology. One of our provisional patent applications includes claims directed to a universal CAR cell platform. We have also filed provisional patent applications relating to our T-cell platform related to compositions and methods for generating alpha-beta and gamma delta T cells from iPSCs. Any U.S. patents that may issue from such pending provisional patent applications would expire in 2040 or 2041, without giving effect to any patent term adjustment or extension.</w:t>
      </w:r>
    </w:p>
    <w:p>
      <w:pPr>
        <w:spacing w:after="0" w:line="309"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Intellectual property relating to engineered T cells</w:t>
      </w:r>
    </w:p>
    <w:p>
      <w:pPr>
        <w:spacing w:after="0" w:line="101"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We have exclusively sublicensed from iCELL two families of patents owned by the University of Tokyo relating to immune function reconstruction method using multipotent stem cells and method for producing antigen-specific T cells. The portfolio includes two issued U.S. patents claiming methods for the production of T cells having antigen specificity from iPSC cells derived from human T cells where the T cells differentiated from the iPSC cells retain the antigen specificity of the human T cell from which it was derived. These issued patents will expire in 2031, without giving effect to any patent term adjustment or extension.</w:t>
      </w:r>
    </w:p>
    <w:p>
      <w:pPr>
        <w:spacing w:after="0" w:line="13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Competition</w:t>
      </w:r>
    </w:p>
    <w:p>
      <w:pPr>
        <w:spacing w:after="0" w:line="1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biotechnology and pharmaceutical industries have made substantial investments in</w:t>
      </w:r>
    </w:p>
    <w:p>
      <w:pPr>
        <w:spacing w:after="0" w:line="12" w:lineRule="exact"/>
        <w:rPr>
          <w:sz w:val="20"/>
          <w:szCs w:val="20"/>
          <w:color w:val="auto"/>
        </w:rPr>
      </w:pPr>
    </w:p>
    <w:p>
      <w:pPr>
        <w:ind w:left="1220" w:right="1299"/>
        <w:spacing w:after="0" w:line="274" w:lineRule="auto"/>
        <w:rPr>
          <w:sz w:val="20"/>
          <w:szCs w:val="20"/>
          <w:color w:val="auto"/>
        </w:rPr>
      </w:pPr>
      <w:r>
        <w:rPr>
          <w:rFonts w:ascii="Arial" w:cs="Arial" w:eastAsia="Arial" w:hAnsi="Arial"/>
          <w:sz w:val="14"/>
          <w:szCs w:val="14"/>
          <w:color w:val="auto"/>
        </w:rPr>
        <w:t>recent years into the rapid development of novel immunotherapies for the treatment of a range of pathologies, including infectious diseases and cancers, making this a highly competitive market.</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49" w:name="page150"/>
    <w:bookmarkEnd w:id="14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We face substantial competition from multiple sources, including large and specialty pharmaceutical, biopharmaceutical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field of immunotherapy and, furthermore, within the treatment of infectious diseases and cancers.</w:t>
      </w:r>
    </w:p>
    <w:p>
      <w:pPr>
        <w:spacing w:after="0" w:line="270" w:lineRule="exact"/>
        <w:rPr>
          <w:sz w:val="20"/>
          <w:szCs w:val="20"/>
          <w:color w:val="auto"/>
        </w:rPr>
      </w:pPr>
    </w:p>
    <w:p>
      <w:pPr>
        <w:ind w:left="1220" w:right="1319"/>
        <w:spacing w:after="0" w:line="261" w:lineRule="auto"/>
        <w:rPr>
          <w:sz w:val="20"/>
          <w:szCs w:val="20"/>
          <w:color w:val="auto"/>
        </w:rPr>
      </w:pPr>
      <w:r>
        <w:rPr>
          <w:rFonts w:ascii="Arial" w:cs="Arial" w:eastAsia="Arial" w:hAnsi="Arial"/>
          <w:sz w:val="14"/>
          <w:szCs w:val="14"/>
          <w:color w:val="auto"/>
        </w:rPr>
        <w:t>In addition to the current standard of care treatments for patients with infectious diseases or cancers, numerous commercial and academic preclinical studies and clinical trials are being undertaken by a large number of parties to assess novel technologies and product candidates in the field of immunotherapy. Results from these studies and trials have fueled increasing levels of interest in the field of immunotherapy.</w:t>
      </w:r>
    </w:p>
    <w:p>
      <w:pPr>
        <w:spacing w:after="0" w:line="106" w:lineRule="exact"/>
        <w:rPr>
          <w:sz w:val="20"/>
          <w:szCs w:val="20"/>
          <w:color w:val="auto"/>
        </w:rPr>
      </w:pPr>
    </w:p>
    <w:p>
      <w:pPr>
        <w:ind w:left="1220" w:right="1399"/>
        <w:spacing w:after="0" w:line="265" w:lineRule="auto"/>
        <w:rPr>
          <w:sz w:val="20"/>
          <w:szCs w:val="20"/>
          <w:color w:val="auto"/>
        </w:rPr>
      </w:pPr>
      <w:r>
        <w:rPr>
          <w:rFonts w:ascii="Arial" w:cs="Arial" w:eastAsia="Arial" w:hAnsi="Arial"/>
          <w:sz w:val="14"/>
          <w:szCs w:val="14"/>
          <w:color w:val="auto"/>
        </w:rPr>
        <w:t>Large pharmaceutical companies that have commercialized or are developing immunotherapies to treat cancer include AstraZeneca, Bristol Myers Squibb, Gilead Sciences, Merck, Novartis, Pfizer, and Roche/Genentech.</w:t>
      </w:r>
    </w:p>
    <w:p>
      <w:pPr>
        <w:spacing w:after="0" w:line="103" w:lineRule="exact"/>
        <w:rPr>
          <w:sz w:val="20"/>
          <w:szCs w:val="20"/>
          <w:color w:val="auto"/>
        </w:rPr>
      </w:pPr>
    </w:p>
    <w:p>
      <w:pPr>
        <w:ind w:left="1220" w:right="1399"/>
        <w:spacing w:after="0" w:line="262" w:lineRule="auto"/>
        <w:rPr>
          <w:sz w:val="20"/>
          <w:szCs w:val="20"/>
          <w:color w:val="auto"/>
        </w:rPr>
      </w:pPr>
      <w:r>
        <w:rPr>
          <w:rFonts w:ascii="Arial" w:cs="Arial" w:eastAsia="Arial" w:hAnsi="Arial"/>
          <w:sz w:val="14"/>
          <w:szCs w:val="14"/>
          <w:color w:val="auto"/>
        </w:rPr>
        <w:t>Companies that compete with us directly on the level of the development of product candidates targeting B cell lymphomas include Gilead Sciences, Novartis and Bristol Myers Squibb, among others. Companies developing therapeutic candidates to treat glioblastomas include Arbor Pharmaceuticals and Genentech.</w:t>
      </w:r>
    </w:p>
    <w:p>
      <w:pPr>
        <w:spacing w:after="0" w:line="95" w:lineRule="exact"/>
        <w:rPr>
          <w:sz w:val="20"/>
          <w:szCs w:val="20"/>
          <w:color w:val="auto"/>
        </w:rPr>
      </w:pPr>
    </w:p>
    <w:p>
      <w:pPr>
        <w:ind w:left="1220" w:right="1459"/>
        <w:spacing w:after="0" w:line="265" w:lineRule="auto"/>
        <w:rPr>
          <w:sz w:val="20"/>
          <w:szCs w:val="20"/>
          <w:color w:val="auto"/>
        </w:rPr>
      </w:pPr>
      <w:r>
        <w:rPr>
          <w:rFonts w:ascii="Arial" w:cs="Arial" w:eastAsia="Arial" w:hAnsi="Arial"/>
          <w:sz w:val="14"/>
          <w:szCs w:val="14"/>
          <w:color w:val="auto"/>
        </w:rPr>
        <w:t>On the technology level, other emerging biopharmaceutical companies which can potentially develop competing cell therapy candidates to treat cancer include Fate Therapeutics, Allogene Therapeutics and Nkarta Therapeutics.</w:t>
      </w:r>
    </w:p>
    <w:p>
      <w:pPr>
        <w:spacing w:after="0" w:line="103"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 qualified scientific and management personnel and establishing clinical trial sites and patient registration for clinical trials, as well as in acquiring technologies complementary to, or necessary for, our programs.</w:t>
      </w:r>
    </w:p>
    <w:p>
      <w:pPr>
        <w:spacing w:after="0" w:line="281"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Our commercial opportunity could be reduced or eliminated if one or more of our competitors develop and commercialize products that are safer, more effective, better 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Government regulation</w:t>
      </w:r>
    </w:p>
    <w:p>
      <w:pPr>
        <w:spacing w:after="0" w:line="122"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In the United States, biologic products are licensed by FDA for marketing under the Public Health Service Act, referred to as the PHS Act, and regulated under the Federal Food, Drug, and Cosmetic Act, or the FDCA. Both the FDCA and the PHS Act and their corresponding regulations govern, among other things, the testing, manufacturing, safety, purity, potency, efficacy, labeling, packaging, storage, record keeping, distribution, marketing, sales, import, export, reporting, advertising and other promotional practices involving biologic products. FDA clearance must be obtained before clinical testing of biologic products. FDA licensure also must be obtained before marketing of biologic products. The process of obtaining regulatory approvals and the subsequent compliance with appropriate federal, state, local and foreign statutes and regulations require the expenditure of substantial time and financial resources.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0" w:name="page151"/>
    <w:bookmarkEnd w:id="15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United States development process</w:t>
      </w:r>
    </w:p>
    <w:p>
      <w:pPr>
        <w:spacing w:after="0" w:line="125" w:lineRule="exact"/>
        <w:rPr>
          <w:sz w:val="20"/>
          <w:szCs w:val="20"/>
          <w:color w:val="auto"/>
        </w:rPr>
      </w:pPr>
    </w:p>
    <w:p>
      <w:pPr>
        <w:ind w:left="1220" w:right="1279"/>
        <w:spacing w:after="0" w:line="274" w:lineRule="auto"/>
        <w:rPr>
          <w:sz w:val="20"/>
          <w:szCs w:val="20"/>
          <w:color w:val="auto"/>
        </w:rPr>
      </w:pPr>
      <w:r>
        <w:rPr>
          <w:rFonts w:ascii="Arial" w:cs="Arial" w:eastAsia="Arial" w:hAnsi="Arial"/>
          <w:sz w:val="14"/>
          <w:szCs w:val="14"/>
          <w:color w:val="auto"/>
        </w:rPr>
        <w:t>The process required by the FDA before a biologic product may be marketed in the United States generally involves the following:</w:t>
      </w:r>
    </w:p>
    <w:p>
      <w:pPr>
        <w:spacing w:after="0" w:line="75" w:lineRule="exact"/>
        <w:rPr>
          <w:sz w:val="20"/>
          <w:szCs w:val="20"/>
          <w:color w:val="auto"/>
        </w:rPr>
      </w:pPr>
    </w:p>
    <w:p>
      <w:pPr>
        <w:ind w:left="1600" w:right="1339" w:hanging="117"/>
        <w:spacing w:after="0" w:line="281"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completion of nonclinical laboratory tests and animal studies according to Good Laboratory Practices, or cGLP, and applicable requirements for the humane use of laboratory animals or other applicable regulations;</w:t>
      </w:r>
    </w:p>
    <w:p>
      <w:pPr>
        <w:spacing w:after="0" w:line="60" w:lineRule="exact"/>
        <w:rPr>
          <w:rFonts w:ascii="Arial" w:cs="Arial" w:eastAsia="Arial" w:hAnsi="Arial"/>
          <w:sz w:val="14"/>
          <w:szCs w:val="14"/>
          <w:color w:val="auto"/>
        </w:rPr>
      </w:pPr>
    </w:p>
    <w:p>
      <w:pPr>
        <w:ind w:left="1600" w:hanging="117"/>
        <w:spacing w:after="0"/>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preparation of clinical trial material in accordance with cGMP;</w:t>
      </w:r>
    </w:p>
    <w:p>
      <w:pPr>
        <w:spacing w:after="0" w:line="97" w:lineRule="exact"/>
        <w:rPr>
          <w:rFonts w:ascii="Arial" w:cs="Arial" w:eastAsia="Arial" w:hAnsi="Arial"/>
          <w:sz w:val="14"/>
          <w:szCs w:val="14"/>
          <w:color w:val="auto"/>
        </w:rPr>
      </w:pPr>
    </w:p>
    <w:p>
      <w:pPr>
        <w:ind w:left="1600" w:right="1519" w:hanging="117"/>
        <w:spacing w:after="0" w:line="290"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submission to the FDA of an application for an IND, which must become effective before human clinical trials may begin;</w:t>
      </w:r>
    </w:p>
    <w:p>
      <w:pPr>
        <w:spacing w:after="0" w:line="53" w:lineRule="exact"/>
        <w:rPr>
          <w:rFonts w:ascii="Arial" w:cs="Arial" w:eastAsia="Arial" w:hAnsi="Arial"/>
          <w:sz w:val="14"/>
          <w:szCs w:val="14"/>
          <w:color w:val="auto"/>
        </w:rPr>
      </w:pPr>
    </w:p>
    <w:p>
      <w:pPr>
        <w:ind w:left="1600" w:right="1479" w:hanging="117"/>
        <w:spacing w:after="0" w:line="290"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approval by an institutional review board, or IRB, reviewing each clinical site before each clinical trial may be initiated;</w:t>
      </w:r>
    </w:p>
    <w:p>
      <w:pPr>
        <w:spacing w:after="0" w:line="53" w:lineRule="exact"/>
        <w:rPr>
          <w:rFonts w:ascii="Arial" w:cs="Arial" w:eastAsia="Arial" w:hAnsi="Arial"/>
          <w:sz w:val="14"/>
          <w:szCs w:val="14"/>
          <w:color w:val="auto"/>
        </w:rPr>
      </w:pPr>
    </w:p>
    <w:p>
      <w:pPr>
        <w:ind w:left="1600" w:right="1599" w:hanging="117"/>
        <w:spacing w:after="0" w:line="278"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performance of adequate and well-controlled human clinical trials according to Current Good Clinical Practices, or cGCP, and any additional requirements for the protection of human research subjects and their health information, to establish the safety, purity, potency, and efficacy, of the proposed biologic product for its intended use;</w:t>
      </w:r>
    </w:p>
    <w:p>
      <w:pPr>
        <w:spacing w:after="0" w:line="63" w:lineRule="exact"/>
        <w:rPr>
          <w:rFonts w:ascii="Arial" w:cs="Arial" w:eastAsia="Arial" w:hAnsi="Arial"/>
          <w:sz w:val="14"/>
          <w:szCs w:val="14"/>
          <w:color w:val="auto"/>
        </w:rPr>
      </w:pPr>
    </w:p>
    <w:p>
      <w:pPr>
        <w:ind w:left="1600" w:right="1459" w:hanging="117"/>
        <w:spacing w:after="0" w:line="281"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submission to the FDA of a Biologics License Application, or BLA, for marketing approval that includes substantive evidence of safety, purity, potency, and efficacy from results of nonclinical testing and clinical trials;</w:t>
      </w:r>
    </w:p>
    <w:p>
      <w:pPr>
        <w:spacing w:after="0" w:line="60" w:lineRule="exact"/>
        <w:rPr>
          <w:rFonts w:ascii="Arial" w:cs="Arial" w:eastAsia="Arial" w:hAnsi="Arial"/>
          <w:sz w:val="14"/>
          <w:szCs w:val="14"/>
          <w:color w:val="auto"/>
        </w:rPr>
      </w:pPr>
    </w:p>
    <w:p>
      <w:pPr>
        <w:ind w:left="1600" w:right="1299" w:hanging="117"/>
        <w:spacing w:after="0" w:line="278"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satisfactory completion of an FDA inspection prior to BLA approval of the manufacturing facility or facilities where the biologic product is produced to assess compliance with cGMP, to assure that the facilities, methods and controls are adequate to preserve the biologic’s identity, strength, quality and purity;</w:t>
      </w:r>
    </w:p>
    <w:p>
      <w:pPr>
        <w:spacing w:after="0" w:line="63" w:lineRule="exact"/>
        <w:rPr>
          <w:rFonts w:ascii="Arial" w:cs="Arial" w:eastAsia="Arial" w:hAnsi="Arial"/>
          <w:sz w:val="14"/>
          <w:szCs w:val="14"/>
          <w:color w:val="auto"/>
        </w:rPr>
      </w:pPr>
    </w:p>
    <w:p>
      <w:pPr>
        <w:ind w:left="1600" w:right="1619" w:hanging="117"/>
        <w:spacing w:after="0" w:line="290"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potential FDA audit of the nonclinical and clinical study sites that generated the data in support of the BLA;</w:t>
      </w:r>
    </w:p>
    <w:p>
      <w:pPr>
        <w:spacing w:after="0" w:line="53" w:lineRule="exact"/>
        <w:rPr>
          <w:rFonts w:ascii="Arial" w:cs="Arial" w:eastAsia="Arial" w:hAnsi="Arial"/>
          <w:sz w:val="14"/>
          <w:szCs w:val="14"/>
          <w:color w:val="auto"/>
        </w:rPr>
      </w:pPr>
    </w:p>
    <w:p>
      <w:pPr>
        <w:ind w:left="1600" w:right="1719" w:hanging="117"/>
        <w:spacing w:after="0" w:line="290"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potential FDA Advisory Committee meeting to elicit expert input on critical issues and including a vote by external committee members;</w:t>
      </w:r>
    </w:p>
    <w:p>
      <w:pPr>
        <w:spacing w:after="0" w:line="53" w:lineRule="exact"/>
        <w:rPr>
          <w:rFonts w:ascii="Arial" w:cs="Arial" w:eastAsia="Arial" w:hAnsi="Arial"/>
          <w:sz w:val="14"/>
          <w:szCs w:val="14"/>
          <w:color w:val="auto"/>
        </w:rPr>
      </w:pPr>
    </w:p>
    <w:p>
      <w:pPr>
        <w:ind w:left="1600" w:right="1459" w:hanging="117"/>
        <w:spacing w:after="0" w:line="290"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FDA review and approval, or licensure, of the BLA, and payment of associated user fees, when applicable; and</w:t>
      </w:r>
    </w:p>
    <w:p>
      <w:pPr>
        <w:spacing w:after="0" w:line="53" w:lineRule="exact"/>
        <w:rPr>
          <w:rFonts w:ascii="Arial" w:cs="Arial" w:eastAsia="Arial" w:hAnsi="Arial"/>
          <w:sz w:val="14"/>
          <w:szCs w:val="14"/>
          <w:color w:val="auto"/>
        </w:rPr>
      </w:pPr>
    </w:p>
    <w:p>
      <w:pPr>
        <w:ind w:left="1600" w:right="1599" w:hanging="117"/>
        <w:spacing w:after="0" w:line="281" w:lineRule="auto"/>
        <w:tabs>
          <w:tab w:leader="none" w:pos="16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compliance with any post-approval requirements, including the potential requirement to implement a Risk Evaluation and Mitigation Strategies, or REMS, and the potential requirement to conduct post-approval studies.</w:t>
      </w:r>
    </w:p>
    <w:p>
      <w:pPr>
        <w:spacing w:after="0" w:line="93" w:lineRule="exact"/>
        <w:rPr>
          <w:sz w:val="20"/>
          <w:szCs w:val="20"/>
          <w:color w:val="auto"/>
        </w:rPr>
      </w:pPr>
    </w:p>
    <w:p>
      <w:pPr>
        <w:ind w:left="1220" w:right="1439"/>
        <w:spacing w:after="0" w:line="261" w:lineRule="auto"/>
        <w:rPr>
          <w:sz w:val="20"/>
          <w:szCs w:val="20"/>
          <w:color w:val="auto"/>
        </w:rPr>
      </w:pPr>
      <w:r>
        <w:rPr>
          <w:rFonts w:ascii="Arial" w:cs="Arial" w:eastAsia="Arial" w:hAnsi="Arial"/>
          <w:sz w:val="14"/>
          <w:szCs w:val="14"/>
          <w:color w:val="auto"/>
        </w:rPr>
        <w:t>Before testing any biologic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96"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the FDA places the clinical trial on a clinical hold within that 30-day time period. In such a case, the IND sponsor and the FDA must resolve any outstanding concerns before the clinical trial can begin. The FDA may also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286" w:lineRule="exact"/>
        <w:rPr>
          <w:sz w:val="20"/>
          <w:szCs w:val="20"/>
          <w:color w:val="auto"/>
        </w:rPr>
      </w:pPr>
    </w:p>
    <w:p>
      <w:pPr>
        <w:ind w:left="1220" w:right="1439"/>
        <w:spacing w:after="0" w:line="265" w:lineRule="auto"/>
        <w:rPr>
          <w:sz w:val="20"/>
          <w:szCs w:val="20"/>
          <w:color w:val="auto"/>
        </w:rPr>
      </w:pPr>
      <w:r>
        <w:rPr>
          <w:rFonts w:ascii="Arial" w:cs="Arial" w:eastAsia="Arial" w:hAnsi="Arial"/>
          <w:sz w:val="14"/>
          <w:szCs w:val="14"/>
          <w:color w:val="auto"/>
        </w:rPr>
        <w:t>Clinical trials may involve the administration of the biologic product candidate to healthy volunteers or subjects under the supervision of qualified investigators, generally physicians not employed by or under the study sponsor’s</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1" w:name="page152"/>
    <w:bookmarkEnd w:id="15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control. Clinical trials involving some products for certain diseases, including some rare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cGCP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284" w:lineRule="exact"/>
        <w:rPr>
          <w:sz w:val="20"/>
          <w:szCs w:val="20"/>
          <w:color w:val="auto"/>
        </w:rPr>
      </w:pPr>
    </w:p>
    <w:p>
      <w:pPr>
        <w:ind w:left="1220" w:right="1479"/>
        <w:spacing w:after="0" w:line="290" w:lineRule="auto"/>
        <w:rPr>
          <w:sz w:val="20"/>
          <w:szCs w:val="20"/>
          <w:color w:val="auto"/>
        </w:rPr>
      </w:pPr>
      <w:r>
        <w:rPr>
          <w:rFonts w:ascii="Arial" w:cs="Arial" w:eastAsia="Arial" w:hAnsi="Arial"/>
          <w:sz w:val="14"/>
          <w:szCs w:val="14"/>
          <w:color w:val="auto"/>
        </w:rPr>
        <w:t>Human clinical trials are typically conducted in three sequential phases that may overlap or be combined:</w:t>
      </w:r>
    </w:p>
    <w:p>
      <w:pPr>
        <w:spacing w:after="0" w:line="48" w:lineRule="exact"/>
        <w:rPr>
          <w:sz w:val="20"/>
          <w:szCs w:val="20"/>
          <w:color w:val="auto"/>
        </w:rPr>
      </w:pPr>
    </w:p>
    <w:p>
      <w:pPr>
        <w:jc w:val="both"/>
        <w:ind w:left="1600" w:right="1659" w:hanging="117"/>
        <w:spacing w:after="0" w:line="293" w:lineRule="auto"/>
        <w:tabs>
          <w:tab w:leader="none" w:pos="1600" w:val="left"/>
        </w:tabs>
        <w:numPr>
          <w:ilvl w:val="0"/>
          <w:numId w:val="82"/>
        </w:numPr>
        <w:rPr>
          <w:rFonts w:ascii="Arial" w:cs="Arial" w:eastAsia="Arial" w:hAnsi="Arial"/>
          <w:sz w:val="14"/>
          <w:szCs w:val="14"/>
          <w:color w:val="auto"/>
        </w:rPr>
      </w:pPr>
      <w:r>
        <w:rPr>
          <w:rFonts w:ascii="Arial" w:cs="Arial" w:eastAsia="Arial" w:hAnsi="Arial"/>
          <w:sz w:val="14"/>
          <w:szCs w:val="14"/>
          <w:b w:val="1"/>
          <w:bCs w:val="1"/>
          <w:i w:val="1"/>
          <w:iCs w:val="1"/>
          <w:color w:val="auto"/>
        </w:rPr>
        <w:t>Phase 1</w:t>
      </w:r>
      <w:r>
        <w:rPr>
          <w:rFonts w:ascii="Arial" w:cs="Arial" w:eastAsia="Arial" w:hAnsi="Arial"/>
          <w:sz w:val="14"/>
          <w:szCs w:val="14"/>
          <w:color w:val="auto"/>
        </w:rPr>
        <w:t>. The biologic product is initially introduced into healthy human subjects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tested for safety. In the case of some products for rare and severe diseases, the initial human testing is often conducted in patients.</w:t>
      </w:r>
    </w:p>
    <w:p>
      <w:pPr>
        <w:spacing w:after="0" w:line="46" w:lineRule="exact"/>
        <w:rPr>
          <w:rFonts w:ascii="Arial" w:cs="Arial" w:eastAsia="Arial" w:hAnsi="Arial"/>
          <w:sz w:val="14"/>
          <w:szCs w:val="14"/>
          <w:color w:val="auto"/>
        </w:rPr>
      </w:pPr>
    </w:p>
    <w:p>
      <w:pPr>
        <w:ind w:left="1600" w:right="1399" w:hanging="117"/>
        <w:spacing w:after="0" w:line="292" w:lineRule="auto"/>
        <w:tabs>
          <w:tab w:leader="none" w:pos="1600" w:val="left"/>
        </w:tabs>
        <w:numPr>
          <w:ilvl w:val="0"/>
          <w:numId w:val="82"/>
        </w:numPr>
        <w:rPr>
          <w:rFonts w:ascii="Arial" w:cs="Arial" w:eastAsia="Arial" w:hAnsi="Arial"/>
          <w:sz w:val="14"/>
          <w:szCs w:val="14"/>
          <w:color w:val="auto"/>
        </w:rPr>
      </w:pPr>
      <w:r>
        <w:rPr>
          <w:rFonts w:ascii="Arial" w:cs="Arial" w:eastAsia="Arial" w:hAnsi="Arial"/>
          <w:sz w:val="14"/>
          <w:szCs w:val="14"/>
          <w:b w:val="1"/>
          <w:bCs w:val="1"/>
          <w:i w:val="1"/>
          <w:iCs w:val="1"/>
          <w:color w:val="auto"/>
        </w:rPr>
        <w:t>Phase 2</w:t>
      </w:r>
      <w:r>
        <w:rPr>
          <w:rFonts w:ascii="Arial" w:cs="Arial" w:eastAsia="Arial" w:hAnsi="Arial"/>
          <w:sz w:val="14"/>
          <w:szCs w:val="14"/>
          <w:color w:val="auto"/>
        </w:rPr>
        <w:t>. The biologic product is evaluated in a limited patient population to identify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possible adverse effects and safety risks, to preliminarily evaluate the efficacy of the product for specific targeted diseases and to determine dosage tolerance, optimal dosage and dosing schedule.</w:t>
      </w:r>
    </w:p>
    <w:p>
      <w:pPr>
        <w:spacing w:after="0" w:line="221" w:lineRule="exact"/>
        <w:rPr>
          <w:rFonts w:ascii="Arial" w:cs="Arial" w:eastAsia="Arial" w:hAnsi="Arial"/>
          <w:sz w:val="14"/>
          <w:szCs w:val="14"/>
          <w:color w:val="auto"/>
        </w:rPr>
      </w:pPr>
    </w:p>
    <w:p>
      <w:pPr>
        <w:ind w:left="1600" w:right="1239" w:hanging="117"/>
        <w:spacing w:after="0" w:line="281" w:lineRule="auto"/>
        <w:tabs>
          <w:tab w:leader="none" w:pos="1600" w:val="left"/>
        </w:tabs>
        <w:numPr>
          <w:ilvl w:val="0"/>
          <w:numId w:val="82"/>
        </w:numPr>
        <w:rPr>
          <w:rFonts w:ascii="Arial" w:cs="Arial" w:eastAsia="Arial" w:hAnsi="Arial"/>
          <w:sz w:val="14"/>
          <w:szCs w:val="14"/>
          <w:color w:val="auto"/>
        </w:rPr>
      </w:pPr>
      <w:r>
        <w:rPr>
          <w:rFonts w:ascii="Arial" w:cs="Arial" w:eastAsia="Arial" w:hAnsi="Arial"/>
          <w:sz w:val="14"/>
          <w:szCs w:val="14"/>
          <w:b w:val="1"/>
          <w:bCs w:val="1"/>
          <w:i w:val="1"/>
          <w:iCs w:val="1"/>
          <w:color w:val="auto"/>
        </w:rPr>
        <w:t>Phase 3</w:t>
      </w:r>
      <w:r>
        <w:rPr>
          <w:rFonts w:ascii="Arial" w:cs="Arial" w:eastAsia="Arial" w:hAnsi="Arial"/>
          <w:sz w:val="14"/>
          <w:szCs w:val="14"/>
          <w:color w:val="auto"/>
        </w:rPr>
        <w:t>. Clinical trials are undertaken to further evaluate dosage, clinical efficacy, potency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safety in an expanded patient population at geographically dispersed clinical trial sites. These clinical trials are intended to establish the overall risk/benefit ratio of the product and provide an adequate basis for product labeling. In biologics for rare diseases where patient populations are small and there is an urgent need for treatment, Phase 3 trials might not be required if an adequate risk/benefit can be demonstrated from the Phase 2 trial.</w:t>
      </w:r>
    </w:p>
    <w:p>
      <w:pPr>
        <w:spacing w:after="0" w:line="93" w:lineRule="exact"/>
        <w:rPr>
          <w:sz w:val="20"/>
          <w:szCs w:val="20"/>
          <w:color w:val="auto"/>
        </w:rPr>
      </w:pPr>
    </w:p>
    <w:p>
      <w:pPr>
        <w:jc w:val="both"/>
        <w:ind w:left="1220" w:right="1439"/>
        <w:spacing w:after="0" w:line="265" w:lineRule="auto"/>
        <w:rPr>
          <w:sz w:val="20"/>
          <w:szCs w:val="20"/>
          <w:color w:val="auto"/>
        </w:rPr>
      </w:pPr>
      <w:r>
        <w:rPr>
          <w:rFonts w:ascii="Arial" w:cs="Arial" w:eastAsia="Arial" w:hAnsi="Arial"/>
          <w:sz w:val="14"/>
          <w:szCs w:val="14"/>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276"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w:t>
      </w:r>
    </w:p>
    <w:p>
      <w:pPr>
        <w:spacing w:after="0" w:line="274" w:lineRule="exact"/>
        <w:rPr>
          <w:sz w:val="20"/>
          <w:szCs w:val="20"/>
          <w:color w:val="auto"/>
        </w:rPr>
      </w:pPr>
    </w:p>
    <w:p>
      <w:pPr>
        <w:jc w:val="both"/>
        <w:ind w:left="1220" w:right="1479"/>
        <w:spacing w:after="0" w:line="265" w:lineRule="auto"/>
        <w:rPr>
          <w:sz w:val="20"/>
          <w:szCs w:val="20"/>
          <w:color w:val="auto"/>
        </w:rPr>
      </w:pPr>
      <w:r>
        <w:rPr>
          <w:rFonts w:ascii="Arial" w:cs="Arial" w:eastAsia="Arial" w:hAnsi="Arial"/>
          <w:sz w:val="14"/>
          <w:szCs w:val="14"/>
          <w:color w:val="auto"/>
        </w:rPr>
        <w:t>Concurrent with clinical trials, companies usually complete additional animal studies and must also develop additional information about the physical characteristics of the biologic as well as finalize a process for</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5458460" cy="393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2" w:name="page153"/>
    <w:bookmarkEnd w:id="15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manufacturing the product in commercial quantities in accordance with cGMP requirements. To help reduce the risk of the introduction of adventitious agents with use of biologics,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72" w:lineRule="exact"/>
        <w:rPr>
          <w:sz w:val="20"/>
          <w:szCs w:val="20"/>
          <w:color w:val="auto"/>
        </w:rPr>
      </w:pPr>
    </w:p>
    <w:p>
      <w:pPr>
        <w:ind w:left="1220" w:right="1319"/>
        <w:spacing w:after="0" w:line="261" w:lineRule="auto"/>
        <w:rPr>
          <w:sz w:val="20"/>
          <w:szCs w:val="20"/>
          <w:color w:val="auto"/>
        </w:rPr>
      </w:pPr>
      <w:r>
        <w:rPr>
          <w:rFonts w:ascii="Arial" w:cs="Arial" w:eastAsia="Arial" w:hAnsi="Arial"/>
          <w:sz w:val="14"/>
          <w:szCs w:val="14"/>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279" w:lineRule="exact"/>
        <w:rPr>
          <w:sz w:val="20"/>
          <w:szCs w:val="20"/>
          <w:color w:val="auto"/>
        </w:rPr>
      </w:pPr>
    </w:p>
    <w:p>
      <w:pPr>
        <w:ind w:left="1220" w:right="1239"/>
        <w:spacing w:after="0" w:line="262" w:lineRule="auto"/>
        <w:rPr>
          <w:sz w:val="20"/>
          <w:szCs w:val="20"/>
          <w:color w:val="auto"/>
        </w:rPr>
      </w:pPr>
      <w:r>
        <w:rPr>
          <w:rFonts w:ascii="Arial" w:cs="Arial" w:eastAsia="Arial" w:hAnsi="Arial"/>
          <w:sz w:val="14"/>
          <w:szCs w:val="14"/>
          <w:color w:val="auto"/>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United States review and approval processes</w:t>
      </w:r>
    </w:p>
    <w:p>
      <w:pPr>
        <w:spacing w:after="0" w:line="136"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After the completion of clinical trials of a biological product, FDA approval of a BLA must be obtained before commercial marketing of the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270"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Under the Prescription Drug User Fee Act, as amended, or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106" w:lineRule="exact"/>
        <w:rPr>
          <w:sz w:val="20"/>
          <w:szCs w:val="20"/>
          <w:color w:val="auto"/>
        </w:rPr>
      </w:pPr>
    </w:p>
    <w:p>
      <w:pPr>
        <w:ind w:left="1220" w:right="1299"/>
        <w:spacing w:after="0" w:line="258" w:lineRule="auto"/>
        <w:rPr>
          <w:sz w:val="20"/>
          <w:szCs w:val="20"/>
          <w:color w:val="auto"/>
        </w:rPr>
      </w:pPr>
      <w:r>
        <w:rPr>
          <w:rFonts w:ascii="Arial" w:cs="Arial" w:eastAsia="Arial" w:hAnsi="Arial"/>
          <w:sz w:val="14"/>
          <w:szCs w:val="14"/>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FDA’s systems, the BLA can be refused for filing. Once the submission is accepted for filing, the FDA begins an in-depth substantive review of the BLA. The FDA reviews the BLA to determine, among other things, whether the proposed product is safe, potent, and effective, for its intended use, and has an acceptable purity profile, and whether the product is being manufactured in accordance with cGMP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the FDA will not approve the BLA without a REMS, if required.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3" w:name="page154"/>
    <w:bookmarkEnd w:id="15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99"/>
        <w:spacing w:after="0" w:line="275" w:lineRule="auto"/>
        <w:rPr>
          <w:sz w:val="20"/>
          <w:szCs w:val="20"/>
          <w:color w:val="auto"/>
        </w:rPr>
      </w:pPr>
      <w:r>
        <w:rPr>
          <w:rFonts w:ascii="Arial" w:cs="Arial" w:eastAsia="Arial" w:hAnsi="Arial"/>
          <w:sz w:val="14"/>
          <w:szCs w:val="14"/>
          <w:color w:val="auto"/>
        </w:rPr>
        <w:t>Before approving a BLA, the FDA may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cGCP requirements. To assure cGMP and cGCP compliance, an applicant must incur significant expenditure of time, money and effort in the areas of training, record keeping, production, and quality control.</w:t>
      </w:r>
    </w:p>
    <w:p>
      <w:pPr>
        <w:spacing w:after="0" w:line="100"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sponsor interprets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292"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08" w:lineRule="exact"/>
        <w:rPr>
          <w:sz w:val="20"/>
          <w:szCs w:val="20"/>
          <w:color w:val="auto"/>
        </w:rPr>
      </w:pPr>
    </w:p>
    <w:p>
      <w:pPr>
        <w:ind w:left="1220" w:right="1239"/>
        <w:spacing w:after="0" w:line="276" w:lineRule="auto"/>
        <w:rPr>
          <w:sz w:val="20"/>
          <w:szCs w:val="20"/>
          <w:color w:val="auto"/>
        </w:rPr>
      </w:pPr>
      <w:r>
        <w:rPr>
          <w:rFonts w:ascii="Arial" w:cs="Arial" w:eastAsia="Arial" w:hAnsi="Arial"/>
          <w:sz w:val="14"/>
          <w:szCs w:val="14"/>
          <w:color w:val="auto"/>
        </w:rPr>
        <w:t>One of the performance goals agreed to by the FDA under the PDUFA is to review standard BLAs in ten months from filing and priority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United States post-approval requirements</w:t>
      </w:r>
    </w:p>
    <w:p>
      <w:pPr>
        <w:spacing w:after="0" w:line="136"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w:t>
      </w:r>
    </w:p>
    <w:p>
      <w:pPr>
        <w:spacing w:after="0" w:line="107" w:lineRule="exact"/>
        <w:rPr>
          <w:sz w:val="20"/>
          <w:szCs w:val="20"/>
          <w:color w:val="auto"/>
        </w:rPr>
      </w:pPr>
    </w:p>
    <w:p>
      <w:pPr>
        <w:ind w:left="1220" w:right="1319"/>
        <w:spacing w:after="0" w:line="275" w:lineRule="auto"/>
        <w:rPr>
          <w:sz w:val="20"/>
          <w:szCs w:val="20"/>
          <w:color w:val="auto"/>
        </w:rPr>
      </w:pPr>
      <w:r>
        <w:rPr>
          <w:rFonts w:ascii="Arial" w:cs="Arial" w:eastAsia="Arial" w:hAnsi="Arial"/>
          <w:sz w:val="14"/>
          <w:szCs w:val="14"/>
          <w:color w:val="auto"/>
        </w:rPr>
        <w:t>Following approval, the manufacturing facilities are subject to biennial inspections by the FDA’s and such inspections may result in an issuance of FDA Form 483 deficiency observations, untitled letter,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biological products, include reporting of cGMP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4" w:name="page155"/>
    <w:bookmarkEnd w:id="15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279"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We also must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200" w:lineRule="exact"/>
        <w:rPr>
          <w:sz w:val="20"/>
          <w:szCs w:val="20"/>
          <w:color w:val="auto"/>
        </w:rPr>
      </w:pPr>
    </w:p>
    <w:p>
      <w:pPr>
        <w:spacing w:after="0" w:line="280"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Orphan drug designation</w:t>
      </w:r>
    </w:p>
    <w:p>
      <w:pPr>
        <w:spacing w:after="0" w:line="146"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Under the Orphan Drug Act, the FDA may grant Orphan Drug Designation, or ODD, to a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biological product available in the United States for this type of disease or condition will be recovered from sales of the product. ODD must be requested before submitting a BLA. After the FDA grants ODD, the identity of the therapeutic agent and its potential orphan use are disclosed publicly by the FDA. ODD does not convey any advantage in or shorten the duration of the regulatory review and approval process.</w:t>
      </w:r>
    </w:p>
    <w:p>
      <w:pPr>
        <w:spacing w:after="0" w:line="278" w:lineRule="exact"/>
        <w:rPr>
          <w:sz w:val="20"/>
          <w:szCs w:val="20"/>
          <w:color w:val="auto"/>
        </w:rPr>
      </w:pPr>
    </w:p>
    <w:p>
      <w:pPr>
        <w:jc w:val="both"/>
        <w:ind w:left="1220" w:right="1319"/>
        <w:spacing w:after="0" w:line="277" w:lineRule="auto"/>
        <w:rPr>
          <w:sz w:val="20"/>
          <w:szCs w:val="20"/>
          <w:color w:val="auto"/>
        </w:rPr>
      </w:pPr>
      <w:r>
        <w:rPr>
          <w:rFonts w:ascii="Arial" w:cs="Arial" w:eastAsia="Arial" w:hAnsi="Arial"/>
          <w:sz w:val="14"/>
          <w:szCs w:val="14"/>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not being able to supply the product for patients or showing clinical superiority to the product with orphan exclusivity.</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5" w:name="page156"/>
    <w:bookmarkEnd w:id="15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59"/>
        <w:spacing w:after="0" w:line="259" w:lineRule="auto"/>
        <w:rPr>
          <w:sz w:val="20"/>
          <w:szCs w:val="20"/>
          <w:color w:val="auto"/>
        </w:rPr>
      </w:pPr>
      <w:r>
        <w:rPr>
          <w:rFonts w:ascii="Arial" w:cs="Arial" w:eastAsia="Arial" w:hAnsi="Arial"/>
          <w:sz w:val="14"/>
          <w:szCs w:val="14"/>
          <w:color w:val="auto"/>
        </w:rPr>
        <w:t>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Expedited review and approval programs</w:t>
      </w:r>
    </w:p>
    <w:p>
      <w:pPr>
        <w:spacing w:after="0" w:line="125" w:lineRule="exact"/>
        <w:rPr>
          <w:sz w:val="20"/>
          <w:szCs w:val="20"/>
          <w:color w:val="auto"/>
        </w:rPr>
      </w:pPr>
    </w:p>
    <w:p>
      <w:pPr>
        <w:jc w:val="both"/>
        <w:ind w:left="1220" w:right="1579"/>
        <w:spacing w:after="0" w:line="265" w:lineRule="auto"/>
        <w:rPr>
          <w:sz w:val="20"/>
          <w:szCs w:val="20"/>
          <w:color w:val="auto"/>
        </w:rPr>
      </w:pPr>
      <w:r>
        <w:rPr>
          <w:rFonts w:ascii="Arial" w:cs="Arial" w:eastAsia="Arial" w:hAnsi="Arial"/>
          <w:sz w:val="14"/>
          <w:szCs w:val="14"/>
          <w:color w:val="auto"/>
        </w:rPr>
        <w:t>The FDA has various programs, including fast track designation, priority review, accelerated approval, and breakthrough therapy designation, that are intended to expedite or simplify the process for the development and</w:t>
      </w:r>
    </w:p>
    <w:p>
      <w:pPr>
        <w:spacing w:after="0" w:line="103"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FDA review of biological products that are intended for the treatment of serious or life-threatening diseases or conditions and demonstrate the potential to address unmet medical needs. The purpose of these programs is to provide important new biological products to patients earlier than under standard FDA review procedures. To be eligible for a fast 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BLA before the application is complete, a process known as rolling review.</w:t>
      </w:r>
    </w:p>
    <w:p>
      <w:pPr>
        <w:spacing w:after="0" w:line="280"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The FDA may give a priority review designation, such as a rare pediatric disease designation, to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 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 and the biological product may be subject to accelerated withdrawal procedures.</w:t>
      </w:r>
    </w:p>
    <w:p>
      <w:pPr>
        <w:spacing w:after="0" w:line="274" w:lineRule="exact"/>
        <w:rPr>
          <w:sz w:val="20"/>
          <w:szCs w:val="20"/>
          <w:color w:val="auto"/>
        </w:rPr>
      </w:pPr>
    </w:p>
    <w:p>
      <w:pPr>
        <w:ind w:left="1220" w:right="1319"/>
        <w:spacing w:after="0" w:line="259" w:lineRule="auto"/>
        <w:rPr>
          <w:sz w:val="20"/>
          <w:szCs w:val="20"/>
          <w:color w:val="auto"/>
        </w:rPr>
      </w:pPr>
      <w:r>
        <w:rPr>
          <w:rFonts w:ascii="Arial" w:cs="Arial" w:eastAsia="Arial" w:hAnsi="Arial"/>
          <w:sz w:val="14"/>
          <w:szCs w:val="14"/>
          <w:color w:val="auto"/>
        </w:rPr>
        <w:t>Moreover, under the Food and Drug Administration Safety and Innovation Act enacted in 2012, a sponsor can request designation of a product candidate as a “breakthrough therapy.” A breakthrough therapy is defined as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280" w:lineRule="exact"/>
        <w:rPr>
          <w:sz w:val="20"/>
          <w:szCs w:val="20"/>
          <w:color w:val="auto"/>
        </w:rPr>
      </w:pPr>
    </w:p>
    <w:p>
      <w:pPr>
        <w:ind w:left="1220" w:right="1359"/>
        <w:spacing w:after="0" w:line="261" w:lineRule="auto"/>
        <w:rPr>
          <w:sz w:val="20"/>
          <w:szCs w:val="20"/>
          <w:color w:val="auto"/>
        </w:rPr>
      </w:pPr>
      <w:r>
        <w:rPr>
          <w:rFonts w:ascii="Arial" w:cs="Arial" w:eastAsia="Arial" w:hAnsi="Arial"/>
          <w:sz w:val="14"/>
          <w:szCs w:val="14"/>
          <w:color w:val="auto"/>
        </w:rPr>
        <w:t>Even if a product qualifies for one or more of these programs, the FDA may later decide that the product no longer meets the conditions for qualification or decides that the time period for FDA review or approval will not be shortened. Furthermore, fast-track designation, priority review, accelerated approval and breakthrough therapy designation, do not change the standards for approval and may not ultimately expedite the development or approval process.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6" w:name="page157"/>
    <w:bookmarkEnd w:id="15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Biologics Price Competition and Innovation Act</w:t>
      </w:r>
    </w:p>
    <w:p>
      <w:pPr>
        <w:spacing w:after="0" w:line="125"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 xml:space="preserve">The Biologics Price Competition and Innovation Act of 2009, or BPCIA, which was enacted as part of the Patient Protection and Affordable Care Act of 2010, as amended by the Health Care and Education Reconciliation Act of 2010, or PPACA,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studies,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animal studies, and generally at least one clinical study, absent a waiver from the Secretary of Health and Human Services.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30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Regulation outside of the United States</w:t>
      </w:r>
    </w:p>
    <w:p>
      <w:pPr>
        <w:spacing w:after="0" w:line="136" w:lineRule="exact"/>
        <w:rPr>
          <w:sz w:val="20"/>
          <w:szCs w:val="20"/>
          <w:color w:val="auto"/>
        </w:rPr>
      </w:pPr>
    </w:p>
    <w:p>
      <w:pPr>
        <w:ind w:left="1220" w:right="1399"/>
        <w:spacing w:after="0" w:line="259" w:lineRule="auto"/>
        <w:rPr>
          <w:sz w:val="20"/>
          <w:szCs w:val="20"/>
          <w:color w:val="auto"/>
        </w:rPr>
      </w:pPr>
      <w:r>
        <w:rPr>
          <w:rFonts w:ascii="Arial" w:cs="Arial" w:eastAsia="Arial" w:hAnsi="Arial"/>
          <w:sz w:val="14"/>
          <w:szCs w:val="14"/>
          <w:color w:val="auto"/>
        </w:rPr>
        <w:t>In addition to regulations in the United States, we are subject to a variety of regulations in other jurisdictions governing clinical studies, commercial sales, and distribution of our products. Most countries outside of the United States require that clinical trial applications be submitted to and approved by the local regulatory authority for each clinical study. In addition, whether or not we obtain FDA approval for a product, we must obtain approval of a product by the comparable regulatory authorities of countries outside the United States before we can commence clinical studies or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292"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To obtain regulatory approval of an orphan drug under the European Union regulatory system, we are mandated to submit a Marketing Authorization Application, or MAAs, to be assessed in the centralized procedure. The centralized procedure, which came into operation in 1995, allows applicants to obtain a marketing authorization that is valid throughout the European Union. It is compulsory for medicinal products manufactured using biotechnological processes, for orphan medicinal products and for human products containing a new active substance which was not authorized in the Community before May 20, 2004 (date of entry into force of Regulation (EC) No 726/2004) and which are intended for the treatment of AIDS, cancer, neurodegenerative disorder or diabetes. The centralized procedure is optional for any other products containing new active substances not authorized in the Community before May 20, 2004 or for products that constitute a significant therapeutic, scientific or technical innovation or for which a Community authorization is in the interests of patients at Community level. When a company wishes to place on the market a medicinal product that is eligible for the centralized procedure, it sends an application directly to the European Medicines Agency, or EMA, to be assessed by the Committee for Medicinal Products for Human Use, or CHMP. The CHMP is responsible for conducting the assessment of whether a medicine meets the required quality, safety and efficacy requirements, and whether the product has a positive risk/benefit/risk profile. The procedure results in a Commission decision, which is valid in all European Union Member States. Centrally-authorized products may be marketed in all Member States. The centralized procedure is as follows: Full copies of the marketing authorization, or MA, application are sent to a rapporteur and a co-rapporteur designated by the competent EMA scientific committee. They coordinate the EMA’s scientific assessment of the medicinal product and prepare draft reports. Once the draft reports are prepared (other experts might be called upon for this purpose), they are sent to the CHMP, whose comments or objections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7" w:name="page158"/>
    <w:bookmarkEnd w:id="15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419"/>
        <w:spacing w:after="0" w:line="274" w:lineRule="auto"/>
        <w:rPr>
          <w:sz w:val="20"/>
          <w:szCs w:val="20"/>
          <w:color w:val="auto"/>
        </w:rPr>
      </w:pPr>
      <w:r>
        <w:rPr>
          <w:rFonts w:ascii="Arial" w:cs="Arial" w:eastAsia="Arial" w:hAnsi="Arial"/>
          <w:sz w:val="14"/>
          <w:szCs w:val="14"/>
          <w:color w:val="auto"/>
        </w:rPr>
        <w:t>are communicated to the applicant. The rapporteur is therefore the privileged interlocutor of the applicant and continues to play this role, even after the MA has been granted.</w:t>
      </w:r>
    </w:p>
    <w:p>
      <w:pPr>
        <w:spacing w:after="0" w:line="86"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The rapporteur and co-rapporteur then assess the applicant’s replies, submit them for discussion to the CHMP and, taking into account the conclusions of this debate, prepare a final assessment report. Once the evaluation is completed, the CHMP gives a favorable or unfavorable opinion as to whether to grant the authorization. When the opinion is favorable, it shall include the draft summary of the product’s characteristics, the package leaflet and the texts proposed for the various packaging materials. The time limit for the evaluation procedure is 210 days. The EMA then has fifteen days to forward its opinion to the European Commission. This is the start of the second phase of the procedure: the decision-making process. The EMA sends to the Commission its opinion and assessment report, together with annexes containing: the SmPC, or Annex 1; the particulars of the MAH responsible for batch release, the particulars of the manufacturer of the active substance and the conditions of the marketing authorization, or Annex 2; and the labelling and the package leaflet, or Annex 3. The annexes are translated into the 22 other official languages of the European Union. During the decision-making process, the Commission services verify that the marketing authorization complies with Union law. The Commission has fifteen days to prepare a draft decision. The medicinal product is assigned a Community registration number, which will be placed on its packaging if the marketing authorization is granted. During this period, various Commission directorates-general are consulted on the draft marketing authorization decision.</w:t>
      </w:r>
    </w:p>
    <w:p>
      <w:pPr>
        <w:spacing w:after="0" w:line="200" w:lineRule="exact"/>
        <w:rPr>
          <w:sz w:val="20"/>
          <w:szCs w:val="20"/>
          <w:color w:val="auto"/>
        </w:rPr>
      </w:pPr>
    </w:p>
    <w:p>
      <w:pPr>
        <w:spacing w:after="0" w:line="257"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The draft decision is then sent to the Standing Committee on Medicinal Products for Human Use, (Member States have one representative each in both of these committees) for their opinions. The centralized procedure provides for the grant of a single marketing authorization that is valid for all European Union member states. The decentralized procedure provides for approval by one or more other, or concerned, member states of an assessment of an application performed by one member state, known as the reference member state. Under this procedure, an applicant submits an application, or dossier, and related materials including a draft summary of product characteristics, and draft labeling and package leaflet,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the public health, the disputed points may eventually be referred to the European Commission, whose decision is binding on all member states.</w:t>
      </w:r>
    </w:p>
    <w:p>
      <w:pPr>
        <w:spacing w:after="0" w:line="296" w:lineRule="exact"/>
        <w:rPr>
          <w:sz w:val="20"/>
          <w:szCs w:val="20"/>
          <w:color w:val="auto"/>
        </w:rPr>
      </w:pPr>
    </w:p>
    <w:p>
      <w:pPr>
        <w:ind w:left="1220" w:right="1299"/>
        <w:spacing w:after="0" w:line="275" w:lineRule="auto"/>
        <w:rPr>
          <w:sz w:val="20"/>
          <w:szCs w:val="20"/>
          <w:color w:val="auto"/>
        </w:rPr>
      </w:pPr>
      <w:r>
        <w:rPr>
          <w:rFonts w:ascii="Arial" w:cs="Arial" w:eastAsia="Arial" w:hAnsi="Arial"/>
          <w:sz w:val="14"/>
          <w:szCs w:val="14"/>
          <w:color w:val="auto"/>
        </w:rPr>
        <w:t>Applications from persons or companies seeking “orphan medicinal product designation” for products they intend to develop for the diagnosis, prevention, or treatment of life-threatening or very serious conditions that affect not more than five in 10,000 persons in the European Union are reviewed by the Committee for Orphan Medicinal Products, or COMP. In addition, orphan drug designation can be granted if the drug or biologic is intended for a life threatening, seriously debilitating, or serious and chronic condition in the European Union and that without incentives it is unlikely that sales of the drug in the European Union would be sufficient to justify developing the drug or biologic. Orphan drug designation is only available if there is no other satisfactory method approved in the European Union of diagnosing, preventing, or treating the condition, or if such a method exists, the proposed orphan drug will be of significant benefit to patients.</w:t>
      </w:r>
    </w:p>
    <w:p>
      <w:pPr>
        <w:spacing w:after="0" w:line="97"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Orphan drug designation provides opportunities for fee reductions, protocol assistance and access to the centralized procedure before and during the first year after marketing approval. Fee reductions are not limited to the first year after marketing approval for small and medium enterprises. In addition, if a product that has an orphan drug designation subsequently receives EMA marketing approval for the indication for which it has such designation, the product is entitled to orphan market exclusivity, which means the EMA may not approve any other application to market a similar drug or biologic for the same indication for a period of ten years. The exclusivity period may be reduced to six years if the designation criteria are no longer met, including where it is shown that the product is sufficiently profitable not to justify maintenance of market exclusivity. Competitors may receive marketing approval of different drugs or biologics for the indications for which the orphan product has exclusivity. In order to do so, however, they must demonstrate that the new drugs or biologics are clinically superior over</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8" w:name="page159"/>
    <w:bookmarkEnd w:id="15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339"/>
        <w:spacing w:after="0" w:line="295" w:lineRule="auto"/>
        <w:rPr>
          <w:sz w:val="20"/>
          <w:szCs w:val="20"/>
          <w:color w:val="auto"/>
        </w:rPr>
      </w:pPr>
      <w:r>
        <w:rPr>
          <w:rFonts w:ascii="Arial" w:cs="Arial" w:eastAsia="Arial" w:hAnsi="Arial"/>
          <w:sz w:val="14"/>
          <w:szCs w:val="14"/>
          <w:color w:val="auto"/>
        </w:rPr>
        <w:t>the existing orphan product. This demonstration of clinical superiority may be done at the time of initial approval or in post-approval studies, depending on the type of marketing authorization granted.</w:t>
      </w:r>
    </w:p>
    <w:p>
      <w:pPr>
        <w:spacing w:after="0" w:line="262"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A Pediatric Investigation Plan, or PIP, in the European Union is aimed at ensuring that the necessary data are obtained to support the authorization of a medicine for children, through studies in children. All applications for marketing authorization for new medicines have to include the results of studies as described in an agreed PIP, 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across the European Union with the results of studies from a PIP included in the product information are eligible for an extension of their supplementary protection certificate by six months. This is the case even when the studies’ results are negative. For orphan medicines, the incentive is an additional two years of market exclusivity. 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marketing authorization, or PUMA. If a PUMA is granted, the product will benefit from ten years of market protection as an incentive.</w:t>
      </w:r>
    </w:p>
    <w:p>
      <w:pPr>
        <w:spacing w:after="0" w:line="296"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In March 2016, the EMA launched an initiative, The Priority Medicines, or PRIME, scheme, to facilitate development of product candidates in indications, often rare, for which few or no therapies currently exist. The PRIME scheme is intended to encourage development of drugs and biologics in areas of unmet medical need and provides accelerated assessment of products representing substantial innovation reviewed under the centralized procedure.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290"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The United Kingdom left the European Union on January 31, 2020, referred to as Brexit, following which, existing European Union medicinal product legislation continued to apply in the United Kingdom during the transition period under the terms of the Brexit withdrawal agreement. The Brexit transition period, which ended on December 31, 2020, maintained access to the European Union single market and to the global trade deals negotiated by the European Union on behalf of its members. The Brexit transition period provided time for the United Kingdom and European Union to negotiate a framework for partnership for the future, which was then crystallized in the Trade and Cooperation Agreement, or TCA, and became effective on the January 1, 2021.</w:t>
      </w:r>
    </w:p>
    <w:p>
      <w:pPr>
        <w:spacing w:after="0" w:line="100"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As of January 1, 2021, the Medicines and Healthcare products Regulatory Agency, or MHRA, is the United Kingdom’s standalone medicines and medical devices regulator. As a result of the Northern Ireland protocol, different rules will apply in Northern Ireland than in England, Wales and Scotland, together Great Britain, broadly, Northern Ireland will continue to follow the European Union regulatory regime, but its national competent authority will remain the MHRA. The MHRA has published a draft guidance on how various aspects of the United Kingdom regulatory regime for medicines will operate in Great Britain and in Northern Ireland following the expiry of the Brexit transition period on December 31, 2020. The guidance includes clinical trials, marketing authorizations, importing, exporting and pharmacovigilance and is relevant to any business involved in the research, development or commercialization of medicines in the United Kingdom. The new guidance was be given effect via the Human Medicines Regulations (Amendment etc.) (European Union Exit) Regulations 2019, or the Exit Regulations. The United Kingdom regulatory regime largely mirrors that of the European Union.</w:t>
      </w:r>
    </w:p>
    <w:p>
      <w:pPr>
        <w:spacing w:after="0" w:line="290" w:lineRule="exact"/>
        <w:rPr>
          <w:sz w:val="20"/>
          <w:szCs w:val="20"/>
          <w:color w:val="auto"/>
        </w:rPr>
      </w:pPr>
    </w:p>
    <w:p>
      <w:pPr>
        <w:ind w:left="1220" w:right="1579"/>
        <w:spacing w:after="0" w:line="281" w:lineRule="auto"/>
        <w:rPr>
          <w:sz w:val="20"/>
          <w:szCs w:val="20"/>
          <w:color w:val="auto"/>
        </w:rPr>
      </w:pPr>
      <w:r>
        <w:rPr>
          <w:rFonts w:ascii="Arial" w:cs="Arial" w:eastAsia="Arial" w:hAnsi="Arial"/>
          <w:sz w:val="14"/>
          <w:szCs w:val="14"/>
          <w:color w:val="auto"/>
        </w:rPr>
        <w:t>The MHRA has introduced changes to national licensing procedures, including procedures to prioritize access to new medicines that will benefit patients, an accelerated assessment procedure and new routes of evaluation for</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59" w:name="page160"/>
    <w:bookmarkEnd w:id="15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519"/>
        <w:spacing w:after="0" w:line="265" w:lineRule="auto"/>
        <w:rPr>
          <w:sz w:val="20"/>
          <w:szCs w:val="20"/>
          <w:color w:val="auto"/>
        </w:rPr>
      </w:pPr>
      <w:r>
        <w:rPr>
          <w:rFonts w:ascii="Arial" w:cs="Arial" w:eastAsia="Arial" w:hAnsi="Arial"/>
          <w:sz w:val="14"/>
          <w:szCs w:val="14"/>
          <w:color w:val="auto"/>
        </w:rPr>
        <w:t>novel products and biotechnological products. All existing European Union MAs for centrally authorized products will automatically be converted (grandfathered) into United Kingdom MAs free-of-charge on January 1, 2021.</w:t>
      </w:r>
    </w:p>
    <w:p>
      <w:pPr>
        <w:spacing w:after="0" w:line="93"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There will be no pre-marketing authorization orphan designation. Instead, the MHRA will review applications for orphan designation in parallel to the corresponding MA application. The criteria are essentially the same, but have been tailored for the Great Britain market, i.e., the prevalence of the condition in Great Britain (rather than the European Union) must not be more than five in 10,000. Should an orphan designation be granted, the period or market exclusivity will be set from the date of first approval of the product in Great Britain or the European Economic Area, wherever is earliest.</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Healthcare laws and regulations</w:t>
      </w:r>
    </w:p>
    <w:p>
      <w:pPr>
        <w:spacing w:after="0" w:line="136" w:lineRule="exact"/>
        <w:rPr>
          <w:sz w:val="20"/>
          <w:szCs w:val="20"/>
          <w:color w:val="auto"/>
        </w:rPr>
      </w:pPr>
    </w:p>
    <w:p>
      <w:pPr>
        <w:ind w:left="1220" w:right="1339"/>
        <w:spacing w:after="0" w:line="262" w:lineRule="auto"/>
        <w:rPr>
          <w:sz w:val="20"/>
          <w:szCs w:val="20"/>
          <w:color w:val="auto"/>
        </w:rPr>
      </w:pPr>
      <w:r>
        <w:rPr>
          <w:rFonts w:ascii="Arial" w:cs="Arial" w:eastAsia="Arial" w:hAnsi="Arial"/>
          <w:sz w:val="14"/>
          <w:szCs w:val="14"/>
          <w:color w:val="auto"/>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85" w:lineRule="exact"/>
        <w:rPr>
          <w:sz w:val="20"/>
          <w:szCs w:val="20"/>
          <w:color w:val="auto"/>
        </w:rPr>
      </w:pPr>
    </w:p>
    <w:p>
      <w:pPr>
        <w:ind w:left="1600" w:right="1359" w:hanging="117"/>
        <w:spacing w:after="0" w:line="276" w:lineRule="auto"/>
        <w:tabs>
          <w:tab w:leader="none" w:pos="16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65" w:lineRule="exact"/>
        <w:rPr>
          <w:rFonts w:ascii="Arial" w:cs="Arial" w:eastAsia="Arial" w:hAnsi="Arial"/>
          <w:sz w:val="14"/>
          <w:szCs w:val="14"/>
          <w:color w:val="auto"/>
        </w:rPr>
      </w:pPr>
    </w:p>
    <w:p>
      <w:pPr>
        <w:ind w:left="1600" w:right="1279" w:hanging="117"/>
        <w:spacing w:after="0" w:line="280" w:lineRule="auto"/>
        <w:tabs>
          <w:tab w:leader="none" w:pos="16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and biologics, that are false or fraudulent;</w:t>
      </w:r>
    </w:p>
    <w:p>
      <w:pPr>
        <w:spacing w:after="0" w:line="252" w:lineRule="exact"/>
        <w:rPr>
          <w:rFonts w:ascii="Arial" w:cs="Arial" w:eastAsia="Arial" w:hAnsi="Arial"/>
          <w:sz w:val="14"/>
          <w:szCs w:val="14"/>
          <w:color w:val="auto"/>
        </w:rPr>
      </w:pPr>
    </w:p>
    <w:p>
      <w:pPr>
        <w:ind w:left="1600" w:right="1279" w:hanging="117"/>
        <w:spacing w:after="0" w:line="277" w:lineRule="auto"/>
        <w:tabs>
          <w:tab w:leader="none" w:pos="16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74" w:lineRule="exact"/>
        <w:rPr>
          <w:rFonts w:ascii="Arial" w:cs="Arial" w:eastAsia="Arial" w:hAnsi="Arial"/>
          <w:sz w:val="14"/>
          <w:szCs w:val="14"/>
          <w:color w:val="auto"/>
        </w:rPr>
      </w:pPr>
    </w:p>
    <w:p>
      <w:pPr>
        <w:ind w:left="1600" w:right="1279" w:hanging="117"/>
        <w:spacing w:after="0" w:line="295" w:lineRule="auto"/>
        <w:tabs>
          <w:tab w:leader="none" w:pos="16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of 2009 and their implementing regulations, impose obligations on certain types of individuals and</w:t>
      </w:r>
    </w:p>
    <w:p>
      <w:pPr>
        <w:spacing w:after="0" w:line="240" w:lineRule="exact"/>
        <w:rPr>
          <w:rFonts w:ascii="Arial" w:cs="Arial" w:eastAsia="Arial" w:hAnsi="Arial"/>
          <w:sz w:val="14"/>
          <w:szCs w:val="14"/>
          <w:color w:val="auto"/>
        </w:rPr>
      </w:pPr>
    </w:p>
    <w:p>
      <w:pPr>
        <w:ind w:left="1600" w:right="1819" w:hanging="117"/>
        <w:spacing w:after="0" w:line="281" w:lineRule="auto"/>
        <w:tabs>
          <w:tab w:leader="none" w:pos="16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entities regarding the electronic exchange of information in common healthcare transactions, as well as standards relating to the privacy and security of individually identifiable health information;</w:t>
      </w:r>
    </w:p>
    <w:p>
      <w:pPr>
        <w:spacing w:after="0" w:line="60" w:lineRule="exact"/>
        <w:rPr>
          <w:rFonts w:ascii="Arial" w:cs="Arial" w:eastAsia="Arial" w:hAnsi="Arial"/>
          <w:sz w:val="14"/>
          <w:szCs w:val="14"/>
          <w:color w:val="auto"/>
        </w:rPr>
      </w:pPr>
    </w:p>
    <w:p>
      <w:pPr>
        <w:ind w:left="1600" w:right="1299" w:hanging="117"/>
        <w:spacing w:after="0" w:line="277" w:lineRule="auto"/>
        <w:tabs>
          <w:tab w:leader="none" w:pos="16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and Medicaid Services, or CMS, information related to payments or other transfers of value made to physicians and teaching hospitals, as well as ownership and investment interests held by physicians and their immediate family members; and</w:t>
      </w:r>
    </w:p>
    <w:p>
      <w:pPr>
        <w:spacing w:after="0" w:line="255" w:lineRule="exact"/>
        <w:rPr>
          <w:rFonts w:ascii="Arial" w:cs="Arial" w:eastAsia="Arial" w:hAnsi="Arial"/>
          <w:sz w:val="14"/>
          <w:szCs w:val="14"/>
          <w:color w:val="auto"/>
        </w:rPr>
      </w:pPr>
    </w:p>
    <w:p>
      <w:pPr>
        <w:ind w:left="1600" w:right="1299" w:hanging="117"/>
        <w:spacing w:after="0" w:line="277" w:lineRule="auto"/>
        <w:tabs>
          <w:tab w:leader="none" w:pos="16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Foreign Corrupt Practices Act, or FCPA prohibits United States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96" w:lineRule="exact"/>
        <w:rPr>
          <w:sz w:val="20"/>
          <w:szCs w:val="20"/>
          <w:color w:val="auto"/>
        </w:rPr>
      </w:pPr>
    </w:p>
    <w:p>
      <w:pPr>
        <w:ind w:left="1220" w:right="1399"/>
        <w:spacing w:after="0" w:line="260" w:lineRule="auto"/>
        <w:rPr>
          <w:sz w:val="20"/>
          <w:szCs w:val="20"/>
          <w:color w:val="auto"/>
        </w:rPr>
      </w:pPr>
      <w:r>
        <w:rPr>
          <w:rFonts w:ascii="Arial" w:cs="Arial" w:eastAsia="Arial" w:hAnsi="Arial"/>
          <w:sz w:val="14"/>
          <w:szCs w:val="14"/>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and biologics manufacturers to report information related to payments and other transfers of</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0" w:name="page161"/>
    <w:bookmarkEnd w:id="16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20" w:right="1479"/>
        <w:spacing w:after="0" w:line="262" w:lineRule="auto"/>
        <w:rPr>
          <w:sz w:val="20"/>
          <w:szCs w:val="20"/>
          <w:color w:val="auto"/>
        </w:rPr>
      </w:pPr>
      <w:r>
        <w:rPr>
          <w:rFonts w:ascii="Arial" w:cs="Arial" w:eastAsia="Arial" w:hAnsi="Arial"/>
          <w:sz w:val="14"/>
          <w:szCs w:val="14"/>
          <w:color w:val="auto"/>
        </w:rPr>
        <w:t>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our product is sold in a foreign country, we may be subject to similar foreign laws.</w:t>
      </w:r>
    </w:p>
    <w:p>
      <w:pPr>
        <w:spacing w:after="0" w:line="13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Healthcare Reform</w:t>
      </w:r>
    </w:p>
    <w:p>
      <w:pPr>
        <w:spacing w:after="0" w:line="123" w:lineRule="exact"/>
        <w:rPr>
          <w:sz w:val="20"/>
          <w:szCs w:val="20"/>
          <w:color w:val="auto"/>
        </w:rPr>
      </w:pPr>
    </w:p>
    <w:p>
      <w:pPr>
        <w:ind w:left="1220" w:right="1279"/>
        <w:spacing w:after="0" w:line="258" w:lineRule="auto"/>
        <w:rPr>
          <w:sz w:val="20"/>
          <w:szCs w:val="20"/>
          <w:color w:val="auto"/>
        </w:rPr>
      </w:pPr>
      <w:r>
        <w:rPr>
          <w:rFonts w:ascii="Arial" w:cs="Arial" w:eastAsia="Arial" w:hAnsi="Arial"/>
          <w:sz w:val="14"/>
          <w:szCs w:val="14"/>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the United States Congress, or Congress, has considered reductions in Medicare reimbursement levels for drugs and biologics administered by physicians. CMS, the agency that administers the Medicare and Medicaid programs,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regulations apply only to drug benefits for Medicare beneficiaries, private payers often follow Medicare coverage policy and payment limitations in setting their own reimbursement rates. Therefore, any reduction in reimbursement that results from federal legislation or regulation may result in a similar reduction in payments from private payers.</w:t>
      </w:r>
    </w:p>
    <w:p>
      <w:pPr>
        <w:spacing w:after="0" w:line="200" w:lineRule="exact"/>
        <w:rPr>
          <w:sz w:val="20"/>
          <w:szCs w:val="20"/>
          <w:color w:val="auto"/>
        </w:rPr>
      </w:pPr>
    </w:p>
    <w:p>
      <w:pPr>
        <w:spacing w:after="0" w:line="258" w:lineRule="exact"/>
        <w:rPr>
          <w:sz w:val="20"/>
          <w:szCs w:val="20"/>
          <w:color w:val="auto"/>
        </w:rPr>
      </w:pPr>
    </w:p>
    <w:p>
      <w:pPr>
        <w:ind w:left="1220" w:right="1319"/>
        <w:spacing w:after="0" w:line="258" w:lineRule="auto"/>
        <w:rPr>
          <w:sz w:val="20"/>
          <w:szCs w:val="20"/>
          <w:color w:val="auto"/>
        </w:rPr>
      </w:pPr>
      <w:r>
        <w:rPr>
          <w:rFonts w:ascii="Arial" w:cs="Arial" w:eastAsia="Arial" w:hAnsi="Arial"/>
          <w:sz w:val="14"/>
          <w:szCs w:val="14"/>
          <w:color w:val="auto"/>
        </w:rPr>
        <w:t>The Patient Protection and Affordable Care Act, as amended by the Health Care and Education Affordability Reconciliation Act, or collectively the Affordable Care Act, substantially changed the way healthcare is financed by both governmental and private insurers, and significantly impacts the pharmaceutical industry. The Affordable Care Act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Affordable Care Act expanded manufacturers’ rebate liability under the Medicaid Drug Rebate Program by increasing the minimum Medicaid rebate for both branded and generic drugs and biologics, expanded the 340B program, and revised the definition of average manufacturer price, or AMP,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On February 1, 2016, CMS issued final regulations to implement the changes to the Medicaid Drug Rebate program under the Affordable Care Act. These regulations became effective on April 1, 2016. Since that time, there have been significant ongoing efforts to modify or eliminate the Affordable Care Act. On January 20, 2017, President Trump signed an executive order directing federal agencies to exercise existing authorities to reduce burdens associated with the Affordable Care Act pending further action by Congress. In October 2017, he signed an executive order which directed federal agencies to modify how the Affordable Care Act is implemented. The Tax Cuts and Jobs Act, enacted on December 22, 2017, repealed the shared responsibility payment for individuals who fail to maintain minimum essential coverage under section 5000A of the Internal Revenue Code of 1986, as amended, or the Code, commonly referred to as the individual mandate,</w:t>
      </w:r>
    </w:p>
    <w:p>
      <w:pPr>
        <w:spacing w:after="0" w:line="200" w:lineRule="exact"/>
        <w:rPr>
          <w:sz w:val="20"/>
          <w:szCs w:val="20"/>
          <w:color w:val="auto"/>
        </w:rPr>
      </w:pPr>
    </w:p>
    <w:p>
      <w:pPr>
        <w:spacing w:after="0" w:line="253"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Other legislative changes have been proposed and adopted since passage of the Affordable Care Act.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 per fiscal year, which went into effect in April 2013. Subsequent litigation extended the 2% reduction, on average, to 2030 unless additional Congressional action is taken. However, pursuant to the Coronavirus Aid, Relief and Economic Security Act, or CARES Act, the</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1" w:name="page162"/>
    <w:bookmarkEnd w:id="16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61" w:lineRule="auto"/>
        <w:rPr>
          <w:sz w:val="20"/>
          <w:szCs w:val="20"/>
          <w:color w:val="auto"/>
        </w:rPr>
      </w:pPr>
      <w:r>
        <w:rPr>
          <w:rFonts w:ascii="Arial" w:cs="Arial" w:eastAsia="Arial" w:hAnsi="Arial"/>
          <w:sz w:val="14"/>
          <w:szCs w:val="14"/>
          <w:color w:val="auto"/>
        </w:rPr>
        <w:t>2% Medicare sequester reductions have been suspended from May 1, 2020 through March 31, 2021 due to the COVID-19 pandemic.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268"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Further legislative and regulatory changes under the Affordable Care Act remain possible, although the new Administration under President Biden has signaled that it plans to build on the Affordable Care Act and expand the number of people who are eligible for subsidies under it. President Biden indicated that he intends to use executive orders to undo changes to the Affordable Care Act made by the former administration and would advocate for legislation to build on the Affordable Care Act. It is unknown what form any such changes or any law would take, and how or whether it may affect our business in the future. We expect that changes or additions to the Affordable Care Act,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280"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The Affordable Care Act has been subject to challenges in the courts. On December 14, 2018, a Texas U.S. District Court Judge ruled that the Affordable Care Act is unconstitutional in its entirety because the “individual mandate” was repealed by Congress. On December 18, 2019, the Fifth Circuit U.S. Court of Appeals held that the individual mandate is unconstitutional and remanded the case to the Texas District Court to reconsider its earlier invalidation of the entire Affordable Care Act. An appeal was taken to the U.S. Supreme Court which heard oral arguments in the case on November 10, 2020. A ruling is expected in 2021.</w:t>
      </w:r>
    </w:p>
    <w:p>
      <w:pPr>
        <w:spacing w:after="0" w:line="106" w:lineRule="exact"/>
        <w:rPr>
          <w:sz w:val="20"/>
          <w:szCs w:val="20"/>
          <w:color w:val="auto"/>
        </w:rPr>
      </w:pPr>
    </w:p>
    <w:p>
      <w:pPr>
        <w:ind w:left="1220" w:right="1299"/>
        <w:spacing w:after="0" w:line="257" w:lineRule="auto"/>
        <w:rPr>
          <w:sz w:val="20"/>
          <w:szCs w:val="20"/>
          <w:color w:val="auto"/>
        </w:rPr>
      </w:pPr>
      <w:r>
        <w:rPr>
          <w:rFonts w:ascii="Arial" w:cs="Arial" w:eastAsia="Arial" w:hAnsi="Arial"/>
          <w:sz w:val="14"/>
          <w:szCs w:val="14"/>
          <w:color w:val="auto"/>
        </w:rPr>
        <w:t>The Affordable Care Act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Furthermore, the law requires manufacturers to provide a 50% discount off the negotiated price of prescriptions filled by beneficiaries in the Medicare Part D coverage gap, referred to as the “donut hole.” The Bipartisan Budget Act of 2018, or the BBA, among other things, amended the Affordable Care Act, effective January 1, 2019, to close the coverage gap in most Medicare drug plans, commonly referred to as the “donut hole,” by increasing from</w:t>
      </w:r>
    </w:p>
    <w:p>
      <w:pPr>
        <w:spacing w:after="0" w:line="2" w:lineRule="exact"/>
        <w:rPr>
          <w:sz w:val="20"/>
          <w:szCs w:val="20"/>
          <w:color w:val="auto"/>
        </w:rPr>
      </w:pPr>
    </w:p>
    <w:p>
      <w:pPr>
        <w:ind w:left="1220" w:right="1279" w:firstLine="4"/>
        <w:spacing w:after="0" w:line="274" w:lineRule="auto"/>
        <w:tabs>
          <w:tab w:leader="none" w:pos="1431" w:val="left"/>
        </w:tabs>
        <w:numPr>
          <w:ilvl w:val="0"/>
          <w:numId w:val="84"/>
        </w:numPr>
        <w:rPr>
          <w:rFonts w:ascii="Arial" w:cs="Arial" w:eastAsia="Arial" w:hAnsi="Arial"/>
          <w:sz w:val="14"/>
          <w:szCs w:val="14"/>
          <w:color w:val="auto"/>
        </w:rPr>
      </w:pPr>
      <w:r>
        <w:rPr>
          <w:rFonts w:ascii="Arial" w:cs="Arial" w:eastAsia="Arial" w:hAnsi="Arial"/>
          <w:sz w:val="14"/>
          <w:szCs w:val="14"/>
          <w:color w:val="auto"/>
        </w:rPr>
        <w:t>percent to 70 percent the point-of-sale discount that is owed by pharmaceutical manufacturers who participate in Medicare Part D.</w:t>
      </w:r>
    </w:p>
    <w:p>
      <w:pPr>
        <w:spacing w:after="0" w:line="86"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The Affordable Care Act also expanded the Public Health Service’s 340B drug pricing program. The 340B drug pricing program requires participating manufacturers to agree to charge statutorily-defined covered entities no more than the 340B “ceiling price” for the manufacturer’s covered outpatient drugs. The Affordable Care Act expanded the 340B program to include additional types of covered entities: certain free-standing cancer hospitals, critical access hospitals, rural referral centers and sole community hospitals, each as defined by the Affordable Care Act. Because the 340B ceiling price is determined based on the average manufacturer price, or AMP, and Medicaid drug rebate data, revisions to the Medicaid rebate formula and AMP definition could cause the required 340B discounts to increase. Payment methodologies may be subject to changes in healthcare legislation and regulatory initiatives as well. For example, CMS may develop new payment and delivery models, such as bundled payment models. Recently, there has been heightened governmental scrutiny over the manner in which manufacturers set prices for their marketed products. Such scrutiny has resulted in several recent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pharmaceutical products.</w:t>
      </w:r>
    </w:p>
    <w:p>
      <w:pPr>
        <w:spacing w:after="0" w:line="284" w:lineRule="exact"/>
        <w:rPr>
          <w:sz w:val="20"/>
          <w:szCs w:val="20"/>
          <w:color w:val="auto"/>
        </w:rPr>
      </w:pPr>
    </w:p>
    <w:p>
      <w:pPr>
        <w:ind w:left="1220" w:right="1359"/>
        <w:spacing w:after="0" w:line="261" w:lineRule="auto"/>
        <w:rPr>
          <w:sz w:val="20"/>
          <w:szCs w:val="20"/>
          <w:color w:val="auto"/>
        </w:rPr>
      </w:pPr>
      <w:r>
        <w:rPr>
          <w:rFonts w:ascii="Arial" w:cs="Arial" w:eastAsia="Arial" w:hAnsi="Arial"/>
          <w:sz w:val="14"/>
          <w:szCs w:val="14"/>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2" w:name="page163"/>
    <w:bookmarkEnd w:id="16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220" w:right="1319"/>
        <w:spacing w:after="0" w:line="278" w:lineRule="auto"/>
        <w:rPr>
          <w:sz w:val="20"/>
          <w:szCs w:val="20"/>
          <w:color w:val="auto"/>
        </w:rPr>
      </w:pPr>
      <w:r>
        <w:rPr>
          <w:rFonts w:ascii="Arial" w:cs="Arial" w:eastAsia="Arial" w:hAnsi="Arial"/>
          <w:sz w:val="14"/>
          <w:szCs w:val="14"/>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Human capital resources</w:t>
      </w:r>
    </w:p>
    <w:p>
      <w:pPr>
        <w:spacing w:after="0" w:line="133" w:lineRule="exact"/>
        <w:rPr>
          <w:sz w:val="20"/>
          <w:szCs w:val="20"/>
          <w:color w:val="auto"/>
        </w:rPr>
      </w:pPr>
    </w:p>
    <w:p>
      <w:pPr>
        <w:jc w:val="both"/>
        <w:ind w:left="1220" w:right="1419"/>
        <w:spacing w:after="0" w:line="281" w:lineRule="auto"/>
        <w:rPr>
          <w:sz w:val="20"/>
          <w:szCs w:val="20"/>
          <w:color w:val="auto"/>
        </w:rPr>
      </w:pPr>
      <w:r>
        <w:rPr>
          <w:rFonts w:ascii="Arial" w:cs="Arial" w:eastAsia="Arial" w:hAnsi="Arial"/>
          <w:sz w:val="14"/>
          <w:szCs w:val="14"/>
          <w:color w:val="auto"/>
        </w:rPr>
        <w:t>As of April 30, 2021, we had 97 full-time employees and ten part-time employees. Of our 97 full and part-time employees, 47 have Ph.D. or M.D. degrees and 69 are engaged in research and development activities. We consider our relationship with our employees to be good.</w:t>
      </w:r>
    </w:p>
    <w:p>
      <w:pPr>
        <w:spacing w:after="0" w:line="103" w:lineRule="exact"/>
        <w:rPr>
          <w:sz w:val="20"/>
          <w:szCs w:val="20"/>
          <w:color w:val="auto"/>
        </w:rPr>
      </w:pPr>
    </w:p>
    <w:p>
      <w:pPr>
        <w:ind w:left="1220" w:right="1259"/>
        <w:spacing w:after="0" w:line="280" w:lineRule="auto"/>
        <w:rPr>
          <w:sz w:val="20"/>
          <w:szCs w:val="20"/>
          <w:color w:val="auto"/>
        </w:rPr>
      </w:pPr>
      <w:r>
        <w:rPr>
          <w:rFonts w:ascii="Arial" w:cs="Arial" w:eastAsia="Arial" w:hAnsi="Arial"/>
          <w:sz w:val="14"/>
          <w:szCs w:val="14"/>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30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Facilities</w:t>
      </w:r>
    </w:p>
    <w:p>
      <w:pPr>
        <w:spacing w:after="0" w:line="144" w:lineRule="exact"/>
        <w:rPr>
          <w:sz w:val="20"/>
          <w:szCs w:val="20"/>
          <w:color w:val="auto"/>
        </w:rPr>
      </w:pPr>
    </w:p>
    <w:p>
      <w:pPr>
        <w:ind w:left="1220" w:right="1279"/>
        <w:spacing w:after="0" w:line="273" w:lineRule="auto"/>
        <w:rPr>
          <w:sz w:val="20"/>
          <w:szCs w:val="20"/>
          <w:color w:val="auto"/>
        </w:rPr>
      </w:pPr>
      <w:r>
        <w:rPr>
          <w:rFonts w:ascii="Arial" w:cs="Arial" w:eastAsia="Arial" w:hAnsi="Arial"/>
          <w:sz w:val="14"/>
          <w:szCs w:val="14"/>
          <w:color w:val="auto"/>
        </w:rPr>
        <w:t>Our principal executive offices are located in Philadelphia, Pennsylvania, pursuant to a lease that expires in March 2032. We operate in three laboratory spaces in Philadelphia pursuant to leases that expire in January 2026, January 2031 and July 2023. Additionally, we lease office and laboratory space in Seattle, Washington pursuant to leases expiring in January 2030 and</w:t>
      </w:r>
    </w:p>
    <w:p>
      <w:pPr>
        <w:spacing w:after="0" w:line="1"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May 2030, respectively. Century Canada’s operations are located in Hamilton, Ontario, pursuant to a lease that expires in October 2025. We are investing in the construction of a 53,000 square foot cell therapy manufacturing facility on a tract of land in Branchburg, New Jersey pursuant to a lease expiring in May 2037. We believe that our current facilities are adequate to meet our ongoing needs, and that, if we require additional space, we will be able to obtain additional facilities on commercially reasonable terms.</w:t>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Legal proceedings</w:t>
      </w:r>
    </w:p>
    <w:p>
      <w:pPr>
        <w:spacing w:after="0" w:line="133" w:lineRule="exact"/>
        <w:rPr>
          <w:sz w:val="20"/>
          <w:szCs w:val="20"/>
          <w:color w:val="auto"/>
        </w:rPr>
      </w:pPr>
    </w:p>
    <w:p>
      <w:pPr>
        <w:jc w:val="both"/>
        <w:ind w:left="1220" w:right="1779"/>
        <w:spacing w:after="0" w:line="281" w:lineRule="auto"/>
        <w:rPr>
          <w:sz w:val="20"/>
          <w:szCs w:val="20"/>
          <w:color w:val="auto"/>
        </w:rPr>
      </w:pPr>
      <w:r>
        <w:rPr>
          <w:rFonts w:ascii="Arial" w:cs="Arial" w:eastAsia="Arial" w:hAnsi="Arial"/>
          <w:sz w:val="14"/>
          <w:szCs w:val="14"/>
          <w:color w:val="auto"/>
        </w:rPr>
        <w:t>We are not currently a party to any material legal proceedings. From time to time, we may become involved in other litigation or legal proceedings relating to claims arising from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3" w:name="page164"/>
    <w:bookmarkEnd w:id="16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Management</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sets forth information regarding our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8"/>
        </w:trPr>
        <w:tc>
          <w:tcPr>
            <w:tcW w:w="24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960" w:type="dxa"/>
            <w:vAlign w:val="bottom"/>
          </w:tcPr>
          <w:p>
            <w:pPr>
              <w:jc w:val="center"/>
              <w:ind w:left="489"/>
              <w:spacing w:after="0"/>
              <w:rPr>
                <w:sz w:val="20"/>
                <w:szCs w:val="20"/>
                <w:color w:val="auto"/>
              </w:rPr>
            </w:pPr>
            <w:r>
              <w:rPr>
                <w:rFonts w:ascii="Arial" w:cs="Arial" w:eastAsia="Arial" w:hAnsi="Arial"/>
                <w:sz w:val="13"/>
                <w:szCs w:val="13"/>
                <w:b w:val="1"/>
                <w:bCs w:val="1"/>
                <w:color w:val="auto"/>
                <w:w w:val="97"/>
              </w:rPr>
              <w:t>Age</w:t>
            </w:r>
          </w:p>
        </w:tc>
        <w:tc>
          <w:tcPr>
            <w:tcW w:w="3200" w:type="dxa"/>
            <w:vAlign w:val="bottom"/>
          </w:tcPr>
          <w:p>
            <w:pPr>
              <w:ind w:left="60"/>
              <w:spacing w:after="0"/>
              <w:rPr>
                <w:sz w:val="20"/>
                <w:szCs w:val="20"/>
                <w:color w:val="auto"/>
              </w:rPr>
            </w:pPr>
            <w:r>
              <w:rPr>
                <w:rFonts w:ascii="Arial" w:cs="Arial" w:eastAsia="Arial" w:hAnsi="Arial"/>
                <w:sz w:val="13"/>
                <w:szCs w:val="13"/>
                <w:b w:val="1"/>
                <w:bCs w:val="1"/>
                <w:color w:val="auto"/>
              </w:rPr>
              <w:t>Position(s)</w:t>
            </w:r>
          </w:p>
        </w:tc>
      </w:tr>
      <w:tr>
        <w:trPr>
          <w:trHeight w:val="194"/>
        </w:trPr>
        <w:tc>
          <w:tcPr>
            <w:tcW w:w="20" w:type="dxa"/>
            <w:vAlign w:val="bottom"/>
          </w:tcPr>
          <w:p>
            <w:pPr>
              <w:spacing w:after="0"/>
              <w:rPr>
                <w:sz w:val="16"/>
                <w:szCs w:val="16"/>
                <w:color w:val="auto"/>
              </w:rPr>
            </w:pPr>
          </w:p>
        </w:tc>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Executive Officers</w:t>
            </w:r>
          </w:p>
        </w:tc>
        <w:tc>
          <w:tcPr>
            <w:tcW w:w="960" w:type="dxa"/>
            <w:vAlign w:val="bottom"/>
            <w:tcBorders>
              <w:top w:val="single" w:sz="8" w:color="auto"/>
            </w:tcBorders>
            <w:shd w:val="clear" w:color="auto" w:fill="CCEEFF"/>
          </w:tcPr>
          <w:p>
            <w:pPr>
              <w:spacing w:after="0"/>
              <w:rPr>
                <w:sz w:val="16"/>
                <w:szCs w:val="16"/>
                <w:color w:val="auto"/>
              </w:rPr>
            </w:pPr>
          </w:p>
        </w:tc>
        <w:tc>
          <w:tcPr>
            <w:tcW w:w="3200" w:type="dxa"/>
            <w:vAlign w:val="bottom"/>
            <w:tcBorders>
              <w:top w:val="single" w:sz="8" w:color="auto"/>
            </w:tcBorders>
            <w:shd w:val="clear" w:color="auto" w:fill="CCEEFF"/>
          </w:tcPr>
          <w:p>
            <w:pPr>
              <w:spacing w:after="0"/>
              <w:rPr>
                <w:sz w:val="16"/>
                <w:szCs w:val="16"/>
                <w:color w:val="auto"/>
              </w:rPr>
            </w:pPr>
          </w:p>
        </w:tc>
      </w:tr>
      <w:tr>
        <w:trPr>
          <w:trHeight w:val="182"/>
        </w:trPr>
        <w:tc>
          <w:tcPr>
            <w:tcW w:w="2400" w:type="dxa"/>
            <w:vAlign w:val="bottom"/>
            <w:gridSpan w:val="2"/>
          </w:tcPr>
          <w:p>
            <w:pPr>
              <w:spacing w:after="0"/>
              <w:rPr>
                <w:sz w:val="20"/>
                <w:szCs w:val="20"/>
                <w:color w:val="auto"/>
              </w:rPr>
            </w:pPr>
            <w:r>
              <w:rPr>
                <w:rFonts w:ascii="Arial" w:cs="Arial" w:eastAsia="Arial" w:hAnsi="Arial"/>
                <w:sz w:val="14"/>
                <w:szCs w:val="14"/>
                <w:color w:val="auto"/>
              </w:rPr>
              <w:t>Osvaldo Flores, Ph.D.</w:t>
            </w:r>
          </w:p>
        </w:tc>
        <w:tc>
          <w:tcPr>
            <w:tcW w:w="960" w:type="dxa"/>
            <w:vAlign w:val="bottom"/>
          </w:tcPr>
          <w:p>
            <w:pPr>
              <w:jc w:val="center"/>
              <w:ind w:left="489"/>
              <w:spacing w:after="0"/>
              <w:rPr>
                <w:sz w:val="20"/>
                <w:szCs w:val="20"/>
                <w:color w:val="auto"/>
              </w:rPr>
            </w:pPr>
            <w:r>
              <w:rPr>
                <w:rFonts w:ascii="Arial" w:cs="Arial" w:eastAsia="Arial" w:hAnsi="Arial"/>
                <w:sz w:val="14"/>
                <w:szCs w:val="14"/>
                <w:color w:val="auto"/>
              </w:rPr>
              <w:t>58</w:t>
            </w:r>
          </w:p>
        </w:tc>
        <w:tc>
          <w:tcPr>
            <w:tcW w:w="3200" w:type="dxa"/>
            <w:vAlign w:val="bottom"/>
          </w:tcPr>
          <w:p>
            <w:pPr>
              <w:ind w:left="60"/>
              <w:spacing w:after="0"/>
              <w:rPr>
                <w:sz w:val="20"/>
                <w:szCs w:val="20"/>
                <w:color w:val="auto"/>
              </w:rPr>
            </w:pPr>
            <w:r>
              <w:rPr>
                <w:rFonts w:ascii="Arial" w:cs="Arial" w:eastAsia="Arial" w:hAnsi="Arial"/>
                <w:sz w:val="14"/>
                <w:szCs w:val="14"/>
                <w:color w:val="auto"/>
              </w:rPr>
              <w:t>President, Chief Executive Officer and Director</w:t>
            </w:r>
          </w:p>
        </w:tc>
      </w:tr>
      <w:tr>
        <w:trPr>
          <w:trHeight w:val="23"/>
        </w:trPr>
        <w:tc>
          <w:tcPr>
            <w:tcW w:w="24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Luis Borges, Ph.D.</w:t>
            </w:r>
          </w:p>
        </w:tc>
        <w:tc>
          <w:tcPr>
            <w:tcW w:w="960" w:type="dxa"/>
            <w:vAlign w:val="bottom"/>
            <w:tcBorders>
              <w:bottom w:val="single" w:sz="8" w:color="CCEEFF"/>
            </w:tcBorders>
            <w:shd w:val="clear" w:color="auto" w:fill="CCEEFF"/>
          </w:tcPr>
          <w:p>
            <w:pPr>
              <w:jc w:val="center"/>
              <w:ind w:left="489"/>
              <w:spacing w:after="0"/>
              <w:rPr>
                <w:sz w:val="20"/>
                <w:szCs w:val="20"/>
                <w:color w:val="auto"/>
              </w:rPr>
            </w:pPr>
            <w:r>
              <w:rPr>
                <w:rFonts w:ascii="Arial" w:cs="Arial" w:eastAsia="Arial" w:hAnsi="Arial"/>
                <w:sz w:val="14"/>
                <w:szCs w:val="14"/>
                <w:color w:val="auto"/>
              </w:rPr>
              <w:t>59</w:t>
            </w:r>
          </w:p>
        </w:tc>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Chief Scientific Officer</w:t>
            </w:r>
          </w:p>
        </w:tc>
      </w:tr>
      <w:tr>
        <w:trPr>
          <w:trHeight w:val="182"/>
        </w:trPr>
        <w:tc>
          <w:tcPr>
            <w:tcW w:w="2400" w:type="dxa"/>
            <w:vAlign w:val="bottom"/>
            <w:gridSpan w:val="2"/>
          </w:tcPr>
          <w:p>
            <w:pPr>
              <w:spacing w:after="0"/>
              <w:rPr>
                <w:sz w:val="20"/>
                <w:szCs w:val="20"/>
                <w:color w:val="auto"/>
              </w:rPr>
            </w:pPr>
            <w:r>
              <w:rPr>
                <w:rFonts w:ascii="Arial" w:cs="Arial" w:eastAsia="Arial" w:hAnsi="Arial"/>
                <w:sz w:val="14"/>
                <w:szCs w:val="14"/>
                <w:color w:val="auto"/>
              </w:rPr>
              <w:t>Michael Diem, M.D.</w:t>
            </w:r>
          </w:p>
        </w:tc>
        <w:tc>
          <w:tcPr>
            <w:tcW w:w="960" w:type="dxa"/>
            <w:vAlign w:val="bottom"/>
          </w:tcPr>
          <w:p>
            <w:pPr>
              <w:jc w:val="center"/>
              <w:ind w:left="489"/>
              <w:spacing w:after="0"/>
              <w:rPr>
                <w:sz w:val="20"/>
                <w:szCs w:val="20"/>
                <w:color w:val="auto"/>
              </w:rPr>
            </w:pPr>
            <w:r>
              <w:rPr>
                <w:rFonts w:ascii="Arial" w:cs="Arial" w:eastAsia="Arial" w:hAnsi="Arial"/>
                <w:sz w:val="14"/>
                <w:szCs w:val="14"/>
                <w:color w:val="auto"/>
              </w:rPr>
              <w:t>51</w:t>
            </w:r>
          </w:p>
        </w:tc>
        <w:tc>
          <w:tcPr>
            <w:tcW w:w="3200" w:type="dxa"/>
            <w:vAlign w:val="bottom"/>
          </w:tcPr>
          <w:p>
            <w:pPr>
              <w:ind w:left="60"/>
              <w:spacing w:after="0"/>
              <w:rPr>
                <w:sz w:val="20"/>
                <w:szCs w:val="20"/>
                <w:color w:val="auto"/>
              </w:rPr>
            </w:pPr>
            <w:r>
              <w:rPr>
                <w:rFonts w:ascii="Arial" w:cs="Arial" w:eastAsia="Arial" w:hAnsi="Arial"/>
                <w:sz w:val="14"/>
                <w:szCs w:val="14"/>
                <w:color w:val="auto"/>
              </w:rPr>
              <w:t>Chief Business Officer</w:t>
            </w:r>
          </w:p>
        </w:tc>
      </w:tr>
      <w:tr>
        <w:trPr>
          <w:trHeight w:val="23"/>
        </w:trPr>
        <w:tc>
          <w:tcPr>
            <w:tcW w:w="24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Adrienne Farid, Ph.D.</w:t>
            </w:r>
          </w:p>
        </w:tc>
        <w:tc>
          <w:tcPr>
            <w:tcW w:w="960" w:type="dxa"/>
            <w:vAlign w:val="bottom"/>
            <w:tcBorders>
              <w:bottom w:val="single" w:sz="8" w:color="CCEEFF"/>
            </w:tcBorders>
            <w:shd w:val="clear" w:color="auto" w:fill="CCEEFF"/>
          </w:tcPr>
          <w:p>
            <w:pPr>
              <w:jc w:val="center"/>
              <w:ind w:left="489"/>
              <w:spacing w:after="0"/>
              <w:rPr>
                <w:sz w:val="20"/>
                <w:szCs w:val="20"/>
                <w:color w:val="auto"/>
              </w:rPr>
            </w:pPr>
            <w:r>
              <w:rPr>
                <w:rFonts w:ascii="Arial" w:cs="Arial" w:eastAsia="Arial" w:hAnsi="Arial"/>
                <w:sz w:val="14"/>
                <w:szCs w:val="14"/>
                <w:color w:val="auto"/>
              </w:rPr>
              <w:t>59</w:t>
            </w:r>
          </w:p>
        </w:tc>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Chief Operations Officer</w:t>
            </w:r>
          </w:p>
        </w:tc>
      </w:tr>
      <w:tr>
        <w:trPr>
          <w:trHeight w:val="182"/>
        </w:trPr>
        <w:tc>
          <w:tcPr>
            <w:tcW w:w="2400" w:type="dxa"/>
            <w:vAlign w:val="bottom"/>
            <w:gridSpan w:val="2"/>
          </w:tcPr>
          <w:p>
            <w:pPr>
              <w:spacing w:after="0"/>
              <w:rPr>
                <w:sz w:val="20"/>
                <w:szCs w:val="20"/>
                <w:color w:val="auto"/>
              </w:rPr>
            </w:pPr>
            <w:r>
              <w:rPr>
                <w:rFonts w:ascii="Arial" w:cs="Arial" w:eastAsia="Arial" w:hAnsi="Arial"/>
                <w:sz w:val="14"/>
                <w:szCs w:val="14"/>
                <w:color w:val="auto"/>
              </w:rPr>
              <w:t>Hyam Levitsky, M.D.</w:t>
            </w:r>
          </w:p>
        </w:tc>
        <w:tc>
          <w:tcPr>
            <w:tcW w:w="960" w:type="dxa"/>
            <w:vAlign w:val="bottom"/>
          </w:tcPr>
          <w:p>
            <w:pPr>
              <w:jc w:val="center"/>
              <w:ind w:left="489"/>
              <w:spacing w:after="0"/>
              <w:rPr>
                <w:sz w:val="20"/>
                <w:szCs w:val="20"/>
                <w:color w:val="auto"/>
              </w:rPr>
            </w:pPr>
            <w:r>
              <w:rPr>
                <w:rFonts w:ascii="Arial" w:cs="Arial" w:eastAsia="Arial" w:hAnsi="Arial"/>
                <w:sz w:val="14"/>
                <w:szCs w:val="14"/>
                <w:color w:val="auto"/>
              </w:rPr>
              <w:t>63</w:t>
            </w:r>
          </w:p>
        </w:tc>
        <w:tc>
          <w:tcPr>
            <w:tcW w:w="3200" w:type="dxa"/>
            <w:vAlign w:val="bottom"/>
          </w:tcPr>
          <w:p>
            <w:pPr>
              <w:ind w:left="60"/>
              <w:spacing w:after="0"/>
              <w:rPr>
                <w:sz w:val="20"/>
                <w:szCs w:val="20"/>
                <w:color w:val="auto"/>
              </w:rPr>
            </w:pPr>
            <w:r>
              <w:rPr>
                <w:rFonts w:ascii="Arial" w:cs="Arial" w:eastAsia="Arial" w:hAnsi="Arial"/>
                <w:sz w:val="14"/>
                <w:szCs w:val="14"/>
                <w:color w:val="auto"/>
              </w:rPr>
              <w:t>President of Research and Development</w:t>
            </w:r>
          </w:p>
        </w:tc>
      </w:tr>
      <w:tr>
        <w:trPr>
          <w:trHeight w:val="23"/>
        </w:trPr>
        <w:tc>
          <w:tcPr>
            <w:tcW w:w="24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Gregory Russotti, Ph.D.</w:t>
            </w:r>
          </w:p>
        </w:tc>
        <w:tc>
          <w:tcPr>
            <w:tcW w:w="960" w:type="dxa"/>
            <w:vAlign w:val="bottom"/>
            <w:tcBorders>
              <w:bottom w:val="single" w:sz="8" w:color="CCEEFF"/>
            </w:tcBorders>
            <w:shd w:val="clear" w:color="auto" w:fill="CCEEFF"/>
          </w:tcPr>
          <w:p>
            <w:pPr>
              <w:jc w:val="center"/>
              <w:ind w:left="489"/>
              <w:spacing w:after="0"/>
              <w:rPr>
                <w:sz w:val="20"/>
                <w:szCs w:val="20"/>
                <w:color w:val="auto"/>
              </w:rPr>
            </w:pPr>
            <w:r>
              <w:rPr>
                <w:rFonts w:ascii="Arial" w:cs="Arial" w:eastAsia="Arial" w:hAnsi="Arial"/>
                <w:sz w:val="14"/>
                <w:szCs w:val="14"/>
                <w:color w:val="auto"/>
              </w:rPr>
              <w:t>54</w:t>
            </w:r>
          </w:p>
        </w:tc>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Chief Technology Officer</w:t>
            </w:r>
          </w:p>
        </w:tc>
      </w:tr>
      <w:tr>
        <w:trPr>
          <w:trHeight w:val="198"/>
        </w:trPr>
        <w:tc>
          <w:tcPr>
            <w:tcW w:w="20" w:type="dxa"/>
            <w:vAlign w:val="bottom"/>
          </w:tcPr>
          <w:p>
            <w:pPr>
              <w:spacing w:after="0"/>
              <w:rPr>
                <w:sz w:val="17"/>
                <w:szCs w:val="17"/>
                <w:color w:val="auto"/>
              </w:rPr>
            </w:pPr>
          </w:p>
        </w:tc>
        <w:tc>
          <w:tcPr>
            <w:tcW w:w="2380" w:type="dxa"/>
            <w:vAlign w:val="bottom"/>
          </w:tcPr>
          <w:p>
            <w:pPr>
              <w:spacing w:after="0"/>
              <w:rPr>
                <w:sz w:val="20"/>
                <w:szCs w:val="20"/>
                <w:color w:val="auto"/>
              </w:rPr>
            </w:pPr>
            <w:r>
              <w:rPr>
                <w:rFonts w:ascii="Arial" w:cs="Arial" w:eastAsia="Arial" w:hAnsi="Arial"/>
                <w:sz w:val="14"/>
                <w:szCs w:val="14"/>
                <w:b w:val="1"/>
                <w:bCs w:val="1"/>
                <w:color w:val="auto"/>
              </w:rPr>
              <w:t>Non-Employee Directors</w:t>
            </w:r>
          </w:p>
        </w:tc>
        <w:tc>
          <w:tcPr>
            <w:tcW w:w="96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Toshikazu Ban</w:t>
            </w:r>
          </w:p>
        </w:tc>
        <w:tc>
          <w:tcPr>
            <w:tcW w:w="960" w:type="dxa"/>
            <w:vAlign w:val="bottom"/>
            <w:tcBorders>
              <w:bottom w:val="single" w:sz="8" w:color="CCEEFF"/>
            </w:tcBorders>
            <w:shd w:val="clear" w:color="auto" w:fill="CCEEFF"/>
          </w:tcPr>
          <w:p>
            <w:pPr>
              <w:jc w:val="center"/>
              <w:ind w:left="489"/>
              <w:spacing w:after="0"/>
              <w:rPr>
                <w:sz w:val="20"/>
                <w:szCs w:val="20"/>
                <w:color w:val="auto"/>
              </w:rPr>
            </w:pPr>
            <w:r>
              <w:rPr>
                <w:rFonts w:ascii="Arial" w:cs="Arial" w:eastAsia="Arial" w:hAnsi="Arial"/>
                <w:sz w:val="14"/>
                <w:szCs w:val="14"/>
                <w:color w:val="auto"/>
              </w:rPr>
              <w:t>59</w:t>
            </w:r>
          </w:p>
        </w:tc>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Director</w:t>
            </w:r>
          </w:p>
        </w:tc>
      </w:tr>
      <w:tr>
        <w:trPr>
          <w:trHeight w:val="182"/>
        </w:trPr>
        <w:tc>
          <w:tcPr>
            <w:tcW w:w="2400" w:type="dxa"/>
            <w:vAlign w:val="bottom"/>
            <w:gridSpan w:val="2"/>
          </w:tcPr>
          <w:p>
            <w:pPr>
              <w:spacing w:after="0"/>
              <w:rPr>
                <w:sz w:val="20"/>
                <w:szCs w:val="20"/>
                <w:color w:val="auto"/>
              </w:rPr>
            </w:pPr>
            <w:r>
              <w:rPr>
                <w:rFonts w:ascii="Arial" w:cs="Arial" w:eastAsia="Arial" w:hAnsi="Arial"/>
                <w:sz w:val="14"/>
                <w:szCs w:val="14"/>
                <w:color w:val="auto"/>
              </w:rPr>
              <w:t>Cynthia Butitta</w:t>
            </w:r>
          </w:p>
        </w:tc>
        <w:tc>
          <w:tcPr>
            <w:tcW w:w="960" w:type="dxa"/>
            <w:vAlign w:val="bottom"/>
          </w:tcPr>
          <w:p>
            <w:pPr>
              <w:jc w:val="center"/>
              <w:ind w:left="489"/>
              <w:spacing w:after="0"/>
              <w:rPr>
                <w:sz w:val="20"/>
                <w:szCs w:val="20"/>
                <w:color w:val="auto"/>
              </w:rPr>
            </w:pPr>
            <w:r>
              <w:rPr>
                <w:rFonts w:ascii="Arial" w:cs="Arial" w:eastAsia="Arial" w:hAnsi="Arial"/>
                <w:sz w:val="14"/>
                <w:szCs w:val="14"/>
                <w:color w:val="auto"/>
              </w:rPr>
              <w:t>66</w:t>
            </w: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r>
      <w:tr>
        <w:trPr>
          <w:trHeight w:val="23"/>
        </w:trPr>
        <w:tc>
          <w:tcPr>
            <w:tcW w:w="24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Eli Casdin</w:t>
            </w:r>
          </w:p>
        </w:tc>
        <w:tc>
          <w:tcPr>
            <w:tcW w:w="960" w:type="dxa"/>
            <w:vAlign w:val="bottom"/>
            <w:tcBorders>
              <w:bottom w:val="single" w:sz="8" w:color="CCEEFF"/>
            </w:tcBorders>
            <w:shd w:val="clear" w:color="auto" w:fill="CCEEFF"/>
          </w:tcPr>
          <w:p>
            <w:pPr>
              <w:jc w:val="center"/>
              <w:ind w:left="489"/>
              <w:spacing w:after="0"/>
              <w:rPr>
                <w:sz w:val="20"/>
                <w:szCs w:val="20"/>
                <w:color w:val="auto"/>
              </w:rPr>
            </w:pPr>
            <w:r>
              <w:rPr>
                <w:rFonts w:ascii="Arial" w:cs="Arial" w:eastAsia="Arial" w:hAnsi="Arial"/>
                <w:sz w:val="14"/>
                <w:szCs w:val="14"/>
                <w:color w:val="auto"/>
              </w:rPr>
              <w:t>48</w:t>
            </w:r>
          </w:p>
        </w:tc>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Director</w:t>
            </w:r>
          </w:p>
        </w:tc>
      </w:tr>
      <w:tr>
        <w:trPr>
          <w:trHeight w:val="182"/>
        </w:trPr>
        <w:tc>
          <w:tcPr>
            <w:tcW w:w="2400" w:type="dxa"/>
            <w:vAlign w:val="bottom"/>
            <w:gridSpan w:val="2"/>
          </w:tcPr>
          <w:p>
            <w:pPr>
              <w:spacing w:after="0"/>
              <w:rPr>
                <w:sz w:val="20"/>
                <w:szCs w:val="20"/>
                <w:color w:val="auto"/>
              </w:rPr>
            </w:pPr>
            <w:r>
              <w:rPr>
                <w:rFonts w:ascii="Arial" w:cs="Arial" w:eastAsia="Arial" w:hAnsi="Arial"/>
                <w:sz w:val="14"/>
                <w:szCs w:val="14"/>
                <w:color w:val="auto"/>
              </w:rPr>
              <w:t>Juergen Eckhardt, M.D.</w:t>
            </w:r>
          </w:p>
        </w:tc>
        <w:tc>
          <w:tcPr>
            <w:tcW w:w="960" w:type="dxa"/>
            <w:vAlign w:val="bottom"/>
          </w:tcPr>
          <w:p>
            <w:pPr>
              <w:jc w:val="center"/>
              <w:ind w:left="489"/>
              <w:spacing w:after="0"/>
              <w:rPr>
                <w:sz w:val="20"/>
                <w:szCs w:val="20"/>
                <w:color w:val="auto"/>
              </w:rPr>
            </w:pPr>
            <w:r>
              <w:rPr>
                <w:rFonts w:ascii="Arial" w:cs="Arial" w:eastAsia="Arial" w:hAnsi="Arial"/>
                <w:sz w:val="14"/>
                <w:szCs w:val="14"/>
                <w:color w:val="auto"/>
              </w:rPr>
              <w:t>54</w:t>
            </w: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r>
      <w:tr>
        <w:trPr>
          <w:trHeight w:val="23"/>
        </w:trPr>
        <w:tc>
          <w:tcPr>
            <w:tcW w:w="24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Joseph Jimenez</w:t>
            </w:r>
          </w:p>
        </w:tc>
        <w:tc>
          <w:tcPr>
            <w:tcW w:w="960" w:type="dxa"/>
            <w:vAlign w:val="bottom"/>
            <w:tcBorders>
              <w:bottom w:val="single" w:sz="8" w:color="CCEEFF"/>
            </w:tcBorders>
            <w:shd w:val="clear" w:color="auto" w:fill="CCEEFF"/>
          </w:tcPr>
          <w:p>
            <w:pPr>
              <w:jc w:val="center"/>
              <w:ind w:left="489"/>
              <w:spacing w:after="0"/>
              <w:rPr>
                <w:sz w:val="20"/>
                <w:szCs w:val="20"/>
                <w:color w:val="auto"/>
              </w:rPr>
            </w:pPr>
            <w:r>
              <w:rPr>
                <w:rFonts w:ascii="Arial" w:cs="Arial" w:eastAsia="Arial" w:hAnsi="Arial"/>
                <w:sz w:val="14"/>
                <w:szCs w:val="14"/>
                <w:color w:val="auto"/>
              </w:rPr>
              <w:t>61</w:t>
            </w:r>
          </w:p>
        </w:tc>
        <w:tc>
          <w:tcPr>
            <w:tcW w:w="3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Director, Chairman of the Board</w:t>
            </w:r>
          </w:p>
        </w:tc>
      </w:tr>
      <w:tr>
        <w:trPr>
          <w:trHeight w:val="182"/>
        </w:trPr>
        <w:tc>
          <w:tcPr>
            <w:tcW w:w="2400" w:type="dxa"/>
            <w:vAlign w:val="bottom"/>
            <w:gridSpan w:val="2"/>
          </w:tcPr>
          <w:p>
            <w:pPr>
              <w:spacing w:after="0"/>
              <w:rPr>
                <w:sz w:val="20"/>
                <w:szCs w:val="20"/>
                <w:color w:val="auto"/>
              </w:rPr>
            </w:pPr>
            <w:r>
              <w:rPr>
                <w:rFonts w:ascii="Arial" w:cs="Arial" w:eastAsia="Arial" w:hAnsi="Arial"/>
                <w:sz w:val="14"/>
                <w:szCs w:val="14"/>
                <w:color w:val="auto"/>
              </w:rPr>
              <w:t>Carlo Rizzuto, Ph.D.</w:t>
            </w:r>
          </w:p>
        </w:tc>
        <w:tc>
          <w:tcPr>
            <w:tcW w:w="960" w:type="dxa"/>
            <w:vAlign w:val="bottom"/>
          </w:tcPr>
          <w:p>
            <w:pPr>
              <w:jc w:val="center"/>
              <w:ind w:left="489"/>
              <w:spacing w:after="0"/>
              <w:rPr>
                <w:sz w:val="20"/>
                <w:szCs w:val="20"/>
                <w:color w:val="auto"/>
              </w:rPr>
            </w:pPr>
            <w:r>
              <w:rPr>
                <w:rFonts w:ascii="Arial" w:cs="Arial" w:eastAsia="Arial" w:hAnsi="Arial"/>
                <w:sz w:val="14"/>
                <w:szCs w:val="14"/>
                <w:color w:val="auto"/>
              </w:rPr>
              <w:t>50</w:t>
            </w:r>
          </w:p>
        </w:tc>
        <w:tc>
          <w:tcPr>
            <w:tcW w:w="3200" w:type="dxa"/>
            <w:vAlign w:val="bottom"/>
          </w:tcPr>
          <w:p>
            <w:pPr>
              <w:ind w:left="60"/>
              <w:spacing w:after="0"/>
              <w:rPr>
                <w:sz w:val="20"/>
                <w:szCs w:val="20"/>
                <w:color w:val="auto"/>
              </w:rPr>
            </w:pPr>
            <w:r>
              <w:rPr>
                <w:rFonts w:ascii="Arial" w:cs="Arial" w:eastAsia="Arial" w:hAnsi="Arial"/>
                <w:sz w:val="14"/>
                <w:szCs w:val="14"/>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21590</wp:posOffset>
            </wp:positionV>
            <wp:extent cx="416560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165600" cy="6985"/>
                    </a:xfrm>
                    <a:prstGeom prst="rect">
                      <a:avLst/>
                    </a:prstGeom>
                    <a:noFill/>
                  </pic:spPr>
                </pic:pic>
              </a:graphicData>
            </a:graphic>
          </wp:anchor>
        </w:drawing>
      </w:r>
    </w:p>
    <w:p>
      <w:pPr>
        <w:spacing w:after="0" w:line="67" w:lineRule="exact"/>
        <w:rPr>
          <w:sz w:val="20"/>
          <w:szCs w:val="20"/>
          <w:color w:val="auto"/>
        </w:rPr>
      </w:pPr>
    </w:p>
    <w:p>
      <w:pPr>
        <w:ind w:left="1460" w:hanging="236"/>
        <w:spacing w:after="0"/>
        <w:tabs>
          <w:tab w:leader="none" w:pos="1460" w:val="left"/>
        </w:tabs>
        <w:numPr>
          <w:ilvl w:val="0"/>
          <w:numId w:val="85"/>
        </w:numPr>
        <w:rPr>
          <w:rFonts w:ascii="Arial" w:cs="Arial" w:eastAsia="Arial" w:hAnsi="Arial"/>
          <w:sz w:val="11"/>
          <w:szCs w:val="11"/>
          <w:color w:val="auto"/>
        </w:rPr>
      </w:pPr>
      <w:r>
        <w:rPr>
          <w:rFonts w:ascii="Arial" w:cs="Arial" w:eastAsia="Arial" w:hAnsi="Arial"/>
          <w:sz w:val="11"/>
          <w:szCs w:val="11"/>
          <w:color w:val="auto"/>
        </w:rPr>
        <w:t>Member of our audit committee.</w:t>
      </w:r>
    </w:p>
    <w:p>
      <w:pPr>
        <w:spacing w:after="0" w:line="67" w:lineRule="exact"/>
        <w:rPr>
          <w:rFonts w:ascii="Arial" w:cs="Arial" w:eastAsia="Arial" w:hAnsi="Arial"/>
          <w:sz w:val="11"/>
          <w:szCs w:val="11"/>
          <w:color w:val="auto"/>
        </w:rPr>
      </w:pPr>
    </w:p>
    <w:p>
      <w:pPr>
        <w:ind w:left="1460" w:hanging="236"/>
        <w:spacing w:after="0"/>
        <w:tabs>
          <w:tab w:leader="none" w:pos="1460" w:val="left"/>
        </w:tabs>
        <w:numPr>
          <w:ilvl w:val="0"/>
          <w:numId w:val="85"/>
        </w:numPr>
        <w:rPr>
          <w:rFonts w:ascii="Arial" w:cs="Arial" w:eastAsia="Arial" w:hAnsi="Arial"/>
          <w:sz w:val="11"/>
          <w:szCs w:val="11"/>
          <w:color w:val="auto"/>
        </w:rPr>
      </w:pPr>
      <w:r>
        <w:rPr>
          <w:rFonts w:ascii="Arial" w:cs="Arial" w:eastAsia="Arial" w:hAnsi="Arial"/>
          <w:sz w:val="11"/>
          <w:szCs w:val="11"/>
          <w:color w:val="auto"/>
        </w:rPr>
        <w:t>Member of our compensation committee.</w:t>
      </w:r>
    </w:p>
    <w:p>
      <w:pPr>
        <w:spacing w:after="0" w:line="56" w:lineRule="exact"/>
        <w:rPr>
          <w:rFonts w:ascii="Arial" w:cs="Arial" w:eastAsia="Arial" w:hAnsi="Arial"/>
          <w:sz w:val="11"/>
          <w:szCs w:val="11"/>
          <w:color w:val="auto"/>
        </w:rPr>
      </w:pPr>
    </w:p>
    <w:p>
      <w:pPr>
        <w:ind w:left="1460" w:hanging="236"/>
        <w:spacing w:after="0"/>
        <w:tabs>
          <w:tab w:leader="none" w:pos="1460" w:val="left"/>
        </w:tabs>
        <w:numPr>
          <w:ilvl w:val="0"/>
          <w:numId w:val="85"/>
        </w:numPr>
        <w:rPr>
          <w:rFonts w:ascii="Arial" w:cs="Arial" w:eastAsia="Arial" w:hAnsi="Arial"/>
          <w:sz w:val="11"/>
          <w:szCs w:val="11"/>
          <w:color w:val="auto"/>
        </w:rPr>
      </w:pPr>
      <w:r>
        <w:rPr>
          <w:rFonts w:ascii="Arial" w:cs="Arial" w:eastAsia="Arial" w:hAnsi="Arial"/>
          <w:sz w:val="11"/>
          <w:szCs w:val="11"/>
          <w:color w:val="auto"/>
        </w:rPr>
        <w:t>Member of our nominating and corporate governance committee.</w:t>
      </w:r>
    </w:p>
    <w:p>
      <w:pPr>
        <w:spacing w:after="0" w:line="14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Executive officers</w:t>
      </w:r>
    </w:p>
    <w:p>
      <w:pPr>
        <w:spacing w:after="0" w:line="117" w:lineRule="exact"/>
        <w:rPr>
          <w:sz w:val="20"/>
          <w:szCs w:val="20"/>
          <w:color w:val="auto"/>
        </w:rPr>
      </w:pPr>
    </w:p>
    <w:p>
      <w:pPr>
        <w:ind w:left="1220" w:right="1379"/>
        <w:spacing w:after="0" w:line="260" w:lineRule="auto"/>
        <w:rPr>
          <w:sz w:val="20"/>
          <w:szCs w:val="20"/>
          <w:color w:val="auto"/>
        </w:rPr>
      </w:pPr>
      <w:r>
        <w:rPr>
          <w:rFonts w:ascii="Arial" w:cs="Arial" w:eastAsia="Arial" w:hAnsi="Arial"/>
          <w:sz w:val="14"/>
          <w:szCs w:val="14"/>
          <w:b w:val="1"/>
          <w:bCs w:val="1"/>
          <w:i w:val="1"/>
          <w:iCs w:val="1"/>
          <w:color w:val="auto"/>
        </w:rPr>
        <w:t xml:space="preserve">Osvaldo Flores, Ph.D. </w:t>
      </w:r>
      <w:r>
        <w:rPr>
          <w:rFonts w:ascii="Arial" w:cs="Arial" w:eastAsia="Arial" w:hAnsi="Arial"/>
          <w:sz w:val="14"/>
          <w:szCs w:val="14"/>
          <w:color w:val="auto"/>
        </w:rPr>
        <w:t>has served as a member of our board of directors since the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Reorganization in February 2021, and previously served as a member of the board of managers of Century Therapeutics, LLC from June 2019 until the 2021 Reorganization in February 2021. Dr. Flores previously served as a member of the board of directors of Prior Century from September 2018 until the 2021 Reorganization in February 2021. Dr. Flores has served as our President and Chief Executive Officer since June 2019 and the President and Chief Executive Officer of Prior Century from September 10, 2018 until the 2021 Reorganization in</w:t>
      </w:r>
    </w:p>
    <w:p>
      <w:pPr>
        <w:spacing w:after="0" w:line="4"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February 2021. Dr. Flores was previously Vice President of R&amp;D from December 2015 until December 2017, and Entrepreneur-in-Residence from January 2018 until August 2018 with Janssen, a Johnson &amp; Johnson company. He founded and served as President and Chief Scientific Officer of Novira Therapeutics from January 2009 to December 2015. Prior to Novira, Dr. Flores was a department head at Merck &amp; Co., where he led drug discovery and development programs across diverse therapeutic areas including antiviral, oncology, and metabolic, from 1999 to 2008. Dr. Flores began his R&amp;D career at Tularik Inc., establishing key elements of the antiviral drug discovery platform. Dr. Flores received his Ph.D. in Biochemistry and Molecular Biology from Rutgers University and was a postdoctoral Fellow at the Salk Institute.</w:t>
      </w:r>
    </w:p>
    <w:p>
      <w:pPr>
        <w:spacing w:after="0" w:line="98" w:lineRule="exact"/>
        <w:rPr>
          <w:sz w:val="20"/>
          <w:szCs w:val="20"/>
          <w:color w:val="auto"/>
        </w:rPr>
      </w:pPr>
    </w:p>
    <w:p>
      <w:pPr>
        <w:ind w:left="1220" w:right="1419"/>
        <w:spacing w:after="0" w:line="265" w:lineRule="auto"/>
        <w:rPr>
          <w:sz w:val="20"/>
          <w:szCs w:val="20"/>
          <w:color w:val="auto"/>
        </w:rPr>
      </w:pPr>
      <w:r>
        <w:rPr>
          <w:rFonts w:ascii="Arial" w:cs="Arial" w:eastAsia="Arial" w:hAnsi="Arial"/>
          <w:sz w:val="14"/>
          <w:szCs w:val="14"/>
          <w:color w:val="auto"/>
        </w:rPr>
        <w:t>We believe that Dr. Flores is qualified to serve on our board of directors due to the valuable experience he brings in his capacity as our President and Chief Officer along with his extensive experience and knowledge of our industry.</w:t>
      </w:r>
    </w:p>
    <w:p>
      <w:pPr>
        <w:spacing w:after="0" w:line="87" w:lineRule="exact"/>
        <w:rPr>
          <w:sz w:val="20"/>
          <w:szCs w:val="20"/>
          <w:color w:val="auto"/>
        </w:rPr>
      </w:pPr>
    </w:p>
    <w:p>
      <w:pPr>
        <w:ind w:left="1220" w:right="1299"/>
        <w:spacing w:after="0" w:line="262" w:lineRule="auto"/>
        <w:rPr>
          <w:sz w:val="20"/>
          <w:szCs w:val="20"/>
          <w:color w:val="auto"/>
        </w:rPr>
      </w:pPr>
      <w:r>
        <w:rPr>
          <w:rFonts w:ascii="Arial" w:cs="Arial" w:eastAsia="Arial" w:hAnsi="Arial"/>
          <w:sz w:val="14"/>
          <w:szCs w:val="14"/>
          <w:b w:val="1"/>
          <w:bCs w:val="1"/>
          <w:i w:val="1"/>
          <w:iCs w:val="1"/>
          <w:color w:val="auto"/>
        </w:rPr>
        <w:t xml:space="preserve">Luis Borges, Ph.D. </w:t>
      </w:r>
      <w:r>
        <w:rPr>
          <w:rFonts w:ascii="Arial" w:cs="Arial" w:eastAsia="Arial" w:hAnsi="Arial"/>
          <w:sz w:val="14"/>
          <w:szCs w:val="14"/>
          <w:color w:val="auto"/>
        </w:rPr>
        <w:t>has served as our Chief Scientific Officer since April 2019. Dr. Borges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previously served as Chief Scientific Officer of Cell Medica, a pharmaceutical company specializing in cellular immunotherapy, from August 2017 until March 2019. Prior to this, Dr. Borges served as Senior Vice President of Research from September 2016 until July 2017, and Vice President of Immuno-Oncology Research from July 2015 until September 2016 at Five Prime Therapeutics, Inc., a publicly-traded biotechnology company. Dr. Borges also served as Executive Director and Senior Director at Five Prime Therapeutics, Inc. from February 2015 until June 2015 and May 2014 until January 2015, respectively. Dr. Borges served in several positions at Amgen Inc., a publicly-traded</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4" w:name="page165"/>
    <w:bookmarkEnd w:id="16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biotechnology company from 2002 until 2014, most recently serving as Scientific Director from November 2011 until April 2014. Prior to this, Dr. Borges served at Immunex Corp., a publicly-traded biotechnology company, as a Postdoctoral Scientist from September 1996 until September 1999, and as a Staff Scientist from September 1999 until July 2002 when Amgen Inc. acquired Immunex Corp. Dr. Borges holds a Bachelor of Science in marine biology from the University of Lisbon and a Ph.D. in pathology from the University of Washington School of Medicine.</w:t>
      </w:r>
    </w:p>
    <w:p>
      <w:pPr>
        <w:spacing w:after="0" w:line="81" w:lineRule="exact"/>
        <w:rPr>
          <w:sz w:val="20"/>
          <w:szCs w:val="20"/>
          <w:color w:val="auto"/>
        </w:rPr>
      </w:pPr>
    </w:p>
    <w:p>
      <w:pPr>
        <w:ind w:left="1220" w:right="1499"/>
        <w:spacing w:after="0" w:line="265" w:lineRule="auto"/>
        <w:rPr>
          <w:sz w:val="20"/>
          <w:szCs w:val="20"/>
          <w:color w:val="auto"/>
        </w:rPr>
      </w:pPr>
      <w:r>
        <w:rPr>
          <w:rFonts w:ascii="Arial" w:cs="Arial" w:eastAsia="Arial" w:hAnsi="Arial"/>
          <w:sz w:val="14"/>
          <w:szCs w:val="14"/>
          <w:b w:val="1"/>
          <w:bCs w:val="1"/>
          <w:i w:val="1"/>
          <w:iCs w:val="1"/>
          <w:color w:val="auto"/>
        </w:rPr>
        <w:t xml:space="preserve">Michael Diem, M.D. </w:t>
      </w:r>
      <w:r>
        <w:rPr>
          <w:rFonts w:ascii="Arial" w:cs="Arial" w:eastAsia="Arial" w:hAnsi="Arial"/>
          <w:sz w:val="14"/>
          <w:szCs w:val="14"/>
          <w:color w:val="auto"/>
        </w:rPr>
        <w:t>has served as our Chief Business Officer since September 2020. Prior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joining us, Dr. Diem was Senior Vice President of Business and Corporate Development at Amicus Therapeutics, a global biotechnology company, from September 2017 to</w:t>
      </w:r>
    </w:p>
    <w:p>
      <w:pPr>
        <w:spacing w:after="0" w:line="1" w:lineRule="exact"/>
        <w:rPr>
          <w:sz w:val="20"/>
          <w:szCs w:val="20"/>
          <w:color w:val="auto"/>
        </w:rPr>
      </w:pPr>
    </w:p>
    <w:p>
      <w:pPr>
        <w:ind w:left="1220" w:right="1259"/>
        <w:spacing w:after="0" w:line="257" w:lineRule="auto"/>
        <w:rPr>
          <w:sz w:val="20"/>
          <w:szCs w:val="20"/>
          <w:color w:val="auto"/>
        </w:rPr>
      </w:pPr>
      <w:r>
        <w:rPr>
          <w:rFonts w:ascii="Arial" w:cs="Arial" w:eastAsia="Arial" w:hAnsi="Arial"/>
          <w:sz w:val="14"/>
          <w:szCs w:val="14"/>
          <w:color w:val="auto"/>
        </w:rPr>
        <w:t>September 2020, and prior to that, he served as Senior Vice President, Business and Corporate Development at Aevi Genomic Medicine, a biopharmaceutical company, from May 2016 to September 2017. From October 2013 to April 2016, Dr. Diem was the Global Head of Corporate Strategy and Corporate Development at AstraZeneca, a global biopharmaceutical company, where he was responsible for mergers and acquisitions, divestitures, and managed the company’s strategic investment activities and MedImmune Ventures. Dr. Diem currently serves as an advisor to an investment fund of UPMC Enterprises, and has held this role since</w:t>
      </w:r>
    </w:p>
    <w:p>
      <w:pPr>
        <w:spacing w:after="0" w:line="2" w:lineRule="exact"/>
        <w:rPr>
          <w:sz w:val="20"/>
          <w:szCs w:val="20"/>
          <w:color w:val="auto"/>
        </w:rPr>
      </w:pPr>
    </w:p>
    <w:p>
      <w:pPr>
        <w:ind w:left="1220" w:right="1379"/>
        <w:spacing w:after="0" w:line="261" w:lineRule="auto"/>
        <w:rPr>
          <w:sz w:val="20"/>
          <w:szCs w:val="20"/>
          <w:color w:val="auto"/>
        </w:rPr>
      </w:pPr>
      <w:r>
        <w:rPr>
          <w:rFonts w:ascii="Arial" w:cs="Arial" w:eastAsia="Arial" w:hAnsi="Arial"/>
          <w:sz w:val="14"/>
          <w:szCs w:val="14"/>
          <w:color w:val="auto"/>
        </w:rPr>
        <w:t>December 2020. Additionally, he serves on the board of directors of Venatorx Pharmaceuticals and the Boys and Girls Clubs of Philadelphia. Dr. Diem holds a B.A. in biological sciences from Rutgers University, an M.D. from the Rutgers-Robert Wood Johnson Medical School, and an M.B.A. from Case Western Reserve University. Dr. Diem completed his medical training at Duke University and is a Kauffman Fellow.</w:t>
      </w:r>
    </w:p>
    <w:p>
      <w:pPr>
        <w:spacing w:after="0" w:line="90"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b w:val="1"/>
          <w:bCs w:val="1"/>
          <w:i w:val="1"/>
          <w:iCs w:val="1"/>
          <w:color w:val="auto"/>
        </w:rPr>
        <w:t xml:space="preserve">Adrienne Farid, Ph.D. </w:t>
      </w:r>
      <w:r>
        <w:rPr>
          <w:rFonts w:ascii="Arial" w:cs="Arial" w:eastAsia="Arial" w:hAnsi="Arial"/>
          <w:sz w:val="14"/>
          <w:szCs w:val="14"/>
          <w:color w:val="auto"/>
        </w:rPr>
        <w:t>has served as our Chief Operations Officer since April 2021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previously served as Chief Development Officer from March 2019 until April 2021. Prior to joining us, Dr. Farid was Corporate Vice President Project Leadership and Business Operations in Research &amp; Early Development from July 2017 to February 2019, and Vice President of Project Leadership, Research &amp; Early Development from July 2014 until July 2017 with Celgene Corporation, a Bristol Myers Squibb global biopharmaceutical company; and held prior positions with Celgene Corporation from 2011. Dr. Farid held positions of Global Head, Project and Portfolio Management in Research &amp; Early Development, or pRED, and in Clinical Research and Exploratory Development and Pharmaceutical and Analytical R&amp;D, at Roche Pharmaceuticals from 1995 to 2011. Dr. Farid also worked as a Senior Investigator at GlaxoSmithKline from 1990 until 1994. Dr. Farid completed her postdoctoral fellowship at the California Institute of Technology. Dr. Farid received a B.A. in biochemistry from Barnard College. She holds a Ph.D. in Chemistry from Columbia University.</w:t>
      </w:r>
    </w:p>
    <w:p>
      <w:pPr>
        <w:spacing w:after="0" w:line="281" w:lineRule="exact"/>
        <w:rPr>
          <w:sz w:val="20"/>
          <w:szCs w:val="20"/>
          <w:color w:val="auto"/>
        </w:rPr>
      </w:pPr>
    </w:p>
    <w:p>
      <w:pPr>
        <w:jc w:val="both"/>
        <w:ind w:left="1220" w:right="1259"/>
        <w:spacing w:after="0" w:line="281" w:lineRule="auto"/>
        <w:rPr>
          <w:sz w:val="20"/>
          <w:szCs w:val="20"/>
          <w:color w:val="auto"/>
        </w:rPr>
      </w:pPr>
      <w:r>
        <w:rPr>
          <w:rFonts w:ascii="Arial" w:cs="Arial" w:eastAsia="Arial" w:hAnsi="Arial"/>
          <w:sz w:val="14"/>
          <w:szCs w:val="14"/>
          <w:b w:val="1"/>
          <w:bCs w:val="1"/>
          <w:i w:val="1"/>
          <w:iCs w:val="1"/>
          <w:color w:val="auto"/>
        </w:rPr>
        <w:t xml:space="preserve">Hyam Levitsky, M.D. </w:t>
      </w:r>
      <w:r>
        <w:rPr>
          <w:rFonts w:ascii="Arial" w:cs="Arial" w:eastAsia="Arial" w:hAnsi="Arial"/>
          <w:sz w:val="14"/>
          <w:szCs w:val="14"/>
          <w:color w:val="auto"/>
        </w:rPr>
        <w:t>has served as our President, Research and Development since May 2019.</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Dr. Levitsky served as Executive Vice President and Chief Scientific Officer at Juno Therapeutics, Inc. from 2015 to 2018 and was Head of Cancer Immunotherapy Experimental Medicine at F.</w:t>
      </w:r>
    </w:p>
    <w:p>
      <w:pPr>
        <w:spacing w:after="0" w:line="1"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Hoffmann-La Roche &amp; Co. from 2011 to 2015. Previously, Dr. Levitsky was Professor of Oncology, Medicine, and Urology at The Johns Hopkins University School of Medicine and the Sidney Kimmel Comprehensive Cancer Center where he began as an Assistant Professor of Oncology in 1991 and rose to Professor in 2002. At The Johns Hopkins University, Dr. Levitsky served as Scientific Director of the George Santos Bone Marrow Transplant Program from 2005 to 2011. He served on the External Scientific Advisory Board of the Pasteur Institute’s Center for Human Immunology from 2008 to 2010. Dr. Levitsky holds a number of honors including being named a Stohlman Scholar by the Leukemia and Lymphoma Society in 2002, and was elected as a member of the American Society for Clinical Investigation in 2002. Dr. Levitsky has served on the board of directors of Replimune Therapeutics, Inc. since May 2018. Dr. Levitsky received a B.S. from the University of Pennsylvania School of Engineering and Applied Science and an M.D. from The Johns Hopkins University School of Medicine.</w:t>
      </w:r>
    </w:p>
    <w:p>
      <w:pPr>
        <w:spacing w:after="0" w:line="264" w:lineRule="exact"/>
        <w:rPr>
          <w:sz w:val="20"/>
          <w:szCs w:val="20"/>
          <w:color w:val="auto"/>
        </w:rPr>
      </w:pPr>
    </w:p>
    <w:p>
      <w:pPr>
        <w:ind w:left="1220" w:right="1259"/>
        <w:spacing w:after="0" w:line="279" w:lineRule="auto"/>
        <w:rPr>
          <w:sz w:val="20"/>
          <w:szCs w:val="20"/>
          <w:color w:val="auto"/>
        </w:rPr>
      </w:pPr>
      <w:r>
        <w:rPr>
          <w:rFonts w:ascii="Arial" w:cs="Arial" w:eastAsia="Arial" w:hAnsi="Arial"/>
          <w:sz w:val="14"/>
          <w:szCs w:val="14"/>
          <w:b w:val="1"/>
          <w:bCs w:val="1"/>
          <w:i w:val="1"/>
          <w:iCs w:val="1"/>
          <w:color w:val="auto"/>
        </w:rPr>
        <w:t xml:space="preserve">Gregory Russotti, Ph.D. </w:t>
      </w:r>
      <w:r>
        <w:rPr>
          <w:rFonts w:ascii="Arial" w:cs="Arial" w:eastAsia="Arial" w:hAnsi="Arial"/>
          <w:sz w:val="14"/>
          <w:szCs w:val="14"/>
          <w:color w:val="auto"/>
        </w:rPr>
        <w:t>has served as our Chief Technology Officer since January 2020. Prior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joining us, Dr. Russotti held multiple positions at Celgene Corporation, a Bristol Myers Squibb company, from 2006 until 2009, including, Vice President of Cell Therapy Technical Development from January 2018 to November 2019, Vice President of Cell Therapy Development and Operations from October 2016 to December 2017, Vice President of Technical Operations of Celgene Cellular Therapeutics from May 2013 to October 2016, and Executive Director of Technical Operations of Celgene Cellular Therapeutics from June 2011 to May 2013. Prior to this, Dr. Russotti served as Senior Investigator at Merck &amp; Co., where he oversaw process development of vaccines and</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5" w:name="page166"/>
    <w:bookmarkEnd w:id="16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biologics from December 2004 to November 2006, and various positions of increasing responsibility dating back to 1991, when he began his career at Merck. Dr. Russotti holds a number of honors including the ECI and NIIMBL Cell Therapy Manufacturing Award for leadership in cell therapy process development, scale-up, and manufacturing in 2019 as well as receiving the Rutgers Engineering School Distinguished Alumnus Medal of Excellence in Education and Research in 2013 and the John W. Jackson Leadership Award in 2011, an award that was given to one leader at Celgene each year. Dr. Russotti holds both a B.S. and M.S. in chemical engineering from Rensselaer Polytechnic Institute. He received his Ph.D. in biochemical and chemical engineering from Rutgers University.</w:t>
      </w:r>
    </w:p>
    <w:p>
      <w:pPr>
        <w:spacing w:after="0" w:line="31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Non-employee directors</w:t>
      </w:r>
    </w:p>
    <w:p>
      <w:pPr>
        <w:spacing w:after="0" w:line="106"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b w:val="1"/>
          <w:bCs w:val="1"/>
          <w:i w:val="1"/>
          <w:iCs w:val="1"/>
          <w:color w:val="auto"/>
        </w:rPr>
        <w:t xml:space="preserve">Toshikazu Ban </w:t>
      </w:r>
      <w:r>
        <w:rPr>
          <w:rFonts w:ascii="Arial" w:cs="Arial" w:eastAsia="Arial" w:hAnsi="Arial"/>
          <w:sz w:val="14"/>
          <w:szCs w:val="14"/>
          <w:color w:val="auto"/>
        </w:rPr>
        <w:t>has served as a member of our board of directors since the 2021 Reorganization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February 2021, and previously served as a member of the board of managers of Century Therapeutics, LLC from June 2019 until the 2021 Reorganization in February 2021. Mr. Ban served on the board of directors of Prior Century from October 2018 until the 2021 Reorganization in February 2021. He has served as Corporate Vice President and Senior Deputy General Manager of the pharmaceutical product division at FUJIFILM Corporation since</w:t>
      </w:r>
    </w:p>
    <w:p>
      <w:pPr>
        <w:spacing w:after="0" w:line="1" w:lineRule="exact"/>
        <w:rPr>
          <w:sz w:val="20"/>
          <w:szCs w:val="20"/>
          <w:color w:val="auto"/>
        </w:rPr>
      </w:pPr>
    </w:p>
    <w:p>
      <w:pPr>
        <w:ind w:left="1220" w:right="1439"/>
        <w:spacing w:after="0" w:line="257" w:lineRule="auto"/>
        <w:rPr>
          <w:sz w:val="20"/>
          <w:szCs w:val="20"/>
          <w:color w:val="auto"/>
        </w:rPr>
      </w:pPr>
      <w:r>
        <w:rPr>
          <w:rFonts w:ascii="Arial" w:cs="Arial" w:eastAsia="Arial" w:hAnsi="Arial"/>
          <w:sz w:val="14"/>
          <w:szCs w:val="14"/>
          <w:color w:val="auto"/>
        </w:rPr>
        <w:t>July 2018. Mr. Ban joined FUJIFILM Corporation in April 2013, a conglomerate operating in the photography, optics, biotechnology, and chemical industries, and served as Corporate Vice President and General Manager of regenerative medicine business product division from</w:t>
      </w:r>
    </w:p>
    <w:p>
      <w:pPr>
        <w:spacing w:after="0" w:line="1"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June 2016. Prior to joining FUJIFILM Corporation, Mr. Ban served at Takeda Pharmaceutical Co. Ltd. from April 1985 to March 2013 in various R&amp;D management and Business Development roles of gradually increasing responsibility, including Senior Vice President, Global head of Business Development from January 2008 to January 2012. Mr. Ban is currently a Board Member of FUJIFILM Toyama Chemical and FUJIFILM Kyowa Kirin Biologics, Ltd. He has been a Director of Perseus Proteomics Inc. since June 2017. Mr. Ban earned his B.S. in Pharmaceutical Science from The University of Tokyo and M.S. from the Graduate School of Medical Science of Kyoto University.</w:t>
      </w:r>
    </w:p>
    <w:p>
      <w:pPr>
        <w:spacing w:after="0" w:line="279" w:lineRule="exact"/>
        <w:rPr>
          <w:sz w:val="20"/>
          <w:szCs w:val="20"/>
          <w:color w:val="auto"/>
        </w:rPr>
      </w:pPr>
    </w:p>
    <w:p>
      <w:pPr>
        <w:ind w:left="1220" w:right="1759"/>
        <w:spacing w:after="0" w:line="274" w:lineRule="auto"/>
        <w:rPr>
          <w:sz w:val="20"/>
          <w:szCs w:val="20"/>
          <w:color w:val="auto"/>
        </w:rPr>
      </w:pPr>
      <w:r>
        <w:rPr>
          <w:rFonts w:ascii="Arial" w:cs="Arial" w:eastAsia="Arial" w:hAnsi="Arial"/>
          <w:sz w:val="14"/>
          <w:szCs w:val="14"/>
          <w:color w:val="auto"/>
        </w:rPr>
        <w:t>We believe that Mr. Ban is qualified to serve on our board of directors due to his extensive management experience and deep understanding of the biotechnology industry.</w:t>
      </w:r>
    </w:p>
    <w:p>
      <w:pPr>
        <w:spacing w:after="0" w:line="8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 xml:space="preserve">Cynthia Butitta </w:t>
      </w:r>
      <w:r>
        <w:rPr>
          <w:rFonts w:ascii="Arial" w:cs="Arial" w:eastAsia="Arial" w:hAnsi="Arial"/>
          <w:sz w:val="14"/>
          <w:szCs w:val="14"/>
          <w:color w:val="auto"/>
        </w:rPr>
        <w:t>has served as a member of our board of directors since February 2021.</w:t>
      </w:r>
    </w:p>
    <w:p>
      <w:pPr>
        <w:spacing w:after="0" w:line="28" w:lineRule="exact"/>
        <w:rPr>
          <w:sz w:val="20"/>
          <w:szCs w:val="20"/>
          <w:color w:val="auto"/>
        </w:rPr>
      </w:pPr>
    </w:p>
    <w:p>
      <w:pPr>
        <w:ind w:left="1220" w:right="1319"/>
        <w:spacing w:after="0" w:line="257" w:lineRule="auto"/>
        <w:rPr>
          <w:sz w:val="20"/>
          <w:szCs w:val="20"/>
          <w:color w:val="auto"/>
        </w:rPr>
      </w:pPr>
      <w:r>
        <w:rPr>
          <w:rFonts w:ascii="Arial" w:cs="Arial" w:eastAsia="Arial" w:hAnsi="Arial"/>
          <w:sz w:val="14"/>
          <w:szCs w:val="14"/>
          <w:color w:val="auto"/>
        </w:rPr>
        <w:t>Ms. Butitta has served as a member of the board of directors of Olema Pharmaceuticals, Autolus Therapeutics plc, and UroGen Pharma Ltd., publicly traded biopharmaceutical companies, since August 2020, March 2018 and October 2017, respectively. Ms. Butitta previously served as the Chief Operating Officer of Kite Pharma Inc., a biopharmaceutical company, from March 2014 to September 2017 and as its Executive Vice President and Chief Financial Officer from</w:t>
      </w:r>
    </w:p>
    <w:p>
      <w:pPr>
        <w:spacing w:after="0" w:line="1"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January 2014 to May 2016. From May 2011 to December 2012, Ms. Butitta was Senior Vice President and Chief Financial Officer at NextWave Pharmaceuticals, Inc., a specialty pharmaceutical company. Prior to that, Ms. Butitta served in senior leadership roles at Telik, Inc., a biopharmaceutical company, from 1998 to 2010, including Chief Operating Officer and Chief Financial Officer. Ms. Butitta received a B.S. with honors in business and accounting from Edgewood College in Madison, Wisconsin and an M.B.A. in finance from the University of Wisconsin, Madison.</w:t>
      </w:r>
    </w:p>
    <w:p>
      <w:pPr>
        <w:spacing w:after="0" w:line="270" w:lineRule="exact"/>
        <w:rPr>
          <w:sz w:val="20"/>
          <w:szCs w:val="20"/>
          <w:color w:val="auto"/>
        </w:rPr>
      </w:pPr>
    </w:p>
    <w:p>
      <w:pPr>
        <w:jc w:val="both"/>
        <w:ind w:left="1220" w:right="1519"/>
        <w:spacing w:after="0" w:line="265" w:lineRule="auto"/>
        <w:rPr>
          <w:sz w:val="20"/>
          <w:szCs w:val="20"/>
          <w:color w:val="auto"/>
        </w:rPr>
      </w:pPr>
      <w:r>
        <w:rPr>
          <w:rFonts w:ascii="Arial" w:cs="Arial" w:eastAsia="Arial" w:hAnsi="Arial"/>
          <w:sz w:val="14"/>
          <w:szCs w:val="14"/>
          <w:color w:val="auto"/>
        </w:rPr>
        <w:t>We believe that Ms. Butitta is qualified to serve on our board of directors due to her extensive experience as a public company director, her knowledge of corporate finance and accounting, and her experience as a biopharmaceutical company executive.</w:t>
      </w:r>
    </w:p>
    <w:p>
      <w:pPr>
        <w:spacing w:after="0" w:line="87" w:lineRule="exact"/>
        <w:rPr>
          <w:sz w:val="20"/>
          <w:szCs w:val="20"/>
          <w:color w:val="auto"/>
        </w:rPr>
      </w:pPr>
    </w:p>
    <w:p>
      <w:pPr>
        <w:ind w:left="1220" w:right="1239"/>
        <w:spacing w:after="0" w:line="261" w:lineRule="auto"/>
        <w:rPr>
          <w:sz w:val="20"/>
          <w:szCs w:val="20"/>
          <w:color w:val="auto"/>
        </w:rPr>
      </w:pPr>
      <w:r>
        <w:rPr>
          <w:rFonts w:ascii="Arial" w:cs="Arial" w:eastAsia="Arial" w:hAnsi="Arial"/>
          <w:sz w:val="14"/>
          <w:szCs w:val="14"/>
          <w:b w:val="1"/>
          <w:bCs w:val="1"/>
          <w:i w:val="1"/>
          <w:iCs w:val="1"/>
          <w:color w:val="auto"/>
        </w:rPr>
        <w:t xml:space="preserve">Eli Casdin </w:t>
      </w:r>
      <w:r>
        <w:rPr>
          <w:rFonts w:ascii="Arial" w:cs="Arial" w:eastAsia="Arial" w:hAnsi="Arial"/>
          <w:sz w:val="14"/>
          <w:szCs w:val="14"/>
          <w:color w:val="auto"/>
        </w:rPr>
        <w:t>has served as a member of our board of directors since February 2021. He founded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Casdin Capital, a venture capital firm specializing in life sciences, in 2011 and serves as Chief Investment Officer of Casdin Capital. Prior to founding Casdin Capital, Mr. Casdin was a Vice President and Analyst at Alliance Bernstein and a member of its “thematic” based investment group from 2007 until 2011. Mr. Casdin’s previously held positions at Bear Stearns, an investment bank and Cooper Hill Partners, a biotechnology-focused investment firm. Mr. Casdin has served on the board of directors of life-sciences-focused special purpose acquisition companies CM Life Sciences, Inc. and CM Life Sciences II, Inc., since September 2020 and February 2021, respectively. Mr. Casdin also serves on the board of directors of several other life science and biotechnology-focused entities, including, AbSci Corporation, C2i Genomics, Cedilla Therapeutics, DNA Script, Einstein Medical, EQRx, GeneMatters,</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6" w:name="page167"/>
    <w:bookmarkEnd w:id="16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439"/>
        <w:spacing w:after="0" w:line="261" w:lineRule="auto"/>
        <w:rPr>
          <w:sz w:val="20"/>
          <w:szCs w:val="20"/>
          <w:color w:val="auto"/>
        </w:rPr>
      </w:pPr>
      <w:r>
        <w:rPr>
          <w:rFonts w:ascii="Arial" w:cs="Arial" w:eastAsia="Arial" w:hAnsi="Arial"/>
          <w:sz w:val="14"/>
          <w:szCs w:val="14"/>
          <w:color w:val="auto"/>
        </w:rPr>
        <w:t>Genomatica, Insitro, Maze Therapeutics, Mnemo Therapeutics, PACT Pharma, Inc., New York Genome Center, Prominex Inc., Sexton Biotechnologies, SomaLogic, Tango Therapeutics, Tenaya Therapeutics, Verana Health, Inc., Verve Therapeutics, and Vineti, Inc. Mr. Casdin also serves on the Columbia University School of General Studies board of directors. Mr. Casdin earned his B.S. from Columbia University and an M.B.A. from Columbia Business School.</w:t>
      </w:r>
    </w:p>
    <w:p>
      <w:pPr>
        <w:spacing w:after="0" w:line="96" w:lineRule="exact"/>
        <w:rPr>
          <w:sz w:val="20"/>
          <w:szCs w:val="20"/>
          <w:color w:val="auto"/>
        </w:rPr>
      </w:pPr>
    </w:p>
    <w:p>
      <w:pPr>
        <w:ind w:left="1220" w:right="1299"/>
        <w:spacing w:after="0" w:line="265" w:lineRule="auto"/>
        <w:rPr>
          <w:sz w:val="20"/>
          <w:szCs w:val="20"/>
          <w:color w:val="auto"/>
        </w:rPr>
      </w:pPr>
      <w:r>
        <w:rPr>
          <w:rFonts w:ascii="Arial" w:cs="Arial" w:eastAsia="Arial" w:hAnsi="Arial"/>
          <w:sz w:val="14"/>
          <w:szCs w:val="14"/>
          <w:color w:val="auto"/>
        </w:rPr>
        <w:t>We believe that Mr. Casdin is qualified to serve on our board of directors due to his investment experience, knowledge of the biopharmaceutical industry, and extensive board experience on life sciences and biotechnology companies.</w:t>
      </w:r>
    </w:p>
    <w:p>
      <w:pPr>
        <w:spacing w:after="0" w:line="87"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b w:val="1"/>
          <w:bCs w:val="1"/>
          <w:i w:val="1"/>
          <w:iCs w:val="1"/>
          <w:color w:val="auto"/>
        </w:rPr>
        <w:t xml:space="preserve">Juergen Eckhardt </w:t>
      </w:r>
      <w:r>
        <w:rPr>
          <w:rFonts w:ascii="Arial" w:cs="Arial" w:eastAsia="Arial" w:hAnsi="Arial"/>
          <w:sz w:val="14"/>
          <w:szCs w:val="14"/>
          <w:color w:val="auto"/>
        </w:rPr>
        <w:t>has served as a member of our board of directors since the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Reorganization in February 2021, and previously served as a member of the board of managers of Century Therapeutics, LLC from September 2020 until the 2021 Reorganization in February 2021. Dr. Eckhardt served as Vice President, Head of Venture Investments at Bayer Consumer Care AG, or Bayer AG, a conglomerate operating in the field of pharmaceuticals, consumer health and agriculture, from September 2016 until February 2019 and has served as Senior Vice President, Head of Leaps by Bayer, the strategic venture capital unit of Bayer AG, since March 2019. Before joining Bayer AG in 2016, Dr. Eckhardt was head of the venture capital franchise at Bellevue Asset Management, an investment management firm, in Switzerland from November 2004 to August 2016. Previously, Dr. Eckhardt was a management consultant and Associate Partner with McKinsey &amp; Co. and a member of McKinsey’s Healthcare Leadership Team. Dr. Eckhardt currently serves as a member of the board of directors of Joyn Bio, Dewpoint, Khloris, Oerth Bio, Immunitas, eGenesis, and several other private companies. Dr. Eckhardt received his M.D. from the University of Basel and his M.B.A. from INSEAD in Fontainebleau, France.</w:t>
      </w:r>
    </w:p>
    <w:p>
      <w:pPr>
        <w:spacing w:after="0" w:line="200" w:lineRule="exact"/>
        <w:rPr>
          <w:sz w:val="20"/>
          <w:szCs w:val="20"/>
          <w:color w:val="auto"/>
        </w:rPr>
      </w:pPr>
    </w:p>
    <w:p>
      <w:pPr>
        <w:spacing w:after="0" w:line="257" w:lineRule="exact"/>
        <w:rPr>
          <w:sz w:val="20"/>
          <w:szCs w:val="20"/>
          <w:color w:val="auto"/>
        </w:rPr>
      </w:pPr>
    </w:p>
    <w:p>
      <w:pPr>
        <w:ind w:left="1220" w:right="1739"/>
        <w:spacing w:after="0" w:line="274" w:lineRule="auto"/>
        <w:rPr>
          <w:sz w:val="20"/>
          <w:szCs w:val="20"/>
          <w:color w:val="auto"/>
        </w:rPr>
      </w:pPr>
      <w:r>
        <w:rPr>
          <w:rFonts w:ascii="Arial" w:cs="Arial" w:eastAsia="Arial" w:hAnsi="Arial"/>
          <w:sz w:val="14"/>
          <w:szCs w:val="14"/>
          <w:color w:val="auto"/>
        </w:rPr>
        <w:t>We believe that Dr. Eckhardt is qualified to serve on our board of directors due to his deep knowledge of the biopharmaceutical industry and his diverse board experience.</w:t>
      </w:r>
    </w:p>
    <w:p>
      <w:pPr>
        <w:spacing w:after="0" w:line="70"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b w:val="1"/>
          <w:bCs w:val="1"/>
          <w:i w:val="1"/>
          <w:iCs w:val="1"/>
          <w:color w:val="auto"/>
        </w:rPr>
        <w:t xml:space="preserve">Joseph Jimenez </w:t>
      </w:r>
      <w:r>
        <w:rPr>
          <w:rFonts w:ascii="Arial" w:cs="Arial" w:eastAsia="Arial" w:hAnsi="Arial"/>
          <w:sz w:val="14"/>
          <w:szCs w:val="14"/>
          <w:color w:val="auto"/>
        </w:rPr>
        <w:t>has served as a member of our board of directors since the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Reorganization in February 2021, and previously served as a member of the board of managers of Century Therapeutics, LLC from August 2019 until the 2021 Reorganization in February 2021. Mr. Jimenez has served as chairman of our board of directors since February 2021. Mr. Jimenez is currently Co-Founder and Managing Director of Aditum Bio, a venture capital firm. He has held this position since July 2019. Mr. Jimenez served as CEO of Novartis AG, a pharmaceutical company, from 2010 until his retirement in 2018. He led Novartis’ Pharmaceuticals Division from October 2007 to 2010 and its Consumer Health Division in 2007. From 2006 to 2007, Mr. Jimenez served as Advisor to the Blackstone Group L.P. Mr. Jimenez was Executive Vice President, President and CEO of Heinz Europe from 2002 to 2006, and President and CEO of H.J. Heinz Company North America from 1999 to 2002. Mr. Jimenez is currently a member of the board of directors of General Motors Company, where he has served since 2015. Mr. Jimenez has also been a member of the board of The Proctor &amp; Gamble Company since March 2018 and Graphite Bio since June 2020. Additionally, Mr. Jimenez served on the board of directors of Colgate-Palmolive Company from 2009 to 2015, and of AstraZeneca PLC, from 2002 to 2007.</w:t>
      </w:r>
    </w:p>
    <w:p>
      <w:pPr>
        <w:spacing w:after="0" w:line="164" w:lineRule="exact"/>
        <w:rPr>
          <w:sz w:val="20"/>
          <w:szCs w:val="20"/>
          <w:color w:val="auto"/>
        </w:rPr>
      </w:pPr>
    </w:p>
    <w:p>
      <w:pPr>
        <w:ind w:left="1220" w:right="1659"/>
        <w:spacing w:after="0" w:line="274" w:lineRule="auto"/>
        <w:rPr>
          <w:sz w:val="20"/>
          <w:szCs w:val="20"/>
          <w:color w:val="auto"/>
        </w:rPr>
      </w:pPr>
      <w:r>
        <w:rPr>
          <w:rFonts w:ascii="Arial" w:cs="Arial" w:eastAsia="Arial" w:hAnsi="Arial"/>
          <w:sz w:val="14"/>
          <w:szCs w:val="14"/>
          <w:color w:val="auto"/>
        </w:rPr>
        <w:t>Mr. Jimenez received his B.A. in marketing from Stanford University and an M.B.A. from the University of California, Berkeley.</w:t>
      </w:r>
    </w:p>
    <w:p>
      <w:pPr>
        <w:spacing w:after="0" w:line="96" w:lineRule="exact"/>
        <w:rPr>
          <w:sz w:val="20"/>
          <w:szCs w:val="20"/>
          <w:color w:val="auto"/>
        </w:rPr>
      </w:pPr>
    </w:p>
    <w:p>
      <w:pPr>
        <w:ind w:left="1220" w:right="1479"/>
        <w:spacing w:after="0" w:line="265" w:lineRule="auto"/>
        <w:rPr>
          <w:sz w:val="20"/>
          <w:szCs w:val="20"/>
          <w:color w:val="auto"/>
        </w:rPr>
      </w:pPr>
      <w:r>
        <w:rPr>
          <w:rFonts w:ascii="Arial" w:cs="Arial" w:eastAsia="Arial" w:hAnsi="Arial"/>
          <w:sz w:val="14"/>
          <w:szCs w:val="14"/>
          <w:color w:val="auto"/>
        </w:rPr>
        <w:t>We believe that Mr. Jimenez is qualified to serve on our board of directors due to his years of experience as a senior executive in the pharmaceutical industry, his extensive public company directorship experience, and his deep insights into our industry.</w:t>
      </w:r>
    </w:p>
    <w:p>
      <w:pPr>
        <w:spacing w:after="0" w:line="87" w:lineRule="exact"/>
        <w:rPr>
          <w:sz w:val="20"/>
          <w:szCs w:val="20"/>
          <w:color w:val="auto"/>
        </w:rPr>
      </w:pPr>
    </w:p>
    <w:p>
      <w:pPr>
        <w:ind w:left="1220" w:right="1299"/>
        <w:spacing w:after="0" w:line="261" w:lineRule="auto"/>
        <w:rPr>
          <w:sz w:val="20"/>
          <w:szCs w:val="20"/>
          <w:color w:val="auto"/>
        </w:rPr>
      </w:pPr>
      <w:r>
        <w:rPr>
          <w:rFonts w:ascii="Arial" w:cs="Arial" w:eastAsia="Arial" w:hAnsi="Arial"/>
          <w:sz w:val="14"/>
          <w:szCs w:val="14"/>
          <w:b w:val="1"/>
          <w:bCs w:val="1"/>
          <w:i w:val="1"/>
          <w:iCs w:val="1"/>
          <w:color w:val="auto"/>
        </w:rPr>
        <w:t xml:space="preserve">Carlo Rizzuto, Ph.D. </w:t>
      </w:r>
      <w:r>
        <w:rPr>
          <w:rFonts w:ascii="Arial" w:cs="Arial" w:eastAsia="Arial" w:hAnsi="Arial"/>
          <w:sz w:val="14"/>
          <w:szCs w:val="14"/>
          <w:color w:val="auto"/>
        </w:rPr>
        <w:t>has served as a member of our board of directors since the 2021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Reorganization in February 2021, and previously served as a member of the board of managers of Century Therapeutics, LLC from June 2019 until the 2021 Reorganization in February 2021. Dr. Rizzuto served on the board of directors of Prior Century from March 2018 until June 2019. From April 2018 until August 2018, Dr. Rizzuto was President, Secretary and Treasurer of Prior Century. Dr. Rizzuto joined Versant Ventures in November 2012 where he has served in a variety of roles including operating principal, venture partner and partner. Dr. Rizzuto has served as Chief Executive Officer of Highline Therapeutics, a biotech incubator established by Versant Ventures, since March 2015. Dr. Rizzuto previously served as Chief Business Officer of Anokion SA, a biopharmaceutical company, from January 2014 to January 2017. Prior to joining Versant Ventures, Dr. Rizzuto worked at Novartis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7" w:name="page168"/>
    <w:bookmarkEnd w:id="16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39"/>
        <w:spacing w:after="0" w:line="265" w:lineRule="auto"/>
        <w:rPr>
          <w:sz w:val="20"/>
          <w:szCs w:val="20"/>
          <w:color w:val="auto"/>
        </w:rPr>
      </w:pPr>
      <w:r>
        <w:rPr>
          <w:rFonts w:ascii="Arial" w:cs="Arial" w:eastAsia="Arial" w:hAnsi="Arial"/>
          <w:sz w:val="14"/>
          <w:szCs w:val="14"/>
          <w:color w:val="auto"/>
        </w:rPr>
        <w:t>Pharmaceuticals, where he was a global program team director from 2010 to 2012. Dr. Rizzuto has served on the Pandion Therapeutics, Inc. board of directors since January 2018. Dr. Rizzuto received a Ph.D. in virology from Harvard University and a B.A. in biology from the University of Virginia.</w:t>
      </w:r>
    </w:p>
    <w:p>
      <w:pPr>
        <w:spacing w:after="0" w:line="265" w:lineRule="exact"/>
        <w:rPr>
          <w:sz w:val="20"/>
          <w:szCs w:val="20"/>
          <w:color w:val="auto"/>
        </w:rPr>
      </w:pPr>
    </w:p>
    <w:p>
      <w:pPr>
        <w:ind w:left="1220" w:right="1459"/>
        <w:spacing w:after="0" w:line="274" w:lineRule="auto"/>
        <w:rPr>
          <w:sz w:val="20"/>
          <w:szCs w:val="20"/>
          <w:color w:val="auto"/>
        </w:rPr>
      </w:pPr>
      <w:r>
        <w:rPr>
          <w:rFonts w:ascii="Arial" w:cs="Arial" w:eastAsia="Arial" w:hAnsi="Arial"/>
          <w:sz w:val="14"/>
          <w:szCs w:val="14"/>
          <w:color w:val="auto"/>
        </w:rPr>
        <w:t>We believe that Dr. Rizzuto is qualified to serve on our board of directors due to his knowledge and experience as an investor in the life sciences industry.</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Family relationships</w:t>
      </w:r>
    </w:p>
    <w:p>
      <w:pPr>
        <w:spacing w:after="0" w:line="14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There are no family relationships among our directors and executive officers.</w:t>
      </w:r>
    </w:p>
    <w:p>
      <w:pPr>
        <w:spacing w:after="0" w:line="15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Board composition and election of directors</w:t>
      </w:r>
    </w:p>
    <w:p>
      <w:pPr>
        <w:spacing w:after="0" w:line="133" w:lineRule="exact"/>
        <w:rPr>
          <w:sz w:val="20"/>
          <w:szCs w:val="20"/>
          <w:color w:val="auto"/>
        </w:rPr>
      </w:pPr>
    </w:p>
    <w:p>
      <w:pPr>
        <w:ind w:left="1220" w:right="1259"/>
        <w:spacing w:after="0" w:line="257" w:lineRule="auto"/>
        <w:rPr>
          <w:sz w:val="20"/>
          <w:szCs w:val="20"/>
          <w:color w:val="auto"/>
        </w:rPr>
      </w:pPr>
      <w:r>
        <w:rPr>
          <w:rFonts w:ascii="Arial" w:cs="Arial" w:eastAsia="Arial" w:hAnsi="Arial"/>
          <w:sz w:val="14"/>
          <w:szCs w:val="14"/>
          <w:color w:val="auto"/>
        </w:rPr>
        <w:t>Our board of directors is currently composed of seven members. Six of our directors are independent within the meaning of the independent director guidelines of Nasdaq. Pursuant to our certificate of incorporation as in effect immediately prior to this offering and voting agreement, Mr. Ban and Dr. Rizzuto were designated by the holders of our Series A preferred stock;</w:t>
      </w:r>
    </w:p>
    <w:p>
      <w:pPr>
        <w:spacing w:after="0" w:line="1" w:lineRule="exact"/>
        <w:rPr>
          <w:sz w:val="20"/>
          <w:szCs w:val="20"/>
          <w:color w:val="auto"/>
        </w:rPr>
      </w:pPr>
    </w:p>
    <w:p>
      <w:pPr>
        <w:ind w:left="1220" w:right="1319"/>
        <w:spacing w:after="0" w:line="261" w:lineRule="auto"/>
        <w:rPr>
          <w:sz w:val="20"/>
          <w:szCs w:val="20"/>
          <w:color w:val="auto"/>
        </w:rPr>
      </w:pPr>
      <w:r>
        <w:rPr>
          <w:rFonts w:ascii="Arial" w:cs="Arial" w:eastAsia="Arial" w:hAnsi="Arial"/>
          <w:sz w:val="14"/>
          <w:szCs w:val="14"/>
          <w:color w:val="auto"/>
        </w:rPr>
        <w:t>Dr. Eckhardt was designated by holders of our Series B preferred stock; Mr. Casdin was designated by the holders of our Series C preferred stock; and Dr. Flores was designated by the holders of our common stock, voting as a separate class. Mr. Jimenez and Ms. Butitta were appointed as independent directors by our board of directors, and Mr. Jimenez was appointed as Chairman of our board of directors.</w:t>
      </w:r>
    </w:p>
    <w:p>
      <w:pPr>
        <w:spacing w:after="0" w:line="13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Classified board of directors</w:t>
      </w:r>
    </w:p>
    <w:p>
      <w:pPr>
        <w:spacing w:after="0" w:line="125"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In accordance with our second amended and restated certificate of incorporation, which will become effective immediately prior to the closing of this offering, our directors will be divided into three classes serving staggered three-year terms.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current directors will be divided among the three classes as follows:</w:t>
      </w:r>
    </w:p>
    <w:p>
      <w:pPr>
        <w:spacing w:after="0" w:line="259" w:lineRule="exact"/>
        <w:rPr>
          <w:sz w:val="20"/>
          <w:szCs w:val="20"/>
          <w:color w:val="auto"/>
        </w:rPr>
      </w:pPr>
    </w:p>
    <w:p>
      <w:pPr>
        <w:ind w:left="1340" w:right="1499" w:hanging="114"/>
        <w:spacing w:after="0" w:line="290" w:lineRule="auto"/>
        <w:rPr>
          <w:sz w:val="20"/>
          <w:szCs w:val="20"/>
          <w:color w:val="auto"/>
        </w:rPr>
      </w:pPr>
      <w:r>
        <w:rPr>
          <w:rFonts w:ascii="Arial" w:cs="Arial" w:eastAsia="Arial" w:hAnsi="Arial"/>
          <w:sz w:val="14"/>
          <w:szCs w:val="14"/>
          <w:color w:val="auto"/>
        </w:rPr>
        <w:t>• the Class I directors will be</w:t>
      </w:r>
      <w:r>
        <w:rPr>
          <w:sz w:val="20"/>
          <w:szCs w:val="20"/>
          <w:color w:val="auto"/>
        </w:rPr>
        <w:t xml:space="preserve"> </w:t>
      </w:r>
      <w:r>
        <w:rPr>
          <w:rFonts w:ascii="Arial" w:cs="Arial" w:eastAsia="Arial" w:hAnsi="Arial"/>
          <w:sz w:val="14"/>
          <w:szCs w:val="14"/>
          <w:color w:val="auto"/>
        </w:rPr>
        <w:t>, , and , and their terms will expire at the first annual meeting of stockholders held following the closing of this offering;</w:t>
      </w:r>
    </w:p>
    <w:p>
      <w:pPr>
        <w:spacing w:after="0" w:line="64" w:lineRule="exact"/>
        <w:rPr>
          <w:sz w:val="20"/>
          <w:szCs w:val="20"/>
          <w:color w:val="auto"/>
        </w:rPr>
      </w:pPr>
    </w:p>
    <w:p>
      <w:pPr>
        <w:ind w:left="1340" w:right="1659" w:hanging="114"/>
        <w:spacing w:after="0" w:line="290" w:lineRule="auto"/>
        <w:rPr>
          <w:sz w:val="20"/>
          <w:szCs w:val="20"/>
          <w:color w:val="auto"/>
        </w:rPr>
      </w:pPr>
      <w:r>
        <w:rPr>
          <w:rFonts w:ascii="Arial" w:cs="Arial" w:eastAsia="Arial" w:hAnsi="Arial"/>
          <w:sz w:val="14"/>
          <w:szCs w:val="14"/>
          <w:color w:val="auto"/>
        </w:rPr>
        <w:t>• the Class II directors will be</w:t>
      </w:r>
      <w:r>
        <w:rPr>
          <w:sz w:val="20"/>
          <w:szCs w:val="20"/>
          <w:color w:val="auto"/>
        </w:rPr>
        <w:t xml:space="preserve"> </w:t>
      </w:r>
      <w:r>
        <w:rPr>
          <w:rFonts w:ascii="Arial" w:cs="Arial" w:eastAsia="Arial" w:hAnsi="Arial"/>
          <w:sz w:val="14"/>
          <w:szCs w:val="14"/>
          <w:color w:val="auto"/>
        </w:rPr>
        <w:t>and and their terms will expire at the second annual meeting of stockholders held following the closing of this offering; and</w:t>
      </w:r>
    </w:p>
    <w:p>
      <w:pPr>
        <w:spacing w:after="0" w:line="64" w:lineRule="exact"/>
        <w:rPr>
          <w:sz w:val="20"/>
          <w:szCs w:val="20"/>
          <w:color w:val="auto"/>
        </w:rPr>
      </w:pPr>
    </w:p>
    <w:p>
      <w:pPr>
        <w:ind w:left="1220"/>
        <w:spacing w:after="0"/>
        <w:tabs>
          <w:tab w:leader="none" w:pos="4100" w:val="left"/>
          <w:tab w:leader="none" w:pos="5240" w:val="left"/>
        </w:tabs>
        <w:rPr>
          <w:sz w:val="20"/>
          <w:szCs w:val="20"/>
          <w:color w:val="auto"/>
        </w:rPr>
      </w:pPr>
      <w:r>
        <w:rPr>
          <w:rFonts w:ascii="Arial" w:cs="Arial" w:eastAsia="Arial" w:hAnsi="Arial"/>
          <w:sz w:val="14"/>
          <w:szCs w:val="14"/>
          <w:color w:val="auto"/>
        </w:rPr>
        <w:t>• the Class III directors will be</w:t>
      </w:r>
      <w:r>
        <w:rPr>
          <w:sz w:val="20"/>
          <w:szCs w:val="20"/>
          <w:color w:val="auto"/>
        </w:rPr>
        <w:tab/>
      </w:r>
      <w:r>
        <w:rPr>
          <w:rFonts w:ascii="Arial" w:cs="Arial" w:eastAsia="Arial" w:hAnsi="Arial"/>
          <w:sz w:val="14"/>
          <w:szCs w:val="14"/>
          <w:color w:val="auto"/>
        </w:rPr>
        <w:t>and</w:t>
      </w:r>
      <w:r>
        <w:rPr>
          <w:sz w:val="20"/>
          <w:szCs w:val="20"/>
          <w:color w:val="auto"/>
        </w:rPr>
        <w:tab/>
      </w:r>
      <w:r>
        <w:rPr>
          <w:rFonts w:ascii="Arial" w:cs="Arial" w:eastAsia="Arial" w:hAnsi="Arial"/>
          <w:sz w:val="14"/>
          <w:szCs w:val="14"/>
          <w:color w:val="auto"/>
        </w:rPr>
        <w:t>and their terms will expire at the third</w:t>
      </w:r>
    </w:p>
    <w:p>
      <w:pPr>
        <w:spacing w:after="0" w:line="22"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annual meeting of stockholders held following the closing of this offering.</w:t>
      </w:r>
    </w:p>
    <w:p>
      <w:pPr>
        <w:spacing w:after="0" w:line="141"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Each director’s term continues until the election and qualification of his or her successor, or his or her earlier death, resignation, or removal. Our second amended and restated certificate of incorporation and our amended and restated bylaws, which will become effective immediately prior to the closing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 The classification of our board of directors may have the effect of delaying or preventing a change in control or management. See “Description of capital stock—Anti-Takeover Provisions of Delaware Law and our Charter Documents” for a discussion of other anti-takeover provisions will be included in our second amended and restated certificate of incorporation.</w:t>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Board leadership structure</w:t>
      </w:r>
    </w:p>
    <w:p>
      <w:pPr>
        <w:spacing w:after="0" w:line="133"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Our board of directors does not have a formal policy with respect to the separation of the offices of Chief Executive Officer and Chairman of the board of directors. It is the board of directors’ view that rather than having a rigid policy, the board of directors, with the advice and assistance of the nominating and corporate governance committee, and upon consideration of all relevant factors and circumstances, will determine, as and when appropriate, whether the two offices should be separate. Currently, our leadership structure separates the offices</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8" w:name="page169"/>
    <w:bookmarkEnd w:id="16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color w:val="auto"/>
        </w:rPr>
        <w:t>of Chief Executive Officer and Chairman of the board of directors. Our board of directors believes that the separation of the positions of Chief Executive Officer and Chairman of the board of directors reinforces the independence of the board of directors from management, creates an environment that encourages objective oversight of management’s performance and enhances the effectiveness of our board of directors as a whole.</w:t>
      </w:r>
    </w:p>
    <w:p>
      <w:pPr>
        <w:spacing w:after="0" w:line="13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Role of board in risk oversight</w:t>
      </w:r>
    </w:p>
    <w:p>
      <w:pPr>
        <w:spacing w:after="0" w:line="122" w:lineRule="exact"/>
        <w:rPr>
          <w:sz w:val="20"/>
          <w:szCs w:val="20"/>
          <w:color w:val="auto"/>
        </w:rPr>
      </w:pPr>
    </w:p>
    <w:p>
      <w:pPr>
        <w:ind w:left="1220" w:right="1359"/>
        <w:spacing w:after="0" w:line="259" w:lineRule="auto"/>
        <w:rPr>
          <w:sz w:val="20"/>
          <w:szCs w:val="20"/>
          <w:color w:val="auto"/>
        </w:rPr>
      </w:pPr>
      <w:r>
        <w:rPr>
          <w:rFonts w:ascii="Arial" w:cs="Arial" w:eastAsia="Arial" w:hAnsi="Arial"/>
          <w:sz w:val="14"/>
          <w:szCs w:val="14"/>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09" w:lineRule="exact"/>
        <w:rPr>
          <w:sz w:val="20"/>
          <w:szCs w:val="20"/>
          <w:color w:val="auto"/>
        </w:rPr>
      </w:pPr>
    </w:p>
    <w:p>
      <w:pPr>
        <w:ind w:left="1220" w:right="1339"/>
        <w:spacing w:after="0" w:line="259" w:lineRule="auto"/>
        <w:rPr>
          <w:sz w:val="20"/>
          <w:szCs w:val="20"/>
          <w:color w:val="auto"/>
        </w:rPr>
      </w:pPr>
      <w:r>
        <w:rPr>
          <w:rFonts w:ascii="Arial" w:cs="Arial" w:eastAsia="Arial" w:hAnsi="Arial"/>
          <w:sz w:val="14"/>
          <w:szCs w:val="14"/>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the risks inherent in their respective areas of oversight. While our board of directors is responsible for monitoring strategic risk exposure, our audit committee oversees management of financial reporting, compliance and litigation risks, as well as the steps management has taken to monitor and control such exposures. Our nominating and corporate governance committee manages risks associated with the independence of our board of directors, potential conflicts of interest and the effectiveness of our board of directors and our compensation committee is responsible for overseeing the management of risks relating to our executive compensation policies, plans and arrangements and the extent to which those policies or practices increase or decrease risks for our company.</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Director independence</w:t>
      </w:r>
    </w:p>
    <w:p>
      <w:pPr>
        <w:spacing w:after="0" w:line="133"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In connection with this offering, we have applied to list our common stock on the Nasdaq Global Select Market. Under the Nasdaq listing rules, or the Listing Rules, independent directors must comprise a majority of a listed company’s board of directors within a specified period following the closing of this offering. In addition, the Listing Rules require that, subject to specified exceptions, each member of a listed company’s audit, compensation, and nominating and governance committees be independent. Under the Listing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272"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We intend to satisfy the audit committee independence requirements of Rule 10A-3 as of the closing of this offering.</w:t>
      </w:r>
    </w:p>
    <w:p>
      <w:pPr>
        <w:spacing w:after="0" w:line="290"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Additionally, compensation committee members must not have a relationship with us that is material to the director’s ability to be independent from management in connection with the duties of a compensation committee member. We intend to satisfy the compensation committee independence requirements of Rule 10A-3 as of the closing of this offering.</w:t>
      </w:r>
    </w:p>
    <w:p>
      <w:pPr>
        <w:spacing w:after="0" w:line="106" w:lineRule="exact"/>
        <w:rPr>
          <w:sz w:val="20"/>
          <w:szCs w:val="20"/>
          <w:color w:val="auto"/>
        </w:rPr>
      </w:pPr>
    </w:p>
    <w:p>
      <w:pPr>
        <w:ind w:left="1220" w:right="1519"/>
        <w:spacing w:after="0" w:line="278" w:lineRule="auto"/>
        <w:rPr>
          <w:sz w:val="20"/>
          <w:szCs w:val="20"/>
          <w:color w:val="auto"/>
        </w:rPr>
      </w:pPr>
      <w:r>
        <w:rPr>
          <w:rFonts w:ascii="Arial" w:cs="Arial" w:eastAsia="Arial" w:hAnsi="Arial"/>
          <w:sz w:val="14"/>
          <w:szCs w:val="14"/>
          <w:color w:val="auto"/>
        </w:rPr>
        <w:t>Our board of directors has undertaken a review of the independence of each director and determined that all of our directors, other than Dr. Flores, qualify as “independent” directors in accordance with the Listing Rules. Dr. Flores is not considered independent by virtue of his position as our President and Chief Executive Officer.</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69" w:name="page170"/>
    <w:bookmarkEnd w:id="16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439"/>
        <w:spacing w:after="0" w:line="265" w:lineRule="auto"/>
        <w:rPr>
          <w:sz w:val="20"/>
          <w:szCs w:val="20"/>
          <w:color w:val="auto"/>
        </w:rPr>
      </w:pPr>
      <w:r>
        <w:rPr>
          <w:rFonts w:ascii="Arial" w:cs="Arial" w:eastAsia="Arial" w:hAnsi="Arial"/>
          <w:sz w:val="14"/>
          <w:szCs w:val="14"/>
          <w:color w:val="auto"/>
        </w:rPr>
        <w:t>In making these determinations, our board of directors reviewed and discussed information provided by the directors and us with regard to each director’s business and personal activities and relationships as they may relate to us and our management.</w:t>
      </w:r>
    </w:p>
    <w:p>
      <w:pPr>
        <w:spacing w:after="0" w:line="13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Board committees</w:t>
      </w:r>
    </w:p>
    <w:p>
      <w:pPr>
        <w:spacing w:after="0" w:line="122"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Each committee intends to adopt a written charter that satisfies the applicable rules and regulations of the SEC and Listing Rules, which we will post on our website at www.centurytx.com upon the closing of this offering.</w:t>
      </w:r>
    </w:p>
    <w:p>
      <w:pPr>
        <w:spacing w:after="0" w:line="133" w:lineRule="exact"/>
        <w:rPr>
          <w:sz w:val="20"/>
          <w:szCs w:val="20"/>
          <w:color w:val="auto"/>
        </w:rPr>
      </w:pPr>
    </w:p>
    <w:tbl>
      <w:tblPr>
        <w:tblLayout w:type="fixed"/>
        <w:tblInd w:w="1220" w:type="dxa"/>
        <w:tblCellMar>
          <w:top w:w="0" w:type="dxa"/>
          <w:left w:w="0" w:type="dxa"/>
          <w:bottom w:w="0" w:type="dxa"/>
          <w:right w:w="0" w:type="dxa"/>
        </w:tblCellMar>
      </w:tblPr>
      <w:tr>
        <w:trPr>
          <w:trHeight w:val="188"/>
        </w:trPr>
        <w:tc>
          <w:tcPr>
            <w:tcW w:w="2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Audit committee</w:t>
            </w: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91"/>
        </w:trPr>
        <w:tc>
          <w:tcPr>
            <w:tcW w:w="2760" w:type="dxa"/>
            <w:vAlign w:val="bottom"/>
            <w:gridSpan w:val="2"/>
          </w:tcPr>
          <w:p>
            <w:pPr>
              <w:spacing w:after="0"/>
              <w:rPr>
                <w:sz w:val="20"/>
                <w:szCs w:val="20"/>
                <w:color w:val="auto"/>
              </w:rPr>
            </w:pPr>
            <w:r>
              <w:rPr>
                <w:rFonts w:ascii="Arial" w:cs="Arial" w:eastAsia="Arial" w:hAnsi="Arial"/>
                <w:sz w:val="14"/>
                <w:szCs w:val="14"/>
                <w:color w:val="auto"/>
              </w:rPr>
              <w:t>Our audit committee consists of</w:t>
            </w:r>
          </w:p>
        </w:tc>
        <w:tc>
          <w:tcPr>
            <w:tcW w:w="92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1180" w:type="dxa"/>
            <w:vAlign w:val="bottom"/>
          </w:tcPr>
          <w:p>
            <w:pPr>
              <w:jc w:val="center"/>
              <w:ind w:right="268"/>
              <w:spacing w:after="0"/>
              <w:rPr>
                <w:sz w:val="20"/>
                <w:szCs w:val="20"/>
                <w:color w:val="auto"/>
              </w:rPr>
            </w:pPr>
            <w:r>
              <w:rPr>
                <w:rFonts w:ascii="Arial" w:cs="Arial" w:eastAsia="Arial" w:hAnsi="Arial"/>
                <w:sz w:val="14"/>
                <w:szCs w:val="14"/>
                <w:color w:val="auto"/>
              </w:rPr>
              <w:t>, and</w:t>
            </w:r>
          </w:p>
        </w:tc>
        <w:tc>
          <w:tcPr>
            <w:tcW w:w="1680" w:type="dxa"/>
            <w:vAlign w:val="bottom"/>
          </w:tcPr>
          <w:p>
            <w:pPr>
              <w:ind w:left="280"/>
              <w:spacing w:after="0"/>
              <w:rPr>
                <w:sz w:val="20"/>
                <w:szCs w:val="20"/>
                <w:color w:val="auto"/>
              </w:rPr>
            </w:pPr>
            <w:r>
              <w:rPr>
                <w:rFonts w:ascii="Arial" w:cs="Arial" w:eastAsia="Arial" w:hAnsi="Arial"/>
                <w:sz w:val="14"/>
                <w:szCs w:val="14"/>
                <w:color w:val="auto"/>
              </w:rPr>
              <w:t>. Our board of</w:t>
            </w:r>
          </w:p>
        </w:tc>
      </w:tr>
      <w:tr>
        <w:trPr>
          <w:trHeight w:val="183"/>
        </w:trPr>
        <w:tc>
          <w:tcPr>
            <w:tcW w:w="2760" w:type="dxa"/>
            <w:vAlign w:val="bottom"/>
            <w:gridSpan w:val="2"/>
          </w:tcPr>
          <w:p>
            <w:pPr>
              <w:spacing w:after="0"/>
              <w:rPr>
                <w:sz w:val="20"/>
                <w:szCs w:val="20"/>
                <w:color w:val="auto"/>
              </w:rPr>
            </w:pPr>
            <w:r>
              <w:rPr>
                <w:rFonts w:ascii="Arial" w:cs="Arial" w:eastAsia="Arial" w:hAnsi="Arial"/>
                <w:sz w:val="14"/>
                <w:szCs w:val="14"/>
                <w:color w:val="auto"/>
              </w:rPr>
              <w:t>directors has determined that each of</w:t>
            </w: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ind w:left="640"/>
              <w:spacing w:after="0"/>
              <w:rPr>
                <w:sz w:val="20"/>
                <w:szCs w:val="20"/>
                <w:color w:val="auto"/>
              </w:rPr>
            </w:pPr>
            <w:r>
              <w:rPr>
                <w:rFonts w:ascii="Arial" w:cs="Arial" w:eastAsia="Arial" w:hAnsi="Arial"/>
                <w:sz w:val="14"/>
                <w:szCs w:val="14"/>
                <w:color w:val="auto"/>
              </w:rPr>
              <w:t>and</w:t>
            </w:r>
          </w:p>
        </w:tc>
        <w:tc>
          <w:tcPr>
            <w:tcW w:w="1680" w:type="dxa"/>
            <w:vAlign w:val="bottom"/>
          </w:tcPr>
          <w:p>
            <w:pPr>
              <w:ind w:left="580"/>
              <w:spacing w:after="0"/>
              <w:rPr>
                <w:sz w:val="20"/>
                <w:szCs w:val="20"/>
                <w:color w:val="auto"/>
              </w:rPr>
            </w:pPr>
            <w:r>
              <w:rPr>
                <w:rFonts w:ascii="Arial" w:cs="Arial" w:eastAsia="Arial" w:hAnsi="Arial"/>
                <w:sz w:val="14"/>
                <w:szCs w:val="14"/>
                <w:color w:val="auto"/>
              </w:rPr>
              <w:t>are independent</w:t>
            </w:r>
          </w:p>
        </w:tc>
      </w:tr>
      <w:tr>
        <w:trPr>
          <w:trHeight w:val="183"/>
        </w:trPr>
        <w:tc>
          <w:tcPr>
            <w:tcW w:w="6540" w:type="dxa"/>
            <w:vAlign w:val="bottom"/>
            <w:gridSpan w:val="5"/>
          </w:tcPr>
          <w:p>
            <w:pPr>
              <w:spacing w:after="0"/>
              <w:rPr>
                <w:sz w:val="20"/>
                <w:szCs w:val="20"/>
                <w:color w:val="auto"/>
              </w:rPr>
            </w:pPr>
            <w:r>
              <w:rPr>
                <w:rFonts w:ascii="Arial" w:cs="Arial" w:eastAsia="Arial" w:hAnsi="Arial"/>
                <w:sz w:val="14"/>
                <w:szCs w:val="14"/>
                <w:color w:val="auto"/>
              </w:rPr>
              <w:t>under the Listing Rules and Rule 10A-3(b)(1) of the Exchange Act. The chair of our audit</w:t>
            </w:r>
          </w:p>
        </w:tc>
      </w:tr>
      <w:tr>
        <w:trPr>
          <w:trHeight w:val="183"/>
        </w:trPr>
        <w:tc>
          <w:tcPr>
            <w:tcW w:w="1000" w:type="dxa"/>
            <w:vAlign w:val="bottom"/>
          </w:tcPr>
          <w:p>
            <w:pPr>
              <w:spacing w:after="0"/>
              <w:rPr>
                <w:sz w:val="20"/>
                <w:szCs w:val="20"/>
                <w:color w:val="auto"/>
              </w:rPr>
            </w:pPr>
            <w:r>
              <w:rPr>
                <w:rFonts w:ascii="Arial" w:cs="Arial" w:eastAsia="Arial" w:hAnsi="Arial"/>
                <w:sz w:val="14"/>
                <w:szCs w:val="14"/>
                <w:color w:val="auto"/>
              </w:rPr>
              <w:t>committee is</w:t>
            </w:r>
          </w:p>
        </w:tc>
        <w:tc>
          <w:tcPr>
            <w:tcW w:w="5540" w:type="dxa"/>
            <w:vAlign w:val="bottom"/>
            <w:gridSpan w:val="4"/>
          </w:tcPr>
          <w:p>
            <w:pPr>
              <w:jc w:val="center"/>
              <w:ind w:left="568"/>
              <w:spacing w:after="0"/>
              <w:rPr>
                <w:sz w:val="20"/>
                <w:szCs w:val="20"/>
                <w:color w:val="auto"/>
              </w:rPr>
            </w:pPr>
            <w:r>
              <w:rPr>
                <w:rFonts w:ascii="Arial" w:cs="Arial" w:eastAsia="Arial" w:hAnsi="Arial"/>
                <w:sz w:val="14"/>
                <w:szCs w:val="14"/>
                <w:color w:val="auto"/>
              </w:rPr>
              <w:t>. Our board of directors has determined that each member of the audit</w:t>
            </w:r>
          </w:p>
        </w:tc>
      </w:tr>
      <w:tr>
        <w:trPr>
          <w:trHeight w:val="183"/>
        </w:trPr>
        <w:tc>
          <w:tcPr>
            <w:tcW w:w="6540" w:type="dxa"/>
            <w:vAlign w:val="bottom"/>
            <w:gridSpan w:val="5"/>
          </w:tcPr>
          <w:p>
            <w:pPr>
              <w:spacing w:after="0"/>
              <w:rPr>
                <w:sz w:val="20"/>
                <w:szCs w:val="20"/>
                <w:color w:val="auto"/>
              </w:rPr>
            </w:pPr>
            <w:r>
              <w:rPr>
                <w:rFonts w:ascii="Arial" w:cs="Arial" w:eastAsia="Arial" w:hAnsi="Arial"/>
                <w:sz w:val="14"/>
                <w:szCs w:val="14"/>
                <w:color w:val="auto"/>
              </w:rPr>
              <w:t>committee can read and understanding fundamental consolidated financial statements and</w:t>
            </w:r>
          </w:p>
        </w:tc>
      </w:tr>
      <w:tr>
        <w:trPr>
          <w:trHeight w:val="183"/>
        </w:trPr>
        <w:tc>
          <w:tcPr>
            <w:tcW w:w="1000" w:type="dxa"/>
            <w:vAlign w:val="bottom"/>
          </w:tcPr>
          <w:p>
            <w:pPr>
              <w:spacing w:after="0"/>
              <w:rPr>
                <w:sz w:val="20"/>
                <w:szCs w:val="20"/>
                <w:color w:val="auto"/>
              </w:rPr>
            </w:pPr>
            <w:r>
              <w:rPr>
                <w:rFonts w:ascii="Arial" w:cs="Arial" w:eastAsia="Arial" w:hAnsi="Arial"/>
                <w:sz w:val="14"/>
                <w:szCs w:val="14"/>
                <w:color w:val="auto"/>
              </w:rPr>
              <w:t>that</w:t>
            </w:r>
          </w:p>
        </w:tc>
        <w:tc>
          <w:tcPr>
            <w:tcW w:w="5540" w:type="dxa"/>
            <w:vAlign w:val="bottom"/>
            <w:gridSpan w:val="4"/>
          </w:tcPr>
          <w:p>
            <w:pPr>
              <w:ind w:left="140"/>
              <w:spacing w:after="0"/>
              <w:rPr>
                <w:sz w:val="20"/>
                <w:szCs w:val="20"/>
                <w:color w:val="auto"/>
              </w:rPr>
            </w:pPr>
            <w:r>
              <w:rPr>
                <w:rFonts w:ascii="Arial" w:cs="Arial" w:eastAsia="Arial" w:hAnsi="Arial"/>
                <w:sz w:val="14"/>
                <w:szCs w:val="14"/>
                <w:color w:val="auto"/>
              </w:rPr>
              <w:t>is an “audit committee financial expert” as such term is currently defined in</w:t>
            </w:r>
          </w:p>
        </w:tc>
      </w:tr>
    </w:tbl>
    <w:p>
      <w:pPr>
        <w:spacing w:after="0" w:line="11" w:lineRule="exact"/>
        <w:rPr>
          <w:sz w:val="20"/>
          <w:szCs w:val="20"/>
          <w:color w:val="auto"/>
        </w:rPr>
      </w:pPr>
    </w:p>
    <w:p>
      <w:pPr>
        <w:ind w:left="1220" w:right="1499"/>
        <w:spacing w:after="0" w:line="265" w:lineRule="auto"/>
        <w:rPr>
          <w:sz w:val="20"/>
          <w:szCs w:val="20"/>
          <w:color w:val="auto"/>
        </w:rPr>
      </w:pPr>
      <w:r>
        <w:rPr>
          <w:rFonts w:ascii="Arial" w:cs="Arial" w:eastAsia="Arial" w:hAnsi="Arial"/>
          <w:sz w:val="14"/>
          <w:szCs w:val="14"/>
          <w:color w:val="auto"/>
        </w:rPr>
        <w:t>Item 407(d)(5) of Regulation S-K. Our audit committee is directly responsible for, among other things:</w:t>
      </w:r>
    </w:p>
    <w:p>
      <w:pPr>
        <w:spacing w:after="0" w:line="275" w:lineRule="exact"/>
        <w:rPr>
          <w:sz w:val="20"/>
          <w:szCs w:val="20"/>
          <w:color w:val="auto"/>
        </w:rPr>
      </w:pPr>
    </w:p>
    <w:p>
      <w:pPr>
        <w:ind w:left="1340" w:right="1699" w:hanging="116"/>
        <w:spacing w:after="0" w:line="290" w:lineRule="auto"/>
        <w:tabs>
          <w:tab w:leader="none" w:pos="1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selecting a firm to serve as the independent registered public accounting firm to audit our consolidated financial statements;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ensuring the independence of the independent registered public accounting firm;</w:t>
      </w:r>
    </w:p>
    <w:p>
      <w:pPr>
        <w:spacing w:after="0" w:line="108" w:lineRule="exact"/>
        <w:rPr>
          <w:rFonts w:ascii="Arial" w:cs="Arial" w:eastAsia="Arial" w:hAnsi="Arial"/>
          <w:sz w:val="14"/>
          <w:szCs w:val="14"/>
          <w:color w:val="auto"/>
        </w:rPr>
      </w:pPr>
    </w:p>
    <w:p>
      <w:pPr>
        <w:jc w:val="both"/>
        <w:ind w:left="1340" w:right="1319" w:hanging="116"/>
        <w:spacing w:after="0" w:line="290" w:lineRule="auto"/>
        <w:tabs>
          <w:tab w:leader="none" w:pos="1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discussing the scope and results of the audit with the independent registered public accounting firm and reviewing, with management and that firm, our interim and year-end operating results;</w:t>
      </w:r>
    </w:p>
    <w:p>
      <w:pPr>
        <w:spacing w:after="0" w:line="64" w:lineRule="exact"/>
        <w:rPr>
          <w:rFonts w:ascii="Arial" w:cs="Arial" w:eastAsia="Arial" w:hAnsi="Arial"/>
          <w:sz w:val="14"/>
          <w:szCs w:val="14"/>
          <w:color w:val="auto"/>
        </w:rPr>
      </w:pPr>
    </w:p>
    <w:p>
      <w:pPr>
        <w:ind w:left="1340" w:right="1519" w:hanging="116"/>
        <w:spacing w:after="0" w:line="290" w:lineRule="auto"/>
        <w:tabs>
          <w:tab w:leader="none" w:pos="1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establishing procedures for employees to anonymously submit concerns about questionable accounting or audit matters;</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considering the adequacy of our internal controls and internal audit function;</w:t>
      </w:r>
    </w:p>
    <w:p>
      <w:pPr>
        <w:spacing w:after="0" w:line="108" w:lineRule="exact"/>
        <w:rPr>
          <w:rFonts w:ascii="Arial" w:cs="Arial" w:eastAsia="Arial" w:hAnsi="Arial"/>
          <w:sz w:val="14"/>
          <w:szCs w:val="14"/>
          <w:color w:val="auto"/>
        </w:rPr>
      </w:pPr>
    </w:p>
    <w:p>
      <w:pPr>
        <w:ind w:left="1340" w:right="1999" w:hanging="116"/>
        <w:spacing w:after="0" w:line="290" w:lineRule="auto"/>
        <w:tabs>
          <w:tab w:leader="none" w:pos="1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monitoring compliance with the code of business and conduct and ethics for financial management;</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reviewing material related party transactions or those that require disclosure; and</w:t>
      </w:r>
    </w:p>
    <w:p>
      <w:pPr>
        <w:spacing w:after="0" w:line="108" w:lineRule="exact"/>
        <w:rPr>
          <w:rFonts w:ascii="Arial" w:cs="Arial" w:eastAsia="Arial" w:hAnsi="Arial"/>
          <w:sz w:val="14"/>
          <w:szCs w:val="14"/>
          <w:color w:val="auto"/>
        </w:rPr>
      </w:pPr>
    </w:p>
    <w:p>
      <w:pPr>
        <w:ind w:left="1340" w:right="1459" w:hanging="116"/>
        <w:spacing w:after="0" w:line="290" w:lineRule="auto"/>
        <w:tabs>
          <w:tab w:leader="none" w:pos="1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approving or, as permitted, pre-approving all audit and non-audit services to be performed by the independent registered public accounting firm.</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146" w:lineRule="exact"/>
        <w:rPr>
          <w:sz w:val="20"/>
          <w:szCs w:val="20"/>
          <w:color w:val="auto"/>
        </w:rPr>
      </w:pPr>
    </w:p>
    <w:p>
      <w:pPr>
        <w:ind w:left="1220"/>
        <w:spacing w:after="0"/>
        <w:tabs>
          <w:tab w:leader="none" w:pos="4820" w:val="left"/>
          <w:tab w:leader="none" w:pos="5740" w:val="left"/>
          <w:tab w:leader="none" w:pos="6960" w:val="left"/>
        </w:tabs>
        <w:rPr>
          <w:sz w:val="20"/>
          <w:szCs w:val="20"/>
          <w:color w:val="auto"/>
        </w:rPr>
      </w:pPr>
      <w:r>
        <w:rPr>
          <w:rFonts w:ascii="Arial" w:cs="Arial" w:eastAsia="Arial" w:hAnsi="Arial"/>
          <w:sz w:val="14"/>
          <w:szCs w:val="14"/>
          <w:color w:val="auto"/>
        </w:rPr>
        <w:t>Our compensation committee consists of</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 and</w:t>
      </w:r>
      <w:r>
        <w:rPr>
          <w:sz w:val="20"/>
          <w:szCs w:val="20"/>
          <w:color w:val="auto"/>
        </w:rPr>
        <w:tab/>
      </w:r>
      <w:r>
        <w:rPr>
          <w:rFonts w:ascii="Arial" w:cs="Arial" w:eastAsia="Arial" w:hAnsi="Arial"/>
          <w:sz w:val="14"/>
          <w:szCs w:val="14"/>
          <w:color w:val="auto"/>
        </w:rPr>
        <w:t>. Our board</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of directors has determined that each member of this committee is a non-employee director, as</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defined by Rule 16b-3 promulgated under the Exchange Act and meets the requirements for</w:t>
      </w:r>
    </w:p>
    <w:p>
      <w:pPr>
        <w:spacing w:after="0" w:line="22" w:lineRule="exact"/>
        <w:rPr>
          <w:sz w:val="20"/>
          <w:szCs w:val="20"/>
          <w:color w:val="auto"/>
        </w:rPr>
      </w:pPr>
    </w:p>
    <w:p>
      <w:pPr>
        <w:ind w:left="1220"/>
        <w:spacing w:after="0"/>
        <w:tabs>
          <w:tab w:leader="none" w:pos="7660" w:val="left"/>
        </w:tabs>
        <w:rPr>
          <w:sz w:val="20"/>
          <w:szCs w:val="20"/>
          <w:color w:val="auto"/>
        </w:rPr>
      </w:pPr>
      <w:r>
        <w:rPr>
          <w:rFonts w:ascii="Arial" w:cs="Arial" w:eastAsia="Arial" w:hAnsi="Arial"/>
          <w:sz w:val="14"/>
          <w:szCs w:val="14"/>
          <w:color w:val="auto"/>
        </w:rPr>
        <w:t>independence under the Listing Rules. The chair of our compensation committee is</w:t>
      </w:r>
      <w:r>
        <w:rPr>
          <w:sz w:val="20"/>
          <w:szCs w:val="20"/>
          <w:color w:val="auto"/>
        </w:rPr>
        <w:tab/>
      </w:r>
      <w:r>
        <w:rPr>
          <w:rFonts w:ascii="Arial" w:cs="Arial" w:eastAsia="Arial" w:hAnsi="Arial"/>
          <w:sz w:val="14"/>
          <w:szCs w:val="14"/>
          <w:color w:val="auto"/>
        </w:rPr>
        <w:t>.</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compensation committee is responsible for, among other things:</w:t>
      </w:r>
    </w:p>
    <w:p>
      <w:pPr>
        <w:spacing w:after="0" w:line="109" w:lineRule="exact"/>
        <w:rPr>
          <w:sz w:val="20"/>
          <w:szCs w:val="20"/>
          <w:color w:val="auto"/>
        </w:rPr>
      </w:pPr>
    </w:p>
    <w:p>
      <w:pPr>
        <w:ind w:left="1340" w:right="1259" w:hanging="116"/>
        <w:spacing w:after="0" w:line="290" w:lineRule="auto"/>
        <w:tabs>
          <w:tab w:leader="none" w:pos="1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reviewing and approving the compensation of our executive officers and recommending that our board of directors approve the compensation of our Chief Executive Officer;</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reviewing and recommending to our board of directors the compensation of our directors;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administering our stock and equity incentive plans;</w:t>
      </w:r>
    </w:p>
    <w:p>
      <w:pPr>
        <w:spacing w:after="0" w:line="108" w:lineRule="exact"/>
        <w:rPr>
          <w:rFonts w:ascii="Arial" w:cs="Arial" w:eastAsia="Arial" w:hAnsi="Arial"/>
          <w:sz w:val="14"/>
          <w:szCs w:val="14"/>
          <w:color w:val="auto"/>
        </w:rPr>
      </w:pPr>
    </w:p>
    <w:p>
      <w:pPr>
        <w:ind w:left="1340" w:right="1319" w:hanging="116"/>
        <w:spacing w:after="0" w:line="290" w:lineRule="auto"/>
        <w:tabs>
          <w:tab w:leader="none" w:pos="1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reviewing and approving, or making recommendations to our board of directors with respect to, incentive compensation and equity plans; and</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reviewing our overall compensation philosophy.</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70" w:name="page171"/>
    <w:bookmarkEnd w:id="17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Nominating and corporate governance committee</w:t>
      </w:r>
    </w:p>
    <w:p>
      <w:pPr>
        <w:spacing w:after="0" w:line="136" w:lineRule="exact"/>
        <w:rPr>
          <w:sz w:val="20"/>
          <w:szCs w:val="20"/>
          <w:color w:val="auto"/>
        </w:rPr>
      </w:pPr>
    </w:p>
    <w:p>
      <w:pPr>
        <w:ind w:left="1220"/>
        <w:spacing w:after="0"/>
        <w:tabs>
          <w:tab w:leader="none" w:pos="6420" w:val="left"/>
          <w:tab w:leader="none" w:pos="7360" w:val="left"/>
        </w:tabs>
        <w:rPr>
          <w:sz w:val="20"/>
          <w:szCs w:val="20"/>
          <w:color w:val="auto"/>
        </w:rPr>
      </w:pPr>
      <w:r>
        <w:rPr>
          <w:rFonts w:ascii="Arial" w:cs="Arial" w:eastAsia="Arial" w:hAnsi="Arial"/>
          <w:sz w:val="14"/>
          <w:szCs w:val="14"/>
          <w:color w:val="auto"/>
        </w:rPr>
        <w:t>Our nominating and corporate governance committee consists of</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2" w:lineRule="exact"/>
        <w:rPr>
          <w:sz w:val="20"/>
          <w:szCs w:val="20"/>
          <w:color w:val="auto"/>
        </w:rPr>
      </w:pPr>
    </w:p>
    <w:p>
      <w:pPr>
        <w:ind w:left="1220"/>
        <w:spacing w:after="0"/>
        <w:tabs>
          <w:tab w:leader="none" w:pos="2340" w:val="left"/>
        </w:tabs>
        <w:rPr>
          <w:sz w:val="20"/>
          <w:szCs w:val="20"/>
          <w:color w:val="auto"/>
        </w:rPr>
      </w:pPr>
      <w:r>
        <w:rPr>
          <w:rFonts w:ascii="Arial" w:cs="Arial" w:eastAsia="Arial" w:hAnsi="Arial"/>
          <w:sz w:val="14"/>
          <w:szCs w:val="14"/>
          <w:color w:val="auto"/>
        </w:rPr>
        <w:t>and</w:t>
      </w:r>
      <w:r>
        <w:rPr>
          <w:sz w:val="20"/>
          <w:szCs w:val="20"/>
          <w:color w:val="auto"/>
        </w:rPr>
        <w:tab/>
      </w:r>
      <w:r>
        <w:rPr>
          <w:rFonts w:ascii="Arial" w:cs="Arial" w:eastAsia="Arial" w:hAnsi="Arial"/>
          <w:sz w:val="14"/>
          <w:szCs w:val="14"/>
          <w:color w:val="auto"/>
        </w:rPr>
        <w:t>. Our board of directors has determined that each member of the nominating and</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corporate governance committee meets the requirements for independence under the Listing</w:t>
      </w:r>
    </w:p>
    <w:p>
      <w:pPr>
        <w:spacing w:after="0" w:line="344" w:lineRule="exact"/>
        <w:rPr>
          <w:sz w:val="20"/>
          <w:szCs w:val="20"/>
          <w:color w:val="auto"/>
        </w:rPr>
      </w:pPr>
    </w:p>
    <w:p>
      <w:pPr>
        <w:ind w:left="1220" w:right="1559"/>
        <w:spacing w:after="0" w:line="290" w:lineRule="auto"/>
        <w:rPr>
          <w:sz w:val="20"/>
          <w:szCs w:val="20"/>
          <w:color w:val="auto"/>
        </w:rPr>
      </w:pPr>
      <w:r>
        <w:rPr>
          <w:rFonts w:ascii="Arial" w:cs="Arial" w:eastAsia="Arial" w:hAnsi="Arial"/>
          <w:sz w:val="14"/>
          <w:szCs w:val="14"/>
          <w:color w:val="auto"/>
        </w:rPr>
        <w:t>Rules. The chair of our nominating and corporate governance committee is . The nominating and corporate governance committee is responsible for, among other things:</w:t>
      </w:r>
    </w:p>
    <w:p>
      <w:pPr>
        <w:spacing w:after="0" w:line="75" w:lineRule="exact"/>
        <w:rPr>
          <w:sz w:val="20"/>
          <w:szCs w:val="20"/>
          <w:color w:val="auto"/>
        </w:rPr>
      </w:pPr>
    </w:p>
    <w:p>
      <w:pPr>
        <w:ind w:left="1340" w:hanging="116"/>
        <w:spacing w:after="0"/>
        <w:tabs>
          <w:tab w:leader="none" w:pos="1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identifying and recommending candidates for membership on our board of directors;</w:t>
      </w:r>
    </w:p>
    <w:p>
      <w:pPr>
        <w:spacing w:after="0" w:line="119" w:lineRule="exact"/>
        <w:rPr>
          <w:rFonts w:ascii="Arial" w:cs="Arial" w:eastAsia="Arial" w:hAnsi="Arial"/>
          <w:sz w:val="14"/>
          <w:szCs w:val="14"/>
          <w:color w:val="auto"/>
        </w:rPr>
      </w:pPr>
    </w:p>
    <w:p>
      <w:pPr>
        <w:ind w:left="1340" w:hanging="116"/>
        <w:spacing w:after="0"/>
        <w:tabs>
          <w:tab w:leader="none" w:pos="1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reviewing and recommending our corporate governance guidelines and policies;</w:t>
      </w:r>
    </w:p>
    <w:p>
      <w:pPr>
        <w:spacing w:after="0" w:line="119" w:lineRule="exact"/>
        <w:rPr>
          <w:rFonts w:ascii="Arial" w:cs="Arial" w:eastAsia="Arial" w:hAnsi="Arial"/>
          <w:sz w:val="14"/>
          <w:szCs w:val="14"/>
          <w:color w:val="auto"/>
        </w:rPr>
      </w:pPr>
    </w:p>
    <w:p>
      <w:pPr>
        <w:ind w:left="1340" w:hanging="116"/>
        <w:spacing w:after="0"/>
        <w:tabs>
          <w:tab w:leader="none" w:pos="1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reviewing proposed waivers of the code of conduct for directors and executive officers;</w:t>
      </w:r>
    </w:p>
    <w:p>
      <w:pPr>
        <w:spacing w:after="0" w:line="130" w:lineRule="exact"/>
        <w:rPr>
          <w:rFonts w:ascii="Arial" w:cs="Arial" w:eastAsia="Arial" w:hAnsi="Arial"/>
          <w:sz w:val="14"/>
          <w:szCs w:val="14"/>
          <w:color w:val="auto"/>
        </w:rPr>
      </w:pPr>
    </w:p>
    <w:p>
      <w:pPr>
        <w:ind w:left="1340" w:hanging="116"/>
        <w:spacing w:after="0"/>
        <w:tabs>
          <w:tab w:leader="none" w:pos="1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overseeing the process of evaluating the performance of our board of directors; and</w:t>
      </w:r>
    </w:p>
    <w:p>
      <w:pPr>
        <w:spacing w:after="0" w:line="119" w:lineRule="exact"/>
        <w:rPr>
          <w:rFonts w:ascii="Arial" w:cs="Arial" w:eastAsia="Arial" w:hAnsi="Arial"/>
          <w:sz w:val="14"/>
          <w:szCs w:val="14"/>
          <w:color w:val="auto"/>
        </w:rPr>
      </w:pPr>
    </w:p>
    <w:p>
      <w:pPr>
        <w:ind w:left="1340" w:hanging="116"/>
        <w:spacing w:after="0"/>
        <w:tabs>
          <w:tab w:leader="none" w:pos="1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assisting our board of directors on corporate governance matters.</w:t>
      </w:r>
    </w:p>
    <w:p>
      <w:pPr>
        <w:spacing w:after="0" w:line="15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44" w:lineRule="exact"/>
        <w:rPr>
          <w:sz w:val="20"/>
          <w:szCs w:val="20"/>
          <w:color w:val="auto"/>
        </w:rPr>
      </w:pPr>
    </w:p>
    <w:p>
      <w:pPr>
        <w:ind w:left="1220" w:right="1239"/>
        <w:spacing w:after="0" w:line="280" w:lineRule="auto"/>
        <w:rPr>
          <w:sz w:val="20"/>
          <w:szCs w:val="20"/>
          <w:color w:val="auto"/>
        </w:rPr>
      </w:pPr>
      <w:r>
        <w:rPr>
          <w:rFonts w:ascii="Arial" w:cs="Arial" w:eastAsia="Arial" w:hAnsi="Arial"/>
          <w:sz w:val="14"/>
          <w:szCs w:val="14"/>
          <w:color w:val="auto"/>
        </w:rPr>
        <w:t>None of the members of our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spacing w:after="0" w:line="30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Non-employee director compensation</w:t>
      </w:r>
    </w:p>
    <w:p>
      <w:pPr>
        <w:spacing w:after="0" w:line="133" w:lineRule="exact"/>
        <w:rPr>
          <w:sz w:val="20"/>
          <w:szCs w:val="20"/>
          <w:color w:val="auto"/>
        </w:rPr>
      </w:pPr>
    </w:p>
    <w:p>
      <w:pPr>
        <w:ind w:left="1220" w:right="1399"/>
        <w:spacing w:after="0" w:line="278" w:lineRule="auto"/>
        <w:rPr>
          <w:sz w:val="20"/>
          <w:szCs w:val="20"/>
          <w:color w:val="auto"/>
        </w:rPr>
      </w:pPr>
      <w:r>
        <w:rPr>
          <w:rFonts w:ascii="Arial" w:cs="Arial" w:eastAsia="Arial" w:hAnsi="Arial"/>
          <w:sz w:val="14"/>
          <w:szCs w:val="14"/>
          <w:color w:val="auto"/>
        </w:rPr>
        <w:t>Prior to 2021, we did not regularly provide compensation to our non-employee directors and, as shown in the table below, did not provide any compensation to our non-employee directors in 2020. Dr. Flores, our President and Chief Executive Officer, does not receive additional compensation for his services as a director. We do reimburse our non-employee directors for reasonable travel and out-of-pocket expenses incurred in connection with attending board of directors and committee meetings.</w:t>
      </w:r>
    </w:p>
    <w:p>
      <w:pPr>
        <w:spacing w:after="0" w:line="30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2020 director compensation table</w:t>
      </w:r>
    </w:p>
    <w:p>
      <w:pPr>
        <w:spacing w:after="0" w:line="146" w:lineRule="exact"/>
        <w:rPr>
          <w:sz w:val="20"/>
          <w:szCs w:val="20"/>
          <w:color w:val="auto"/>
        </w:rPr>
      </w:pPr>
    </w:p>
    <w:p>
      <w:pPr>
        <w:ind w:left="1220" w:right="1419"/>
        <w:spacing w:after="0" w:line="290" w:lineRule="auto"/>
        <w:rPr>
          <w:sz w:val="20"/>
          <w:szCs w:val="20"/>
          <w:color w:val="auto"/>
        </w:rPr>
      </w:pPr>
      <w:r>
        <w:rPr>
          <w:rFonts w:ascii="Arial" w:cs="Arial" w:eastAsia="Arial" w:hAnsi="Arial"/>
          <w:sz w:val="14"/>
          <w:szCs w:val="14"/>
          <w:color w:val="auto"/>
        </w:rPr>
        <w:t>The following table sets forth information regarding the compensation earned for service on our board of directors during the year ended December 31, 2020.</w:t>
      </w:r>
    </w:p>
    <w:p>
      <w:pPr>
        <w:spacing w:after="0" w:line="99"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38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right"/>
              <w:ind w:right="51"/>
              <w:spacing w:after="0"/>
              <w:rPr>
                <w:sz w:val="20"/>
                <w:szCs w:val="20"/>
                <w:color w:val="auto"/>
              </w:rPr>
            </w:pPr>
            <w:r>
              <w:rPr>
                <w:rFonts w:ascii="Arial" w:cs="Arial" w:eastAsia="Arial" w:hAnsi="Arial"/>
                <w:sz w:val="13"/>
                <w:szCs w:val="13"/>
                <w:b w:val="1"/>
                <w:bCs w:val="1"/>
                <w:color w:val="auto"/>
              </w:rPr>
              <w:t>Fees earned</w:t>
            </w:r>
          </w:p>
        </w:tc>
        <w:tc>
          <w:tcPr>
            <w:tcW w:w="6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940" w:type="dxa"/>
            <w:vAlign w:val="bottom"/>
          </w:tcPr>
          <w:p>
            <w:pPr>
              <w:jc w:val="right"/>
              <w:ind w:right="51"/>
              <w:spacing w:after="0"/>
              <w:rPr>
                <w:sz w:val="20"/>
                <w:szCs w:val="20"/>
                <w:color w:val="auto"/>
              </w:rPr>
            </w:pPr>
            <w:r>
              <w:rPr>
                <w:rFonts w:ascii="Arial" w:cs="Arial" w:eastAsia="Arial" w:hAnsi="Arial"/>
                <w:sz w:val="13"/>
                <w:szCs w:val="13"/>
                <w:b w:val="1"/>
                <w:bCs w:val="1"/>
                <w:color w:val="auto"/>
              </w:rPr>
              <w:t>or paid in</w:t>
            </w:r>
          </w:p>
        </w:tc>
        <w:tc>
          <w:tcPr>
            <w:tcW w:w="680" w:type="dxa"/>
            <w:vAlign w:val="bottom"/>
          </w:tcPr>
          <w:p>
            <w:pPr>
              <w:jc w:val="right"/>
              <w:ind w:right="70"/>
              <w:spacing w:after="0"/>
              <w:rPr>
                <w:sz w:val="20"/>
                <w:szCs w:val="20"/>
                <w:color w:val="auto"/>
              </w:rPr>
            </w:pPr>
            <w:r>
              <w:rPr>
                <w:rFonts w:ascii="Arial" w:cs="Arial" w:eastAsia="Arial" w:hAnsi="Arial"/>
                <w:sz w:val="13"/>
                <w:szCs w:val="13"/>
                <w:b w:val="1"/>
                <w:bCs w:val="1"/>
                <w:color w:val="auto"/>
              </w:rPr>
              <w:t>Option</w:t>
            </w:r>
          </w:p>
        </w:tc>
        <w:tc>
          <w:tcPr>
            <w:tcW w:w="1100" w:type="dxa"/>
            <w:vAlign w:val="bottom"/>
          </w:tcPr>
          <w:p>
            <w:pPr>
              <w:jc w:val="right"/>
              <w:ind w:right="50"/>
              <w:spacing w:after="0"/>
              <w:rPr>
                <w:sz w:val="20"/>
                <w:szCs w:val="20"/>
                <w:color w:val="auto"/>
              </w:rPr>
            </w:pPr>
            <w:r>
              <w:rPr>
                <w:rFonts w:ascii="Arial" w:cs="Arial" w:eastAsia="Arial" w:hAnsi="Arial"/>
                <w:sz w:val="13"/>
                <w:szCs w:val="13"/>
                <w:b w:val="1"/>
                <w:bCs w:val="1"/>
                <w:color w:val="auto"/>
              </w:rPr>
              <w:t>All other</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940" w:type="dxa"/>
            <w:vAlign w:val="bottom"/>
          </w:tcPr>
          <w:p>
            <w:pPr>
              <w:jc w:val="right"/>
              <w:ind w:right="51"/>
              <w:spacing w:after="0"/>
              <w:rPr>
                <w:sz w:val="20"/>
                <w:szCs w:val="20"/>
                <w:color w:val="auto"/>
              </w:rPr>
            </w:pPr>
            <w:r>
              <w:rPr>
                <w:rFonts w:ascii="Arial" w:cs="Arial" w:eastAsia="Arial" w:hAnsi="Arial"/>
                <w:sz w:val="13"/>
                <w:szCs w:val="13"/>
                <w:b w:val="1"/>
                <w:bCs w:val="1"/>
                <w:color w:val="auto"/>
              </w:rPr>
              <w:t>cash</w:t>
            </w:r>
          </w:p>
        </w:tc>
        <w:tc>
          <w:tcPr>
            <w:tcW w:w="680" w:type="dxa"/>
            <w:vAlign w:val="bottom"/>
          </w:tcPr>
          <w:p>
            <w:pPr>
              <w:jc w:val="right"/>
              <w:ind w:right="70"/>
              <w:spacing w:after="0"/>
              <w:rPr>
                <w:sz w:val="20"/>
                <w:szCs w:val="20"/>
                <w:color w:val="auto"/>
              </w:rPr>
            </w:pPr>
            <w:r>
              <w:rPr>
                <w:rFonts w:ascii="Arial" w:cs="Arial" w:eastAsia="Arial" w:hAnsi="Arial"/>
                <w:sz w:val="13"/>
                <w:szCs w:val="13"/>
                <w:b w:val="1"/>
                <w:bCs w:val="1"/>
                <w:color w:val="auto"/>
              </w:rPr>
              <w:t>awards</w:t>
            </w:r>
          </w:p>
        </w:tc>
        <w:tc>
          <w:tcPr>
            <w:tcW w:w="1100" w:type="dxa"/>
            <w:vAlign w:val="bottom"/>
          </w:tcPr>
          <w:p>
            <w:pPr>
              <w:jc w:val="right"/>
              <w:ind w:right="50"/>
              <w:spacing w:after="0"/>
              <w:rPr>
                <w:sz w:val="20"/>
                <w:szCs w:val="20"/>
                <w:color w:val="auto"/>
              </w:rPr>
            </w:pPr>
            <w:r>
              <w:rPr>
                <w:rFonts w:ascii="Arial" w:cs="Arial" w:eastAsia="Arial" w:hAnsi="Arial"/>
                <w:sz w:val="13"/>
                <w:szCs w:val="13"/>
                <w:b w:val="1"/>
                <w:bCs w:val="1"/>
                <w:color w:val="auto"/>
              </w:rPr>
              <w:t>compensation</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9"/>
        </w:trPr>
        <w:tc>
          <w:tcPr>
            <w:tcW w:w="24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940" w:type="dxa"/>
            <w:vAlign w:val="bottom"/>
          </w:tcPr>
          <w:p>
            <w:pPr>
              <w:jc w:val="right"/>
              <w:ind w:right="11"/>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30"/>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Carlo Rizzuto, Ph.D.</w:t>
            </w:r>
          </w:p>
        </w:tc>
        <w:tc>
          <w:tcPr>
            <w:tcW w:w="1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400" w:type="dxa"/>
            <w:vAlign w:val="bottom"/>
            <w:gridSpan w:val="2"/>
          </w:tcPr>
          <w:p>
            <w:pPr>
              <w:spacing w:after="0"/>
              <w:rPr>
                <w:sz w:val="20"/>
                <w:szCs w:val="20"/>
                <w:color w:val="auto"/>
              </w:rPr>
            </w:pPr>
            <w:r>
              <w:rPr>
                <w:rFonts w:ascii="Arial" w:cs="Arial" w:eastAsia="Arial" w:hAnsi="Arial"/>
                <w:sz w:val="14"/>
                <w:szCs w:val="14"/>
                <w:color w:val="auto"/>
              </w:rPr>
              <w:t>Toshikazu Ban</w:t>
            </w:r>
          </w:p>
        </w:tc>
        <w:tc>
          <w:tcPr>
            <w:tcW w:w="19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Cynthia Butitta</w:t>
            </w:r>
            <w:r>
              <w:rPr>
                <w:rFonts w:ascii="Arial" w:cs="Arial" w:eastAsia="Arial" w:hAnsi="Arial"/>
                <w:sz w:val="21"/>
                <w:szCs w:val="21"/>
                <w:color w:val="auto"/>
                <w:vertAlign w:val="superscript"/>
              </w:rPr>
              <w:t>(1)</w:t>
            </w:r>
          </w:p>
        </w:tc>
        <w:tc>
          <w:tcPr>
            <w:tcW w:w="1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line="216" w:lineRule="exact"/>
              <w:rPr>
                <w:sz w:val="20"/>
                <w:szCs w:val="20"/>
                <w:color w:val="auto"/>
              </w:rPr>
            </w:pPr>
            <w:r>
              <w:rPr>
                <w:rFonts w:ascii="Arial" w:cs="Arial" w:eastAsia="Arial" w:hAnsi="Arial"/>
                <w:sz w:val="14"/>
                <w:szCs w:val="14"/>
                <w:color w:val="auto"/>
              </w:rPr>
              <w:t>Eli Casdin</w:t>
            </w:r>
            <w:r>
              <w:rPr>
                <w:rFonts w:ascii="Arial" w:cs="Arial" w:eastAsia="Arial" w:hAnsi="Arial"/>
                <w:sz w:val="21"/>
                <w:szCs w:val="21"/>
                <w:color w:val="auto"/>
                <w:vertAlign w:val="superscript"/>
              </w:rPr>
              <w:t>(1)</w:t>
            </w:r>
          </w:p>
        </w:tc>
        <w:tc>
          <w:tcPr>
            <w:tcW w:w="19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Juergen Eckhardt</w:t>
            </w:r>
          </w:p>
        </w:tc>
        <w:tc>
          <w:tcPr>
            <w:tcW w:w="1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400" w:type="dxa"/>
            <w:vAlign w:val="bottom"/>
            <w:gridSpan w:val="2"/>
          </w:tcPr>
          <w:p>
            <w:pPr>
              <w:spacing w:after="0"/>
              <w:rPr>
                <w:sz w:val="20"/>
                <w:szCs w:val="20"/>
                <w:color w:val="auto"/>
              </w:rPr>
            </w:pPr>
            <w:r>
              <w:rPr>
                <w:rFonts w:ascii="Arial" w:cs="Arial" w:eastAsia="Arial" w:hAnsi="Arial"/>
                <w:sz w:val="14"/>
                <w:szCs w:val="14"/>
                <w:color w:val="auto"/>
              </w:rPr>
              <w:t>Joseph Jimenez</w:t>
            </w:r>
          </w:p>
        </w:tc>
        <w:tc>
          <w:tcPr>
            <w:tcW w:w="19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21590</wp:posOffset>
            </wp:positionV>
            <wp:extent cx="416560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165600" cy="6985"/>
                    </a:xfrm>
                    <a:prstGeom prst="rect">
                      <a:avLst/>
                    </a:prstGeom>
                    <a:noFill/>
                  </pic:spPr>
                </pic:pic>
              </a:graphicData>
            </a:graphic>
          </wp:anchor>
        </w:drawing>
      </w:r>
    </w:p>
    <w:p>
      <w:pPr>
        <w:spacing w:after="0" w:line="78" w:lineRule="exact"/>
        <w:rPr>
          <w:sz w:val="20"/>
          <w:szCs w:val="20"/>
          <w:color w:val="auto"/>
        </w:rPr>
      </w:pPr>
    </w:p>
    <w:p>
      <w:pPr>
        <w:ind w:left="1220"/>
        <w:spacing w:after="0"/>
        <w:tabs>
          <w:tab w:leader="none" w:pos="1440" w:val="left"/>
        </w:tabs>
        <w:rPr>
          <w:sz w:val="20"/>
          <w:szCs w:val="20"/>
          <w:color w:val="auto"/>
        </w:rPr>
      </w:pPr>
      <w:r>
        <w:rPr>
          <w:rFonts w:ascii="Arial" w:cs="Arial" w:eastAsia="Arial" w:hAnsi="Arial"/>
          <w:sz w:val="11"/>
          <w:szCs w:val="11"/>
          <w:color w:val="auto"/>
        </w:rPr>
        <w:t>(1)</w:t>
        <w:tab/>
        <w:t>Cynthia Butitta and Eli Casdin joined our board of directors in February 2021.</w:t>
      </w:r>
    </w:p>
    <w:p>
      <w:pPr>
        <w:spacing w:after="0" w:line="14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2021 Letter agreements with Ms. Butitta and Mr. Jimenez</w:t>
      </w:r>
    </w:p>
    <w:p>
      <w:pPr>
        <w:spacing w:after="0" w:line="144" w:lineRule="exact"/>
        <w:rPr>
          <w:sz w:val="20"/>
          <w:szCs w:val="20"/>
          <w:color w:val="auto"/>
        </w:rPr>
      </w:pPr>
    </w:p>
    <w:p>
      <w:pPr>
        <w:ind w:left="1220" w:right="1239"/>
        <w:spacing w:after="0" w:line="278" w:lineRule="auto"/>
        <w:rPr>
          <w:sz w:val="20"/>
          <w:szCs w:val="20"/>
          <w:color w:val="auto"/>
        </w:rPr>
      </w:pPr>
      <w:r>
        <w:rPr>
          <w:rFonts w:ascii="Arial" w:cs="Arial" w:eastAsia="Arial" w:hAnsi="Arial"/>
          <w:sz w:val="14"/>
          <w:szCs w:val="14"/>
          <w:color w:val="auto"/>
        </w:rPr>
        <w:t>In February 2021, in connection with our Series C Financing, we entered into letter agreements with Ms. Butitta and Mr. Jimenez regarding their service as members of our board of directors and their compensation for that service. These letters each contemplate one-time stock option awards and annual cash retainers.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71" w:name="page172"/>
    <w:bookmarkEnd w:id="17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The letter agreements provide for the issuance of stock options to purchase 375,465 and 683,601 shares of our common stock to Ms. Butitta and Mr. Jimenez, respectively. In each case, the exercise price of this options is equal to the fair market value per share of common stock on the grant date, as determined by our board of directors. Each of these options will vest as follows: 25% on the first anniversary of the grant date and the remaining 75% in 36 equal monthly installments thereafter, subject to full acceleration upon the occurrence of a Sale Event (as defined in the 2018 Plan). In each case, vesting is subject to the grantee’s continuous service through each applicable vesting date of event.</w:t>
      </w:r>
    </w:p>
    <w:p>
      <w:pPr>
        <w:spacing w:after="0" w:line="268" w:lineRule="exact"/>
        <w:rPr>
          <w:sz w:val="20"/>
          <w:szCs w:val="20"/>
          <w:color w:val="auto"/>
        </w:rPr>
      </w:pPr>
    </w:p>
    <w:p>
      <w:pPr>
        <w:ind w:left="1220" w:right="1239"/>
        <w:spacing w:after="0" w:line="262" w:lineRule="auto"/>
        <w:rPr>
          <w:sz w:val="20"/>
          <w:szCs w:val="20"/>
          <w:color w:val="auto"/>
        </w:rPr>
      </w:pPr>
      <w:r>
        <w:rPr>
          <w:rFonts w:ascii="Arial" w:cs="Arial" w:eastAsia="Arial" w:hAnsi="Arial"/>
          <w:sz w:val="14"/>
          <w:szCs w:val="14"/>
          <w:color w:val="auto"/>
        </w:rPr>
        <w:t>The letter agreements also provide that we will pay annual cash retainers of $25,000 and $50,000 to Ms. Butitta and Mr. Jimenez, respectively. These annual retainers will be paid in quarterly installments. Following the completion of this offering, these annual cash retainers will be superseded by the compensation payable under the Non-Employee Director Compensation Policy described below.</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Non-employee director compensation policy</w:t>
      </w:r>
    </w:p>
    <w:p>
      <w:pPr>
        <w:spacing w:after="0" w:line="122" w:lineRule="exact"/>
        <w:rPr>
          <w:sz w:val="20"/>
          <w:szCs w:val="20"/>
          <w:color w:val="auto"/>
        </w:rPr>
      </w:pPr>
    </w:p>
    <w:p>
      <w:pPr>
        <w:ind w:left="1220" w:right="1379"/>
        <w:spacing w:after="0" w:line="265" w:lineRule="auto"/>
        <w:rPr>
          <w:sz w:val="20"/>
          <w:szCs w:val="20"/>
          <w:color w:val="auto"/>
        </w:rPr>
      </w:pPr>
      <w:r>
        <w:rPr>
          <w:rFonts w:ascii="Arial" w:cs="Arial" w:eastAsia="Arial" w:hAnsi="Arial"/>
          <w:sz w:val="14"/>
          <w:szCs w:val="14"/>
          <w:color w:val="auto"/>
        </w:rPr>
        <w:t>Our board of directors intends to adopt a non-employee director compensation policy, to be effective immediately prior to closing of this offering. The below table depicts this non-employee director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93345</wp:posOffset>
            </wp:positionV>
            <wp:extent cx="4165600" cy="139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56"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Compensation Elements: Non-Employee Director Compensation Policy</w:t>
      </w:r>
    </w:p>
    <w:p>
      <w:pPr>
        <w:spacing w:after="0" w:line="30"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-96520</wp:posOffset>
            </wp:positionV>
            <wp:extent cx="4165600" cy="1301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165600" cy="130175"/>
                    </a:xfrm>
                    <a:prstGeom prst="rect">
                      <a:avLst/>
                    </a:prstGeom>
                    <a:noFill/>
                  </pic:spPr>
                </pic:pic>
              </a:graphicData>
            </a:graphic>
          </wp:anchor>
        </w:drawing>
      </w:r>
    </w:p>
    <w:p>
      <w:pPr>
        <w:spacing w:after="0" w:line="42" w:lineRule="exact"/>
        <w:rPr>
          <w:sz w:val="20"/>
          <w:szCs w:val="20"/>
          <w:color w:val="auto"/>
        </w:rPr>
      </w:pPr>
    </w:p>
    <w:tbl>
      <w:tblPr>
        <w:tblLayout w:type="fixed"/>
        <w:tblInd w:w="122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Annual Retainer</w:t>
            </w:r>
          </w:p>
        </w:tc>
        <w:tc>
          <w:tcPr>
            <w:tcW w:w="228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Annual Committee Chair Retainer</w:t>
            </w:r>
          </w:p>
        </w:tc>
        <w:tc>
          <w:tcPr>
            <w:tcW w:w="2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Audit</w:t>
            </w:r>
          </w:p>
        </w:tc>
        <w:tc>
          <w:tcPr>
            <w:tcW w:w="228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Compensation</w:t>
            </w:r>
          </w:p>
        </w:tc>
        <w:tc>
          <w:tcPr>
            <w:tcW w:w="2280" w:type="dxa"/>
            <w:vAlign w:val="bottom"/>
            <w:tcBorders>
              <w:bottom w:val="single" w:sz="8" w:color="CCEEFF"/>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Nominating and Corporate Governance</w:t>
            </w:r>
          </w:p>
        </w:tc>
        <w:tc>
          <w:tcPr>
            <w:tcW w:w="228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Annual Committee Member Retainer</w:t>
            </w:r>
          </w:p>
        </w:tc>
        <w:tc>
          <w:tcPr>
            <w:tcW w:w="2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Audit</w:t>
            </w:r>
          </w:p>
        </w:tc>
        <w:tc>
          <w:tcPr>
            <w:tcW w:w="228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Compensation</w:t>
            </w:r>
          </w:p>
        </w:tc>
        <w:tc>
          <w:tcPr>
            <w:tcW w:w="2280" w:type="dxa"/>
            <w:vAlign w:val="bottom"/>
            <w:tcBorders>
              <w:bottom w:val="single" w:sz="8" w:color="CCEEFF"/>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Nominating and Corporate Governance</w:t>
            </w:r>
          </w:p>
        </w:tc>
        <w:tc>
          <w:tcPr>
            <w:tcW w:w="228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Equity</w:t>
            </w:r>
          </w:p>
        </w:tc>
        <w:tc>
          <w:tcPr>
            <w:tcW w:w="2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tcPr>
          <w:p>
            <w:pPr>
              <w:ind w:left="120"/>
              <w:spacing w:after="0"/>
              <w:rPr>
                <w:sz w:val="20"/>
                <w:szCs w:val="20"/>
                <w:color w:val="auto"/>
              </w:rPr>
            </w:pPr>
            <w:r>
              <w:rPr>
                <w:rFonts w:ascii="Arial" w:cs="Arial" w:eastAsia="Arial" w:hAnsi="Arial"/>
                <w:sz w:val="14"/>
                <w:szCs w:val="14"/>
                <w:color w:val="auto"/>
              </w:rPr>
              <w:t>Initial Equity Grant</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Annual Equity Retainer</w:t>
            </w:r>
          </w:p>
        </w:tc>
        <w:tc>
          <w:tcPr>
            <w:tcW w:w="22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1220" w:right="1319"/>
        <w:spacing w:after="0" w:line="262" w:lineRule="auto"/>
        <w:rPr>
          <w:sz w:val="20"/>
          <w:szCs w:val="20"/>
          <w:color w:val="auto"/>
        </w:rPr>
      </w:pPr>
      <w:r>
        <w:rPr>
          <w:rFonts w:ascii="Arial" w:cs="Arial" w:eastAsia="Arial" w:hAnsi="Arial"/>
          <w:sz w:val="14"/>
          <w:szCs w:val="14"/>
          <w:color w:val="auto"/>
        </w:rPr>
        <w:t>Each annual cash retainer will be paid quarterly in arrears. Our board of directors may, in its discretion, permit a non-employee director to elect to receive any portion of the annual cash retainer in the form of fully vested shares of common stock in lieu of cash. All equity awards granted under the non-employee director compensation policy will be granted under, and subject to the terms of, the 2021 Plan.</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Code of business conduct and ethics</w:t>
      </w:r>
    </w:p>
    <w:p>
      <w:pPr>
        <w:spacing w:after="0" w:line="122"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In connection with this offering, our board of directors will adopt a written code of business conduct and ethics that will apply to all of our directors, officers, and employees. The code of business conduct and ethics will cover fundamental ethics and compliance-related principles and practices such as accurate accounting records and financial reporting, avoiding conflicts of interest, the protection and use of our property and information, and compliance with legal and regulatory requirements. Our code of business conduct and ethics will be posted on the investor relations section of our website at www.centurytx.com. We intend to disclose any amendments to our code of business conduct and ethics, or waivers of its requirements, on our website to the extent required by the applicable rules and exchange requirements.</w:t>
      </w:r>
    </w:p>
    <w:p>
      <w:pPr>
        <w:spacing w:after="0" w:line="31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Limitation on liability and indemnification matters</w:t>
      </w:r>
    </w:p>
    <w:p>
      <w:pPr>
        <w:spacing w:after="0" w:line="122" w:lineRule="exact"/>
        <w:rPr>
          <w:sz w:val="20"/>
          <w:szCs w:val="20"/>
          <w:color w:val="auto"/>
        </w:rPr>
      </w:pPr>
    </w:p>
    <w:p>
      <w:pPr>
        <w:ind w:left="1220" w:right="1299"/>
        <w:spacing w:after="0" w:line="265" w:lineRule="auto"/>
        <w:rPr>
          <w:sz w:val="20"/>
          <w:szCs w:val="20"/>
          <w:color w:val="auto"/>
        </w:rPr>
      </w:pPr>
      <w:r>
        <w:rPr>
          <w:rFonts w:ascii="Arial" w:cs="Arial" w:eastAsia="Arial" w:hAnsi="Arial"/>
          <w:sz w:val="14"/>
          <w:szCs w:val="14"/>
          <w:color w:val="auto"/>
        </w:rPr>
        <w:t>Our second amended and restated certificate of incorporation and our amended and restated bylaws, which will each become effective immediately prior to the closing of this offering, will limit our directors’ liability and may</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72" w:name="page173"/>
    <w:bookmarkEnd w:id="17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479"/>
        <w:spacing w:after="0" w:line="281" w:lineRule="auto"/>
        <w:rPr>
          <w:sz w:val="20"/>
          <w:szCs w:val="20"/>
          <w:color w:val="auto"/>
        </w:rPr>
      </w:pPr>
      <w:r>
        <w:rPr>
          <w:rFonts w:ascii="Arial" w:cs="Arial" w:eastAsia="Arial" w:hAnsi="Arial"/>
          <w:sz w:val="14"/>
          <w:szCs w:val="14"/>
          <w:color w:val="auto"/>
        </w:rPr>
        <w:t>indemnify our directors and officers to the fullest extent permitted under the DGCL. The DGCL provides that directors of a corporation will not be personally liable for monetary damages for breach of their fiduciary duties as directors, except for liability for any:</w:t>
      </w:r>
    </w:p>
    <w:p>
      <w:pPr>
        <w:spacing w:after="0" w:line="71" w:lineRule="exact"/>
        <w:rPr>
          <w:sz w:val="20"/>
          <w:szCs w:val="20"/>
          <w:color w:val="auto"/>
        </w:rPr>
      </w:pPr>
    </w:p>
    <w:p>
      <w:pPr>
        <w:ind w:left="1340" w:hanging="116"/>
        <w:spacing w:after="0"/>
        <w:tabs>
          <w:tab w:leader="none" w:pos="1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any breach of the director’s duty of loyalty to us or our stockholders;</w:t>
      </w:r>
    </w:p>
    <w:p>
      <w:pPr>
        <w:spacing w:after="0" w:line="108" w:lineRule="exact"/>
        <w:rPr>
          <w:rFonts w:ascii="Arial" w:cs="Arial" w:eastAsia="Arial" w:hAnsi="Arial"/>
          <w:sz w:val="14"/>
          <w:szCs w:val="14"/>
          <w:color w:val="auto"/>
        </w:rPr>
      </w:pPr>
    </w:p>
    <w:p>
      <w:pPr>
        <w:ind w:left="1340" w:right="1239" w:hanging="116"/>
        <w:spacing w:after="0" w:line="265" w:lineRule="auto"/>
        <w:tabs>
          <w:tab w:leader="none" w:pos="1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act or omission not in good faith or that involves intentional misconduct or a knowing violation of law;</w:t>
      </w:r>
    </w:p>
    <w:p>
      <w:pPr>
        <w:spacing w:after="0" w:line="275" w:lineRule="exact"/>
        <w:rPr>
          <w:rFonts w:ascii="Arial" w:cs="Arial" w:eastAsia="Arial" w:hAnsi="Arial"/>
          <w:sz w:val="14"/>
          <w:szCs w:val="14"/>
          <w:color w:val="auto"/>
        </w:rPr>
      </w:pPr>
    </w:p>
    <w:p>
      <w:pPr>
        <w:ind w:left="1340" w:right="1559" w:hanging="116"/>
        <w:spacing w:after="0" w:line="290" w:lineRule="auto"/>
        <w:tabs>
          <w:tab w:leader="none" w:pos="1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unlawful payment of dividends or unlawful stock repurchases or redemptions as provided in Section 174 of the DGCL; or</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any transaction from which the director derived an improper benefit.</w:t>
      </w:r>
    </w:p>
    <w:p>
      <w:pPr>
        <w:spacing w:after="0" w:line="130" w:lineRule="exact"/>
        <w:rPr>
          <w:sz w:val="20"/>
          <w:szCs w:val="20"/>
          <w:color w:val="auto"/>
        </w:rPr>
      </w:pPr>
    </w:p>
    <w:p>
      <w:pPr>
        <w:ind w:left="1220" w:right="1319"/>
        <w:spacing w:after="0" w:line="281" w:lineRule="auto"/>
        <w:rPr>
          <w:sz w:val="20"/>
          <w:szCs w:val="20"/>
          <w:color w:val="auto"/>
        </w:rPr>
      </w:pPr>
      <w:r>
        <w:rPr>
          <w:rFonts w:ascii="Arial" w:cs="Arial" w:eastAsia="Arial" w:hAnsi="Arial"/>
          <w:sz w:val="14"/>
          <w:szCs w:val="14"/>
          <w:color w:val="auto"/>
        </w:rPr>
        <w:t>The DGCL and our amended and restated bylaws provide that we will, in certain situations, indemnify our directors and officers and may indemnify other employees and other agents, to the fullest extent permitted by law.</w:t>
      </w:r>
    </w:p>
    <w:p>
      <w:pPr>
        <w:spacing w:after="0" w:line="103"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We have entered or intend to enter into indemnification agreements with each of our directors and officers. These indemnification agreements may require us, among other things, to indemnify our directors and officers for some expenses, including attorneys’ fees, judgments, penalties, fines, and settlement amounts incurred by a director or officer in any action or proceeding arising out of his or her service as one of our directors or officers, or any of our subsidiaries or any other company or enterprise to which the person provides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288" w:lineRule="exact"/>
        <w:rPr>
          <w:sz w:val="20"/>
          <w:szCs w:val="20"/>
          <w:color w:val="auto"/>
        </w:rPr>
      </w:pPr>
    </w:p>
    <w:p>
      <w:pPr>
        <w:ind w:left="1220" w:right="1259"/>
        <w:spacing w:after="0" w:line="277" w:lineRule="auto"/>
        <w:rPr>
          <w:sz w:val="20"/>
          <w:szCs w:val="20"/>
          <w:color w:val="auto"/>
        </w:rPr>
      </w:pPr>
      <w:r>
        <w:rPr>
          <w:rFonts w:ascii="Arial" w:cs="Arial" w:eastAsia="Arial" w:hAnsi="Arial"/>
          <w:sz w:val="14"/>
          <w:szCs w:val="14"/>
          <w:color w:val="auto"/>
        </w:rPr>
        <w:t>We maintain a directors’ and officers’ insurance policy pursuant to which our directors and officers are insured against liability for actions taken in their capacities as directors and officers. We believe that these provisions in our second amended and restated certificate of incorporation and amended and restated bylaws and these indemnification agreements are necessary to attract and retain qualified persons as directors and officers.</w:t>
      </w:r>
    </w:p>
    <w:p>
      <w:pPr>
        <w:spacing w:after="0" w:line="96" w:lineRule="exact"/>
        <w:rPr>
          <w:sz w:val="20"/>
          <w:szCs w:val="20"/>
          <w:color w:val="auto"/>
        </w:rPr>
      </w:pPr>
    </w:p>
    <w:p>
      <w:pPr>
        <w:ind w:left="1220" w:right="1339"/>
        <w:spacing w:after="0" w:line="276" w:lineRule="auto"/>
        <w:rPr>
          <w:sz w:val="20"/>
          <w:szCs w:val="20"/>
          <w:color w:val="auto"/>
        </w:rPr>
      </w:pPr>
      <w:r>
        <w:rPr>
          <w:rFonts w:ascii="Arial" w:cs="Arial" w:eastAsia="Arial" w:hAnsi="Arial"/>
          <w:sz w:val="14"/>
          <w:szCs w:val="14"/>
          <w:color w:val="auto"/>
        </w:rPr>
        <w:t>The limitation of liability and indemnification provisions in our second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 awards against directors and officers as required by these indemnification provisions.</w:t>
      </w:r>
    </w:p>
    <w:p>
      <w:pPr>
        <w:spacing w:after="0" w:line="107" w:lineRule="exact"/>
        <w:rPr>
          <w:sz w:val="20"/>
          <w:szCs w:val="20"/>
          <w:color w:val="auto"/>
        </w:rPr>
      </w:pPr>
    </w:p>
    <w:p>
      <w:pPr>
        <w:jc w:val="both"/>
        <w:ind w:left="1220" w:right="1379"/>
        <w:spacing w:after="0" w:line="281" w:lineRule="auto"/>
        <w:rPr>
          <w:sz w:val="20"/>
          <w:szCs w:val="20"/>
          <w:color w:val="auto"/>
        </w:rPr>
      </w:pPr>
      <w:r>
        <w:rPr>
          <w:rFonts w:ascii="Arial" w:cs="Arial" w:eastAsia="Arial" w:hAnsi="Arial"/>
          <w:sz w:val="14"/>
          <w:szCs w:val="14"/>
          <w:color w:val="auto"/>
        </w:rPr>
        <w:t>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03" w:lineRule="exact"/>
        <w:rPr>
          <w:sz w:val="20"/>
          <w:szCs w:val="20"/>
          <w:color w:val="auto"/>
        </w:rPr>
      </w:pPr>
    </w:p>
    <w:p>
      <w:pPr>
        <w:ind w:left="1220" w:right="1459"/>
        <w:spacing w:after="0" w:line="281"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73" w:name="page174"/>
    <w:bookmarkEnd w:id="17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Executive compensation</w:t>
      </w:r>
    </w:p>
    <w:p>
      <w:pPr>
        <w:spacing w:after="0" w:line="133" w:lineRule="exact"/>
        <w:rPr>
          <w:sz w:val="20"/>
          <w:szCs w:val="20"/>
          <w:color w:val="auto"/>
        </w:rPr>
      </w:pPr>
    </w:p>
    <w:p>
      <w:pPr>
        <w:ind w:left="1220" w:right="1319"/>
        <w:spacing w:after="0" w:line="306" w:lineRule="auto"/>
        <w:rPr>
          <w:sz w:val="20"/>
          <w:szCs w:val="20"/>
          <w:color w:val="auto"/>
        </w:rPr>
      </w:pPr>
      <w:r>
        <w:rPr>
          <w:rFonts w:ascii="Arial" w:cs="Arial" w:eastAsia="Arial" w:hAnsi="Arial"/>
          <w:sz w:val="14"/>
          <w:szCs w:val="14"/>
          <w:color w:val="auto"/>
        </w:rPr>
        <w:t>Our named executive officers, or NEOs, for the year ended December 31, 2020, which consist of our principal executive officer and our two most highly compensated executive officers, are:</w:t>
      </w:r>
    </w:p>
    <w:p>
      <w:pPr>
        <w:spacing w:after="0" w:line="75" w:lineRule="exact"/>
        <w:rPr>
          <w:sz w:val="20"/>
          <w:szCs w:val="20"/>
          <w:color w:val="auto"/>
        </w:rPr>
      </w:pPr>
    </w:p>
    <w:p>
      <w:pPr>
        <w:ind w:left="1340" w:hanging="116"/>
        <w:spacing w:after="0"/>
        <w:tabs>
          <w:tab w:leader="none" w:pos="1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Dr. Osvaldo Flores, our President and Chief Executive Officer;</w:t>
      </w:r>
    </w:p>
    <w:p>
      <w:pPr>
        <w:spacing w:after="0" w:line="141" w:lineRule="exact"/>
        <w:rPr>
          <w:rFonts w:ascii="Arial" w:cs="Arial" w:eastAsia="Arial" w:hAnsi="Arial"/>
          <w:sz w:val="14"/>
          <w:szCs w:val="14"/>
          <w:color w:val="auto"/>
        </w:rPr>
      </w:pPr>
    </w:p>
    <w:p>
      <w:pPr>
        <w:ind w:left="1340" w:hanging="116"/>
        <w:spacing w:after="0"/>
        <w:tabs>
          <w:tab w:leader="none" w:pos="1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Dr. Hyam Levitsky, our President of Research and Development; and</w:t>
      </w:r>
    </w:p>
    <w:p>
      <w:pPr>
        <w:spacing w:after="0" w:line="130" w:lineRule="exact"/>
        <w:rPr>
          <w:rFonts w:ascii="Arial" w:cs="Arial" w:eastAsia="Arial" w:hAnsi="Arial"/>
          <w:sz w:val="14"/>
          <w:szCs w:val="14"/>
          <w:color w:val="auto"/>
        </w:rPr>
      </w:pPr>
    </w:p>
    <w:p>
      <w:pPr>
        <w:ind w:left="1340" w:hanging="116"/>
        <w:spacing w:after="0"/>
        <w:tabs>
          <w:tab w:leader="none" w:pos="1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Dr. Michael Diem, our Chief Business Officer.</w:t>
      </w:r>
    </w:p>
    <w:p>
      <w:pPr>
        <w:spacing w:after="0" w:line="15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Summary compensation table</w:t>
      </w:r>
    </w:p>
    <w:p>
      <w:pPr>
        <w:spacing w:after="0" w:line="144" w:lineRule="exact"/>
        <w:rPr>
          <w:sz w:val="20"/>
          <w:szCs w:val="20"/>
          <w:color w:val="auto"/>
        </w:rPr>
      </w:pPr>
    </w:p>
    <w:p>
      <w:pPr>
        <w:ind w:left="1220" w:right="1299"/>
        <w:spacing w:after="0" w:line="306" w:lineRule="auto"/>
        <w:rPr>
          <w:sz w:val="20"/>
          <w:szCs w:val="20"/>
          <w:color w:val="auto"/>
        </w:rPr>
      </w:pPr>
      <w:r>
        <w:rPr>
          <w:rFonts w:ascii="Arial" w:cs="Arial" w:eastAsia="Arial" w:hAnsi="Arial"/>
          <w:sz w:val="14"/>
          <w:szCs w:val="14"/>
          <w:color w:val="auto"/>
        </w:rPr>
        <w:t>The following table provides information regarding the compensation earned by our NEOs for the year ended December 31, 2020.</w:t>
      </w:r>
    </w:p>
    <w:p>
      <w:pPr>
        <w:spacing w:after="0" w:line="110"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16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Non-equity</w:t>
            </w:r>
          </w:p>
        </w:tc>
        <w:tc>
          <w:tcPr>
            <w:tcW w:w="9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r>
      <w:tr>
        <w:trPr>
          <w:trHeight w:val="151"/>
        </w:trPr>
        <w:tc>
          <w:tcPr>
            <w:tcW w:w="1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Option</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incentive plan</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All other</w:t>
            </w:r>
          </w:p>
        </w:tc>
        <w:tc>
          <w:tcPr>
            <w:tcW w:w="660" w:type="dxa"/>
            <w:vAlign w:val="bottom"/>
          </w:tcPr>
          <w:p>
            <w:pPr>
              <w:spacing w:after="0"/>
              <w:rPr>
                <w:sz w:val="13"/>
                <w:szCs w:val="13"/>
                <w:color w:val="auto"/>
              </w:rPr>
            </w:pPr>
          </w:p>
        </w:tc>
      </w:tr>
      <w:tr>
        <w:trPr>
          <w:trHeight w:val="144"/>
        </w:trPr>
        <w:tc>
          <w:tcPr>
            <w:tcW w:w="1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Salary</w:t>
            </w:r>
          </w:p>
        </w:tc>
        <w:tc>
          <w:tcPr>
            <w:tcW w:w="5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Bonus</w:t>
            </w:r>
          </w:p>
        </w:tc>
        <w:tc>
          <w:tcPr>
            <w:tcW w:w="154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rPr>
              <w:t>awards compensation</w:t>
            </w:r>
          </w:p>
        </w:tc>
        <w:tc>
          <w:tcPr>
            <w:tcW w:w="9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compensation</w:t>
            </w:r>
          </w:p>
        </w:tc>
        <w:tc>
          <w:tcPr>
            <w:tcW w:w="6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Total</w:t>
            </w:r>
          </w:p>
        </w:tc>
      </w:tr>
      <w:tr>
        <w:trPr>
          <w:trHeight w:val="205"/>
        </w:trPr>
        <w:tc>
          <w:tcPr>
            <w:tcW w:w="22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Name and principal position Year</w:t>
            </w:r>
          </w:p>
        </w:tc>
        <w:tc>
          <w:tcPr>
            <w:tcW w:w="6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(1)</w:t>
            </w:r>
          </w:p>
        </w:tc>
        <w:tc>
          <w:tcPr>
            <w:tcW w:w="9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r>
      <w:tr>
        <w:trPr>
          <w:trHeight w:val="165"/>
        </w:trPr>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Osvaldo Flores, Ph.D.</w:t>
            </w:r>
          </w:p>
        </w:tc>
        <w:tc>
          <w:tcPr>
            <w:tcW w:w="114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2020 461,250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741,750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185,400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1,390,650</w:t>
            </w:r>
          </w:p>
        </w:tc>
      </w:tr>
      <w:tr>
        <w:trPr>
          <w:trHeight w:val="158"/>
        </w:trPr>
        <w:tc>
          <w:tcPr>
            <w:tcW w:w="1660" w:type="dxa"/>
            <w:vAlign w:val="bottom"/>
          </w:tcPr>
          <w:p>
            <w:pPr>
              <w:ind w:left="140"/>
              <w:spacing w:after="0" w:line="158" w:lineRule="exact"/>
              <w:rPr>
                <w:sz w:val="20"/>
                <w:szCs w:val="20"/>
                <w:color w:val="auto"/>
              </w:rPr>
            </w:pPr>
            <w:r>
              <w:rPr>
                <w:rFonts w:ascii="Arial" w:cs="Arial" w:eastAsia="Arial" w:hAnsi="Arial"/>
                <w:sz w:val="14"/>
                <w:szCs w:val="14"/>
                <w:i w:val="1"/>
                <w:iCs w:val="1"/>
                <w:color w:val="auto"/>
              </w:rPr>
              <w:t>President and Chief</w:t>
            </w: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6"/>
        </w:trPr>
        <w:tc>
          <w:tcPr>
            <w:tcW w:w="1660" w:type="dxa"/>
            <w:vAlign w:val="bottom"/>
          </w:tcPr>
          <w:p>
            <w:pPr>
              <w:ind w:left="140"/>
              <w:spacing w:after="0"/>
              <w:rPr>
                <w:sz w:val="20"/>
                <w:szCs w:val="20"/>
                <w:color w:val="auto"/>
              </w:rPr>
            </w:pPr>
            <w:r>
              <w:rPr>
                <w:rFonts w:ascii="Arial" w:cs="Arial" w:eastAsia="Arial" w:hAnsi="Arial"/>
                <w:sz w:val="14"/>
                <w:szCs w:val="14"/>
                <w:i w:val="1"/>
                <w:iCs w:val="1"/>
                <w:color w:val="auto"/>
              </w:rPr>
              <w:t>Executive Officer</w:t>
            </w: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4"/>
        </w:trPr>
        <w:tc>
          <w:tcPr>
            <w:tcW w:w="16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85"/>
        </w:trPr>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Hyam Levitsky</w:t>
            </w:r>
          </w:p>
        </w:tc>
        <w:tc>
          <w:tcPr>
            <w:tcW w:w="1140" w:type="dxa"/>
            <w:vAlign w:val="bottom"/>
            <w:tcBorders>
              <w:bottom w:val="single" w:sz="8" w:color="CCEEFF"/>
            </w:tcBorders>
            <w:gridSpan w:val="2"/>
            <w:shd w:val="clear" w:color="auto" w:fill="CCEEFF"/>
          </w:tcPr>
          <w:p>
            <w:pPr>
              <w:jc w:val="right"/>
              <w:ind w:right="35"/>
              <w:spacing w:after="0"/>
              <w:rPr>
                <w:sz w:val="20"/>
                <w:szCs w:val="20"/>
                <w:color w:val="auto"/>
              </w:rPr>
            </w:pPr>
            <w:r>
              <w:rPr>
                <w:rFonts w:ascii="Arial" w:cs="Arial" w:eastAsia="Arial" w:hAnsi="Arial"/>
                <w:sz w:val="14"/>
                <w:szCs w:val="14"/>
                <w:color w:val="auto"/>
              </w:rPr>
              <w:t>2020 384,375</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115,875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502,125</w:t>
            </w:r>
          </w:p>
        </w:tc>
      </w:tr>
      <w:tr>
        <w:trPr>
          <w:trHeight w:val="183"/>
        </w:trPr>
        <w:tc>
          <w:tcPr>
            <w:tcW w:w="1660" w:type="dxa"/>
            <w:vAlign w:val="bottom"/>
          </w:tcPr>
          <w:p>
            <w:pPr>
              <w:ind w:left="140"/>
              <w:spacing w:after="0"/>
              <w:rPr>
                <w:sz w:val="20"/>
                <w:szCs w:val="20"/>
                <w:color w:val="auto"/>
              </w:rPr>
            </w:pPr>
            <w:r>
              <w:rPr>
                <w:rFonts w:ascii="Arial" w:cs="Arial" w:eastAsia="Arial" w:hAnsi="Arial"/>
                <w:sz w:val="14"/>
                <w:szCs w:val="14"/>
                <w:i w:val="1"/>
                <w:iCs w:val="1"/>
                <w:color w:val="auto"/>
              </w:rPr>
              <w:t>President of R&amp;D</w:t>
            </w: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37"/>
        </w:trPr>
        <w:tc>
          <w:tcPr>
            <w:tcW w:w="1660" w:type="dxa"/>
            <w:vAlign w:val="bottom"/>
          </w:tcPr>
          <w:p>
            <w:pPr>
              <w:spacing w:after="0"/>
              <w:rPr>
                <w:sz w:val="20"/>
                <w:szCs w:val="20"/>
                <w:color w:val="auto"/>
              </w:rPr>
            </w:pPr>
            <w:r>
              <w:rPr>
                <w:rFonts w:ascii="Arial" w:cs="Arial" w:eastAsia="Arial" w:hAnsi="Arial"/>
                <w:sz w:val="14"/>
                <w:szCs w:val="14"/>
                <w:color w:val="auto"/>
              </w:rPr>
              <w:t>Michael Diem</w:t>
            </w:r>
          </w:p>
        </w:tc>
        <w:tc>
          <w:tcPr>
            <w:tcW w:w="2280" w:type="dxa"/>
            <w:vAlign w:val="bottom"/>
            <w:gridSpan w:val="4"/>
          </w:tcPr>
          <w:p>
            <w:pPr>
              <w:jc w:val="right"/>
              <w:spacing w:after="0" w:line="237" w:lineRule="exact"/>
              <w:rPr>
                <w:sz w:val="20"/>
                <w:szCs w:val="20"/>
                <w:color w:val="auto"/>
              </w:rPr>
            </w:pPr>
            <w:r>
              <w:rPr>
                <w:rFonts w:ascii="Arial" w:cs="Arial" w:eastAsia="Arial" w:hAnsi="Arial"/>
                <w:sz w:val="14"/>
                <w:szCs w:val="14"/>
                <w:color w:val="auto"/>
              </w:rPr>
              <w:t>2020 123,958 125,000</w:t>
            </w:r>
            <w:r>
              <w:rPr>
                <w:rFonts w:ascii="Arial" w:cs="Arial" w:eastAsia="Arial" w:hAnsi="Arial"/>
                <w:sz w:val="21"/>
                <w:szCs w:val="21"/>
                <w:color w:val="auto"/>
                <w:vertAlign w:val="superscript"/>
              </w:rPr>
              <w:t>(4)</w:t>
            </w:r>
            <w:r>
              <w:rPr>
                <w:rFonts w:ascii="Arial" w:cs="Arial" w:eastAsia="Arial" w:hAnsi="Arial"/>
                <w:sz w:val="14"/>
                <w:szCs w:val="14"/>
                <w:color w:val="auto"/>
              </w:rPr>
              <w:t>644,258</w:t>
            </w:r>
          </w:p>
        </w:tc>
        <w:tc>
          <w:tcPr>
            <w:tcW w:w="980" w:type="dxa"/>
            <w:vAlign w:val="bottom"/>
          </w:tcPr>
          <w:p>
            <w:pPr>
              <w:jc w:val="right"/>
              <w:spacing w:after="0"/>
              <w:rPr>
                <w:sz w:val="20"/>
                <w:szCs w:val="20"/>
                <w:color w:val="auto"/>
              </w:rPr>
            </w:pPr>
            <w:r>
              <w:rPr>
                <w:rFonts w:ascii="Arial" w:cs="Arial" w:eastAsia="Arial" w:hAnsi="Arial"/>
                <w:sz w:val="14"/>
                <w:szCs w:val="14"/>
                <w:color w:val="auto"/>
              </w:rPr>
              <w:t>49,583</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942,799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-135890</wp:posOffset>
            </wp:positionV>
            <wp:extent cx="416560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165600" cy="137160"/>
                    </a:xfrm>
                    <a:prstGeom prst="rect">
                      <a:avLst/>
                    </a:prstGeom>
                    <a:noFill/>
                  </pic:spPr>
                </pic:pic>
              </a:graphicData>
            </a:graphic>
          </wp:anchor>
        </w:drawing>
      </w:r>
    </w:p>
    <w:p>
      <w:pPr>
        <w:ind w:left="1360"/>
        <w:spacing w:after="0" w:line="209" w:lineRule="auto"/>
        <w:rPr>
          <w:sz w:val="20"/>
          <w:szCs w:val="20"/>
          <w:color w:val="auto"/>
        </w:rPr>
      </w:pPr>
      <w:r>
        <w:rPr>
          <w:rFonts w:ascii="Arial" w:cs="Arial" w:eastAsia="Arial" w:hAnsi="Arial"/>
          <w:sz w:val="14"/>
          <w:szCs w:val="14"/>
          <w:i w:val="1"/>
          <w:iCs w:val="1"/>
          <w:color w:val="auto"/>
        </w:rPr>
        <w:t>Chief Business</w:t>
      </w:r>
    </w:p>
    <w:p>
      <w:pPr>
        <w:ind w:left="1360"/>
        <w:spacing w:after="0"/>
        <w:rPr>
          <w:sz w:val="20"/>
          <w:szCs w:val="20"/>
          <w:color w:val="auto"/>
        </w:rPr>
      </w:pPr>
      <w:r>
        <w:rPr>
          <w:rFonts w:ascii="Arial" w:cs="Arial" w:eastAsia="Arial" w:hAnsi="Arial"/>
          <w:sz w:val="14"/>
          <w:szCs w:val="14"/>
          <w:i w:val="1"/>
          <w:iCs w:val="1"/>
          <w:color w:val="auto"/>
        </w:rPr>
        <w:t>Officer</w:t>
      </w:r>
      <w:r>
        <w:rPr>
          <w:rFonts w:ascii="Arial" w:cs="Arial" w:eastAsia="Arial" w:hAnsi="Arial"/>
          <w:sz w:val="21"/>
          <w:szCs w:val="21"/>
          <w:i w:val="1"/>
          <w:i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18415</wp:posOffset>
            </wp:positionV>
            <wp:extent cx="416560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165600" cy="6985"/>
                    </a:xfrm>
                    <a:prstGeom prst="rect">
                      <a:avLst/>
                    </a:prstGeom>
                    <a:noFill/>
                  </pic:spPr>
                </pic:pic>
              </a:graphicData>
            </a:graphic>
          </wp:anchor>
        </w:drawing>
      </w:r>
    </w:p>
    <w:p>
      <w:pPr>
        <w:spacing w:after="0" w:line="73" w:lineRule="exact"/>
        <w:rPr>
          <w:sz w:val="20"/>
          <w:szCs w:val="20"/>
          <w:color w:val="auto"/>
        </w:rPr>
      </w:pPr>
    </w:p>
    <w:p>
      <w:pPr>
        <w:ind w:left="1220" w:right="1299" w:firstLine="4"/>
        <w:spacing w:after="0" w:line="246" w:lineRule="auto"/>
        <w:tabs>
          <w:tab w:leader="none" w:pos="1458" w:val="left"/>
        </w:tabs>
        <w:numPr>
          <w:ilvl w:val="0"/>
          <w:numId w:val="91"/>
        </w:numPr>
        <w:rPr>
          <w:rFonts w:ascii="Arial" w:cs="Arial" w:eastAsia="Arial" w:hAnsi="Arial"/>
          <w:sz w:val="11"/>
          <w:szCs w:val="11"/>
          <w:color w:val="auto"/>
        </w:rPr>
      </w:pPr>
      <w:r>
        <w:rPr>
          <w:rFonts w:ascii="Arial" w:cs="Arial" w:eastAsia="Arial" w:hAnsi="Arial"/>
          <w:sz w:val="11"/>
          <w:szCs w:val="11"/>
          <w:color w:val="auto"/>
        </w:rPr>
        <w:t>Represents the aggregate grant date fair value of the stock options awarded to the NEO in fiscal year 2020. These values have been determined under the principles used to calculate the value of equity awards for purposes of our financial statements. For a discussion of the assumptions and methodologies used to calculate the amounts referred to above, please see the discussion of option awards contained in Note 14, Stock Based Compensation, to our financial statements included elsewhere in this prospectus. The amounts reported in this column reflect the accounting cost for these stock options and do not correspond to the actual economic value that may be received by the NEO upon exercise of the stock options.</w:t>
      </w:r>
    </w:p>
    <w:p>
      <w:pPr>
        <w:spacing w:after="0" w:line="52" w:lineRule="exact"/>
        <w:rPr>
          <w:rFonts w:ascii="Arial" w:cs="Arial" w:eastAsia="Arial" w:hAnsi="Arial"/>
          <w:sz w:val="11"/>
          <w:szCs w:val="11"/>
          <w:color w:val="auto"/>
        </w:rPr>
      </w:pPr>
    </w:p>
    <w:p>
      <w:pPr>
        <w:ind w:left="1460" w:hanging="236"/>
        <w:spacing w:after="0"/>
        <w:tabs>
          <w:tab w:leader="none" w:pos="1460" w:val="left"/>
        </w:tabs>
        <w:numPr>
          <w:ilvl w:val="0"/>
          <w:numId w:val="91"/>
        </w:numPr>
        <w:rPr>
          <w:rFonts w:ascii="Arial" w:cs="Arial" w:eastAsia="Arial" w:hAnsi="Arial"/>
          <w:sz w:val="11"/>
          <w:szCs w:val="11"/>
          <w:color w:val="auto"/>
        </w:rPr>
      </w:pPr>
      <w:r>
        <w:rPr>
          <w:rFonts w:ascii="Arial" w:cs="Arial" w:eastAsia="Arial" w:hAnsi="Arial"/>
          <w:sz w:val="11"/>
          <w:szCs w:val="11"/>
          <w:color w:val="auto"/>
        </w:rPr>
        <w:t>Amounts shown are cash incentive payments earned in respect of 2020 performance and paid in the first quarter of 2021.</w:t>
      </w:r>
    </w:p>
    <w:p>
      <w:pPr>
        <w:spacing w:after="0" w:line="67" w:lineRule="exact"/>
        <w:rPr>
          <w:rFonts w:ascii="Arial" w:cs="Arial" w:eastAsia="Arial" w:hAnsi="Arial"/>
          <w:sz w:val="11"/>
          <w:szCs w:val="11"/>
          <w:color w:val="auto"/>
        </w:rPr>
      </w:pPr>
    </w:p>
    <w:p>
      <w:pPr>
        <w:ind w:left="1460" w:hanging="236"/>
        <w:spacing w:after="0"/>
        <w:tabs>
          <w:tab w:leader="none" w:pos="1460" w:val="left"/>
        </w:tabs>
        <w:numPr>
          <w:ilvl w:val="0"/>
          <w:numId w:val="91"/>
        </w:numPr>
        <w:rPr>
          <w:rFonts w:ascii="Arial" w:cs="Arial" w:eastAsia="Arial" w:hAnsi="Arial"/>
          <w:sz w:val="11"/>
          <w:szCs w:val="11"/>
          <w:color w:val="auto"/>
        </w:rPr>
      </w:pPr>
      <w:r>
        <w:rPr>
          <w:rFonts w:ascii="Arial" w:cs="Arial" w:eastAsia="Arial" w:hAnsi="Arial"/>
          <w:sz w:val="11"/>
          <w:szCs w:val="11"/>
          <w:color w:val="auto"/>
        </w:rPr>
        <w:t>Dr. Diem commenced employment with us in September 2020.</w:t>
      </w:r>
    </w:p>
    <w:p>
      <w:pPr>
        <w:spacing w:after="0" w:line="56" w:lineRule="exact"/>
        <w:rPr>
          <w:rFonts w:ascii="Arial" w:cs="Arial" w:eastAsia="Arial" w:hAnsi="Arial"/>
          <w:sz w:val="11"/>
          <w:szCs w:val="11"/>
          <w:color w:val="auto"/>
        </w:rPr>
      </w:pPr>
    </w:p>
    <w:p>
      <w:pPr>
        <w:ind w:left="1460" w:hanging="236"/>
        <w:spacing w:after="0"/>
        <w:tabs>
          <w:tab w:leader="none" w:pos="1460" w:val="left"/>
        </w:tabs>
        <w:numPr>
          <w:ilvl w:val="0"/>
          <w:numId w:val="91"/>
        </w:numPr>
        <w:rPr>
          <w:rFonts w:ascii="Arial" w:cs="Arial" w:eastAsia="Arial" w:hAnsi="Arial"/>
          <w:sz w:val="11"/>
          <w:szCs w:val="11"/>
          <w:color w:val="auto"/>
        </w:rPr>
      </w:pPr>
      <w:r>
        <w:rPr>
          <w:rFonts w:ascii="Arial" w:cs="Arial" w:eastAsia="Arial" w:hAnsi="Arial"/>
          <w:sz w:val="11"/>
          <w:szCs w:val="11"/>
          <w:color w:val="auto"/>
        </w:rPr>
        <w:t>Amount shown is a sign-on bonus paid to Dr. Diem upon his hire.</w:t>
      </w:r>
    </w:p>
    <w:p>
      <w:pPr>
        <w:spacing w:after="0" w:line="14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Narrative disclosure to the summary compensation table</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Elements of compensation</w:t>
      </w:r>
    </w:p>
    <w:p>
      <w:pPr>
        <w:spacing w:after="0" w:line="146" w:lineRule="exact"/>
        <w:rPr>
          <w:sz w:val="20"/>
          <w:szCs w:val="20"/>
          <w:color w:val="auto"/>
        </w:rPr>
      </w:pPr>
    </w:p>
    <w:p>
      <w:pPr>
        <w:ind w:left="1220" w:right="1319"/>
        <w:spacing w:after="0" w:line="295" w:lineRule="auto"/>
        <w:rPr>
          <w:sz w:val="20"/>
          <w:szCs w:val="20"/>
          <w:color w:val="auto"/>
        </w:rPr>
      </w:pPr>
      <w:r>
        <w:rPr>
          <w:rFonts w:ascii="Arial" w:cs="Arial" w:eastAsia="Arial" w:hAnsi="Arial"/>
          <w:sz w:val="14"/>
          <w:szCs w:val="14"/>
          <w:color w:val="auto"/>
        </w:rPr>
        <w:t>The compensation of our NEOs generally consists of base salary, annual cash bonus opportunities, long term incentive compensation in the form of equity awards, and other benefits, as described below.</w:t>
      </w:r>
    </w:p>
    <w:p>
      <w:pPr>
        <w:spacing w:after="0" w:line="292"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Base salary</w:t>
      </w:r>
    </w:p>
    <w:p>
      <w:pPr>
        <w:spacing w:after="0" w:line="134" w:lineRule="exact"/>
        <w:rPr>
          <w:sz w:val="20"/>
          <w:szCs w:val="20"/>
          <w:color w:val="auto"/>
        </w:rPr>
      </w:pPr>
    </w:p>
    <w:p>
      <w:pPr>
        <w:ind w:left="1220" w:right="1279"/>
        <w:spacing w:after="0" w:line="293" w:lineRule="auto"/>
        <w:rPr>
          <w:sz w:val="20"/>
          <w:szCs w:val="20"/>
          <w:color w:val="auto"/>
        </w:rPr>
      </w:pPr>
      <w:r>
        <w:rPr>
          <w:rFonts w:ascii="Arial" w:cs="Arial" w:eastAsia="Arial" w:hAnsi="Arial"/>
          <w:sz w:val="14"/>
          <w:szCs w:val="14"/>
          <w:color w:val="auto"/>
        </w:rPr>
        <w:t>The base salary payable to each NEO is intended to provide a fixed component of compensation reflecting the executive’s skill set, experience, role, responsibilities, and contributions. Each NEO’s initial base salary was specified in his offer letter or employment agreement, as described below, and is reviewed (and, if applicable, adjusted) from time to time by our board of directors or compensation committee.</w:t>
      </w:r>
    </w:p>
    <w:p>
      <w:pPr>
        <w:spacing w:after="0" w:line="10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NEOs’ current annual base salary rates are: $477,405 for Dr. Flores, $397,838 for</w:t>
      </w:r>
    </w:p>
    <w:p>
      <w:pPr>
        <w:spacing w:after="0" w:line="33" w:lineRule="exact"/>
        <w:rPr>
          <w:sz w:val="20"/>
          <w:szCs w:val="20"/>
          <w:color w:val="auto"/>
        </w:rPr>
      </w:pPr>
    </w:p>
    <w:p>
      <w:pPr>
        <w:ind w:left="1220" w:right="1399"/>
        <w:spacing w:after="0" w:line="306" w:lineRule="auto"/>
        <w:rPr>
          <w:sz w:val="20"/>
          <w:szCs w:val="20"/>
          <w:color w:val="auto"/>
        </w:rPr>
      </w:pPr>
      <w:r>
        <w:rPr>
          <w:rFonts w:ascii="Arial" w:cs="Arial" w:eastAsia="Arial" w:hAnsi="Arial"/>
          <w:sz w:val="14"/>
          <w:szCs w:val="14"/>
          <w:color w:val="auto"/>
        </w:rPr>
        <w:t>Dr. Levitsky, and $437,750 for Dr. Diem. These amounts reflect 3% increases to the executives’ annual base salary rates in effect at the end of 2020.</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74" w:name="page175"/>
    <w:bookmarkEnd w:id="17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Annual non-equity incentives</w:t>
      </w:r>
    </w:p>
    <w:p>
      <w:pPr>
        <w:spacing w:after="0" w:line="134" w:lineRule="exact"/>
        <w:rPr>
          <w:sz w:val="20"/>
          <w:szCs w:val="20"/>
          <w:color w:val="auto"/>
        </w:rPr>
      </w:pPr>
    </w:p>
    <w:p>
      <w:pPr>
        <w:ind w:left="1220" w:right="1299"/>
        <w:spacing w:after="0" w:line="278" w:lineRule="auto"/>
        <w:rPr>
          <w:sz w:val="20"/>
          <w:szCs w:val="20"/>
          <w:color w:val="auto"/>
        </w:rPr>
      </w:pPr>
      <w:r>
        <w:rPr>
          <w:rFonts w:ascii="Arial" w:cs="Arial" w:eastAsia="Arial" w:hAnsi="Arial"/>
          <w:sz w:val="14"/>
          <w:szCs w:val="14"/>
          <w:color w:val="auto"/>
        </w:rPr>
        <w:t>Each of our NEOs’ annual non-equity incentive opportunity is expressed as a percentage of base salary that can be earned based on the achievement of predetermined corporate and individual performance objectives. The 2020 target bonus opportunities for Dr. Flores, Dr. Levitsky, and Dr. Diem were 40%, 30%, and 40% of their respective base salaries.</w:t>
      </w:r>
    </w:p>
    <w:p>
      <w:pPr>
        <w:spacing w:after="0" w:line="106" w:lineRule="exact"/>
        <w:rPr>
          <w:sz w:val="20"/>
          <w:szCs w:val="20"/>
          <w:color w:val="auto"/>
        </w:rPr>
      </w:pPr>
    </w:p>
    <w:p>
      <w:pPr>
        <w:ind w:left="1220" w:right="1399"/>
        <w:spacing w:after="0" w:line="276" w:lineRule="auto"/>
        <w:rPr>
          <w:sz w:val="20"/>
          <w:szCs w:val="20"/>
          <w:color w:val="auto"/>
        </w:rPr>
      </w:pPr>
      <w:r>
        <w:rPr>
          <w:rFonts w:ascii="Arial" w:cs="Arial" w:eastAsia="Arial" w:hAnsi="Arial"/>
          <w:sz w:val="14"/>
          <w:szCs w:val="14"/>
          <w:color w:val="auto"/>
        </w:rPr>
        <w:t>The goals applicable to the NEOs’ 2020 annual non-equity incentives related to certain clinical milestones, pipeline, platform and manufacturing development, operations, financing, corporate development, human resources, scientific leadership, and intellectual property. Following a review of 2020 performance, our compensation committee approved 2020 non-equity incentive payments to Dr. Flores, Dr. Levitsky and Dr. Diem equal to 100% of their respective target amounts (pro-rated in the case of Dr. Diem, to account for his mid-year hire).</w:t>
      </w:r>
    </w:p>
    <w:p>
      <w:pPr>
        <w:spacing w:after="0" w:line="127"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Long term equity incentives</w:t>
      </w:r>
    </w:p>
    <w:p>
      <w:pPr>
        <w:spacing w:after="0" w:line="144" w:lineRule="exact"/>
        <w:rPr>
          <w:sz w:val="20"/>
          <w:szCs w:val="20"/>
          <w:color w:val="auto"/>
        </w:rPr>
      </w:pPr>
    </w:p>
    <w:p>
      <w:pPr>
        <w:ind w:left="1220" w:right="1499"/>
        <w:spacing w:after="0" w:line="278" w:lineRule="auto"/>
        <w:rPr>
          <w:sz w:val="20"/>
          <w:szCs w:val="20"/>
          <w:color w:val="auto"/>
        </w:rPr>
      </w:pPr>
      <w:r>
        <w:rPr>
          <w:rFonts w:ascii="Arial" w:cs="Arial" w:eastAsia="Arial" w:hAnsi="Arial"/>
          <w:sz w:val="14"/>
          <w:szCs w:val="14"/>
          <w:color w:val="auto"/>
        </w:rPr>
        <w:t>Our equity-based incentive awards are designed to align our interests and the interests of our stockholders with those of our employees and consultants, including our NEOs. Our board of directors or compensation committee approves equity grants. Dr. Flores and Dr. Diem each received options to purchase shares of our common stock in 2020. See “—Outstanding Equity Awards at Fiscal Year-End” for more information regarding equity awards made in 2020 to our NEOs.</w:t>
      </w:r>
    </w:p>
    <w:p>
      <w:pPr>
        <w:spacing w:after="0" w:line="30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Employment arrangements with our NEOs</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Osvaldo Flores, Ph.D.</w:t>
      </w:r>
    </w:p>
    <w:p>
      <w:pPr>
        <w:spacing w:after="0" w:line="13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In August 2018, we entered into an employment offer letter with Dr. Flores. The offer letter</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provided for Dr. Flores’ at-will employment and set forth his initial annual base salary of $450,000</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and his initial target annual bonus opportunity at 30% of base salary. The offer letter also</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provided for the issuance of a restricted stock award to Dr. Flores, or the 2018 Restricted Shares,</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and for an opportunity for Dr. Flores to receive certain stock options in the future, upon</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achievement of certain performance conditions. The 2018 Restricted Shares were granted to</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Dr. Flores in September 2018. In lieu of the stock options discussed in the offer letter, we granted</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stock options to Dr. Flores in October 2020. See “—Outstanding Equity Awards at Fiscal Year-</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End” for additional details regarding the 2018 Restricted Shares and the 2020 stock options.</w:t>
      </w:r>
    </w:p>
    <w:p>
      <w:pPr>
        <w:spacing w:after="0" w:line="141" w:lineRule="exact"/>
        <w:rPr>
          <w:sz w:val="20"/>
          <w:szCs w:val="20"/>
          <w:color w:val="auto"/>
        </w:rPr>
      </w:pPr>
    </w:p>
    <w:p>
      <w:pPr>
        <w:ind w:left="1220" w:right="1239"/>
        <w:spacing w:after="0" w:line="273" w:lineRule="auto"/>
        <w:rPr>
          <w:sz w:val="20"/>
          <w:szCs w:val="20"/>
          <w:color w:val="auto"/>
        </w:rPr>
      </w:pPr>
      <w:r>
        <w:rPr>
          <w:rFonts w:ascii="Arial" w:cs="Arial" w:eastAsia="Arial" w:hAnsi="Arial"/>
          <w:sz w:val="14"/>
          <w:szCs w:val="14"/>
          <w:color w:val="auto"/>
        </w:rPr>
        <w:t>Dr. Flores’ offer letter provides for severance benefits upon a termination of his employment by us without cause, or his resignation for good reason, subject to Dr. Flores’ execution of a general release of claims. The severance benefits are: (i) payment of all accrued and unpaid base salary,</w:t>
      </w:r>
    </w:p>
    <w:p>
      <w:pPr>
        <w:spacing w:after="0" w:line="1" w:lineRule="exact"/>
        <w:rPr>
          <w:sz w:val="20"/>
          <w:szCs w:val="20"/>
          <w:color w:val="auto"/>
        </w:rPr>
      </w:pPr>
    </w:p>
    <w:p>
      <w:pPr>
        <w:ind w:left="1220" w:right="1239" w:firstLine="4"/>
        <w:spacing w:after="0" w:line="276" w:lineRule="auto"/>
        <w:tabs>
          <w:tab w:leader="none" w:pos="1438" w:val="left"/>
        </w:tabs>
        <w:numPr>
          <w:ilvl w:val="0"/>
          <w:numId w:val="92"/>
        </w:numPr>
        <w:rPr>
          <w:rFonts w:ascii="Arial" w:cs="Arial" w:eastAsia="Arial" w:hAnsi="Arial"/>
          <w:sz w:val="14"/>
          <w:szCs w:val="14"/>
          <w:color w:val="auto"/>
        </w:rPr>
      </w:pPr>
      <w:r>
        <w:rPr>
          <w:rFonts w:ascii="Arial" w:cs="Arial" w:eastAsia="Arial" w:hAnsi="Arial"/>
          <w:sz w:val="14"/>
          <w:szCs w:val="14"/>
          <w:color w:val="auto"/>
        </w:rPr>
        <w:t>payment of any otherwise earned but unpaid annual bonus for the prior year, (iii) payment of pro-rata bonus for the year of termination, and (iv) continuation of his base salary and COBRA premiums paid by us for six (6) months. In addition, if such termination without “cause” or for “good reason” occurs within the twelve (12) month period immediately following a change in control, then in addition to the payments described in (i)-(iii) above, Dr. Flores’ salary and COBRA continuation period will be extended from six (6) months to twelve (12) months and the 2018 Restricted Shares (to the extent then unvested) shall become fully vested as of the date of termination.</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Hyam Levitsky, M.D.</w:t>
      </w:r>
    </w:p>
    <w:p>
      <w:pPr>
        <w:spacing w:after="0" w:line="146" w:lineRule="exact"/>
        <w:rPr>
          <w:sz w:val="20"/>
          <w:szCs w:val="20"/>
          <w:color w:val="auto"/>
        </w:rPr>
      </w:pPr>
    </w:p>
    <w:p>
      <w:pPr>
        <w:ind w:left="1220" w:right="1619"/>
        <w:spacing w:after="0" w:line="273" w:lineRule="auto"/>
        <w:rPr>
          <w:sz w:val="20"/>
          <w:szCs w:val="20"/>
          <w:color w:val="auto"/>
        </w:rPr>
      </w:pPr>
      <w:r>
        <w:rPr>
          <w:rFonts w:ascii="Arial" w:cs="Arial" w:eastAsia="Arial" w:hAnsi="Arial"/>
          <w:sz w:val="14"/>
          <w:szCs w:val="14"/>
          <w:color w:val="auto"/>
        </w:rPr>
        <w:t>In March 2019, we entered into an employment agreement with Dr. Levitsky. The agreement provided for Dr. Levitsky’s at-will employment and set forth his initial annual base salary of:</w:t>
      </w:r>
    </w:p>
    <w:p>
      <w:pPr>
        <w:spacing w:after="0" w:line="1" w:lineRule="exact"/>
        <w:rPr>
          <w:sz w:val="20"/>
          <w:szCs w:val="20"/>
          <w:color w:val="auto"/>
        </w:rPr>
      </w:pPr>
    </w:p>
    <w:p>
      <w:pPr>
        <w:ind w:left="1220" w:right="1279" w:firstLine="4"/>
        <w:spacing w:after="0" w:line="277" w:lineRule="auto"/>
        <w:tabs>
          <w:tab w:leader="none" w:pos="1402" w:val="left"/>
        </w:tabs>
        <w:numPr>
          <w:ilvl w:val="0"/>
          <w:numId w:val="93"/>
        </w:numPr>
        <w:rPr>
          <w:rFonts w:ascii="Arial" w:cs="Arial" w:eastAsia="Arial" w:hAnsi="Arial"/>
          <w:sz w:val="14"/>
          <w:szCs w:val="14"/>
          <w:color w:val="auto"/>
        </w:rPr>
      </w:pPr>
      <w:r>
        <w:rPr>
          <w:rFonts w:ascii="Arial" w:cs="Arial" w:eastAsia="Arial" w:hAnsi="Arial"/>
          <w:sz w:val="14"/>
          <w:szCs w:val="14"/>
          <w:color w:val="auto"/>
        </w:rPr>
        <w:t>$500,000 if working at full-time capacity, or (ii) $375,000 if working at a 75% schedule, which requires an average minimum of 120 hours per month. The agreement also provides for an initial target annual bonus opportunity of up to 30% of base salary, a sign-on bonus of $100,000, equity incentive awards in the form of stock options to purchase shares of our common stock and eligibility to participate in our employee benefit plans. In lieu of the stock options discussed in the employment agreement, the Company sold to Dr. Levitsky an equivalent number of restricted shares in</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75" w:name="page176"/>
    <w:bookmarkEnd w:id="17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460"/>
        <w:spacing w:after="0" w:line="281" w:lineRule="auto"/>
        <w:rPr>
          <w:sz w:val="20"/>
          <w:szCs w:val="20"/>
          <w:color w:val="auto"/>
        </w:rPr>
      </w:pPr>
      <w:r>
        <w:rPr>
          <w:rFonts w:ascii="Arial" w:cs="Arial" w:eastAsia="Arial" w:hAnsi="Arial"/>
          <w:sz w:val="14"/>
          <w:szCs w:val="14"/>
          <w:color w:val="auto"/>
        </w:rPr>
        <w:t>July 2019 at a price equal to what the option exercise price otherwise would have been. See “— Outstanding Equity Awards at Fiscal Year-End” for additional details regarding this restricted stock award.</w:t>
      </w:r>
    </w:p>
    <w:p>
      <w:pPr>
        <w:spacing w:after="0" w:line="93" w:lineRule="exact"/>
        <w:rPr>
          <w:sz w:val="20"/>
          <w:szCs w:val="20"/>
          <w:color w:val="auto"/>
        </w:rPr>
      </w:pPr>
    </w:p>
    <w:p>
      <w:pPr>
        <w:ind w:left="1220" w:right="1460"/>
        <w:spacing w:after="0" w:line="281" w:lineRule="auto"/>
        <w:rPr>
          <w:sz w:val="20"/>
          <w:szCs w:val="20"/>
          <w:color w:val="auto"/>
        </w:rPr>
      </w:pPr>
      <w:r>
        <w:rPr>
          <w:rFonts w:ascii="Arial" w:cs="Arial" w:eastAsia="Arial" w:hAnsi="Arial"/>
          <w:sz w:val="14"/>
          <w:szCs w:val="14"/>
          <w:color w:val="auto"/>
        </w:rPr>
        <w:t>Dr. Levitsky’s employment agreement provides for a severance benefit of three (3) months of salary continuation following a termination of his employment by us without cause, subject to his execution of a general release of claims.</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Michael Diem, M.D.</w:t>
      </w:r>
    </w:p>
    <w:p>
      <w:pPr>
        <w:spacing w:after="0" w:line="14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In August 2020, we entered into an employment offer letter with Dr. Diem. The offer letter</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provided for Dr. Diem’s at-will employment and set forth his initial annual base salary of</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$425,000, his initial target annual bonus opportunity of up to 40% of base salary (pro-rated for</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any partial years of employment), and a sign-on bonus of $125,000; however, if terminated for</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cause or if Dr. Diem resigns within 12 months of September 16, 2020, his start date, the sign-on</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bonus must be repaid in full (in case of termination for cause) or on a pro-rata basis (in case of</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resignation) within 30 days of his termination date. The offer letter also provided for the issuance</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of a stock option to purchase shares of our common stock and his eligibility to participate in our</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employee benefit plans. See “—Outstanding Equity Awards at Fiscal Year-End” for additional</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details regarding the stock option granted to Dr. Diem in connection with his hire.</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Proprietary information and assignment agreements</w:t>
      </w:r>
    </w:p>
    <w:p>
      <w:pPr>
        <w:spacing w:after="0" w:line="146" w:lineRule="exact"/>
        <w:rPr>
          <w:sz w:val="20"/>
          <w:szCs w:val="20"/>
          <w:color w:val="auto"/>
        </w:rPr>
      </w:pPr>
    </w:p>
    <w:p>
      <w:pPr>
        <w:ind w:left="1220" w:right="1480"/>
        <w:spacing w:after="0" w:line="276" w:lineRule="auto"/>
        <w:rPr>
          <w:sz w:val="20"/>
          <w:szCs w:val="20"/>
          <w:color w:val="auto"/>
        </w:rPr>
      </w:pPr>
      <w:r>
        <w:rPr>
          <w:rFonts w:ascii="Arial" w:cs="Arial" w:eastAsia="Arial" w:hAnsi="Arial"/>
          <w:sz w:val="14"/>
          <w:szCs w:val="14"/>
          <w:color w:val="auto"/>
        </w:rPr>
        <w:t>Each of Dr. Flores, Dr. Levitsky and Dr. Diem also entered into a Proprietary Information and Assignment Agreement with us that includes customary provisions regarding confidentiality and ownership of intellectual property, and prohibits the solicitation of our employees for a period of one (1) year following any cessation of employment. The payment of any severance benefits under each executive’s employment agreement is conditioned on continued compliance with his or her Proprietary Information and Assignment Agreement.</w:t>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provides information regarding the outstanding equity awards held by our</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NEOs as of December 31, 2020. All awards were granted pursuant to the 2018 Plan. See “—</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Equity Incentive Plans—2018 Plan” below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117475</wp:posOffset>
            </wp:positionV>
            <wp:extent cx="5398770" cy="139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398770" cy="13970"/>
                    </a:xfrm>
                    <a:prstGeom prst="rect">
                      <a:avLst/>
                    </a:prstGeom>
                    <a:noFill/>
                  </pic:spPr>
                </pic:pic>
              </a:graphicData>
            </a:graphic>
          </wp:anchor>
        </w:drawing>
      </w:r>
    </w:p>
    <w:p>
      <w:pPr>
        <w:spacing w:after="0" w:line="194" w:lineRule="exact"/>
        <w:rPr>
          <w:sz w:val="20"/>
          <w:szCs w:val="20"/>
          <w:color w:val="auto"/>
        </w:rPr>
      </w:pPr>
    </w:p>
    <w:p>
      <w:pPr>
        <w:jc w:val="right"/>
        <w:ind w:right="1340"/>
        <w:spacing w:after="0"/>
        <w:tabs>
          <w:tab w:leader="none" w:pos="860" w:val="left"/>
        </w:tabs>
        <w:rPr>
          <w:sz w:val="20"/>
          <w:szCs w:val="20"/>
          <w:color w:val="auto"/>
        </w:rPr>
      </w:pPr>
      <w:r>
        <w:rPr>
          <w:rFonts w:ascii="Arial" w:cs="Arial" w:eastAsia="Arial" w:hAnsi="Arial"/>
          <w:sz w:val="13"/>
          <w:szCs w:val="13"/>
          <w:b w:val="1"/>
          <w:bCs w:val="1"/>
          <w:color w:val="auto"/>
        </w:rPr>
        <w:t>Option awards</w:t>
      </w:r>
      <w:r>
        <w:rPr>
          <w:sz w:val="20"/>
          <w:szCs w:val="20"/>
          <w:color w:val="auto"/>
        </w:rPr>
        <w:tab/>
      </w:r>
      <w:r>
        <w:rPr>
          <w:rFonts w:ascii="Arial" w:cs="Arial" w:eastAsia="Arial" w:hAnsi="Arial"/>
          <w:sz w:val="13"/>
          <w:szCs w:val="13"/>
          <w:b w:val="1"/>
          <w:bCs w:val="1"/>
          <w:color w:val="auto"/>
        </w:rPr>
        <w:t>Stock awards</w:t>
      </w:r>
    </w:p>
    <w:p>
      <w:pPr>
        <w:sectPr>
          <w:pgSz w:w="11900" w:h="16838" w:orient="portrait"/>
          <w:cols w:equalWidth="0" w:num="1">
            <w:col w:w="9120"/>
          </w:cols>
          <w:pgMar w:left="1440" w:top="133" w:right="1339" w:bottom="1440" w:gutter="0" w:footer="0" w:header="0"/>
        </w:sectPr>
      </w:pPr>
    </w:p>
    <w:p>
      <w:pPr>
        <w:spacing w:after="0" w:line="34" w:lineRule="exact"/>
        <w:rPr>
          <w:sz w:val="20"/>
          <w:szCs w:val="20"/>
          <w:color w:val="auto"/>
        </w:rPr>
      </w:pPr>
    </w:p>
    <w:tbl>
      <w:tblPr>
        <w:tblLayout w:type="fixed"/>
        <w:tblInd w:w="620" w:type="dxa"/>
        <w:tblCellMar>
          <w:top w:w="0" w:type="dxa"/>
          <w:left w:w="0" w:type="dxa"/>
          <w:bottom w:w="0" w:type="dxa"/>
          <w:right w:w="0" w:type="dxa"/>
        </w:tblCellMar>
      </w:tblPr>
      <w:tr>
        <w:trPr>
          <w:trHeight w:val="151"/>
        </w:trPr>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jc w:val="right"/>
              <w:ind w:right="35"/>
              <w:spacing w:after="0"/>
              <w:rPr>
                <w:sz w:val="20"/>
                <w:szCs w:val="20"/>
                <w:color w:val="auto"/>
              </w:rPr>
            </w:pPr>
            <w:r>
              <w:rPr>
                <w:rFonts w:ascii="Arial" w:cs="Arial" w:eastAsia="Arial" w:hAnsi="Arial"/>
                <w:sz w:val="13"/>
                <w:szCs w:val="13"/>
                <w:b w:val="1"/>
                <w:bCs w:val="1"/>
                <w:color w:val="auto"/>
              </w:rPr>
              <w:t>Equity</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jc w:val="right"/>
              <w:ind w:right="35"/>
              <w:spacing w:after="0"/>
              <w:rPr>
                <w:sz w:val="20"/>
                <w:szCs w:val="20"/>
                <w:color w:val="auto"/>
              </w:rPr>
            </w:pPr>
            <w:r>
              <w:rPr>
                <w:rFonts w:ascii="Arial" w:cs="Arial" w:eastAsia="Arial" w:hAnsi="Arial"/>
                <w:sz w:val="13"/>
                <w:szCs w:val="13"/>
                <w:b w:val="1"/>
                <w:bCs w:val="1"/>
                <w:color w:val="auto"/>
              </w:rPr>
              <w:t>incentive</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40"/>
        </w:trPr>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tcPr>
          <w:p>
            <w:pPr>
              <w:jc w:val="right"/>
              <w:ind w:right="35"/>
              <w:spacing w:after="0" w:line="141" w:lineRule="exact"/>
              <w:rPr>
                <w:sz w:val="20"/>
                <w:szCs w:val="20"/>
                <w:color w:val="auto"/>
              </w:rPr>
            </w:pPr>
            <w:r>
              <w:rPr>
                <w:rFonts w:ascii="Arial" w:cs="Arial" w:eastAsia="Arial" w:hAnsi="Arial"/>
                <w:sz w:val="13"/>
                <w:szCs w:val="13"/>
                <w:b w:val="1"/>
                <w:bCs w:val="1"/>
                <w:color w:val="auto"/>
              </w:rPr>
              <w:t>plan awards:</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820" w:type="dxa"/>
            <w:vAlign w:val="bottom"/>
          </w:tcPr>
          <w:p>
            <w:pPr>
              <w:spacing w:after="0"/>
              <w:rPr>
                <w:sz w:val="13"/>
                <w:szCs w:val="13"/>
                <w:color w:val="auto"/>
              </w:rPr>
            </w:pPr>
          </w:p>
        </w:tc>
        <w:tc>
          <w:tcPr>
            <w:tcW w:w="1080" w:type="dxa"/>
            <w:vAlign w:val="bottom"/>
          </w:tcPr>
          <w:p>
            <w:pPr>
              <w:jc w:val="right"/>
              <w:ind w:right="35"/>
              <w:spacing w:after="0"/>
              <w:rPr>
                <w:sz w:val="20"/>
                <w:szCs w:val="20"/>
                <w:color w:val="auto"/>
              </w:rPr>
            </w:pPr>
            <w:r>
              <w:rPr>
                <w:rFonts w:ascii="Arial" w:cs="Arial" w:eastAsia="Arial" w:hAnsi="Arial"/>
                <w:sz w:val="13"/>
                <w:szCs w:val="13"/>
                <w:b w:val="1"/>
                <w:bCs w:val="1"/>
                <w:color w:val="auto"/>
              </w:rPr>
              <w:t>Number of</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940" w:type="dxa"/>
            <w:vAlign w:val="bottom"/>
          </w:tcPr>
          <w:p>
            <w:pPr>
              <w:jc w:val="right"/>
              <w:ind w:right="35"/>
              <w:spacing w:after="0"/>
              <w:rPr>
                <w:sz w:val="20"/>
                <w:szCs w:val="20"/>
                <w:color w:val="auto"/>
              </w:rPr>
            </w:pPr>
            <w:r>
              <w:rPr>
                <w:rFonts w:ascii="Arial" w:cs="Arial" w:eastAsia="Arial" w:hAnsi="Arial"/>
                <w:sz w:val="13"/>
                <w:szCs w:val="13"/>
                <w:b w:val="1"/>
                <w:bCs w:val="1"/>
                <w:color w:val="auto"/>
              </w:rPr>
              <w:t>number of</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Number</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51"/>
        </w:trPr>
        <w:tc>
          <w:tcPr>
            <w:tcW w:w="820" w:type="dxa"/>
            <w:vAlign w:val="bottom"/>
          </w:tcPr>
          <w:p>
            <w:pPr>
              <w:spacing w:after="0"/>
              <w:rPr>
                <w:sz w:val="13"/>
                <w:szCs w:val="13"/>
                <w:color w:val="auto"/>
              </w:rPr>
            </w:pPr>
          </w:p>
        </w:tc>
        <w:tc>
          <w:tcPr>
            <w:tcW w:w="1080" w:type="dxa"/>
            <w:vAlign w:val="bottom"/>
          </w:tcPr>
          <w:p>
            <w:pPr>
              <w:jc w:val="right"/>
              <w:ind w:right="35"/>
              <w:spacing w:after="0"/>
              <w:rPr>
                <w:sz w:val="20"/>
                <w:szCs w:val="20"/>
                <w:color w:val="auto"/>
              </w:rPr>
            </w:pPr>
            <w:r>
              <w:rPr>
                <w:rFonts w:ascii="Arial" w:cs="Arial" w:eastAsia="Arial" w:hAnsi="Arial"/>
                <w:sz w:val="13"/>
                <w:szCs w:val="13"/>
                <w:b w:val="1"/>
                <w:bCs w:val="1"/>
                <w:color w:val="auto"/>
              </w:rPr>
              <w:t>securities</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securities</w:t>
            </w:r>
          </w:p>
        </w:tc>
        <w:tc>
          <w:tcPr>
            <w:tcW w:w="940" w:type="dxa"/>
            <w:vAlign w:val="bottom"/>
          </w:tcPr>
          <w:p>
            <w:pPr>
              <w:jc w:val="right"/>
              <w:ind w:right="35"/>
              <w:spacing w:after="0"/>
              <w:rPr>
                <w:sz w:val="20"/>
                <w:szCs w:val="20"/>
                <w:color w:val="auto"/>
              </w:rPr>
            </w:pPr>
            <w:r>
              <w:rPr>
                <w:rFonts w:ascii="Arial" w:cs="Arial" w:eastAsia="Arial" w:hAnsi="Arial"/>
                <w:sz w:val="13"/>
                <w:szCs w:val="13"/>
                <w:b w:val="1"/>
                <w:bCs w:val="1"/>
                <w:color w:val="auto"/>
              </w:rPr>
              <w:t>securities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of shares</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shares or</w:t>
            </w:r>
          </w:p>
        </w:tc>
        <w:tc>
          <w:tcPr>
            <w:tcW w:w="0" w:type="dxa"/>
            <w:vAlign w:val="bottom"/>
          </w:tcPr>
          <w:p>
            <w:pPr>
              <w:spacing w:after="0"/>
              <w:rPr>
                <w:sz w:val="1"/>
                <w:szCs w:val="1"/>
                <w:color w:val="auto"/>
              </w:rPr>
            </w:pPr>
          </w:p>
        </w:tc>
      </w:tr>
      <w:tr>
        <w:trPr>
          <w:trHeight w:val="151"/>
        </w:trPr>
        <w:tc>
          <w:tcPr>
            <w:tcW w:w="820" w:type="dxa"/>
            <w:vAlign w:val="bottom"/>
          </w:tcPr>
          <w:p>
            <w:pPr>
              <w:spacing w:after="0"/>
              <w:rPr>
                <w:sz w:val="13"/>
                <w:szCs w:val="13"/>
                <w:color w:val="auto"/>
              </w:rPr>
            </w:pPr>
          </w:p>
        </w:tc>
        <w:tc>
          <w:tcPr>
            <w:tcW w:w="1080" w:type="dxa"/>
            <w:vAlign w:val="bottom"/>
          </w:tcPr>
          <w:p>
            <w:pPr>
              <w:jc w:val="right"/>
              <w:ind w:right="35"/>
              <w:spacing w:after="0"/>
              <w:rPr>
                <w:sz w:val="20"/>
                <w:szCs w:val="20"/>
                <w:color w:val="auto"/>
              </w:rPr>
            </w:pPr>
            <w:r>
              <w:rPr>
                <w:rFonts w:ascii="Arial" w:cs="Arial" w:eastAsia="Arial" w:hAnsi="Arial"/>
                <w:sz w:val="13"/>
                <w:szCs w:val="13"/>
                <w:b w:val="1"/>
                <w:bCs w:val="1"/>
                <w:color w:val="auto"/>
              </w:rPr>
              <w:t>underlying</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underlying</w:t>
            </w:r>
          </w:p>
        </w:tc>
        <w:tc>
          <w:tcPr>
            <w:tcW w:w="940" w:type="dxa"/>
            <w:vAlign w:val="bottom"/>
          </w:tcPr>
          <w:p>
            <w:pPr>
              <w:jc w:val="right"/>
              <w:ind w:right="35"/>
              <w:spacing w:after="0"/>
              <w:rPr>
                <w:sz w:val="20"/>
                <w:szCs w:val="20"/>
                <w:color w:val="auto"/>
              </w:rPr>
            </w:pPr>
            <w:r>
              <w:rPr>
                <w:rFonts w:ascii="Arial" w:cs="Arial" w:eastAsia="Arial" w:hAnsi="Arial"/>
                <w:sz w:val="13"/>
                <w:szCs w:val="13"/>
                <w:b w:val="1"/>
                <w:bCs w:val="1"/>
                <w:color w:val="auto"/>
              </w:rPr>
              <w:t>underlying</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or units of</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units of</w:t>
            </w:r>
          </w:p>
        </w:tc>
        <w:tc>
          <w:tcPr>
            <w:tcW w:w="0" w:type="dxa"/>
            <w:vAlign w:val="bottom"/>
          </w:tcPr>
          <w:p>
            <w:pPr>
              <w:spacing w:after="0"/>
              <w:rPr>
                <w:sz w:val="1"/>
                <w:szCs w:val="1"/>
                <w:color w:val="auto"/>
              </w:rPr>
            </w:pPr>
          </w:p>
        </w:tc>
      </w:tr>
      <w:tr>
        <w:trPr>
          <w:trHeight w:val="151"/>
        </w:trPr>
        <w:tc>
          <w:tcPr>
            <w:tcW w:w="820" w:type="dxa"/>
            <w:vAlign w:val="bottom"/>
          </w:tcPr>
          <w:p>
            <w:pPr>
              <w:spacing w:after="0"/>
              <w:rPr>
                <w:sz w:val="13"/>
                <w:szCs w:val="13"/>
                <w:color w:val="auto"/>
              </w:rPr>
            </w:pPr>
          </w:p>
        </w:tc>
        <w:tc>
          <w:tcPr>
            <w:tcW w:w="1080" w:type="dxa"/>
            <w:vAlign w:val="bottom"/>
          </w:tcPr>
          <w:p>
            <w:pPr>
              <w:jc w:val="right"/>
              <w:ind w:right="35"/>
              <w:spacing w:after="0"/>
              <w:rPr>
                <w:sz w:val="20"/>
                <w:szCs w:val="20"/>
                <w:color w:val="auto"/>
              </w:rPr>
            </w:pPr>
            <w:r>
              <w:rPr>
                <w:rFonts w:ascii="Arial" w:cs="Arial" w:eastAsia="Arial" w:hAnsi="Arial"/>
                <w:sz w:val="13"/>
                <w:szCs w:val="13"/>
                <w:b w:val="1"/>
                <w:bCs w:val="1"/>
                <w:color w:val="auto"/>
              </w:rPr>
              <w:t>unexercised</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unexercised</w:t>
            </w:r>
          </w:p>
        </w:tc>
        <w:tc>
          <w:tcPr>
            <w:tcW w:w="940" w:type="dxa"/>
            <w:vAlign w:val="bottom"/>
          </w:tcPr>
          <w:p>
            <w:pPr>
              <w:jc w:val="right"/>
              <w:ind w:right="35"/>
              <w:spacing w:after="0"/>
              <w:rPr>
                <w:sz w:val="20"/>
                <w:szCs w:val="20"/>
                <w:color w:val="auto"/>
              </w:rPr>
            </w:pPr>
            <w:r>
              <w:rPr>
                <w:rFonts w:ascii="Arial" w:cs="Arial" w:eastAsia="Arial" w:hAnsi="Arial"/>
                <w:sz w:val="13"/>
                <w:szCs w:val="13"/>
                <w:b w:val="1"/>
                <w:bCs w:val="1"/>
                <w:color w:val="auto"/>
              </w:rPr>
              <w:t>unexercised</w:t>
            </w:r>
          </w:p>
        </w:tc>
        <w:tc>
          <w:tcPr>
            <w:tcW w:w="640" w:type="dxa"/>
            <w:vAlign w:val="bottom"/>
          </w:tcPr>
          <w:p>
            <w:pPr>
              <w:jc w:val="right"/>
              <w:ind w:right="95"/>
              <w:spacing w:after="0"/>
              <w:rPr>
                <w:sz w:val="20"/>
                <w:szCs w:val="20"/>
                <w:color w:val="auto"/>
              </w:rPr>
            </w:pPr>
            <w:r>
              <w:rPr>
                <w:rFonts w:ascii="Arial" w:cs="Arial" w:eastAsia="Arial" w:hAnsi="Arial"/>
                <w:sz w:val="13"/>
                <w:szCs w:val="13"/>
                <w:b w:val="1"/>
                <w:bCs w:val="1"/>
                <w:color w:val="auto"/>
              </w:rPr>
              <w:t>Option</w:t>
            </w:r>
          </w:p>
        </w:tc>
        <w:tc>
          <w:tcPr>
            <w:tcW w:w="1980" w:type="dxa"/>
            <w:vAlign w:val="bottom"/>
            <w:gridSpan w:val="3"/>
          </w:tcPr>
          <w:p>
            <w:pPr>
              <w:jc w:val="right"/>
              <w:spacing w:after="0"/>
              <w:rPr>
                <w:sz w:val="20"/>
                <w:szCs w:val="20"/>
                <w:color w:val="auto"/>
              </w:rPr>
            </w:pPr>
            <w:r>
              <w:rPr>
                <w:rFonts w:ascii="Arial" w:cs="Arial" w:eastAsia="Arial" w:hAnsi="Arial"/>
                <w:sz w:val="13"/>
                <w:szCs w:val="13"/>
                <w:b w:val="1"/>
                <w:bCs w:val="1"/>
                <w:color w:val="auto"/>
              </w:rPr>
              <w:t>Option stock that stock that</w:t>
            </w:r>
          </w:p>
        </w:tc>
        <w:tc>
          <w:tcPr>
            <w:tcW w:w="0" w:type="dxa"/>
            <w:vAlign w:val="bottom"/>
          </w:tcPr>
          <w:p>
            <w:pPr>
              <w:spacing w:after="0"/>
              <w:rPr>
                <w:sz w:val="1"/>
                <w:szCs w:val="1"/>
                <w:color w:val="auto"/>
              </w:rPr>
            </w:pPr>
          </w:p>
        </w:tc>
      </w:tr>
      <w:tr>
        <w:trPr>
          <w:trHeight w:val="151"/>
        </w:trPr>
        <w:tc>
          <w:tcPr>
            <w:tcW w:w="820" w:type="dxa"/>
            <w:vAlign w:val="bottom"/>
          </w:tcPr>
          <w:p>
            <w:pPr>
              <w:spacing w:after="0"/>
              <w:rPr>
                <w:sz w:val="20"/>
                <w:szCs w:val="20"/>
                <w:color w:val="auto"/>
              </w:rPr>
            </w:pPr>
            <w:r>
              <w:rPr>
                <w:rFonts w:ascii="Arial" w:cs="Arial" w:eastAsia="Arial" w:hAnsi="Arial"/>
                <w:sz w:val="13"/>
                <w:szCs w:val="13"/>
                <w:b w:val="1"/>
                <w:bCs w:val="1"/>
                <w:color w:val="auto"/>
              </w:rPr>
              <w:t>Name and</w:t>
            </w:r>
          </w:p>
        </w:tc>
        <w:tc>
          <w:tcPr>
            <w:tcW w:w="1080" w:type="dxa"/>
            <w:vAlign w:val="bottom"/>
          </w:tcPr>
          <w:p>
            <w:pPr>
              <w:jc w:val="right"/>
              <w:ind w:right="35"/>
              <w:spacing w:after="0"/>
              <w:rPr>
                <w:sz w:val="20"/>
                <w:szCs w:val="20"/>
                <w:color w:val="auto"/>
              </w:rPr>
            </w:pPr>
            <w:r>
              <w:rPr>
                <w:rFonts w:ascii="Arial" w:cs="Arial" w:eastAsia="Arial" w:hAnsi="Arial"/>
                <w:sz w:val="13"/>
                <w:szCs w:val="13"/>
                <w:b w:val="1"/>
                <w:bCs w:val="1"/>
                <w:color w:val="auto"/>
              </w:rPr>
              <w:t>options</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options</w:t>
            </w:r>
          </w:p>
        </w:tc>
        <w:tc>
          <w:tcPr>
            <w:tcW w:w="2180" w:type="dxa"/>
            <w:vAlign w:val="bottom"/>
            <w:gridSpan w:val="3"/>
          </w:tcPr>
          <w:p>
            <w:pPr>
              <w:jc w:val="right"/>
              <w:spacing w:after="0"/>
              <w:rPr>
                <w:sz w:val="20"/>
                <w:szCs w:val="20"/>
                <w:color w:val="auto"/>
              </w:rPr>
            </w:pPr>
            <w:r>
              <w:rPr>
                <w:rFonts w:ascii="Arial" w:cs="Arial" w:eastAsia="Arial" w:hAnsi="Arial"/>
                <w:sz w:val="13"/>
                <w:szCs w:val="13"/>
                <w:b w:val="1"/>
                <w:bCs w:val="1"/>
                <w:color w:val="auto"/>
              </w:rPr>
              <w:t>unearned exercise expiration</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have not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have not</w:t>
            </w:r>
          </w:p>
        </w:tc>
        <w:tc>
          <w:tcPr>
            <w:tcW w:w="0" w:type="dxa"/>
            <w:vAlign w:val="bottom"/>
          </w:tcPr>
          <w:p>
            <w:pPr>
              <w:spacing w:after="0"/>
              <w:rPr>
                <w:sz w:val="1"/>
                <w:szCs w:val="1"/>
                <w:color w:val="auto"/>
              </w:rPr>
            </w:pPr>
          </w:p>
        </w:tc>
      </w:tr>
      <w:tr>
        <w:trPr>
          <w:trHeight w:val="144"/>
        </w:trPr>
        <w:tc>
          <w:tcPr>
            <w:tcW w:w="820" w:type="dxa"/>
            <w:vAlign w:val="bottom"/>
          </w:tcPr>
          <w:p>
            <w:pPr>
              <w:spacing w:after="0" w:line="144" w:lineRule="exact"/>
              <w:rPr>
                <w:sz w:val="20"/>
                <w:szCs w:val="20"/>
                <w:color w:val="auto"/>
              </w:rPr>
            </w:pPr>
            <w:r>
              <w:rPr>
                <w:rFonts w:ascii="Arial" w:cs="Arial" w:eastAsia="Arial" w:hAnsi="Arial"/>
                <w:sz w:val="13"/>
                <w:szCs w:val="13"/>
                <w:b w:val="1"/>
                <w:bCs w:val="1"/>
                <w:color w:val="auto"/>
              </w:rPr>
              <w:t>principal</w:t>
            </w:r>
          </w:p>
        </w:tc>
        <w:tc>
          <w:tcPr>
            <w:tcW w:w="196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rPr>
              <w:t>exercisable unexercisable</w:t>
            </w:r>
          </w:p>
        </w:tc>
        <w:tc>
          <w:tcPr>
            <w:tcW w:w="940" w:type="dxa"/>
            <w:vAlign w:val="bottom"/>
          </w:tcPr>
          <w:p>
            <w:pPr>
              <w:jc w:val="right"/>
              <w:ind w:right="35"/>
              <w:spacing w:after="0" w:line="144" w:lineRule="exact"/>
              <w:rPr>
                <w:sz w:val="20"/>
                <w:szCs w:val="20"/>
                <w:color w:val="auto"/>
              </w:rPr>
            </w:pPr>
            <w:r>
              <w:rPr>
                <w:rFonts w:ascii="Arial" w:cs="Arial" w:eastAsia="Arial" w:hAnsi="Arial"/>
                <w:sz w:val="13"/>
                <w:szCs w:val="13"/>
                <w:b w:val="1"/>
                <w:bCs w:val="1"/>
                <w:color w:val="auto"/>
              </w:rPr>
              <w:t>options</w:t>
            </w:r>
          </w:p>
        </w:tc>
        <w:tc>
          <w:tcPr>
            <w:tcW w:w="640" w:type="dxa"/>
            <w:vAlign w:val="bottom"/>
          </w:tcPr>
          <w:p>
            <w:pPr>
              <w:jc w:val="right"/>
              <w:ind w:right="95"/>
              <w:spacing w:after="0" w:line="144" w:lineRule="exact"/>
              <w:rPr>
                <w:sz w:val="20"/>
                <w:szCs w:val="20"/>
                <w:color w:val="auto"/>
              </w:rPr>
            </w:pPr>
            <w:r>
              <w:rPr>
                <w:rFonts w:ascii="Arial" w:cs="Arial" w:eastAsia="Arial" w:hAnsi="Arial"/>
                <w:sz w:val="13"/>
                <w:szCs w:val="13"/>
                <w:b w:val="1"/>
                <w:bCs w:val="1"/>
                <w:color w:val="auto"/>
              </w:rPr>
              <w:t>price</w:t>
            </w:r>
          </w:p>
        </w:tc>
        <w:tc>
          <w:tcPr>
            <w:tcW w:w="60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date</w:t>
            </w:r>
          </w:p>
        </w:tc>
        <w:tc>
          <w:tcPr>
            <w:tcW w:w="7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vested</w:t>
            </w:r>
          </w:p>
        </w:tc>
        <w:tc>
          <w:tcPr>
            <w:tcW w:w="6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vested</w:t>
            </w:r>
          </w:p>
        </w:tc>
        <w:tc>
          <w:tcPr>
            <w:tcW w:w="0" w:type="dxa"/>
            <w:vAlign w:val="bottom"/>
          </w:tcPr>
          <w:p>
            <w:pPr>
              <w:spacing w:after="0"/>
              <w:rPr>
                <w:sz w:val="1"/>
                <w:szCs w:val="1"/>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3"/>
                <w:szCs w:val="13"/>
                <w:b w:val="1"/>
                <w:bCs w:val="1"/>
                <w:color w:val="auto"/>
              </w:rPr>
              <w:t>position</w:t>
            </w:r>
          </w:p>
        </w:tc>
        <w:tc>
          <w:tcPr>
            <w:tcW w:w="1080" w:type="dxa"/>
            <w:vAlign w:val="bottom"/>
          </w:tcPr>
          <w:p>
            <w:pPr>
              <w:jc w:val="right"/>
              <w:ind w:right="35"/>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ind w:right="35"/>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95"/>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line="169"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171"/>
        </w:trPr>
        <w:tc>
          <w:tcPr>
            <w:tcW w:w="820" w:type="dxa"/>
            <w:vAlign w:val="bottom"/>
          </w:tcPr>
          <w:p>
            <w:pPr>
              <w:spacing w:after="0"/>
              <w:rPr>
                <w:sz w:val="20"/>
                <w:szCs w:val="20"/>
                <w:color w:val="auto"/>
              </w:rPr>
            </w:pPr>
            <w:r>
              <w:rPr>
                <w:rFonts w:ascii="Arial" w:cs="Arial" w:eastAsia="Arial" w:hAnsi="Arial"/>
                <w:sz w:val="13"/>
                <w:szCs w:val="13"/>
                <w:b w:val="1"/>
                <w:bCs w:val="1"/>
                <w:color w:val="auto"/>
              </w:rPr>
              <w:t>(a)</w:t>
            </w:r>
          </w:p>
        </w:tc>
        <w:tc>
          <w:tcPr>
            <w:tcW w:w="1080" w:type="dxa"/>
            <w:vAlign w:val="bottom"/>
          </w:tcPr>
          <w:p>
            <w:pPr>
              <w:jc w:val="right"/>
              <w:ind w:right="15"/>
              <w:spacing w:after="0"/>
              <w:rPr>
                <w:sz w:val="20"/>
                <w:szCs w:val="20"/>
                <w:color w:val="auto"/>
              </w:rPr>
            </w:pPr>
            <w:r>
              <w:rPr>
                <w:rFonts w:ascii="Arial" w:cs="Arial" w:eastAsia="Arial" w:hAnsi="Arial"/>
                <w:sz w:val="13"/>
                <w:szCs w:val="13"/>
                <w:b w:val="1"/>
                <w:bCs w:val="1"/>
                <w:color w:val="auto"/>
              </w:rPr>
              <w:t>(b)</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(c)</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(d)</w:t>
            </w:r>
          </w:p>
        </w:tc>
        <w:tc>
          <w:tcPr>
            <w:tcW w:w="640" w:type="dxa"/>
            <w:vAlign w:val="bottom"/>
          </w:tcPr>
          <w:p>
            <w:pPr>
              <w:jc w:val="right"/>
              <w:ind w:right="55"/>
              <w:spacing w:after="0"/>
              <w:rPr>
                <w:sz w:val="20"/>
                <w:szCs w:val="20"/>
                <w:color w:val="auto"/>
              </w:rPr>
            </w:pPr>
            <w:r>
              <w:rPr>
                <w:rFonts w:ascii="Arial" w:cs="Arial" w:eastAsia="Arial" w:hAnsi="Arial"/>
                <w:sz w:val="13"/>
                <w:szCs w:val="13"/>
                <w:b w:val="1"/>
                <w:bCs w:val="1"/>
                <w:color w:val="auto"/>
              </w:rPr>
              <w:t>(e)</w:t>
            </w: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(f)</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(g)</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3175</wp:posOffset>
            </wp:positionV>
            <wp:extent cx="5398770" cy="2400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398770" cy="240030"/>
                    </a:xfrm>
                    <a:prstGeom prst="rect">
                      <a:avLst/>
                    </a:prstGeom>
                    <a:noFill/>
                  </pic:spPr>
                </pic:pic>
              </a:graphicData>
            </a:graphic>
          </wp:anchor>
        </w:drawing>
        <w:drawing>
          <wp:anchor simplePos="0" relativeHeight="251657728" behindDoc="1" locked="0" layoutInCell="0" allowOverlap="1">
            <wp:simplePos x="0" y="0"/>
            <wp:positionH relativeFrom="column">
              <wp:posOffset>1027430</wp:posOffset>
            </wp:positionH>
            <wp:positionV relativeFrom="paragraph">
              <wp:posOffset>-1064895</wp:posOffset>
            </wp:positionV>
            <wp:extent cx="4761865"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76186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right"/>
        <w:ind w:left="200" w:right="60"/>
        <w:spacing w:after="0" w:line="248" w:lineRule="auto"/>
        <w:rPr>
          <w:sz w:val="20"/>
          <w:szCs w:val="20"/>
          <w:color w:val="auto"/>
        </w:rPr>
      </w:pPr>
      <w:r>
        <w:rPr>
          <w:rFonts w:ascii="Arial" w:cs="Arial" w:eastAsia="Arial" w:hAnsi="Arial"/>
          <w:sz w:val="13"/>
          <w:szCs w:val="13"/>
          <w:b w:val="1"/>
          <w:bCs w:val="1"/>
          <w:color w:val="auto"/>
        </w:rPr>
        <w:t>Equity         Equity incentive  incentive plan plan awards: awards: market number of or payout value</w:t>
      </w:r>
    </w:p>
    <w:p>
      <w:pPr>
        <w:spacing w:after="0" w:line="2" w:lineRule="exact"/>
        <w:rPr>
          <w:sz w:val="20"/>
          <w:szCs w:val="20"/>
          <w:color w:val="auto"/>
        </w:rPr>
      </w:pPr>
    </w:p>
    <w:p>
      <w:pPr>
        <w:jc w:val="both"/>
        <w:ind w:right="60" w:firstLine="407"/>
        <w:spacing w:after="0" w:line="242" w:lineRule="auto"/>
        <w:rPr>
          <w:sz w:val="20"/>
          <w:szCs w:val="20"/>
          <w:color w:val="auto"/>
        </w:rPr>
      </w:pPr>
      <w:r>
        <w:rPr>
          <w:rFonts w:ascii="Arial" w:cs="Arial" w:eastAsia="Arial" w:hAnsi="Arial"/>
          <w:sz w:val="13"/>
          <w:szCs w:val="13"/>
          <w:b w:val="1"/>
          <w:bCs w:val="1"/>
          <w:color w:val="auto"/>
        </w:rPr>
        <w:t>unearned of unearned shares, units or shares, units or</w:t>
      </w:r>
    </w:p>
    <w:tbl>
      <w:tblPr>
        <w:tblLayout w:type="fixed"/>
        <w:tblInd w:w="180" w:type="dxa"/>
        <w:tblCellMar>
          <w:top w:w="0" w:type="dxa"/>
          <w:left w:w="0" w:type="dxa"/>
          <w:bottom w:w="0" w:type="dxa"/>
          <w:right w:w="0" w:type="dxa"/>
        </w:tblCellMar>
      </w:tblPr>
      <w:tr>
        <w:trPr>
          <w:trHeight w:val="136"/>
        </w:trPr>
        <w:tc>
          <w:tcPr>
            <w:tcW w:w="980" w:type="dxa"/>
            <w:vAlign w:val="bottom"/>
          </w:tcPr>
          <w:p>
            <w:pPr>
              <w:jc w:val="right"/>
              <w:ind w:right="75"/>
              <w:spacing w:after="0" w:line="136" w:lineRule="exact"/>
              <w:rPr>
                <w:sz w:val="20"/>
                <w:szCs w:val="20"/>
                <w:color w:val="auto"/>
              </w:rPr>
            </w:pPr>
            <w:r>
              <w:rPr>
                <w:rFonts w:ascii="Arial" w:cs="Arial" w:eastAsia="Arial" w:hAnsi="Arial"/>
                <w:sz w:val="13"/>
                <w:szCs w:val="13"/>
                <w:b w:val="1"/>
                <w:bCs w:val="1"/>
                <w:color w:val="auto"/>
              </w:rPr>
              <w:t>other rights</w:t>
            </w:r>
          </w:p>
        </w:tc>
        <w:tc>
          <w:tcPr>
            <w:tcW w:w="96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other rights</w:t>
            </w:r>
          </w:p>
        </w:tc>
      </w:tr>
      <w:tr>
        <w:trPr>
          <w:trHeight w:val="151"/>
        </w:trPr>
        <w:tc>
          <w:tcPr>
            <w:tcW w:w="980" w:type="dxa"/>
            <w:vAlign w:val="bottom"/>
          </w:tcPr>
          <w:p>
            <w:pPr>
              <w:jc w:val="right"/>
              <w:ind w:right="75"/>
              <w:spacing w:after="0"/>
              <w:rPr>
                <w:sz w:val="20"/>
                <w:szCs w:val="20"/>
                <w:color w:val="auto"/>
              </w:rPr>
            </w:pPr>
            <w:r>
              <w:rPr>
                <w:rFonts w:ascii="Arial" w:cs="Arial" w:eastAsia="Arial" w:hAnsi="Arial"/>
                <w:sz w:val="13"/>
                <w:szCs w:val="13"/>
                <w:b w:val="1"/>
                <w:bCs w:val="1"/>
                <w:color w:val="auto"/>
              </w:rPr>
              <w:t>that have not</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that have not</w:t>
            </w:r>
          </w:p>
        </w:tc>
      </w:tr>
      <w:tr>
        <w:trPr>
          <w:trHeight w:val="151"/>
        </w:trPr>
        <w:tc>
          <w:tcPr>
            <w:tcW w:w="980" w:type="dxa"/>
            <w:vAlign w:val="bottom"/>
          </w:tcPr>
          <w:p>
            <w:pPr>
              <w:jc w:val="right"/>
              <w:ind w:right="75"/>
              <w:spacing w:after="0"/>
              <w:rPr>
                <w:sz w:val="20"/>
                <w:szCs w:val="20"/>
                <w:color w:val="auto"/>
              </w:rPr>
            </w:pPr>
            <w:r>
              <w:rPr>
                <w:rFonts w:ascii="Arial" w:cs="Arial" w:eastAsia="Arial" w:hAnsi="Arial"/>
                <w:sz w:val="13"/>
                <w:szCs w:val="13"/>
                <w:b w:val="1"/>
                <w:bCs w:val="1"/>
                <w:color w:val="auto"/>
              </w:rPr>
              <w:t>vested</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vested</w:t>
            </w:r>
          </w:p>
        </w:tc>
      </w:tr>
      <w:tr>
        <w:trPr>
          <w:trHeight w:val="151"/>
        </w:trPr>
        <w:tc>
          <w:tcPr>
            <w:tcW w:w="980" w:type="dxa"/>
            <w:vAlign w:val="bottom"/>
          </w:tcPr>
          <w:p>
            <w:pPr>
              <w:jc w:val="right"/>
              <w:ind w:right="75"/>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71"/>
        </w:trPr>
        <w:tc>
          <w:tcPr>
            <w:tcW w:w="980" w:type="dxa"/>
            <w:vAlign w:val="bottom"/>
          </w:tcPr>
          <w:p>
            <w:pPr>
              <w:jc w:val="right"/>
              <w:ind w:right="35"/>
              <w:spacing w:after="0"/>
              <w:rPr>
                <w:sz w:val="20"/>
                <w:szCs w:val="20"/>
                <w:color w:val="auto"/>
              </w:rPr>
            </w:pPr>
            <w:r>
              <w:rPr>
                <w:rFonts w:ascii="Arial" w:cs="Arial" w:eastAsia="Arial" w:hAnsi="Arial"/>
                <w:sz w:val="13"/>
                <w:szCs w:val="13"/>
                <w:b w:val="1"/>
                <w:bCs w:val="1"/>
                <w:color w:val="auto"/>
              </w:rPr>
              <w:t>(i)</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(j)</w:t>
            </w:r>
          </w:p>
        </w:tc>
      </w:tr>
    </w:tbl>
    <w:p>
      <w:pPr>
        <w:spacing w:after="0" w:line="1" w:lineRule="exact"/>
        <w:rPr>
          <w:sz w:val="20"/>
          <w:szCs w:val="20"/>
          <w:color w:val="auto"/>
        </w:rPr>
      </w:pPr>
    </w:p>
    <w:p>
      <w:pPr>
        <w:sectPr>
          <w:pgSz w:w="11900" w:h="16838" w:orient="portrait"/>
          <w:cols w:equalWidth="0" w:num="2">
            <w:col w:w="6960" w:space="20"/>
            <w:col w:w="2140"/>
          </w:cols>
          <w:pgMar w:left="1440" w:top="133" w:right="1339" w:bottom="1440" w:gutter="0" w:footer="0" w:header="0"/>
          <w:type w:val="continuous"/>
        </w:sectPr>
      </w:pPr>
    </w:p>
    <w:tbl>
      <w:tblPr>
        <w:tblLayout w:type="fixed"/>
        <w:tblInd w:w="620" w:type="dxa"/>
        <w:tblCellMar>
          <w:top w:w="0" w:type="dxa"/>
          <w:left w:w="0" w:type="dxa"/>
          <w:bottom w:w="0" w:type="dxa"/>
          <w:right w:w="0" w:type="dxa"/>
        </w:tblCellMar>
      </w:tblPr>
      <w:tr>
        <w:trPr>
          <w:trHeight w:val="163"/>
        </w:trPr>
        <w:tc>
          <w:tcPr>
            <w:tcW w:w="13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Osvaldo Flores,</w:t>
            </w:r>
          </w:p>
        </w:tc>
        <w:tc>
          <w:tcPr>
            <w:tcW w:w="7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3"/>
                <w:szCs w:val="13"/>
                <w:color w:val="auto"/>
              </w:rPr>
              <w:t>537,500</w:t>
            </w:r>
            <w:r>
              <w:rPr>
                <w:rFonts w:ascii="Arial" w:cs="Arial" w:eastAsia="Arial" w:hAnsi="Arial"/>
                <w:sz w:val="20"/>
                <w:szCs w:val="20"/>
                <w:color w:val="auto"/>
                <w:vertAlign w:val="superscript"/>
              </w:rPr>
              <w:t>(2)</w:t>
            </w:r>
          </w:p>
        </w:tc>
        <w:tc>
          <w:tcPr>
            <w:tcW w:w="880" w:type="dxa"/>
            <w:vAlign w:val="bottom"/>
            <w:tcBorders>
              <w:top w:val="single" w:sz="8" w:color="auto"/>
            </w:tcBorders>
          </w:tcPr>
          <w:p>
            <w:pPr>
              <w:spacing w:after="0"/>
              <w:rPr>
                <w:sz w:val="14"/>
                <w:szCs w:val="14"/>
                <w:color w:val="auto"/>
              </w:rPr>
            </w:pPr>
          </w:p>
        </w:tc>
        <w:tc>
          <w:tcPr>
            <w:tcW w:w="4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320" w:type="dxa"/>
            <w:vAlign w:val="bottom"/>
          </w:tcPr>
          <w:p>
            <w:pPr>
              <w:ind w:left="120"/>
              <w:spacing w:after="0"/>
              <w:rPr>
                <w:sz w:val="20"/>
                <w:szCs w:val="20"/>
                <w:color w:val="auto"/>
              </w:rPr>
            </w:pPr>
            <w:r>
              <w:rPr>
                <w:rFonts w:ascii="Arial" w:cs="Arial" w:eastAsia="Arial" w:hAnsi="Arial"/>
                <w:sz w:val="13"/>
                <w:szCs w:val="13"/>
                <w:color w:val="auto"/>
              </w:rPr>
              <w:t>Ph.D.</w:t>
            </w:r>
          </w:p>
        </w:tc>
        <w:tc>
          <w:tcPr>
            <w:tcW w:w="720" w:type="dxa"/>
            <w:vAlign w:val="bottom"/>
          </w:tcPr>
          <w:p>
            <w:pPr>
              <w:ind w:left="380"/>
              <w:spacing w:after="0"/>
              <w:rPr>
                <w:sz w:val="20"/>
                <w:szCs w:val="20"/>
                <w:color w:val="auto"/>
              </w:rPr>
            </w:pPr>
            <w:r>
              <w:rPr>
                <w:rFonts w:ascii="Arial" w:cs="Arial" w:eastAsia="Arial" w:hAnsi="Arial"/>
                <w:sz w:val="13"/>
                <w:szCs w:val="13"/>
                <w:color w:val="auto"/>
              </w:rPr>
              <w:t>—</w:t>
            </w:r>
          </w:p>
        </w:tc>
        <w:tc>
          <w:tcPr>
            <w:tcW w:w="920" w:type="dxa"/>
            <w:vAlign w:val="bottom"/>
            <w:vMerge w:val="continue"/>
          </w:tcPr>
          <w:p>
            <w:pPr>
              <w:spacing w:after="0"/>
              <w:rPr>
                <w:sz w:val="17"/>
                <w:szCs w:val="17"/>
                <w:color w:val="auto"/>
              </w:rPr>
            </w:pPr>
          </w:p>
        </w:tc>
        <w:tc>
          <w:tcPr>
            <w:tcW w:w="880" w:type="dxa"/>
            <w:vAlign w:val="bottom"/>
            <w:vMerge w:val="restart"/>
          </w:tcPr>
          <w:p>
            <w:pPr>
              <w:jc w:val="right"/>
              <w:ind w:right="75"/>
              <w:spacing w:after="0"/>
              <w:rPr>
                <w:sz w:val="20"/>
                <w:szCs w:val="20"/>
                <w:color w:val="auto"/>
              </w:rPr>
            </w:pPr>
            <w:r>
              <w:rPr>
                <w:rFonts w:ascii="Arial" w:cs="Arial" w:eastAsia="Arial" w:hAnsi="Arial"/>
                <w:sz w:val="13"/>
                <w:szCs w:val="13"/>
                <w:color w:val="auto"/>
              </w:rPr>
              <w:t>537,500</w:t>
            </w:r>
            <w:r>
              <w:rPr>
                <w:rFonts w:ascii="Arial" w:cs="Arial" w:eastAsia="Arial" w:hAnsi="Arial"/>
                <w:sz w:val="20"/>
                <w:szCs w:val="20"/>
                <w:color w:val="auto"/>
                <w:vertAlign w:val="superscript"/>
              </w:rPr>
              <w:t>(3)</w:t>
            </w:r>
          </w:p>
        </w:tc>
        <w:tc>
          <w:tcPr>
            <w:tcW w:w="4660" w:type="dxa"/>
            <w:vAlign w:val="bottom"/>
          </w:tcPr>
          <w:p>
            <w:pPr>
              <w:jc w:val="right"/>
              <w:ind w:right="3535"/>
              <w:spacing w:after="0"/>
              <w:rPr>
                <w:sz w:val="20"/>
                <w:szCs w:val="20"/>
                <w:color w:val="auto"/>
              </w:rPr>
            </w:pPr>
            <w:r>
              <w:rPr>
                <w:rFonts w:ascii="Arial" w:cs="Arial" w:eastAsia="Arial" w:hAnsi="Arial"/>
                <w:sz w:val="13"/>
                <w:szCs w:val="13"/>
                <w:color w:val="auto"/>
              </w:rPr>
              <w:t>0.69 10/1/2030</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14"/>
                <w:szCs w:val="14"/>
                <w:color w:val="auto"/>
              </w:rPr>
            </w:pPr>
          </w:p>
        </w:tc>
        <w:tc>
          <w:tcPr>
            <w:tcW w:w="720" w:type="dxa"/>
            <w:vAlign w:val="bottom"/>
          </w:tcPr>
          <w:p>
            <w:pPr>
              <w:ind w:left="380"/>
              <w:spacing w:after="0"/>
              <w:rPr>
                <w:sz w:val="20"/>
                <w:szCs w:val="20"/>
                <w:color w:val="auto"/>
              </w:rPr>
            </w:pPr>
            <w:r>
              <w:rPr>
                <w:rFonts w:ascii="Arial" w:cs="Arial" w:eastAsia="Arial" w:hAnsi="Arial"/>
                <w:sz w:val="13"/>
                <w:szCs w:val="13"/>
                <w:color w:val="auto"/>
              </w:rPr>
              <w:t>—</w:t>
            </w:r>
          </w:p>
        </w:tc>
        <w:tc>
          <w:tcPr>
            <w:tcW w:w="9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660" w:type="dxa"/>
            <w:vAlign w:val="bottom"/>
          </w:tcPr>
          <w:p>
            <w:pPr>
              <w:jc w:val="right"/>
              <w:ind w:right="3535"/>
              <w:spacing w:after="0"/>
              <w:rPr>
                <w:sz w:val="20"/>
                <w:szCs w:val="20"/>
                <w:color w:val="auto"/>
              </w:rPr>
            </w:pPr>
            <w:r>
              <w:rPr>
                <w:rFonts w:ascii="Arial" w:cs="Arial" w:eastAsia="Arial" w:hAnsi="Arial"/>
                <w:sz w:val="13"/>
                <w:szCs w:val="13"/>
                <w:color w:val="auto"/>
              </w:rPr>
              <w:t>0.69 10/1/2030</w:t>
            </w:r>
          </w:p>
        </w:tc>
        <w:tc>
          <w:tcPr>
            <w:tcW w:w="0" w:type="dxa"/>
            <w:vAlign w:val="bottom"/>
          </w:tcPr>
          <w:p>
            <w:pPr>
              <w:spacing w:after="0"/>
              <w:rPr>
                <w:sz w:val="1"/>
                <w:szCs w:val="1"/>
                <w:color w:val="auto"/>
              </w:rPr>
            </w:pPr>
          </w:p>
        </w:tc>
      </w:tr>
      <w:tr>
        <w:trPr>
          <w:trHeight w:val="205"/>
        </w:trPr>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60" w:type="dxa"/>
            <w:vAlign w:val="bottom"/>
          </w:tcPr>
          <w:p>
            <w:pPr>
              <w:jc w:val="right"/>
              <w:ind w:right="2075"/>
              <w:spacing w:after="0" w:line="205" w:lineRule="exact"/>
              <w:rPr>
                <w:sz w:val="20"/>
                <w:szCs w:val="20"/>
                <w:color w:val="auto"/>
              </w:rPr>
            </w:pPr>
            <w:r>
              <w:rPr>
                <w:rFonts w:ascii="Arial" w:cs="Arial" w:eastAsia="Arial" w:hAnsi="Arial"/>
                <w:sz w:val="13"/>
                <w:szCs w:val="13"/>
                <w:color w:val="auto"/>
              </w:rPr>
              <w:t>1,219,785</w:t>
            </w:r>
            <w:r>
              <w:rPr>
                <w:rFonts w:ascii="Arial" w:cs="Arial" w:eastAsia="Arial" w:hAnsi="Arial"/>
                <w:sz w:val="20"/>
                <w:szCs w:val="20"/>
                <w:color w:val="auto"/>
                <w:vertAlign w:val="superscript"/>
              </w:rPr>
              <w:t>(4)</w:t>
            </w:r>
            <w:r>
              <w:rPr>
                <w:rFonts w:ascii="Arial" w:cs="Arial" w:eastAsia="Arial" w:hAnsi="Arial"/>
                <w:sz w:val="13"/>
                <w:szCs w:val="13"/>
                <w:color w:val="auto"/>
              </w:rPr>
              <w:t>841,651.66</w:t>
            </w:r>
          </w:p>
        </w:tc>
        <w:tc>
          <w:tcPr>
            <w:tcW w:w="0" w:type="dxa"/>
            <w:vAlign w:val="bottom"/>
          </w:tcPr>
          <w:p>
            <w:pPr>
              <w:spacing w:after="0"/>
              <w:rPr>
                <w:sz w:val="1"/>
                <w:szCs w:val="1"/>
                <w:color w:val="auto"/>
              </w:rPr>
            </w:pPr>
          </w:p>
        </w:tc>
      </w:tr>
      <w:tr>
        <w:trPr>
          <w:trHeight w:val="231"/>
        </w:trPr>
        <w:tc>
          <w:tcPr>
            <w:tcW w:w="1320" w:type="dxa"/>
            <w:vAlign w:val="bottom"/>
          </w:tcPr>
          <w:p>
            <w:pPr>
              <w:spacing w:after="0"/>
              <w:rPr>
                <w:sz w:val="20"/>
                <w:szCs w:val="20"/>
                <w:color w:val="auto"/>
              </w:rPr>
            </w:pPr>
            <w:r>
              <w:rPr>
                <w:rFonts w:ascii="Arial" w:cs="Arial" w:eastAsia="Arial" w:hAnsi="Arial"/>
                <w:sz w:val="13"/>
                <w:szCs w:val="13"/>
                <w:color w:val="auto"/>
              </w:rPr>
              <w:t>Hyam Levitsky</w:t>
            </w: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60" w:type="dxa"/>
            <w:vAlign w:val="bottom"/>
          </w:tcPr>
          <w:p>
            <w:pPr>
              <w:jc w:val="right"/>
              <w:ind w:right="2075"/>
              <w:spacing w:after="0"/>
              <w:rPr>
                <w:sz w:val="20"/>
                <w:szCs w:val="20"/>
                <w:color w:val="auto"/>
              </w:rPr>
            </w:pPr>
            <w:r>
              <w:rPr>
                <w:rFonts w:ascii="Arial" w:cs="Arial" w:eastAsia="Arial" w:hAnsi="Arial"/>
                <w:sz w:val="13"/>
                <w:szCs w:val="13"/>
                <w:color w:val="auto"/>
              </w:rPr>
              <w:t>815,625</w:t>
            </w:r>
            <w:r>
              <w:rPr>
                <w:rFonts w:ascii="Arial" w:cs="Arial" w:eastAsia="Arial" w:hAnsi="Arial"/>
                <w:sz w:val="20"/>
                <w:szCs w:val="20"/>
                <w:color w:val="auto"/>
                <w:vertAlign w:val="superscript"/>
              </w:rPr>
              <w:t>(5)</w:t>
            </w:r>
            <w:r>
              <w:rPr>
                <w:rFonts w:ascii="Arial" w:cs="Arial" w:eastAsia="Arial" w:hAnsi="Arial"/>
                <w:sz w:val="13"/>
                <w:szCs w:val="13"/>
                <w:color w:val="auto"/>
              </w:rPr>
              <w:t>562,781.25</w:t>
            </w:r>
          </w:p>
        </w:tc>
        <w:tc>
          <w:tcPr>
            <w:tcW w:w="0" w:type="dxa"/>
            <w:vAlign w:val="bottom"/>
          </w:tcPr>
          <w:p>
            <w:pPr>
              <w:spacing w:after="0"/>
              <w:rPr>
                <w:sz w:val="1"/>
                <w:szCs w:val="1"/>
                <w:color w:val="auto"/>
              </w:rPr>
            </w:pPr>
          </w:p>
        </w:tc>
      </w:tr>
      <w:tr>
        <w:trPr>
          <w:trHeight w:val="167"/>
        </w:trPr>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rPr>
              <w:t>Michael</w:t>
            </w:r>
          </w:p>
        </w:tc>
        <w:tc>
          <w:tcPr>
            <w:tcW w:w="7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75"/>
              <w:spacing w:after="0"/>
              <w:rPr>
                <w:sz w:val="20"/>
                <w:szCs w:val="20"/>
                <w:color w:val="auto"/>
              </w:rPr>
            </w:pPr>
            <w:r>
              <w:rPr>
                <w:rFonts w:ascii="Arial" w:cs="Arial" w:eastAsia="Arial" w:hAnsi="Arial"/>
                <w:sz w:val="13"/>
                <w:szCs w:val="13"/>
                <w:color w:val="auto"/>
              </w:rPr>
              <w:t>933,707</w:t>
            </w:r>
            <w:r>
              <w:rPr>
                <w:rFonts w:ascii="Arial" w:cs="Arial" w:eastAsia="Arial" w:hAnsi="Arial"/>
                <w:sz w:val="20"/>
                <w:szCs w:val="20"/>
                <w:color w:val="auto"/>
                <w:vertAlign w:val="superscript"/>
              </w:rPr>
              <w:t>(6)</w:t>
            </w:r>
          </w:p>
        </w:tc>
        <w:tc>
          <w:tcPr>
            <w:tcW w:w="4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Diem</w:t>
            </w:r>
          </w:p>
        </w:tc>
        <w:tc>
          <w:tcPr>
            <w:tcW w:w="7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4660" w:type="dxa"/>
            <w:vAlign w:val="bottom"/>
            <w:tcBorders>
              <w:bottom w:val="single" w:sz="8" w:color="auto"/>
            </w:tcBorders>
            <w:shd w:val="clear" w:color="auto" w:fill="CCEEFF"/>
          </w:tcPr>
          <w:p>
            <w:pPr>
              <w:jc w:val="right"/>
              <w:ind w:right="3535"/>
              <w:spacing w:after="0"/>
              <w:rPr>
                <w:sz w:val="20"/>
                <w:szCs w:val="20"/>
                <w:color w:val="auto"/>
              </w:rPr>
            </w:pPr>
            <w:r>
              <w:rPr>
                <w:rFonts w:ascii="Arial" w:cs="Arial" w:eastAsia="Arial" w:hAnsi="Arial"/>
                <w:sz w:val="13"/>
                <w:szCs w:val="13"/>
                <w:color w:val="auto"/>
              </w:rPr>
              <w:t>0.69 9/30/2030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-513080</wp:posOffset>
            </wp:positionV>
            <wp:extent cx="5398770" cy="1301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398770" cy="130175"/>
                    </a:xfrm>
                    <a:prstGeom prst="rect">
                      <a:avLst/>
                    </a:prstGeom>
                    <a:noFill/>
                  </pic:spPr>
                </pic:pic>
              </a:graphicData>
            </a:graphic>
          </wp:anchor>
        </w:drawing>
      </w:r>
    </w:p>
    <w:p>
      <w:pPr>
        <w:spacing w:after="0" w:line="152" w:lineRule="exact"/>
        <w:rPr>
          <w:sz w:val="20"/>
          <w:szCs w:val="20"/>
          <w:color w:val="auto"/>
        </w:rPr>
      </w:pPr>
    </w:p>
    <w:p>
      <w:pPr>
        <w:ind w:left="1220" w:right="1520" w:firstLine="4"/>
        <w:spacing w:after="0" w:line="235" w:lineRule="auto"/>
        <w:tabs>
          <w:tab w:leader="none" w:pos="1458" w:val="left"/>
        </w:tabs>
        <w:numPr>
          <w:ilvl w:val="0"/>
          <w:numId w:val="94"/>
        </w:numPr>
        <w:rPr>
          <w:rFonts w:ascii="Arial" w:cs="Arial" w:eastAsia="Arial" w:hAnsi="Arial"/>
          <w:sz w:val="11"/>
          <w:szCs w:val="11"/>
          <w:color w:val="auto"/>
        </w:rPr>
      </w:pPr>
      <w:r>
        <w:rPr>
          <w:rFonts w:ascii="Arial" w:cs="Arial" w:eastAsia="Arial" w:hAnsi="Arial"/>
          <w:sz w:val="11"/>
          <w:szCs w:val="11"/>
          <w:color w:val="auto"/>
        </w:rPr>
        <w:t>For this purpose, the value of each share of Restricted Stock on December 31, 2020 was estimated to be $0.69, based on the most recent independent valuation of our common stock prior to that date.</w:t>
      </w: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120"/>
          </w:cols>
          <w:pgMar w:left="1440" w:top="133" w:right="1339" w:bottom="1440" w:gutter="0" w:footer="0" w:header="0"/>
          <w:type w:val="continuous"/>
        </w:sectPr>
      </w:pPr>
    </w:p>
    <w:bookmarkStart w:id="176" w:name="page177"/>
    <w:bookmarkEnd w:id="17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59" w:firstLine="4"/>
        <w:spacing w:after="0" w:line="230" w:lineRule="auto"/>
        <w:tabs>
          <w:tab w:leader="none" w:pos="1456" w:val="left"/>
        </w:tabs>
        <w:numPr>
          <w:ilvl w:val="0"/>
          <w:numId w:val="95"/>
        </w:numPr>
        <w:rPr>
          <w:rFonts w:ascii="Arial" w:cs="Arial" w:eastAsia="Arial" w:hAnsi="Arial"/>
          <w:sz w:val="11"/>
          <w:szCs w:val="11"/>
          <w:color w:val="auto"/>
        </w:rPr>
      </w:pPr>
      <w:r>
        <w:rPr>
          <w:rFonts w:ascii="Arial" w:cs="Arial" w:eastAsia="Arial" w:hAnsi="Arial"/>
          <w:sz w:val="11"/>
          <w:szCs w:val="11"/>
          <w:color w:val="auto"/>
        </w:rPr>
        <w:t>This option was granted on October 20, 2020 and vests as follows: 25% on the first anniversary of the grant date and the remaining 75% in 36 equal monthly installments thereafter. Vesting of the award requires continued employment through the applicable vesting date, provided that vesting will accelerate upon a termination without cause within 12 months following a sale event.</w:t>
      </w:r>
    </w:p>
    <w:p>
      <w:pPr>
        <w:spacing w:after="0" w:line="36" w:lineRule="exact"/>
        <w:rPr>
          <w:rFonts w:ascii="Arial" w:cs="Arial" w:eastAsia="Arial" w:hAnsi="Arial"/>
          <w:sz w:val="11"/>
          <w:szCs w:val="11"/>
          <w:color w:val="auto"/>
        </w:rPr>
      </w:pPr>
    </w:p>
    <w:p>
      <w:pPr>
        <w:ind w:left="1460" w:hanging="236"/>
        <w:spacing w:after="0"/>
        <w:tabs>
          <w:tab w:leader="none" w:pos="1460" w:val="left"/>
        </w:tabs>
        <w:numPr>
          <w:ilvl w:val="0"/>
          <w:numId w:val="95"/>
        </w:numPr>
        <w:rPr>
          <w:rFonts w:ascii="Arial" w:cs="Arial" w:eastAsia="Arial" w:hAnsi="Arial"/>
          <w:sz w:val="11"/>
          <w:szCs w:val="11"/>
          <w:color w:val="auto"/>
        </w:rPr>
      </w:pPr>
      <w:r>
        <w:rPr>
          <w:rFonts w:ascii="Arial" w:cs="Arial" w:eastAsia="Arial" w:hAnsi="Arial"/>
          <w:sz w:val="11"/>
          <w:szCs w:val="11"/>
          <w:color w:val="auto"/>
        </w:rPr>
        <w:t>This option will vest upon the first to occur of (a) our closing of a business development transaction prior to June 30, 2021 or</w:t>
      </w:r>
    </w:p>
    <w:p>
      <w:pPr>
        <w:ind w:left="1220" w:right="1279"/>
        <w:spacing w:after="0"/>
        <w:rPr>
          <w:rFonts w:ascii="Arial" w:cs="Arial" w:eastAsia="Arial" w:hAnsi="Arial"/>
          <w:sz w:val="11"/>
          <w:szCs w:val="11"/>
          <w:color w:val="auto"/>
        </w:rPr>
      </w:pPr>
      <w:r>
        <w:rPr>
          <w:rFonts w:ascii="Arial" w:cs="Arial" w:eastAsia="Arial" w:hAnsi="Arial"/>
          <w:sz w:val="11"/>
          <w:szCs w:val="11"/>
          <w:color w:val="auto"/>
        </w:rPr>
        <w:t>(b) our closing of an initial public offering prior to August 13, 2021, in each case provided that specified financial metrics are achieved in connection with the closing. Vesting of the award requires continued employment through the applicable vesting date, provided that vesting will accelerate upon a termination without cause within 12 months following a sale event. If this offering is completed prior to August 13, 2021 and Dr. Flores remains in service through that time, this option will then become fully vested and exercisable.</w:t>
      </w:r>
    </w:p>
    <w:p>
      <w:pPr>
        <w:spacing w:after="0" w:line="141" w:lineRule="exact"/>
        <w:rPr>
          <w:rFonts w:ascii="Arial" w:cs="Arial" w:eastAsia="Arial" w:hAnsi="Arial"/>
          <w:sz w:val="11"/>
          <w:szCs w:val="11"/>
          <w:color w:val="auto"/>
        </w:rPr>
      </w:pPr>
    </w:p>
    <w:p>
      <w:pPr>
        <w:ind w:left="1220" w:right="1279" w:firstLine="4"/>
        <w:spacing w:after="0" w:line="230" w:lineRule="auto"/>
        <w:tabs>
          <w:tab w:leader="none" w:pos="1456" w:val="left"/>
        </w:tabs>
        <w:numPr>
          <w:ilvl w:val="0"/>
          <w:numId w:val="95"/>
        </w:numPr>
        <w:rPr>
          <w:rFonts w:ascii="Arial" w:cs="Arial" w:eastAsia="Arial" w:hAnsi="Arial"/>
          <w:sz w:val="11"/>
          <w:szCs w:val="11"/>
          <w:color w:val="auto"/>
        </w:rPr>
      </w:pPr>
      <w:r>
        <w:rPr>
          <w:rFonts w:ascii="Arial" w:cs="Arial" w:eastAsia="Arial" w:hAnsi="Arial"/>
          <w:sz w:val="11"/>
          <w:szCs w:val="11"/>
          <w:color w:val="auto"/>
        </w:rPr>
        <w:t>This restricted stock award was granted on September 10, 2018 and vests as follows: 25% on the first anniversary of the grant date and the remaining 75% in 36 equal monthly installments thereafter. Vesting of the award requires continued employment through the applicable vesting date, provided that vesting will accelerate in full upon a termination without cause or a resignation with good reason within 12 months following a change in control.</w:t>
      </w:r>
    </w:p>
    <w:p>
      <w:pPr>
        <w:spacing w:after="0" w:line="54" w:lineRule="exact"/>
        <w:rPr>
          <w:rFonts w:ascii="Arial" w:cs="Arial" w:eastAsia="Arial" w:hAnsi="Arial"/>
          <w:sz w:val="11"/>
          <w:szCs w:val="11"/>
          <w:color w:val="auto"/>
        </w:rPr>
      </w:pPr>
    </w:p>
    <w:p>
      <w:pPr>
        <w:ind w:left="1220" w:right="1259" w:firstLine="4"/>
        <w:spacing w:after="0" w:line="229" w:lineRule="auto"/>
        <w:tabs>
          <w:tab w:leader="none" w:pos="1456" w:val="left"/>
        </w:tabs>
        <w:numPr>
          <w:ilvl w:val="0"/>
          <w:numId w:val="95"/>
        </w:numPr>
        <w:rPr>
          <w:rFonts w:ascii="Arial" w:cs="Arial" w:eastAsia="Arial" w:hAnsi="Arial"/>
          <w:sz w:val="11"/>
          <w:szCs w:val="11"/>
          <w:color w:val="auto"/>
        </w:rPr>
      </w:pPr>
      <w:r>
        <w:rPr>
          <w:rFonts w:ascii="Arial" w:cs="Arial" w:eastAsia="Arial" w:hAnsi="Arial"/>
          <w:sz w:val="11"/>
          <w:szCs w:val="11"/>
          <w:color w:val="auto"/>
        </w:rPr>
        <w:t>This restricted stock award was granted on July 18, 2019 and vests as follows: 25% on May 1, 2020 and the remaining 75% in 36 equal monthly installments thereafter. Vesting of the award requires continued employment through the applicable vesting date. The shares subject to this restricted stock award are held by a trust for the benefit of Dr. Levitsky’s family. We authorized the transfer to facilitate Dr. Levitsky’s estate planning and that the shares remain subject to all the same transfer restrictions and vesting conditions as would have applied in the absence of such transfer.</w:t>
      </w:r>
    </w:p>
    <w:p>
      <w:pPr>
        <w:spacing w:after="0" w:line="43" w:lineRule="exact"/>
        <w:rPr>
          <w:rFonts w:ascii="Arial" w:cs="Arial" w:eastAsia="Arial" w:hAnsi="Arial"/>
          <w:sz w:val="11"/>
          <w:szCs w:val="11"/>
          <w:color w:val="auto"/>
        </w:rPr>
      </w:pPr>
    </w:p>
    <w:p>
      <w:pPr>
        <w:ind w:left="1220" w:right="1319" w:firstLine="4"/>
        <w:spacing w:after="0"/>
        <w:tabs>
          <w:tab w:leader="none" w:pos="1456" w:val="left"/>
        </w:tabs>
        <w:numPr>
          <w:ilvl w:val="0"/>
          <w:numId w:val="95"/>
        </w:numPr>
        <w:rPr>
          <w:rFonts w:ascii="Arial" w:cs="Arial" w:eastAsia="Arial" w:hAnsi="Arial"/>
          <w:sz w:val="11"/>
          <w:szCs w:val="11"/>
          <w:color w:val="auto"/>
        </w:rPr>
      </w:pPr>
      <w:r>
        <w:rPr>
          <w:rFonts w:ascii="Arial" w:cs="Arial" w:eastAsia="Arial" w:hAnsi="Arial"/>
          <w:sz w:val="11"/>
          <w:szCs w:val="11"/>
          <w:color w:val="auto"/>
        </w:rPr>
        <w:t>This option was granted on October 1, 2020 and vests as follows: 25% on September 16, 2021 and the remaining 75% in 36 equal monthly installments thereafter. Vesting of the award requires continued employment through the applicable vesting date. On February 24, 2021, Dr. Diem utilized the early exercise feature of his stock option to purchase 200,000 restricted shares of common stock subject to the same vesting schedule as the original option, leaving 733,707 options outstanding under this option award.</w:t>
      </w:r>
    </w:p>
    <w:p>
      <w:pPr>
        <w:spacing w:after="0" w:line="212"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Equity incentive plans</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2021 Plan</w:t>
      </w:r>
    </w:p>
    <w:p>
      <w:pPr>
        <w:spacing w:after="0" w:line="136" w:lineRule="exact"/>
        <w:rPr>
          <w:sz w:val="20"/>
          <w:szCs w:val="20"/>
          <w:color w:val="auto"/>
        </w:rPr>
      </w:pPr>
    </w:p>
    <w:p>
      <w:pPr>
        <w:ind w:left="1220" w:right="1379"/>
        <w:spacing w:after="0" w:line="265" w:lineRule="auto"/>
        <w:rPr>
          <w:sz w:val="20"/>
          <w:szCs w:val="20"/>
          <w:color w:val="auto"/>
        </w:rPr>
      </w:pPr>
      <w:r>
        <w:rPr>
          <w:rFonts w:ascii="Arial" w:cs="Arial" w:eastAsia="Arial" w:hAnsi="Arial"/>
          <w:sz w:val="14"/>
          <w:szCs w:val="14"/>
          <w:color w:val="auto"/>
        </w:rPr>
        <w:t>Our 2021 Plan will become effective upon the effectiveness of the Registration Statement of which this prospectus forms a part. Upon the effectiveness of the 2021 Plan, we will cease granting awards under our 2018 Plan. A summary of the material terms of the 2021 Plan follows below.</w:t>
      </w:r>
    </w:p>
    <w:p>
      <w:pPr>
        <w:spacing w:after="0" w:line="265"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color w:val="auto"/>
        </w:rPr>
        <w:t>The 2021 Plan authorizes the award of both equity-based and cash-based incentive awards, including: (i) stock options (both incentive stock options and nonqualified stock options), (ii) stock appreciation rights, or SARs, (iii) restricted stock awards, or RSAs, (iv) restricted stock units, or RSUs, and (v) cash or other stock based awards. Incentive stock options may be granted only to employees. All other types of awards may be issued to employees, directors, consultants and other service providers.</w:t>
      </w:r>
    </w:p>
    <w:p>
      <w:pPr>
        <w:spacing w:after="0" w:line="265" w:lineRule="exact"/>
        <w:rPr>
          <w:sz w:val="20"/>
          <w:szCs w:val="20"/>
          <w:color w:val="auto"/>
        </w:rPr>
      </w:pPr>
    </w:p>
    <w:p>
      <w:pPr>
        <w:ind w:left="1220" w:right="1419"/>
        <w:spacing w:after="0" w:line="267" w:lineRule="auto"/>
        <w:rPr>
          <w:sz w:val="20"/>
          <w:szCs w:val="20"/>
          <w:color w:val="auto"/>
        </w:rPr>
      </w:pPr>
      <w:r>
        <w:rPr>
          <w:rFonts w:ascii="Arial" w:cs="Arial" w:eastAsia="Arial" w:hAnsi="Arial"/>
          <w:sz w:val="14"/>
          <w:szCs w:val="14"/>
          <w:i w:val="1"/>
          <w:iCs w:val="1"/>
          <w:color w:val="auto"/>
        </w:rPr>
        <w:t xml:space="preserve">Shares Subject to 2021 Plan. </w:t>
      </w:r>
      <w:r>
        <w:rPr>
          <w:rFonts w:ascii="Arial" w:cs="Arial" w:eastAsia="Arial" w:hAnsi="Arial"/>
          <w:sz w:val="14"/>
          <w:szCs w:val="14"/>
          <w:color w:val="auto"/>
        </w:rPr>
        <w:t>We will initially reserve shares of our common</w:t>
      </w:r>
      <w:r>
        <w:rPr>
          <w:rFonts w:ascii="Arial" w:cs="Arial" w:eastAsia="Arial" w:hAnsi="Arial"/>
          <w:sz w:val="14"/>
          <w:szCs w:val="14"/>
          <w:i w:val="1"/>
          <w:iCs w:val="1"/>
          <w:color w:val="auto"/>
        </w:rPr>
        <w:t xml:space="preserve"> </w:t>
      </w:r>
      <w:r>
        <w:rPr>
          <w:rFonts w:ascii="Arial" w:cs="Arial" w:eastAsia="Arial" w:hAnsi="Arial"/>
          <w:sz w:val="14"/>
          <w:szCs w:val="14"/>
          <w:color w:val="auto"/>
        </w:rPr>
        <w:t>stock for issuance under our 2021 Plan. The number of shares reserved for issuance under our</w:t>
      </w:r>
    </w:p>
    <w:p>
      <w:pPr>
        <w:spacing w:after="0" w:line="1" w:lineRule="exact"/>
        <w:rPr>
          <w:sz w:val="20"/>
          <w:szCs w:val="20"/>
          <w:color w:val="auto"/>
        </w:rPr>
      </w:pPr>
    </w:p>
    <w:p>
      <w:pPr>
        <w:ind w:left="1220" w:right="1379"/>
        <w:spacing w:after="0" w:line="257" w:lineRule="auto"/>
        <w:rPr>
          <w:sz w:val="20"/>
          <w:szCs w:val="20"/>
          <w:color w:val="auto"/>
        </w:rPr>
      </w:pPr>
      <w:r>
        <w:rPr>
          <w:rFonts w:ascii="Arial" w:cs="Arial" w:eastAsia="Arial" w:hAnsi="Arial"/>
          <w:sz w:val="14"/>
          <w:szCs w:val="14"/>
          <w:color w:val="auto"/>
        </w:rPr>
        <w:t>2021 Plan will increase automatically on and each anniversary of such date prior to the termination of the 2021 Plan, equal to the lesser of (i) % of our shares of common stock</w:t>
      </w:r>
    </w:p>
    <w:p>
      <w:pPr>
        <w:ind w:left="1220" w:right="1619"/>
        <w:spacing w:after="0" w:line="257" w:lineRule="auto"/>
        <w:rPr>
          <w:sz w:val="20"/>
          <w:szCs w:val="20"/>
          <w:color w:val="auto"/>
        </w:rPr>
      </w:pPr>
      <w:r>
        <w:rPr>
          <w:rFonts w:ascii="Arial" w:cs="Arial" w:eastAsia="Arial" w:hAnsi="Arial"/>
          <w:sz w:val="14"/>
          <w:szCs w:val="14"/>
          <w:color w:val="auto"/>
        </w:rPr>
        <w:t>issued and outstanding on the last day of the immediately preceding fiscal year and (ii) such smaller number of shares as determined by our board or compensation committee. No more</w:t>
      </w:r>
    </w:p>
    <w:p>
      <w:pPr>
        <w:ind w:left="1220" w:right="1739"/>
        <w:spacing w:after="0" w:line="274" w:lineRule="auto"/>
        <w:rPr>
          <w:sz w:val="20"/>
          <w:szCs w:val="20"/>
          <w:color w:val="auto"/>
        </w:rPr>
      </w:pPr>
      <w:r>
        <w:rPr>
          <w:rFonts w:ascii="Arial" w:cs="Arial" w:eastAsia="Arial" w:hAnsi="Arial"/>
          <w:sz w:val="14"/>
          <w:szCs w:val="14"/>
          <w:color w:val="auto"/>
        </w:rPr>
        <w:t>than shares of our common stock may be issued under the 2021 Plan through incentive stock options.</w:t>
      </w:r>
    </w:p>
    <w:p>
      <w:pPr>
        <w:spacing w:after="0" w:line="107" w:lineRule="exact"/>
        <w:rPr>
          <w:sz w:val="20"/>
          <w:szCs w:val="20"/>
          <w:color w:val="auto"/>
        </w:rPr>
      </w:pPr>
    </w:p>
    <w:p>
      <w:pPr>
        <w:ind w:left="1220" w:right="1259"/>
        <w:spacing w:after="0" w:line="290" w:lineRule="auto"/>
        <w:rPr>
          <w:sz w:val="20"/>
          <w:szCs w:val="20"/>
          <w:color w:val="auto"/>
        </w:rPr>
      </w:pPr>
      <w:r>
        <w:rPr>
          <w:rFonts w:ascii="Arial" w:cs="Arial" w:eastAsia="Arial" w:hAnsi="Arial"/>
          <w:sz w:val="14"/>
          <w:szCs w:val="14"/>
          <w:color w:val="auto"/>
        </w:rPr>
        <w:t>The following shares will be added (or added back) to the shares available for issuance under the 2021 Plan:</w:t>
      </w:r>
    </w:p>
    <w:p>
      <w:pPr>
        <w:spacing w:after="0" w:line="53" w:lineRule="exact"/>
        <w:rPr>
          <w:sz w:val="20"/>
          <w:szCs w:val="20"/>
          <w:color w:val="auto"/>
        </w:rPr>
      </w:pPr>
    </w:p>
    <w:p>
      <w:pPr>
        <w:ind w:left="1340" w:right="1579" w:hanging="116"/>
        <w:spacing w:after="0" w:line="290" w:lineRule="auto"/>
        <w:tabs>
          <w:tab w:leader="none" w:pos="1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Shares subject to 2018 Plan or 2021 Plan awards that expire, terminate or are cancelled or forfeited for any reason after the effectiveness of the 2021 Plan;</w:t>
      </w:r>
    </w:p>
    <w:p>
      <w:pPr>
        <w:spacing w:after="0" w:line="64" w:lineRule="exact"/>
        <w:rPr>
          <w:rFonts w:ascii="Arial" w:cs="Arial" w:eastAsia="Arial" w:hAnsi="Arial"/>
          <w:sz w:val="14"/>
          <w:szCs w:val="14"/>
          <w:color w:val="auto"/>
        </w:rPr>
      </w:pPr>
    </w:p>
    <w:p>
      <w:pPr>
        <w:ind w:left="1340" w:right="1319" w:hanging="116"/>
        <w:spacing w:after="0" w:line="290" w:lineRule="auto"/>
        <w:tabs>
          <w:tab w:leader="none" w:pos="1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Shares that after the effectiveness of the 2021 Plan are withheld to satisfy the exercise price of an option issued under our 2018 Plan or 2021 Plan; and</w:t>
      </w:r>
    </w:p>
    <w:p>
      <w:pPr>
        <w:spacing w:after="0" w:line="64" w:lineRule="exact"/>
        <w:rPr>
          <w:rFonts w:ascii="Arial" w:cs="Arial" w:eastAsia="Arial" w:hAnsi="Arial"/>
          <w:sz w:val="14"/>
          <w:szCs w:val="14"/>
          <w:color w:val="auto"/>
        </w:rPr>
      </w:pPr>
    </w:p>
    <w:p>
      <w:pPr>
        <w:ind w:left="1340" w:right="1679" w:hanging="116"/>
        <w:spacing w:after="0" w:line="290" w:lineRule="auto"/>
        <w:tabs>
          <w:tab w:leader="none" w:pos="1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Shares that after the effectiveness of the 2021 Plan are withheld to satisfy tax withholding obligations related to any award under our 2018 Plan or 2021 Plan.</w:t>
      </w:r>
    </w:p>
    <w:p>
      <w:pPr>
        <w:spacing w:after="0" w:line="8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However, the total number of shares underlying 2018 Plan awards that may be recycled into the</w:t>
      </w:r>
    </w:p>
    <w:p>
      <w:pPr>
        <w:spacing w:after="0" w:line="12" w:lineRule="exact"/>
        <w:rPr>
          <w:sz w:val="20"/>
          <w:szCs w:val="20"/>
          <w:color w:val="auto"/>
        </w:rPr>
      </w:pPr>
    </w:p>
    <w:p>
      <w:pPr>
        <w:ind w:left="1220"/>
        <w:spacing w:after="0"/>
        <w:tabs>
          <w:tab w:leader="none" w:pos="5900" w:val="left"/>
        </w:tabs>
        <w:rPr>
          <w:sz w:val="20"/>
          <w:szCs w:val="20"/>
          <w:color w:val="auto"/>
        </w:rPr>
      </w:pPr>
      <w:r>
        <w:rPr>
          <w:rFonts w:ascii="Arial" w:cs="Arial" w:eastAsia="Arial" w:hAnsi="Arial"/>
          <w:sz w:val="14"/>
          <w:szCs w:val="14"/>
          <w:color w:val="auto"/>
        </w:rPr>
        <w:t>2021 Plan pursuant to the above-described rules will not exceed</w:t>
      </w:r>
      <w:r>
        <w:rPr>
          <w:sz w:val="20"/>
          <w:szCs w:val="20"/>
          <w:color w:val="auto"/>
        </w:rPr>
        <w:tab/>
      </w:r>
      <w:r>
        <w:rPr>
          <w:rFonts w:ascii="Arial" w:cs="Arial" w:eastAsia="Arial" w:hAnsi="Arial"/>
          <w:sz w:val="14"/>
          <w:szCs w:val="14"/>
          <w:color w:val="auto"/>
        </w:rPr>
        <w:t>:</w:t>
      </w:r>
    </w:p>
    <w:p>
      <w:pPr>
        <w:spacing w:after="0" w:line="120" w:lineRule="exact"/>
        <w:rPr>
          <w:sz w:val="20"/>
          <w:szCs w:val="20"/>
          <w:color w:val="auto"/>
        </w:rPr>
      </w:pPr>
    </w:p>
    <w:p>
      <w:pPr>
        <w:ind w:left="1220" w:right="1499"/>
        <w:spacing w:after="0" w:line="265" w:lineRule="auto"/>
        <w:rPr>
          <w:sz w:val="20"/>
          <w:szCs w:val="20"/>
          <w:color w:val="auto"/>
        </w:rPr>
      </w:pPr>
      <w:r>
        <w:rPr>
          <w:rFonts w:ascii="Arial" w:cs="Arial" w:eastAsia="Arial" w:hAnsi="Arial"/>
          <w:sz w:val="14"/>
          <w:szCs w:val="14"/>
          <w:color w:val="auto"/>
        </w:rPr>
        <w:t>Shares of our common stock issued by us through the assumption or substitution of awards in connection with a future acquisition of another entity will not reduce the shares available for issuance under the 2021 Plan.</w:t>
      </w:r>
    </w:p>
    <w:p>
      <w:pPr>
        <w:spacing w:after="0" w:line="89" w:lineRule="exact"/>
        <w:rPr>
          <w:sz w:val="20"/>
          <w:szCs w:val="20"/>
          <w:color w:val="auto"/>
        </w:rPr>
      </w:pPr>
    </w:p>
    <w:p>
      <w:pPr>
        <w:ind w:left="1220" w:right="1379"/>
        <w:spacing w:after="0" w:line="276"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We expect that our 2021 Plan will be administered by our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committee. The administrator of the plan will have the authority to, among other things, interpret the plan and award agreements,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77" w:name="page178"/>
    <w:bookmarkEnd w:id="17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select grantees, determine the vesting, payment and other terms of awards, and modify or amend awards. Our compensation committee may delegate to one or more of our officers the authority to issue awards under the 2021 Plan to grantees who are not executive officers, subject to parameters established by the compensation committee.</w:t>
      </w:r>
    </w:p>
    <w:p>
      <w:pPr>
        <w:spacing w:after="0" w:line="82" w:lineRule="exact"/>
        <w:rPr>
          <w:sz w:val="20"/>
          <w:szCs w:val="20"/>
          <w:color w:val="auto"/>
        </w:rPr>
      </w:pPr>
    </w:p>
    <w:p>
      <w:pPr>
        <w:ind w:left="1220" w:right="1239"/>
        <w:spacing w:after="0" w:line="279" w:lineRule="auto"/>
        <w:rPr>
          <w:sz w:val="20"/>
          <w:szCs w:val="20"/>
          <w:color w:val="auto"/>
        </w:rPr>
      </w:pPr>
      <w:r>
        <w:rPr>
          <w:rFonts w:ascii="Arial" w:cs="Arial" w:eastAsia="Arial" w:hAnsi="Arial"/>
          <w:sz w:val="14"/>
          <w:szCs w:val="14"/>
          <w:i w:val="1"/>
          <w:iCs w:val="1"/>
          <w:color w:val="auto"/>
        </w:rPr>
        <w:t xml:space="preserve">Adjustments. </w:t>
      </w:r>
      <w:r>
        <w:rPr>
          <w:rFonts w:ascii="Arial" w:cs="Arial" w:eastAsia="Arial" w:hAnsi="Arial"/>
          <w:sz w:val="14"/>
          <w:szCs w:val="14"/>
          <w:color w:val="auto"/>
        </w:rPr>
        <w:t>In the event of certain corporate events or transactions (such as a merger,</w:t>
      </w:r>
      <w:r>
        <w:rPr>
          <w:rFonts w:ascii="Arial" w:cs="Arial" w:eastAsia="Arial" w:hAnsi="Arial"/>
          <w:sz w:val="14"/>
          <w:szCs w:val="14"/>
          <w:i w:val="1"/>
          <w:iCs w:val="1"/>
          <w:color w:val="auto"/>
        </w:rPr>
        <w:t xml:space="preserve"> </w:t>
      </w:r>
      <w:r>
        <w:rPr>
          <w:rFonts w:ascii="Arial" w:cs="Arial" w:eastAsia="Arial" w:hAnsi="Arial"/>
          <w:sz w:val="14"/>
          <w:szCs w:val="14"/>
          <w:color w:val="auto"/>
        </w:rPr>
        <w:t>consolidation, reorganization, recapitalization, stock split, reverse stock split, spin-off, stock dividend, or similar transaction or change in our capital structure), our compensation committee will make adjustments or substitutions to the number and kind of shares that may be issued under the 2021 Plan, the number and kind of shares subject to outstanding awards, the exercise price or base price of outstanding awards, and/or any other affected terms and conditions of the 2021 Plan or outstanding awards, in each case as it deems appropriate and equitable.</w:t>
      </w:r>
    </w:p>
    <w:p>
      <w:pPr>
        <w:spacing w:after="0" w:line="93" w:lineRule="exact"/>
        <w:rPr>
          <w:sz w:val="20"/>
          <w:szCs w:val="20"/>
          <w:color w:val="auto"/>
        </w:rPr>
      </w:pPr>
    </w:p>
    <w:p>
      <w:pPr>
        <w:ind w:left="1220" w:right="1439"/>
        <w:spacing w:after="0" w:line="282" w:lineRule="auto"/>
        <w:rPr>
          <w:sz w:val="20"/>
          <w:szCs w:val="20"/>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The 2021 Plan provides for the grant of both incentive stock options and non-qualified stock options to purchase shares of our common stock at a stated exercise price. The exercise price of stock options granted under the 2021 Plan must be at least equal to the fair market value of our common stock on the date of grant. The maximum term of options granted under our 2021 Plan is ten years.</w:t>
      </w:r>
    </w:p>
    <w:p>
      <w:pPr>
        <w:spacing w:after="0" w:line="104" w:lineRule="exact"/>
        <w:rPr>
          <w:sz w:val="20"/>
          <w:szCs w:val="20"/>
          <w:color w:val="auto"/>
        </w:rPr>
      </w:pPr>
    </w:p>
    <w:p>
      <w:pPr>
        <w:jc w:val="both"/>
        <w:ind w:left="1220" w:right="1439"/>
        <w:spacing w:after="0" w:line="281" w:lineRule="auto"/>
        <w:rPr>
          <w:sz w:val="20"/>
          <w:szCs w:val="20"/>
          <w:color w:val="auto"/>
        </w:rPr>
      </w:pPr>
      <w:r>
        <w:rPr>
          <w:rFonts w:ascii="Arial" w:cs="Arial" w:eastAsia="Arial" w:hAnsi="Arial"/>
          <w:sz w:val="14"/>
          <w:szCs w:val="14"/>
          <w:color w:val="auto"/>
        </w:rPr>
        <w:t>Our compensation committee may provide in the terms of the applicable award agreement that the participant may exercise an unvested portion in exchange for restricted stock subject to the same vesting terms as the option.</w:t>
      </w:r>
    </w:p>
    <w:p>
      <w:pPr>
        <w:spacing w:after="0" w:line="79" w:lineRule="exact"/>
        <w:rPr>
          <w:sz w:val="20"/>
          <w:szCs w:val="20"/>
          <w:color w:val="auto"/>
        </w:rPr>
      </w:pPr>
    </w:p>
    <w:p>
      <w:pPr>
        <w:ind w:left="1220" w:right="1259"/>
        <w:spacing w:after="0" w:line="282" w:lineRule="auto"/>
        <w:rPr>
          <w:sz w:val="20"/>
          <w:szCs w:val="20"/>
          <w:color w:val="auto"/>
        </w:rPr>
      </w:pPr>
      <w:r>
        <w:rPr>
          <w:rFonts w:ascii="Arial" w:cs="Arial" w:eastAsia="Arial" w:hAnsi="Arial"/>
          <w:sz w:val="14"/>
          <w:szCs w:val="14"/>
          <w:i w:val="1"/>
          <w:iCs w:val="1"/>
          <w:color w:val="auto"/>
        </w:rPr>
        <w:t xml:space="preserve">Stock appreciation rights. </w:t>
      </w:r>
      <w:r>
        <w:rPr>
          <w:rFonts w:ascii="Arial" w:cs="Arial" w:eastAsia="Arial" w:hAnsi="Arial"/>
          <w:sz w:val="14"/>
          <w:szCs w:val="14"/>
          <w:color w:val="auto"/>
        </w:rPr>
        <w:t>An SAR provides for a payment, in cash or shares of our common</w:t>
      </w:r>
      <w:r>
        <w:rPr>
          <w:rFonts w:ascii="Arial" w:cs="Arial" w:eastAsia="Arial" w:hAnsi="Arial"/>
          <w:sz w:val="14"/>
          <w:szCs w:val="14"/>
          <w:i w:val="1"/>
          <w:iCs w:val="1"/>
          <w:color w:val="auto"/>
        </w:rPr>
        <w:t xml:space="preserve"> </w:t>
      </w:r>
      <w:r>
        <w:rPr>
          <w:rFonts w:ascii="Arial" w:cs="Arial" w:eastAsia="Arial" w:hAnsi="Arial"/>
          <w:sz w:val="14"/>
          <w:szCs w:val="14"/>
          <w:color w:val="auto"/>
        </w:rPr>
        <w:t>stock or a combination of both, to the holder based upon the difference between the fair market value of our common stock on the date of exercise and a predetermined exercise price, multiplied by the number of shares. The base price of a SAR must be at least the fair market value of a share of our common stock on the date of grant. SARs may not have a term that is longer than ten years from the date of grant.</w:t>
      </w:r>
    </w:p>
    <w:p>
      <w:pPr>
        <w:spacing w:after="0" w:line="273" w:lineRule="exact"/>
        <w:rPr>
          <w:sz w:val="20"/>
          <w:szCs w:val="20"/>
          <w:color w:val="auto"/>
        </w:rPr>
      </w:pPr>
    </w:p>
    <w:p>
      <w:pPr>
        <w:ind w:left="1220" w:right="1299"/>
        <w:spacing w:after="0" w:line="280" w:lineRule="auto"/>
        <w:rPr>
          <w:sz w:val="20"/>
          <w:szCs w:val="20"/>
          <w:color w:val="auto"/>
        </w:rPr>
      </w:pPr>
      <w:r>
        <w:rPr>
          <w:rFonts w:ascii="Arial" w:cs="Arial" w:eastAsia="Arial" w:hAnsi="Arial"/>
          <w:sz w:val="14"/>
          <w:szCs w:val="14"/>
          <w:i w:val="1"/>
          <w:iCs w:val="1"/>
          <w:color w:val="auto"/>
        </w:rPr>
        <w:t xml:space="preserve">Restricted stock awards. </w:t>
      </w:r>
      <w:r>
        <w:rPr>
          <w:rFonts w:ascii="Arial" w:cs="Arial" w:eastAsia="Arial" w:hAnsi="Arial"/>
          <w:sz w:val="14"/>
          <w:szCs w:val="14"/>
          <w:color w:val="auto"/>
        </w:rPr>
        <w:t>An RSA is an issuance of shares of our common stock subject to</w:t>
      </w:r>
      <w:r>
        <w:rPr>
          <w:rFonts w:ascii="Arial" w:cs="Arial" w:eastAsia="Arial" w:hAnsi="Arial"/>
          <w:sz w:val="14"/>
          <w:szCs w:val="14"/>
          <w:i w:val="1"/>
          <w:iCs w:val="1"/>
          <w:color w:val="auto"/>
        </w:rPr>
        <w:t xml:space="preserve"> </w:t>
      </w:r>
      <w:r>
        <w:rPr>
          <w:rFonts w:ascii="Arial" w:cs="Arial" w:eastAsia="Arial" w:hAnsi="Arial"/>
          <w:sz w:val="14"/>
          <w:szCs w:val="14"/>
          <w:color w:val="auto"/>
        </w:rPr>
        <w:t>forfeiture restrictions that lapse based on the satisfaction of service and/or performance conditions. The price, if any, of each share subject to an RSA will be determined by the compensation committee. During the vesting period, a participant will have the right to vote and receive any dividends with respect to restricted stock, provided that our compensation committee may specify that any such dividends are subject to the same vesting schedule as the shares to which they relate.</w:t>
      </w:r>
    </w:p>
    <w:p>
      <w:pPr>
        <w:spacing w:after="0" w:line="276" w:lineRule="exact"/>
        <w:rPr>
          <w:sz w:val="20"/>
          <w:szCs w:val="20"/>
          <w:color w:val="auto"/>
        </w:rPr>
      </w:pPr>
    </w:p>
    <w:p>
      <w:pPr>
        <w:ind w:left="1220" w:right="1279"/>
        <w:spacing w:after="0" w:line="292" w:lineRule="auto"/>
        <w:rPr>
          <w:sz w:val="20"/>
          <w:szCs w:val="20"/>
          <w:color w:val="auto"/>
        </w:rPr>
      </w:pPr>
      <w:r>
        <w:rPr>
          <w:rFonts w:ascii="Arial" w:cs="Arial" w:eastAsia="Arial" w:hAnsi="Arial"/>
          <w:sz w:val="14"/>
          <w:szCs w:val="14"/>
          <w:i w:val="1"/>
          <w:iCs w:val="1"/>
          <w:color w:val="auto"/>
        </w:rPr>
        <w:t xml:space="preserve">Restricted stock units. </w:t>
      </w:r>
      <w:r>
        <w:rPr>
          <w:rFonts w:ascii="Arial" w:cs="Arial" w:eastAsia="Arial" w:hAnsi="Arial"/>
          <w:sz w:val="14"/>
          <w:szCs w:val="14"/>
          <w:color w:val="auto"/>
        </w:rPr>
        <w:t>RSUs represent the right to receive shares of our common stock (or cash</w:t>
      </w:r>
      <w:r>
        <w:rPr>
          <w:rFonts w:ascii="Arial" w:cs="Arial" w:eastAsia="Arial" w:hAnsi="Arial"/>
          <w:sz w:val="14"/>
          <w:szCs w:val="14"/>
          <w:i w:val="1"/>
          <w:iCs w:val="1"/>
          <w:color w:val="auto"/>
        </w:rPr>
        <w:t xml:space="preserve"> </w:t>
      </w:r>
      <w:r>
        <w:rPr>
          <w:rFonts w:ascii="Arial" w:cs="Arial" w:eastAsia="Arial" w:hAnsi="Arial"/>
          <w:sz w:val="14"/>
          <w:szCs w:val="14"/>
          <w:color w:val="auto"/>
        </w:rPr>
        <w:t>equal to the value of such shares) at a specified time in the future, following the satisfaction of specified service and/or performance conditions.</w:t>
      </w:r>
    </w:p>
    <w:p>
      <w:pPr>
        <w:spacing w:after="0" w:line="71" w:lineRule="exact"/>
        <w:rPr>
          <w:sz w:val="20"/>
          <w:szCs w:val="20"/>
          <w:color w:val="auto"/>
        </w:rPr>
      </w:pPr>
    </w:p>
    <w:p>
      <w:pPr>
        <w:ind w:left="1220" w:right="1319"/>
        <w:spacing w:after="0" w:line="280" w:lineRule="auto"/>
        <w:rPr>
          <w:sz w:val="20"/>
          <w:szCs w:val="20"/>
          <w:color w:val="auto"/>
        </w:rPr>
      </w:pPr>
      <w:r>
        <w:rPr>
          <w:rFonts w:ascii="Arial" w:cs="Arial" w:eastAsia="Arial" w:hAnsi="Arial"/>
          <w:sz w:val="14"/>
          <w:szCs w:val="14"/>
          <w:i w:val="1"/>
          <w:iCs w:val="1"/>
          <w:color w:val="auto"/>
        </w:rPr>
        <w:t xml:space="preserve">Cash or other stock based awards. </w:t>
      </w:r>
      <w:r>
        <w:rPr>
          <w:rFonts w:ascii="Arial" w:cs="Arial" w:eastAsia="Arial" w:hAnsi="Arial"/>
          <w:sz w:val="14"/>
          <w:szCs w:val="14"/>
          <w:color w:val="auto"/>
        </w:rPr>
        <w:t>Cash or other stock based awards (including awards to</w:t>
      </w:r>
      <w:r>
        <w:rPr>
          <w:rFonts w:ascii="Arial" w:cs="Arial" w:eastAsia="Arial" w:hAnsi="Arial"/>
          <w:sz w:val="14"/>
          <w:szCs w:val="14"/>
          <w:i w:val="1"/>
          <w:iCs w:val="1"/>
          <w:color w:val="auto"/>
        </w:rPr>
        <w:t xml:space="preserve"> </w:t>
      </w:r>
      <w:r>
        <w:rPr>
          <w:rFonts w:ascii="Arial" w:cs="Arial" w:eastAsia="Arial" w:hAnsi="Arial"/>
          <w:sz w:val="14"/>
          <w:szCs w:val="14"/>
          <w:color w:val="auto"/>
        </w:rPr>
        <w:t>receive unrestricted shares of our common stock or immediate cash payments) may be granted to participants. Our compensation committee will determine the terms and conditions of each such award, including, as applicable, the term, any exercise or purchase price, performance goals, vesting conditions, and other terms and conditions. Payment in respect of a cash or other stock based award may be made in cash, shares of our common stock, or a combination of both, at the discretion of our compensation committee.</w:t>
      </w:r>
    </w:p>
    <w:p>
      <w:pPr>
        <w:spacing w:after="0" w:line="276" w:lineRule="exact"/>
        <w:rPr>
          <w:sz w:val="20"/>
          <w:szCs w:val="20"/>
          <w:color w:val="auto"/>
        </w:rPr>
      </w:pPr>
    </w:p>
    <w:p>
      <w:pPr>
        <w:ind w:left="1220" w:right="1279"/>
        <w:spacing w:after="0" w:line="278" w:lineRule="auto"/>
        <w:rPr>
          <w:sz w:val="20"/>
          <w:szCs w:val="20"/>
          <w:color w:val="auto"/>
        </w:rPr>
      </w:pPr>
      <w:r>
        <w:rPr>
          <w:rFonts w:ascii="Arial" w:cs="Arial" w:eastAsia="Arial" w:hAnsi="Arial"/>
          <w:sz w:val="14"/>
          <w:szCs w:val="14"/>
          <w:i w:val="1"/>
          <w:iCs w:val="1"/>
          <w:color w:val="auto"/>
        </w:rPr>
        <w:t xml:space="preserve">Change in control. </w:t>
      </w:r>
      <w:r>
        <w:rPr>
          <w:rFonts w:ascii="Arial" w:cs="Arial" w:eastAsia="Arial" w:hAnsi="Arial"/>
          <w:sz w:val="14"/>
          <w:szCs w:val="14"/>
          <w:color w:val="auto"/>
        </w:rPr>
        <w:t>Upon or in anticipation of a change in control (which includes certain merger,</w:t>
      </w:r>
      <w:r>
        <w:rPr>
          <w:rFonts w:ascii="Arial" w:cs="Arial" w:eastAsia="Arial" w:hAnsi="Arial"/>
          <w:sz w:val="14"/>
          <w:szCs w:val="14"/>
          <w:i w:val="1"/>
          <w:iCs w:val="1"/>
          <w:color w:val="auto"/>
        </w:rPr>
        <w:t xml:space="preserve"> </w:t>
      </w:r>
      <w:r>
        <w:rPr>
          <w:rFonts w:ascii="Arial" w:cs="Arial" w:eastAsia="Arial" w:hAnsi="Arial"/>
          <w:sz w:val="14"/>
          <w:szCs w:val="14"/>
          <w:color w:val="auto"/>
        </w:rPr>
        <w:t>asset or stock transactions, certain changes in our board composition and any other event deemed by our board of directors to constitute a change in control), our compensation committee may take such actions as it deems appropriate with respect to outstanding awards under the</w:t>
      </w:r>
    </w:p>
    <w:p>
      <w:pPr>
        <w:spacing w:after="0" w:line="2"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2021 Plan. Such actions may include (among other things) the acceleration of award vesting, the substitution of awards, the cancellation of unexercised or unvested awards and the redemption or cashout of awards. In the discretion of our compensation committee, any cash or other substitute consideration payable upon redemption or cashout of an award may be subjected to the same vesting terms that applied to the original award, or earn-out, escrow, holdback or similar arrangements comparable to those applicable to stockholders in connection with the change in control. The compensation committee need not treat all outstanding awards in an identical manner.</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78" w:name="page179"/>
    <w:bookmarkEnd w:id="17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20" w:right="1239"/>
        <w:spacing w:after="0" w:line="280" w:lineRule="auto"/>
        <w:rPr>
          <w:sz w:val="20"/>
          <w:szCs w:val="20"/>
          <w:color w:val="auto"/>
        </w:rPr>
      </w:pPr>
      <w:r>
        <w:rPr>
          <w:rFonts w:ascii="Arial" w:cs="Arial" w:eastAsia="Arial" w:hAnsi="Arial"/>
          <w:sz w:val="14"/>
          <w:szCs w:val="14"/>
          <w:i w:val="1"/>
          <w:iCs w:val="1"/>
          <w:color w:val="auto"/>
        </w:rPr>
        <w:t xml:space="preserve">Repricing. </w:t>
      </w:r>
      <w:r>
        <w:rPr>
          <w:rFonts w:ascii="Arial" w:cs="Arial" w:eastAsia="Arial" w:hAnsi="Arial"/>
          <w:sz w:val="14"/>
          <w:szCs w:val="14"/>
          <w:color w:val="auto"/>
        </w:rPr>
        <w:t>The compensation committee may in its discretion: (i) cancel options or stock</w:t>
      </w:r>
      <w:r>
        <w:rPr>
          <w:rFonts w:ascii="Arial" w:cs="Arial" w:eastAsia="Arial" w:hAnsi="Arial"/>
          <w:sz w:val="14"/>
          <w:szCs w:val="14"/>
          <w:i w:val="1"/>
          <w:iCs w:val="1"/>
          <w:color w:val="auto"/>
        </w:rPr>
        <w:t xml:space="preserve"> </w:t>
      </w:r>
      <w:r>
        <w:rPr>
          <w:rFonts w:ascii="Arial" w:cs="Arial" w:eastAsia="Arial" w:hAnsi="Arial"/>
          <w:sz w:val="14"/>
          <w:szCs w:val="14"/>
          <w:color w:val="auto"/>
        </w:rPr>
        <w:t>appreciation rights outstanding under the 2021 Plan in exchange for new options or stock appreciation rights with a lower exercise or base price per share; (ii) cancel underwater options or stock appreciation rights outstanding under the 2021 Plan in exchange for consideration payable in our equity securities or cash; or (iii) otherwise directly reduce the exercise or base price of options or stock appreciation rights outstanding under the 2021 Plan.</w:t>
      </w:r>
    </w:p>
    <w:p>
      <w:pPr>
        <w:spacing w:after="0" w:line="82"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i w:val="1"/>
          <w:iCs w:val="1"/>
          <w:color w:val="auto"/>
        </w:rPr>
        <w:t xml:space="preserve">Director Compensation Limits. </w:t>
      </w:r>
      <w:r>
        <w:rPr>
          <w:rFonts w:ascii="Arial" w:cs="Arial" w:eastAsia="Arial" w:hAnsi="Arial"/>
          <w:sz w:val="14"/>
          <w:szCs w:val="14"/>
          <w:color w:val="auto"/>
        </w:rPr>
        <w:t>Beginning with the 2022 calendar year, the aggregate amount of</w:t>
      </w:r>
      <w:r>
        <w:rPr>
          <w:rFonts w:ascii="Arial" w:cs="Arial" w:eastAsia="Arial" w:hAnsi="Arial"/>
          <w:sz w:val="14"/>
          <w:szCs w:val="14"/>
          <w:i w:val="1"/>
          <w:iCs w:val="1"/>
          <w:color w:val="auto"/>
        </w:rPr>
        <w:t xml:space="preserve"> </w:t>
      </w:r>
      <w:r>
        <w:rPr>
          <w:rFonts w:ascii="Arial" w:cs="Arial" w:eastAsia="Arial" w:hAnsi="Arial"/>
          <w:sz w:val="14"/>
          <w:szCs w:val="14"/>
          <w:color w:val="auto"/>
        </w:rPr>
        <w:t>equity and cash compensation payable to a non-employee director with respect to a calendar year for his or her service as a director may not exceed $750,000 (or $1,000,000, in the case of a newly appointed or newly elected non-employee director’s first year of service with us. This director compensation limit will not apply to (i) compensation earned by a non-employee director solely in his or her capacity as chairman of the Board or lead independent director,</w:t>
      </w:r>
    </w:p>
    <w:p>
      <w:pPr>
        <w:spacing w:after="0" w:line="4" w:lineRule="exact"/>
        <w:rPr>
          <w:sz w:val="20"/>
          <w:szCs w:val="20"/>
          <w:color w:val="auto"/>
        </w:rPr>
      </w:pPr>
    </w:p>
    <w:p>
      <w:pPr>
        <w:ind w:left="1220" w:right="1319" w:firstLine="4"/>
        <w:spacing w:after="0" w:line="277" w:lineRule="auto"/>
        <w:tabs>
          <w:tab w:leader="none" w:pos="1438"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compensation earned by a non-employee director for services he or she performs outside of his or her role as a non-employee director (i.e. as an advisor or consultant), or (iii) compensation awarded by the Board to a non-employee director in extraordinary circumstances, as determined by the Board in its discretion, so long as, in each case, the non-employee director does not participate in the decision to award him- or herself the additional compensation.</w:t>
      </w:r>
    </w:p>
    <w:p>
      <w:pPr>
        <w:spacing w:after="0" w:line="93" w:lineRule="exact"/>
        <w:rPr>
          <w:sz w:val="20"/>
          <w:szCs w:val="20"/>
          <w:color w:val="auto"/>
        </w:rPr>
      </w:pPr>
    </w:p>
    <w:p>
      <w:pPr>
        <w:ind w:left="1220" w:right="1419"/>
        <w:spacing w:after="0" w:line="310" w:lineRule="auto"/>
        <w:rPr>
          <w:sz w:val="20"/>
          <w:szCs w:val="20"/>
          <w:color w:val="auto"/>
        </w:rPr>
      </w:pPr>
      <w:r>
        <w:rPr>
          <w:rFonts w:ascii="Arial" w:cs="Arial" w:eastAsia="Arial" w:hAnsi="Arial"/>
          <w:sz w:val="14"/>
          <w:szCs w:val="14"/>
          <w:i w:val="1"/>
          <w:iCs w:val="1"/>
          <w:color w:val="auto"/>
        </w:rPr>
        <w:t xml:space="preserve">Clawback. </w:t>
      </w:r>
      <w:r>
        <w:rPr>
          <w:rFonts w:ascii="Arial" w:cs="Arial" w:eastAsia="Arial" w:hAnsi="Arial"/>
          <w:sz w:val="14"/>
          <w:szCs w:val="14"/>
          <w:color w:val="auto"/>
        </w:rPr>
        <w:t>Awards under the 2021 Plan will be subject to clawback or recoupment pursuant to</w:t>
      </w:r>
      <w:r>
        <w:rPr>
          <w:rFonts w:ascii="Arial" w:cs="Arial" w:eastAsia="Arial" w:hAnsi="Arial"/>
          <w:sz w:val="14"/>
          <w:szCs w:val="14"/>
          <w:i w:val="1"/>
          <w:iCs w:val="1"/>
          <w:color w:val="auto"/>
        </w:rPr>
        <w:t xml:space="preserve"> </w:t>
      </w:r>
      <w:r>
        <w:rPr>
          <w:rFonts w:ascii="Arial" w:cs="Arial" w:eastAsia="Arial" w:hAnsi="Arial"/>
          <w:sz w:val="14"/>
          <w:szCs w:val="14"/>
          <w:color w:val="auto"/>
        </w:rPr>
        <w:t>any applicable policy, law or exchange listing requirement in effect from time to time.</w:t>
      </w:r>
    </w:p>
    <w:p>
      <w:pPr>
        <w:spacing w:after="0" w:line="70" w:lineRule="exact"/>
        <w:rPr>
          <w:sz w:val="20"/>
          <w:szCs w:val="20"/>
          <w:color w:val="auto"/>
        </w:rPr>
      </w:pPr>
    </w:p>
    <w:p>
      <w:pPr>
        <w:ind w:left="1220" w:right="1419"/>
        <w:spacing w:after="0" w:line="292" w:lineRule="auto"/>
        <w:rPr>
          <w:sz w:val="20"/>
          <w:szCs w:val="20"/>
          <w:color w:val="auto"/>
        </w:rPr>
      </w:pPr>
      <w:r>
        <w:rPr>
          <w:rFonts w:ascii="Arial" w:cs="Arial" w:eastAsia="Arial" w:hAnsi="Arial"/>
          <w:sz w:val="14"/>
          <w:szCs w:val="14"/>
          <w:i w:val="1"/>
          <w:iCs w:val="1"/>
          <w:color w:val="auto"/>
        </w:rPr>
        <w:t xml:space="preserve">Transferability. </w:t>
      </w:r>
      <w:r>
        <w:rPr>
          <w:rFonts w:ascii="Arial" w:cs="Arial" w:eastAsia="Arial" w:hAnsi="Arial"/>
          <w:sz w:val="14"/>
          <w:szCs w:val="14"/>
          <w:color w:val="auto"/>
        </w:rPr>
        <w:t>Except for certain estate planning transfers authorized by the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committee, awards granted under the 2021 Plan are generally nontransferable except by will or by the laws of descent and distribution.</w:t>
      </w:r>
    </w:p>
    <w:p>
      <w:pPr>
        <w:spacing w:after="0" w:line="71" w:lineRule="exact"/>
        <w:rPr>
          <w:sz w:val="20"/>
          <w:szCs w:val="20"/>
          <w:color w:val="auto"/>
        </w:rPr>
      </w:pPr>
    </w:p>
    <w:p>
      <w:pPr>
        <w:ind w:left="1220" w:right="1279"/>
        <w:spacing w:after="0" w:line="292" w:lineRule="auto"/>
        <w:rPr>
          <w:sz w:val="20"/>
          <w:szCs w:val="20"/>
          <w:color w:val="auto"/>
        </w:rPr>
      </w:pPr>
      <w:r>
        <w:rPr>
          <w:rFonts w:ascii="Arial" w:cs="Arial" w:eastAsia="Arial" w:hAnsi="Arial"/>
          <w:sz w:val="14"/>
          <w:szCs w:val="14"/>
          <w:i w:val="1"/>
          <w:iCs w:val="1"/>
          <w:color w:val="auto"/>
        </w:rPr>
        <w:t xml:space="preserve">Amendment and termination. </w:t>
      </w:r>
      <w:r>
        <w:rPr>
          <w:rFonts w:ascii="Arial" w:cs="Arial" w:eastAsia="Arial" w:hAnsi="Arial"/>
          <w:sz w:val="14"/>
          <w:szCs w:val="14"/>
          <w:color w:val="auto"/>
        </w:rPr>
        <w:t>Our board of directors may amend our 2021 Plan at any time,</w:t>
      </w:r>
      <w:r>
        <w:rPr>
          <w:rFonts w:ascii="Arial" w:cs="Arial" w:eastAsia="Arial" w:hAnsi="Arial"/>
          <w:sz w:val="14"/>
          <w:szCs w:val="14"/>
          <w:i w:val="1"/>
          <w:iCs w:val="1"/>
          <w:color w:val="auto"/>
        </w:rPr>
        <w:t xml:space="preserve"> </w:t>
      </w:r>
      <w:r>
        <w:rPr>
          <w:rFonts w:ascii="Arial" w:cs="Arial" w:eastAsia="Arial" w:hAnsi="Arial"/>
          <w:sz w:val="14"/>
          <w:szCs w:val="14"/>
          <w:color w:val="auto"/>
        </w:rPr>
        <w:t>subject to stockholder approval if required by applicable law or exchange listing requirement. The 2021 Plan will terminate ten years after it becomes effective.</w:t>
      </w:r>
    </w:p>
    <w:p>
      <w:pPr>
        <w:spacing w:after="0" w:line="112"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2018 Plan</w:t>
      </w:r>
    </w:p>
    <w:p>
      <w:pPr>
        <w:spacing w:after="0" w:line="146" w:lineRule="exact"/>
        <w:rPr>
          <w:sz w:val="20"/>
          <w:szCs w:val="20"/>
          <w:color w:val="auto"/>
        </w:rPr>
      </w:pPr>
    </w:p>
    <w:p>
      <w:pPr>
        <w:ind w:left="1220" w:right="1279"/>
        <w:spacing w:after="0" w:line="281" w:lineRule="auto"/>
        <w:rPr>
          <w:sz w:val="20"/>
          <w:szCs w:val="20"/>
          <w:color w:val="auto"/>
        </w:rPr>
      </w:pPr>
      <w:r>
        <w:rPr>
          <w:rFonts w:ascii="Arial" w:cs="Arial" w:eastAsia="Arial" w:hAnsi="Arial"/>
          <w:sz w:val="14"/>
          <w:szCs w:val="14"/>
          <w:color w:val="auto"/>
        </w:rPr>
        <w:t>The 2018 Plan was originally adopted on June 1, 2018 to enable the issuance of stock options, restricted stock awards, unrestricted stock awards, restricted stock units, and other awards to our employees, officers, directors, and consultants.</w:t>
      </w:r>
    </w:p>
    <w:p>
      <w:pPr>
        <w:spacing w:after="0" w:line="103" w:lineRule="exact"/>
        <w:rPr>
          <w:sz w:val="20"/>
          <w:szCs w:val="20"/>
          <w:color w:val="auto"/>
        </w:rPr>
      </w:pPr>
    </w:p>
    <w:p>
      <w:pPr>
        <w:ind w:left="1220" w:right="1259"/>
        <w:spacing w:after="0" w:line="281" w:lineRule="auto"/>
        <w:rPr>
          <w:sz w:val="20"/>
          <w:szCs w:val="20"/>
          <w:color w:val="auto"/>
        </w:rPr>
      </w:pPr>
      <w:r>
        <w:rPr>
          <w:rFonts w:ascii="Arial" w:cs="Arial" w:eastAsia="Arial" w:hAnsi="Arial"/>
          <w:sz w:val="14"/>
          <w:szCs w:val="14"/>
          <w:color w:val="auto"/>
        </w:rPr>
        <w:t>As noted above, we will cease granting awards under the 2018 Plan immediately prior to this offering. Any outstanding awards will continue to be subject to the terms of the 2018 Plan and the applicable award agreements.</w:t>
      </w:r>
    </w:p>
    <w:p>
      <w:pPr>
        <w:spacing w:after="0" w:line="9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 summary of the material terms of the 2018 Plan follows below.</w:t>
      </w:r>
    </w:p>
    <w:p>
      <w:pPr>
        <w:spacing w:after="0" w:line="127" w:lineRule="exact"/>
        <w:rPr>
          <w:sz w:val="20"/>
          <w:szCs w:val="20"/>
          <w:color w:val="auto"/>
        </w:rPr>
      </w:pPr>
    </w:p>
    <w:p>
      <w:pPr>
        <w:ind w:left="1220" w:right="1699"/>
        <w:spacing w:after="0" w:line="310"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We expect that our compensation committee will administer the 2018 Plan</w:t>
      </w:r>
      <w:r>
        <w:rPr>
          <w:rFonts w:ascii="Arial" w:cs="Arial" w:eastAsia="Arial" w:hAnsi="Arial"/>
          <w:sz w:val="14"/>
          <w:szCs w:val="14"/>
          <w:i w:val="1"/>
          <w:iCs w:val="1"/>
          <w:color w:val="auto"/>
        </w:rPr>
        <w:t xml:space="preserve"> </w:t>
      </w:r>
      <w:r>
        <w:rPr>
          <w:rFonts w:ascii="Arial" w:cs="Arial" w:eastAsia="Arial" w:hAnsi="Arial"/>
          <w:sz w:val="14"/>
          <w:szCs w:val="14"/>
          <w:color w:val="auto"/>
        </w:rPr>
        <w:t>following the date of this offering.</w:t>
      </w:r>
    </w:p>
    <w:p>
      <w:pPr>
        <w:spacing w:after="0" w:line="70" w:lineRule="exact"/>
        <w:rPr>
          <w:sz w:val="20"/>
          <w:szCs w:val="20"/>
          <w:color w:val="auto"/>
        </w:rPr>
      </w:pPr>
    </w:p>
    <w:p>
      <w:pPr>
        <w:ind w:left="1220" w:right="1499"/>
        <w:spacing w:after="0" w:line="310" w:lineRule="auto"/>
        <w:rPr>
          <w:sz w:val="20"/>
          <w:szCs w:val="20"/>
          <w:color w:val="auto"/>
        </w:rPr>
      </w:pPr>
      <w:r>
        <w:rPr>
          <w:rFonts w:ascii="Arial" w:cs="Arial" w:eastAsia="Arial" w:hAnsi="Arial"/>
          <w:sz w:val="14"/>
          <w:szCs w:val="14"/>
          <w:i w:val="1"/>
          <w:iCs w:val="1"/>
          <w:color w:val="auto"/>
        </w:rPr>
        <w:t xml:space="preserve">Shares subject to 2018 plan. </w:t>
      </w:r>
      <w:r>
        <w:rPr>
          <w:rFonts w:ascii="Arial" w:cs="Arial" w:eastAsia="Arial" w:hAnsi="Arial"/>
          <w:sz w:val="14"/>
          <w:szCs w:val="14"/>
          <w:color w:val="auto"/>
        </w:rPr>
        <w:t>The maximum number of shares that may be granted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2018 Plan is 23,498,781.</w:t>
      </w:r>
    </w:p>
    <w:p>
      <w:pPr>
        <w:spacing w:after="0" w:line="73" w:lineRule="exact"/>
        <w:rPr>
          <w:sz w:val="20"/>
          <w:szCs w:val="20"/>
          <w:color w:val="auto"/>
        </w:rPr>
      </w:pPr>
    </w:p>
    <w:p>
      <w:pPr>
        <w:ind w:left="1220" w:right="1359"/>
        <w:spacing w:after="0" w:line="273" w:lineRule="auto"/>
        <w:rPr>
          <w:sz w:val="20"/>
          <w:szCs w:val="20"/>
          <w:color w:val="auto"/>
        </w:rPr>
      </w:pPr>
      <w:r>
        <w:rPr>
          <w:rFonts w:ascii="Arial" w:cs="Arial" w:eastAsia="Arial" w:hAnsi="Arial"/>
          <w:sz w:val="14"/>
          <w:szCs w:val="14"/>
          <w:color w:val="auto"/>
        </w:rPr>
        <w:t>As of March 31, 2021, there were (i) shares available for issuance in respect of new awards under the 2018 Plan, (ii) options outstanding under the 2018 Plan with respect to shares of our common stock, and (iii) shares of restricted common stock</w:t>
      </w:r>
    </w:p>
    <w:p>
      <w:pPr>
        <w:spacing w:after="0" w:line="1" w:lineRule="exact"/>
        <w:rPr>
          <w:sz w:val="20"/>
          <w:szCs w:val="20"/>
          <w:color w:val="auto"/>
        </w:rPr>
      </w:pPr>
    </w:p>
    <w:p>
      <w:pPr>
        <w:ind w:left="1220" w:right="1619"/>
        <w:spacing w:after="0" w:line="290" w:lineRule="auto"/>
        <w:rPr>
          <w:sz w:val="20"/>
          <w:szCs w:val="20"/>
          <w:color w:val="auto"/>
        </w:rPr>
      </w:pPr>
      <w:r>
        <w:rPr>
          <w:rFonts w:ascii="Arial" w:cs="Arial" w:eastAsia="Arial" w:hAnsi="Arial"/>
          <w:sz w:val="14"/>
          <w:szCs w:val="14"/>
          <w:color w:val="auto"/>
        </w:rPr>
        <w:t>outstanding under the 2018 Plan (some of which were acquired upon early exercise of stock options).</w:t>
      </w:r>
    </w:p>
    <w:p>
      <w:pPr>
        <w:spacing w:after="0" w:line="82" w:lineRule="exact"/>
        <w:rPr>
          <w:sz w:val="20"/>
          <w:szCs w:val="20"/>
          <w:color w:val="auto"/>
        </w:rPr>
      </w:pPr>
    </w:p>
    <w:p>
      <w:pPr>
        <w:ind w:left="1220" w:right="1339"/>
        <w:spacing w:after="0" w:line="280" w:lineRule="auto"/>
        <w:rPr>
          <w:sz w:val="20"/>
          <w:szCs w:val="20"/>
          <w:color w:val="auto"/>
        </w:rPr>
      </w:pPr>
      <w:r>
        <w:rPr>
          <w:rFonts w:ascii="Arial" w:cs="Arial" w:eastAsia="Arial" w:hAnsi="Arial"/>
          <w:sz w:val="14"/>
          <w:szCs w:val="14"/>
          <w:i w:val="1"/>
          <w:iCs w:val="1"/>
          <w:color w:val="auto"/>
        </w:rPr>
        <w:t xml:space="preserve">Share recycling. </w:t>
      </w:r>
      <w:r>
        <w:rPr>
          <w:rFonts w:ascii="Arial" w:cs="Arial" w:eastAsia="Arial" w:hAnsi="Arial"/>
          <w:sz w:val="14"/>
          <w:szCs w:val="14"/>
          <w:color w:val="auto"/>
        </w:rPr>
        <w:t>Under the terms of the 2018 Plan, shares underlying awards that are forfeited,</w:t>
      </w:r>
      <w:r>
        <w:rPr>
          <w:rFonts w:ascii="Arial" w:cs="Arial" w:eastAsia="Arial" w:hAnsi="Arial"/>
          <w:sz w:val="14"/>
          <w:szCs w:val="14"/>
          <w:i w:val="1"/>
          <w:iCs w:val="1"/>
          <w:color w:val="auto"/>
        </w:rPr>
        <w:t xml:space="preserve"> </w:t>
      </w:r>
      <w:r>
        <w:rPr>
          <w:rFonts w:ascii="Arial" w:cs="Arial" w:eastAsia="Arial" w:hAnsi="Arial"/>
          <w:sz w:val="14"/>
          <w:szCs w:val="14"/>
          <w:color w:val="auto"/>
        </w:rPr>
        <w:t>canceled, reacquired by the company prior to vesting, satisfied in cash or otherwise terminated, and shares that are withheld in settlement of a tax withholding obligation associated with an award or in satisfaction of the exercise price of an award, will again become available for grant under the 2018 Plan. However, as noted above, following the effectiveness of the 2021 Plan, such shares will instead become available for grant under the 2021 Plan.</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79" w:name="page180"/>
    <w:bookmarkEnd w:id="17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20" w:right="1279"/>
        <w:spacing w:after="0" w:line="268" w:lineRule="auto"/>
        <w:rPr>
          <w:sz w:val="20"/>
          <w:szCs w:val="20"/>
          <w:color w:val="auto"/>
        </w:rPr>
      </w:pPr>
      <w:r>
        <w:rPr>
          <w:rFonts w:ascii="Arial" w:cs="Arial" w:eastAsia="Arial" w:hAnsi="Arial"/>
          <w:sz w:val="14"/>
          <w:szCs w:val="14"/>
          <w:i w:val="1"/>
          <w:iCs w:val="1"/>
          <w:color w:val="auto"/>
        </w:rPr>
        <w:t xml:space="preserve">Options. </w:t>
      </w:r>
      <w:r>
        <w:rPr>
          <w:rFonts w:ascii="Arial" w:cs="Arial" w:eastAsia="Arial" w:hAnsi="Arial"/>
          <w:sz w:val="14"/>
          <w:szCs w:val="14"/>
          <w:color w:val="auto"/>
        </w:rPr>
        <w:t>The 2018 Plan provides for the grant of both incentive stock options and non-qualified</w:t>
      </w:r>
      <w:r>
        <w:rPr>
          <w:rFonts w:ascii="Arial" w:cs="Arial" w:eastAsia="Arial" w:hAnsi="Arial"/>
          <w:sz w:val="14"/>
          <w:szCs w:val="14"/>
          <w:i w:val="1"/>
          <w:iCs w:val="1"/>
          <w:color w:val="auto"/>
        </w:rPr>
        <w:t xml:space="preserve"> </w:t>
      </w:r>
      <w:r>
        <w:rPr>
          <w:rFonts w:ascii="Arial" w:cs="Arial" w:eastAsia="Arial" w:hAnsi="Arial"/>
          <w:sz w:val="14"/>
          <w:szCs w:val="14"/>
          <w:color w:val="auto"/>
        </w:rPr>
        <w:t>stock options to purchase shares of our common stock at a stated exercise price. The exercise price of stock options granted under the 2018 Plan must be at least equal to the fair market value of our common stock on the date of grant. The maximum term of options granted under our 2018 Plan is ten years.</w:t>
      </w:r>
    </w:p>
    <w:p>
      <w:pPr>
        <w:spacing w:after="0" w:line="266" w:lineRule="exact"/>
        <w:rPr>
          <w:sz w:val="20"/>
          <w:szCs w:val="20"/>
          <w:color w:val="auto"/>
        </w:rPr>
      </w:pPr>
    </w:p>
    <w:p>
      <w:pPr>
        <w:ind w:left="1220" w:right="1239"/>
        <w:spacing w:after="0" w:line="265" w:lineRule="auto"/>
        <w:rPr>
          <w:sz w:val="20"/>
          <w:szCs w:val="20"/>
          <w:color w:val="auto"/>
        </w:rPr>
      </w:pPr>
      <w:r>
        <w:rPr>
          <w:rFonts w:ascii="Arial" w:cs="Arial" w:eastAsia="Arial" w:hAnsi="Arial"/>
          <w:sz w:val="14"/>
          <w:szCs w:val="14"/>
          <w:color w:val="auto"/>
        </w:rPr>
        <w:t>Certain stock options issued under the 2018 Plan allow for exercise prior to vesting in exchange for restricted shares of common stock subject to the same vesting schedule as the original option, and several optionees utilized this early exercise feature.</w:t>
      </w:r>
    </w:p>
    <w:p>
      <w:pPr>
        <w:spacing w:after="0" w:line="89" w:lineRule="exact"/>
        <w:rPr>
          <w:sz w:val="20"/>
          <w:szCs w:val="20"/>
          <w:color w:val="auto"/>
        </w:rPr>
      </w:pPr>
    </w:p>
    <w:p>
      <w:pPr>
        <w:ind w:left="1220" w:right="1239"/>
        <w:spacing w:after="0" w:line="266" w:lineRule="auto"/>
        <w:rPr>
          <w:sz w:val="20"/>
          <w:szCs w:val="20"/>
          <w:color w:val="auto"/>
        </w:rPr>
      </w:pPr>
      <w:r>
        <w:rPr>
          <w:rFonts w:ascii="Arial" w:cs="Arial" w:eastAsia="Arial" w:hAnsi="Arial"/>
          <w:sz w:val="14"/>
          <w:szCs w:val="14"/>
          <w:i w:val="1"/>
          <w:iCs w:val="1"/>
          <w:color w:val="auto"/>
        </w:rPr>
        <w:t xml:space="preserve">Restricted stock. </w:t>
      </w:r>
      <w:r>
        <w:rPr>
          <w:rFonts w:ascii="Arial" w:cs="Arial" w:eastAsia="Arial" w:hAnsi="Arial"/>
          <w:sz w:val="14"/>
          <w:szCs w:val="14"/>
          <w:color w:val="auto"/>
        </w:rPr>
        <w:t>The 2018 Plan also allows for the grant or sale of RSAs. The price, if any, of</w:t>
      </w:r>
      <w:r>
        <w:rPr>
          <w:rFonts w:ascii="Arial" w:cs="Arial" w:eastAsia="Arial" w:hAnsi="Arial"/>
          <w:sz w:val="14"/>
          <w:szCs w:val="14"/>
          <w:i w:val="1"/>
          <w:iCs w:val="1"/>
          <w:color w:val="auto"/>
        </w:rPr>
        <w:t xml:space="preserve"> </w:t>
      </w:r>
      <w:r>
        <w:rPr>
          <w:rFonts w:ascii="Arial" w:cs="Arial" w:eastAsia="Arial" w:hAnsi="Arial"/>
          <w:sz w:val="14"/>
          <w:szCs w:val="14"/>
          <w:color w:val="auto"/>
        </w:rPr>
        <w:t>each share subject to an RSA will be determined by the plan administrator. During the vesting period, a participant will have the right to vote and receive any dividends with respect to restricted stock, provided that the plan administrator may specify that any such dividends are subject to the same vesting schedule as the shares to which they relate.</w:t>
      </w:r>
    </w:p>
    <w:p>
      <w:pPr>
        <w:spacing w:after="0" w:line="90" w:lineRule="exact"/>
        <w:rPr>
          <w:sz w:val="20"/>
          <w:szCs w:val="20"/>
          <w:color w:val="auto"/>
        </w:rPr>
      </w:pPr>
    </w:p>
    <w:p>
      <w:pPr>
        <w:ind w:left="1220" w:right="1259"/>
        <w:spacing w:after="0" w:line="269" w:lineRule="auto"/>
        <w:rPr>
          <w:sz w:val="20"/>
          <w:szCs w:val="20"/>
          <w:color w:val="auto"/>
        </w:rPr>
      </w:pPr>
      <w:r>
        <w:rPr>
          <w:rFonts w:ascii="Arial" w:cs="Arial" w:eastAsia="Arial" w:hAnsi="Arial"/>
          <w:sz w:val="14"/>
          <w:szCs w:val="14"/>
          <w:i w:val="1"/>
          <w:iCs w:val="1"/>
          <w:color w:val="auto"/>
        </w:rPr>
        <w:t xml:space="preserve">Stock appreciation rights, restricted stock units, unrestricted stock awards. </w:t>
      </w:r>
      <w:r>
        <w:rPr>
          <w:rFonts w:ascii="Arial" w:cs="Arial" w:eastAsia="Arial" w:hAnsi="Arial"/>
          <w:sz w:val="14"/>
          <w:szCs w:val="14"/>
          <w:color w:val="auto"/>
        </w:rPr>
        <w:t>In addition, the 2018</w:t>
      </w:r>
      <w:r>
        <w:rPr>
          <w:rFonts w:ascii="Arial" w:cs="Arial" w:eastAsia="Arial" w:hAnsi="Arial"/>
          <w:sz w:val="14"/>
          <w:szCs w:val="14"/>
          <w:i w:val="1"/>
          <w:iCs w:val="1"/>
          <w:color w:val="auto"/>
        </w:rPr>
        <w:t xml:space="preserve"> </w:t>
      </w:r>
      <w:r>
        <w:rPr>
          <w:rFonts w:ascii="Arial" w:cs="Arial" w:eastAsia="Arial" w:hAnsi="Arial"/>
          <w:sz w:val="14"/>
          <w:szCs w:val="14"/>
          <w:color w:val="auto"/>
        </w:rPr>
        <w:t>Plan allows for the grant of SARs, RSUs and unrestricted stock awards, with terms as determined by the board in accordance with the 2018 Plan. However, as noted above, we have not granted any SARs, RSUs or unrestricted stock awards under the 2018 Plan.</w:t>
      </w:r>
    </w:p>
    <w:p>
      <w:pPr>
        <w:spacing w:after="0" w:line="77" w:lineRule="exact"/>
        <w:rPr>
          <w:sz w:val="20"/>
          <w:szCs w:val="20"/>
          <w:color w:val="auto"/>
        </w:rPr>
      </w:pPr>
    </w:p>
    <w:p>
      <w:pPr>
        <w:ind w:left="1220" w:right="1479"/>
        <w:spacing w:after="0" w:line="264" w:lineRule="auto"/>
        <w:rPr>
          <w:sz w:val="20"/>
          <w:szCs w:val="20"/>
          <w:color w:val="auto"/>
        </w:rPr>
      </w:pPr>
      <w:r>
        <w:rPr>
          <w:rFonts w:ascii="Arial" w:cs="Arial" w:eastAsia="Arial" w:hAnsi="Arial"/>
          <w:sz w:val="14"/>
          <w:szCs w:val="14"/>
          <w:i w:val="1"/>
          <w:iCs w:val="1"/>
          <w:color w:val="auto"/>
        </w:rPr>
        <w:t xml:space="preserve">Sale event. </w:t>
      </w:r>
      <w:r>
        <w:rPr>
          <w:rFonts w:ascii="Arial" w:cs="Arial" w:eastAsia="Arial" w:hAnsi="Arial"/>
          <w:sz w:val="14"/>
          <w:szCs w:val="14"/>
          <w:color w:val="auto"/>
        </w:rPr>
        <w:t>If we are subject to a “sale event” (including certain dissolution, liquidation, asset</w:t>
      </w:r>
      <w:r>
        <w:rPr>
          <w:rFonts w:ascii="Arial" w:cs="Arial" w:eastAsia="Arial" w:hAnsi="Arial"/>
          <w:sz w:val="14"/>
          <w:szCs w:val="14"/>
          <w:i w:val="1"/>
          <w:iCs w:val="1"/>
          <w:color w:val="auto"/>
        </w:rPr>
        <w:t xml:space="preserve"> </w:t>
      </w:r>
      <w:r>
        <w:rPr>
          <w:rFonts w:ascii="Arial" w:cs="Arial" w:eastAsia="Arial" w:hAnsi="Arial"/>
          <w:sz w:val="14"/>
          <w:szCs w:val="14"/>
          <w:color w:val="auto"/>
        </w:rPr>
        <w:t>sale or merger transactions), the plan administrator will determine how to treat outstanding awards under our 2018 Plan. This may include: (i) the cancellation and/or forfeiture of outstanding awards, unless exercised prior to the sale event or assumed, substituted or continued by the surviving entity or its parent; or (ii) cashout or redemption of outstanding awards. The plan administrator need not treat all outstanding awards in an identical manner.</w:t>
      </w:r>
    </w:p>
    <w:p>
      <w:pPr>
        <w:spacing w:after="0" w:line="92" w:lineRule="exact"/>
        <w:rPr>
          <w:sz w:val="20"/>
          <w:szCs w:val="20"/>
          <w:color w:val="auto"/>
        </w:rPr>
      </w:pPr>
    </w:p>
    <w:p>
      <w:pPr>
        <w:ind w:left="1220" w:right="1319"/>
        <w:spacing w:after="0" w:line="265" w:lineRule="auto"/>
        <w:rPr>
          <w:sz w:val="20"/>
          <w:szCs w:val="20"/>
          <w:color w:val="auto"/>
        </w:rPr>
      </w:pPr>
      <w:r>
        <w:rPr>
          <w:rFonts w:ascii="Arial" w:cs="Arial" w:eastAsia="Arial" w:hAnsi="Arial"/>
          <w:sz w:val="14"/>
          <w:szCs w:val="14"/>
          <w:i w:val="1"/>
          <w:iCs w:val="1"/>
          <w:color w:val="auto"/>
        </w:rPr>
        <w:t xml:space="preserve">Adjustments. </w:t>
      </w:r>
      <w:r>
        <w:rPr>
          <w:rFonts w:ascii="Arial" w:cs="Arial" w:eastAsia="Arial" w:hAnsi="Arial"/>
          <w:sz w:val="14"/>
          <w:szCs w:val="14"/>
          <w:color w:val="auto"/>
        </w:rPr>
        <w:t>In the event of a stock dividend, reorganization, recapitalization, stock split,</w:t>
      </w:r>
      <w:r>
        <w:rPr>
          <w:rFonts w:ascii="Arial" w:cs="Arial" w:eastAsia="Arial" w:hAnsi="Arial"/>
          <w:sz w:val="14"/>
          <w:szCs w:val="14"/>
          <w:i w:val="1"/>
          <w:iCs w:val="1"/>
          <w:color w:val="auto"/>
        </w:rPr>
        <w:t xml:space="preserve"> </w:t>
      </w:r>
      <w:r>
        <w:rPr>
          <w:rFonts w:ascii="Arial" w:cs="Arial" w:eastAsia="Arial" w:hAnsi="Arial"/>
          <w:sz w:val="14"/>
          <w:szCs w:val="14"/>
          <w:color w:val="auto"/>
        </w:rPr>
        <w:t>reverse stock split, subdivision, combination, reclassification, merger, asset sale, or other similar event or transaction affecting our common stock, proportional adjustments will be made to the number of shares reserved for issuance under our 2018 Plan; the number and class of shares subject to outstanding awards; and the exercise or repurchase price applicable to outstanding awards.</w:t>
      </w:r>
    </w:p>
    <w:p>
      <w:pPr>
        <w:spacing w:after="0" w:line="266" w:lineRule="exact"/>
        <w:rPr>
          <w:sz w:val="20"/>
          <w:szCs w:val="20"/>
          <w:color w:val="auto"/>
        </w:rPr>
      </w:pPr>
    </w:p>
    <w:p>
      <w:pPr>
        <w:ind w:left="1220" w:right="1579"/>
        <w:spacing w:after="0" w:line="276" w:lineRule="auto"/>
        <w:rPr>
          <w:sz w:val="20"/>
          <w:szCs w:val="20"/>
          <w:color w:val="auto"/>
        </w:rPr>
      </w:pPr>
      <w:r>
        <w:rPr>
          <w:rFonts w:ascii="Arial" w:cs="Arial" w:eastAsia="Arial" w:hAnsi="Arial"/>
          <w:sz w:val="14"/>
          <w:szCs w:val="14"/>
          <w:i w:val="1"/>
          <w:iCs w:val="1"/>
          <w:color w:val="auto"/>
        </w:rPr>
        <w:t xml:space="preserve">Repricing. </w:t>
      </w:r>
      <w:r>
        <w:rPr>
          <w:rFonts w:ascii="Arial" w:cs="Arial" w:eastAsia="Arial" w:hAnsi="Arial"/>
          <w:sz w:val="14"/>
          <w:szCs w:val="14"/>
          <w:color w:val="auto"/>
        </w:rPr>
        <w:t>Without approval of stockholders, the plan administrator may reprice options</w:t>
      </w:r>
      <w:r>
        <w:rPr>
          <w:rFonts w:ascii="Arial" w:cs="Arial" w:eastAsia="Arial" w:hAnsi="Arial"/>
          <w:sz w:val="14"/>
          <w:szCs w:val="14"/>
          <w:i w:val="1"/>
          <w:iCs w:val="1"/>
          <w:color w:val="auto"/>
        </w:rPr>
        <w:t xml:space="preserve"> </w:t>
      </w:r>
      <w:r>
        <w:rPr>
          <w:rFonts w:ascii="Arial" w:cs="Arial" w:eastAsia="Arial" w:hAnsi="Arial"/>
          <w:sz w:val="14"/>
          <w:szCs w:val="14"/>
          <w:color w:val="auto"/>
        </w:rPr>
        <w:t>outstanding under the 2018 Plan by reducing the exercise price of such options or cancelling such options in exchange for new awards.</w:t>
      </w:r>
    </w:p>
    <w:p>
      <w:pPr>
        <w:spacing w:after="0" w:line="70" w:lineRule="exact"/>
        <w:rPr>
          <w:sz w:val="20"/>
          <w:szCs w:val="20"/>
          <w:color w:val="auto"/>
        </w:rPr>
      </w:pPr>
    </w:p>
    <w:p>
      <w:pPr>
        <w:jc w:val="both"/>
        <w:ind w:left="1220" w:right="1419"/>
        <w:spacing w:after="0" w:line="269" w:lineRule="auto"/>
        <w:rPr>
          <w:sz w:val="20"/>
          <w:szCs w:val="20"/>
          <w:color w:val="auto"/>
        </w:rPr>
      </w:pPr>
      <w:r>
        <w:rPr>
          <w:rFonts w:ascii="Arial" w:cs="Arial" w:eastAsia="Arial" w:hAnsi="Arial"/>
          <w:sz w:val="14"/>
          <w:szCs w:val="14"/>
          <w:i w:val="1"/>
          <w:iCs w:val="1"/>
          <w:color w:val="auto"/>
        </w:rPr>
        <w:t xml:space="preserve">Transferability. </w:t>
      </w:r>
      <w:r>
        <w:rPr>
          <w:rFonts w:ascii="Arial" w:cs="Arial" w:eastAsia="Arial" w:hAnsi="Arial"/>
          <w:sz w:val="14"/>
          <w:szCs w:val="14"/>
          <w:color w:val="auto"/>
        </w:rPr>
        <w:t>Unless otherwise determined by the plan administrator and/or specified in the</w:t>
      </w:r>
      <w:r>
        <w:rPr>
          <w:rFonts w:ascii="Arial" w:cs="Arial" w:eastAsia="Arial" w:hAnsi="Arial"/>
          <w:sz w:val="14"/>
          <w:szCs w:val="14"/>
          <w:i w:val="1"/>
          <w:iCs w:val="1"/>
          <w:color w:val="auto"/>
        </w:rPr>
        <w:t xml:space="preserve"> </w:t>
      </w:r>
      <w:r>
        <w:rPr>
          <w:rFonts w:ascii="Arial" w:cs="Arial" w:eastAsia="Arial" w:hAnsi="Arial"/>
          <w:sz w:val="14"/>
          <w:szCs w:val="14"/>
          <w:color w:val="auto"/>
        </w:rPr>
        <w:t>applicable award agreement, 2018 Plan awards generally may not be sold, pledged, assigned, hypothecated, transferred, or disposed of in any manner other than by will, the laws of descent, and distribution.</w:t>
      </w:r>
    </w:p>
    <w:p>
      <w:pPr>
        <w:spacing w:after="0" w:line="1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ESPP</w:t>
      </w:r>
    </w:p>
    <w:p>
      <w:pPr>
        <w:spacing w:after="0" w:line="136" w:lineRule="exact"/>
        <w:rPr>
          <w:sz w:val="20"/>
          <w:szCs w:val="20"/>
          <w:color w:val="auto"/>
        </w:rPr>
      </w:pPr>
    </w:p>
    <w:p>
      <w:pPr>
        <w:ind w:left="1220" w:right="1419"/>
        <w:spacing w:after="0" w:line="257" w:lineRule="auto"/>
        <w:rPr>
          <w:sz w:val="20"/>
          <w:szCs w:val="20"/>
          <w:color w:val="auto"/>
        </w:rPr>
      </w:pPr>
      <w:r>
        <w:rPr>
          <w:rFonts w:ascii="Arial" w:cs="Arial" w:eastAsia="Arial" w:hAnsi="Arial"/>
          <w:sz w:val="14"/>
          <w:szCs w:val="14"/>
          <w:color w:val="auto"/>
        </w:rPr>
        <w:t>Our board of directors intends to adopt the ESPP prior to closing of this offering which will become effective upon the effectiveness of the Registration Statement of which this prospectus forms a part, under which we may provide our employees and employees of our participating subsidiaries with an opportunity to purchase shares of our common stock at a discounted</w:t>
      </w:r>
    </w:p>
    <w:p>
      <w:pPr>
        <w:spacing w:after="0" w:line="1" w:lineRule="exact"/>
        <w:rPr>
          <w:sz w:val="20"/>
          <w:szCs w:val="20"/>
          <w:color w:val="auto"/>
        </w:rPr>
      </w:pPr>
    </w:p>
    <w:p>
      <w:pPr>
        <w:ind w:left="1220" w:right="1419"/>
        <w:spacing w:after="0" w:line="265" w:lineRule="auto"/>
        <w:rPr>
          <w:sz w:val="20"/>
          <w:szCs w:val="20"/>
          <w:color w:val="auto"/>
        </w:rPr>
      </w:pPr>
      <w:r>
        <w:rPr>
          <w:rFonts w:ascii="Arial" w:cs="Arial" w:eastAsia="Arial" w:hAnsi="Arial"/>
          <w:sz w:val="14"/>
          <w:szCs w:val="14"/>
          <w:color w:val="auto"/>
        </w:rPr>
        <w:t>purchase price. The ESPP will first become effective . The material terms of the ESPP are summarized below. The ESPP is intended to qualify as an “employee stock purchase plan” meeting the requirements of Section 423 of the Code.</w:t>
      </w:r>
    </w:p>
    <w:p>
      <w:pPr>
        <w:spacing w:after="0" w:line="89" w:lineRule="exact"/>
        <w:rPr>
          <w:sz w:val="20"/>
          <w:szCs w:val="20"/>
          <w:color w:val="auto"/>
        </w:rPr>
      </w:pPr>
    </w:p>
    <w:p>
      <w:pPr>
        <w:ind w:left="1220" w:right="1299"/>
        <w:spacing w:after="0" w:line="268" w:lineRule="auto"/>
        <w:rPr>
          <w:sz w:val="20"/>
          <w:szCs w:val="20"/>
          <w:color w:val="auto"/>
        </w:rPr>
      </w:pPr>
      <w:r>
        <w:rPr>
          <w:rFonts w:ascii="Arial" w:cs="Arial" w:eastAsia="Arial" w:hAnsi="Arial"/>
          <w:sz w:val="14"/>
          <w:szCs w:val="14"/>
          <w:i w:val="1"/>
          <w:iCs w:val="1"/>
          <w:color w:val="auto"/>
        </w:rPr>
        <w:t xml:space="preserve">Administration. </w:t>
      </w:r>
      <w:r>
        <w:rPr>
          <w:rFonts w:ascii="Arial" w:cs="Arial" w:eastAsia="Arial" w:hAnsi="Arial"/>
          <w:sz w:val="14"/>
          <w:szCs w:val="14"/>
          <w:color w:val="auto"/>
        </w:rPr>
        <w:t>Subject to the express provisions of the ESPP, our compensation committee will</w:t>
      </w:r>
      <w:r>
        <w:rPr>
          <w:rFonts w:ascii="Arial" w:cs="Arial" w:eastAsia="Arial" w:hAnsi="Arial"/>
          <w:sz w:val="14"/>
          <w:szCs w:val="14"/>
          <w:i w:val="1"/>
          <w:iCs w:val="1"/>
          <w:color w:val="auto"/>
        </w:rPr>
        <w:t xml:space="preserve"> </w:t>
      </w:r>
      <w:r>
        <w:rPr>
          <w:rFonts w:ascii="Arial" w:cs="Arial" w:eastAsia="Arial" w:hAnsi="Arial"/>
          <w:sz w:val="14"/>
          <w:szCs w:val="14"/>
          <w:color w:val="auto"/>
        </w:rPr>
        <w:t>have the authority to construe and interpret the ESPP, prescribe, amend, and rescind rules relating to the ESPP’s administration and take any other actions necessary or desirable for the administration of the ESPP and to facilitate compliance with Section 423 of the Code and other applicable law.</w:t>
      </w:r>
    </w:p>
    <w:p>
      <w:pPr>
        <w:spacing w:after="0" w:line="252" w:lineRule="exact"/>
        <w:rPr>
          <w:sz w:val="20"/>
          <w:szCs w:val="20"/>
          <w:color w:val="auto"/>
        </w:rPr>
      </w:pPr>
    </w:p>
    <w:p>
      <w:pPr>
        <w:ind w:left="1220"/>
        <w:spacing w:after="0"/>
        <w:tabs>
          <w:tab w:leader="none" w:pos="3160" w:val="left"/>
        </w:tabs>
        <w:rPr>
          <w:sz w:val="20"/>
          <w:szCs w:val="20"/>
          <w:color w:val="auto"/>
        </w:rPr>
      </w:pPr>
      <w:r>
        <w:rPr>
          <w:rFonts w:ascii="Arial" w:cs="Arial" w:eastAsia="Arial" w:hAnsi="Arial"/>
          <w:sz w:val="14"/>
          <w:szCs w:val="14"/>
          <w:i w:val="1"/>
          <w:iCs w:val="1"/>
          <w:color w:val="auto"/>
        </w:rPr>
        <w:t>Stock Subject to the ESPP.</w:t>
      </w:r>
      <w:r>
        <w:rPr>
          <w:sz w:val="20"/>
          <w:szCs w:val="20"/>
          <w:color w:val="auto"/>
        </w:rPr>
        <w:tab/>
      </w:r>
      <w:r>
        <w:rPr>
          <w:rFonts w:ascii="Arial" w:cs="Arial" w:eastAsia="Arial" w:hAnsi="Arial"/>
          <w:sz w:val="14"/>
          <w:szCs w:val="14"/>
          <w:color w:val="auto"/>
        </w:rPr>
        <w:t>Subject to adjustment as provided in the ESPP, a total of</w:t>
      </w:r>
    </w:p>
    <w:p>
      <w:pPr>
        <w:spacing w:after="0" w:line="26"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shares of our common stock will be authorized and reserved for issuance under the ESPP. In</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addition, subject to prior approval by our board of directors in each instance, on or</w:t>
      </w:r>
    </w:p>
    <w:p>
      <w:pPr>
        <w:spacing w:after="0" w:line="12" w:lineRule="exact"/>
        <w:rPr>
          <w:sz w:val="20"/>
          <w:szCs w:val="20"/>
          <w:color w:val="auto"/>
        </w:rPr>
      </w:pPr>
    </w:p>
    <w:p>
      <w:pPr>
        <w:ind w:left="1220" w:right="1539"/>
        <w:spacing w:after="0" w:line="274" w:lineRule="auto"/>
        <w:rPr>
          <w:sz w:val="20"/>
          <w:szCs w:val="20"/>
          <w:color w:val="auto"/>
        </w:rPr>
      </w:pPr>
      <w:r>
        <w:rPr>
          <w:rFonts w:ascii="Arial" w:cs="Arial" w:eastAsia="Arial" w:hAnsi="Arial"/>
          <w:sz w:val="14"/>
          <w:szCs w:val="14"/>
          <w:color w:val="auto"/>
        </w:rPr>
        <w:t>about and each anniversary of such date thereafter prior to the termination of the ESPP, the number of shares of our common stock authorized and reserved for</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80" w:name="page181"/>
    <w:bookmarkEnd w:id="18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issuance under the ESPP will be increased by a number of shares of our common stock equal to</w:t>
      </w:r>
    </w:p>
    <w:p>
      <w:pPr>
        <w:spacing w:after="0" w:line="12" w:lineRule="exact"/>
        <w:rPr>
          <w:sz w:val="20"/>
          <w:szCs w:val="20"/>
          <w:color w:val="auto"/>
        </w:rPr>
      </w:pPr>
    </w:p>
    <w:p>
      <w:pPr>
        <w:ind w:left="1220" w:right="1319"/>
        <w:spacing w:after="0" w:line="258" w:lineRule="auto"/>
        <w:rPr>
          <w:sz w:val="20"/>
          <w:szCs w:val="20"/>
          <w:color w:val="auto"/>
        </w:rPr>
      </w:pPr>
      <w:r>
        <w:rPr>
          <w:rFonts w:ascii="Arial" w:cs="Arial" w:eastAsia="Arial" w:hAnsi="Arial"/>
          <w:sz w:val="14"/>
          <w:szCs w:val="14"/>
          <w:color w:val="auto"/>
        </w:rPr>
        <w:t>the least of (i) shares of our common stock, (ii) 1% of the shares of our common stock outstanding on the final day of the immediately preceding calendar year, and (iii) such smaller number of shares of our common stock as determined by our board of directors. Such shares of our common stock may be newly issued shares, treasury shares or shares acquired on the open market. In the event that any dividend or other distribution (whether in the form of cash, our common stock, or other property), recapitalization, stock split, reverse stock split, reorganization, merger, consolidation, split-up, spin-off, or exchange of our common stock or our other securities, or other change in our structure affecting our common stock occurs, then in order to prevent dilution or enlargement of the benefits or potential benefits intended to be made available under the ESPP, our compensation committee will, in such manner as it deems equitable, adjust the number of shares and class of common stock that may be delivered under the ESPP, the purchase price per share and the number of shares covered by each outstanding option under the ESPP, and the numerical limits described above.</w:t>
      </w:r>
    </w:p>
    <w:p>
      <w:pPr>
        <w:spacing w:after="0" w:line="261" w:lineRule="exact"/>
        <w:rPr>
          <w:sz w:val="20"/>
          <w:szCs w:val="20"/>
          <w:color w:val="auto"/>
        </w:rPr>
      </w:pPr>
    </w:p>
    <w:p>
      <w:pPr>
        <w:ind w:left="1220" w:right="1799"/>
        <w:spacing w:after="0" w:line="267" w:lineRule="auto"/>
        <w:rPr>
          <w:sz w:val="20"/>
          <w:szCs w:val="20"/>
          <w:color w:val="auto"/>
        </w:rPr>
      </w:pPr>
      <w:r>
        <w:rPr>
          <w:rFonts w:ascii="Arial" w:cs="Arial" w:eastAsia="Arial" w:hAnsi="Arial"/>
          <w:sz w:val="14"/>
          <w:szCs w:val="14"/>
          <w:i w:val="1"/>
          <w:iCs w:val="1"/>
          <w:color w:val="auto"/>
        </w:rPr>
        <w:t xml:space="preserve">Eligibility. </w:t>
      </w:r>
      <w:r>
        <w:rPr>
          <w:rFonts w:ascii="Arial" w:cs="Arial" w:eastAsia="Arial" w:hAnsi="Arial"/>
          <w:sz w:val="14"/>
          <w:szCs w:val="14"/>
          <w:color w:val="auto"/>
        </w:rPr>
        <w:t>Generally, our employees and employees of our participating subsidiaries who</w:t>
      </w:r>
      <w:r>
        <w:rPr>
          <w:rFonts w:ascii="Arial" w:cs="Arial" w:eastAsia="Arial" w:hAnsi="Arial"/>
          <w:sz w:val="14"/>
          <w:szCs w:val="14"/>
          <w:i w:val="1"/>
          <w:iCs w:val="1"/>
          <w:color w:val="auto"/>
        </w:rPr>
        <w:t xml:space="preserve"> </w:t>
      </w:r>
      <w:r>
        <w:rPr>
          <w:rFonts w:ascii="Arial" w:cs="Arial" w:eastAsia="Arial" w:hAnsi="Arial"/>
          <w:sz w:val="14"/>
          <w:szCs w:val="14"/>
          <w:color w:val="auto"/>
        </w:rPr>
        <w:t>customarily are employed for at least twenty (20) hours per week and for more than five</w:t>
      </w:r>
    </w:p>
    <w:p>
      <w:pPr>
        <w:spacing w:after="0" w:line="1" w:lineRule="exact"/>
        <w:rPr>
          <w:sz w:val="20"/>
          <w:szCs w:val="20"/>
          <w:color w:val="auto"/>
        </w:rPr>
      </w:pPr>
    </w:p>
    <w:p>
      <w:pPr>
        <w:ind w:left="1220" w:right="1239" w:firstLine="4"/>
        <w:spacing w:after="0" w:line="258" w:lineRule="auto"/>
        <w:tabs>
          <w:tab w:leader="none" w:pos="1450" w:val="left"/>
        </w:tabs>
        <w:numPr>
          <w:ilvl w:val="0"/>
          <w:numId w:val="98"/>
        </w:numPr>
        <w:rPr>
          <w:rFonts w:ascii="Arial" w:cs="Arial" w:eastAsia="Arial" w:hAnsi="Arial"/>
          <w:sz w:val="14"/>
          <w:szCs w:val="14"/>
          <w:color w:val="auto"/>
        </w:rPr>
      </w:pPr>
      <w:r>
        <w:rPr>
          <w:rFonts w:ascii="Arial" w:cs="Arial" w:eastAsia="Arial" w:hAnsi="Arial"/>
          <w:sz w:val="14"/>
          <w:szCs w:val="14"/>
          <w:color w:val="auto"/>
        </w:rPr>
        <w:t>months in any calendar year will be eligible to participate in the ESPP. Notwithstanding the foregoing, our compensation committee may exclude from participation in the ESPP or any offering period employees who are (i) “highly compensated employees” within the meaning of Section 414(q) of the Code, or (ii) citizens or residents of a foreign jurisdiction where the grant of an option under the ESPP to such employee would be prohibited under the laws of such foreign jurisdiction or the grant of an option under the ESPP to such employee in compliance with the laws of such foreign jurisdiction would cause the ESPP to violate the requirements of Section 423 of the Code. No employee may be granted options to purchase shares of our common stock under the ESPP if such employee (x) immediately after the grant would own capital stock possessing 5% or more of the total combined voting power or value of all classes of our capital stock, or (y) holds rights to purchase shares of our common stock under all of our employee stock purchase plans (in accordance with Section 423(b)(8) of the Code) that accrue at a rate exceeding $25,000 (determined as of the option grant date) for each calendar year in which such rights are outstanding.</w:t>
      </w:r>
    </w:p>
    <w:p>
      <w:pPr>
        <w:spacing w:after="0" w:line="272" w:lineRule="exact"/>
        <w:rPr>
          <w:sz w:val="20"/>
          <w:szCs w:val="20"/>
          <w:color w:val="auto"/>
        </w:rPr>
      </w:pPr>
    </w:p>
    <w:p>
      <w:pPr>
        <w:ind w:left="1220" w:right="1299"/>
        <w:spacing w:after="0" w:line="264" w:lineRule="auto"/>
        <w:rPr>
          <w:sz w:val="20"/>
          <w:szCs w:val="20"/>
          <w:color w:val="auto"/>
        </w:rPr>
      </w:pPr>
      <w:r>
        <w:rPr>
          <w:rFonts w:ascii="Arial" w:cs="Arial" w:eastAsia="Arial" w:hAnsi="Arial"/>
          <w:sz w:val="14"/>
          <w:szCs w:val="14"/>
          <w:i w:val="1"/>
          <w:iCs w:val="1"/>
          <w:color w:val="auto"/>
        </w:rPr>
        <w:t xml:space="preserve">Grant and exercise of options. </w:t>
      </w:r>
      <w:r>
        <w:rPr>
          <w:rFonts w:ascii="Arial" w:cs="Arial" w:eastAsia="Arial" w:hAnsi="Arial"/>
          <w:sz w:val="14"/>
          <w:szCs w:val="14"/>
          <w:color w:val="auto"/>
        </w:rPr>
        <w:t>The ESPP provides for six (6) month offering periods,</w:t>
      </w:r>
      <w:r>
        <w:rPr>
          <w:rFonts w:ascii="Arial" w:cs="Arial" w:eastAsia="Arial" w:hAnsi="Arial"/>
          <w:sz w:val="14"/>
          <w:szCs w:val="14"/>
          <w:i w:val="1"/>
          <w:iCs w:val="1"/>
          <w:color w:val="auto"/>
        </w:rPr>
        <w:t xml:space="preserve"> </w:t>
      </w:r>
      <w:r>
        <w:rPr>
          <w:rFonts w:ascii="Arial" w:cs="Arial" w:eastAsia="Arial" w:hAnsi="Arial"/>
          <w:sz w:val="14"/>
          <w:szCs w:val="14"/>
          <w:color w:val="auto"/>
        </w:rPr>
        <w:t>commencing on January 1st and July 1st of each year, unless specified otherwise by our compensation committee. Eligible employees may elect to become a participant in the ESPP by submitting an enrollment form, pursuant to which an employee may elect to enroll in the ESPP, authorize a new level of payroll deductions, or stop payroll deductions and withdraw from an offering period. However, a participant may not purchase more than 2,000 shares of our common stock during each offering period.</w:t>
      </w:r>
    </w:p>
    <w:p>
      <w:pPr>
        <w:spacing w:after="0" w:line="289" w:lineRule="exact"/>
        <w:rPr>
          <w:sz w:val="20"/>
          <w:szCs w:val="20"/>
          <w:color w:val="auto"/>
        </w:rPr>
      </w:pPr>
    </w:p>
    <w:p>
      <w:pPr>
        <w:ind w:left="1220" w:right="1499"/>
        <w:spacing w:after="0" w:line="273" w:lineRule="auto"/>
        <w:rPr>
          <w:sz w:val="20"/>
          <w:szCs w:val="20"/>
          <w:color w:val="auto"/>
        </w:rPr>
      </w:pPr>
      <w:r>
        <w:rPr>
          <w:rFonts w:ascii="Arial" w:cs="Arial" w:eastAsia="Arial" w:hAnsi="Arial"/>
          <w:sz w:val="14"/>
          <w:szCs w:val="14"/>
          <w:color w:val="auto"/>
        </w:rPr>
        <w:t>During each offering period for which a participant has enrolled, the participant may contribute through payroll deductions in an amount equal to (i) between 1% and %, in</w:t>
      </w:r>
    </w:p>
    <w:p>
      <w:pPr>
        <w:spacing w:after="0" w:line="1" w:lineRule="exact"/>
        <w:rPr>
          <w:sz w:val="20"/>
          <w:szCs w:val="20"/>
          <w:color w:val="auto"/>
        </w:rPr>
      </w:pPr>
    </w:p>
    <w:p>
      <w:pPr>
        <w:ind w:left="1220" w:right="1319"/>
        <w:spacing w:after="0" w:line="277" w:lineRule="auto"/>
        <w:rPr>
          <w:sz w:val="20"/>
          <w:szCs w:val="20"/>
          <w:color w:val="auto"/>
        </w:rPr>
      </w:pPr>
      <w:r>
        <w:rPr>
          <w:rFonts w:ascii="Arial" w:cs="Arial" w:eastAsia="Arial" w:hAnsi="Arial"/>
          <w:sz w:val="14"/>
          <w:szCs w:val="14"/>
          <w:color w:val="auto"/>
        </w:rPr>
        <w:t>whole percentages, of his or her compensation, or (ii) a fixed dollar amount, in each case, on each pay day occurring during such offering period. A participant’s compensation for purposes of the ESPP includes base salary and base wages (including overtime). No interest shall accrue on or be payable with respect to the payroll deductions of a participant in the ESPP. Payroll deductions would be made before deduction for any salary deferral contributions made by the employee to any tax-qualified or nonqualified deferred compensation plan, cafeteria plan, or similar arrangement.</w:t>
      </w:r>
    </w:p>
    <w:p>
      <w:pPr>
        <w:spacing w:after="0" w:line="277" w:lineRule="exact"/>
        <w:rPr>
          <w:sz w:val="20"/>
          <w:szCs w:val="20"/>
          <w:color w:val="auto"/>
        </w:rPr>
      </w:pPr>
    </w:p>
    <w:p>
      <w:pPr>
        <w:ind w:left="1220" w:right="1339"/>
        <w:spacing w:after="0" w:line="273" w:lineRule="auto"/>
        <w:rPr>
          <w:sz w:val="20"/>
          <w:szCs w:val="20"/>
          <w:color w:val="auto"/>
        </w:rPr>
      </w:pPr>
      <w:r>
        <w:rPr>
          <w:rFonts w:ascii="Arial" w:cs="Arial" w:eastAsia="Arial" w:hAnsi="Arial"/>
          <w:sz w:val="14"/>
          <w:szCs w:val="14"/>
          <w:color w:val="auto"/>
        </w:rPr>
        <w:t>On the last trading day of each offering period, a participant’s option to purchase shares of our common stock will be exercised automatically. The per-share purchase price will be the lesser of</w:t>
      </w:r>
    </w:p>
    <w:p>
      <w:pPr>
        <w:spacing w:after="0" w:line="1" w:lineRule="exact"/>
        <w:rPr>
          <w:sz w:val="20"/>
          <w:szCs w:val="20"/>
          <w:color w:val="auto"/>
        </w:rPr>
      </w:pPr>
    </w:p>
    <w:p>
      <w:pPr>
        <w:ind w:left="1220" w:right="1239" w:firstLine="4"/>
        <w:spacing w:after="0" w:line="275" w:lineRule="auto"/>
        <w:tabs>
          <w:tab w:leader="none" w:pos="1402" w:val="left"/>
        </w:tabs>
        <w:numPr>
          <w:ilvl w:val="0"/>
          <w:numId w:val="99"/>
        </w:numPr>
        <w:rPr>
          <w:rFonts w:ascii="Arial" w:cs="Arial" w:eastAsia="Arial" w:hAnsi="Arial"/>
          <w:sz w:val="14"/>
          <w:szCs w:val="14"/>
          <w:color w:val="auto"/>
        </w:rPr>
      </w:pPr>
      <w:r>
        <w:rPr>
          <w:rFonts w:ascii="Arial" w:cs="Arial" w:eastAsia="Arial" w:hAnsi="Arial"/>
          <w:sz w:val="14"/>
          <w:szCs w:val="14"/>
          <w:color w:val="auto"/>
        </w:rPr>
        <w:t>eighty-five percent (85%) of the fair market value of one share of our common stock on the first trading day of the applicable offering period and (ii) eighty-five percent (85%) of the fair market value of one share of our common stock on the last trading day of the applicable offering period. As soon as reasonably practicable after the last day of each offering period, we will arrange for the delivery to each participant of the shares of our common stock purchased upon exercise of his or her option. We may require that the shares of our common stock be deposited and/or retained for a specified period of time with a financial services firm or other agent it designates as broker. Neither payroll deductions nor rights with respect to the exercise of an option or to receive shares of our common stock are transferable, other than by will, by the laws of descent and distribution, or by written designation of a beneficiary with our compensation committee.</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81" w:name="page182"/>
    <w:bookmarkEnd w:id="18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20" w:right="1279"/>
        <w:spacing w:after="0" w:line="278" w:lineRule="auto"/>
        <w:rPr>
          <w:sz w:val="20"/>
          <w:szCs w:val="20"/>
          <w:color w:val="auto"/>
        </w:rPr>
      </w:pPr>
      <w:r>
        <w:rPr>
          <w:rFonts w:ascii="Arial" w:cs="Arial" w:eastAsia="Arial" w:hAnsi="Arial"/>
          <w:sz w:val="14"/>
          <w:szCs w:val="14"/>
          <w:i w:val="1"/>
          <w:iCs w:val="1"/>
          <w:color w:val="auto"/>
        </w:rPr>
        <w:t xml:space="preserve">Termination of Employment and Withdrawal from the ESPP. </w:t>
      </w:r>
      <w:r>
        <w:rPr>
          <w:rFonts w:ascii="Arial" w:cs="Arial" w:eastAsia="Arial" w:hAnsi="Arial"/>
          <w:sz w:val="14"/>
          <w:szCs w:val="14"/>
          <w:color w:val="auto"/>
        </w:rPr>
        <w:t>Participants may elect to withdraw</w:t>
      </w:r>
      <w:r>
        <w:rPr>
          <w:rFonts w:ascii="Arial" w:cs="Arial" w:eastAsia="Arial" w:hAnsi="Arial"/>
          <w:sz w:val="14"/>
          <w:szCs w:val="14"/>
          <w:i w:val="1"/>
          <w:iCs w:val="1"/>
          <w:color w:val="auto"/>
        </w:rPr>
        <w:t xml:space="preserve"> </w:t>
      </w:r>
      <w:r>
        <w:rPr>
          <w:rFonts w:ascii="Arial" w:cs="Arial" w:eastAsia="Arial" w:hAnsi="Arial"/>
          <w:sz w:val="14"/>
          <w:szCs w:val="14"/>
          <w:color w:val="auto"/>
        </w:rPr>
        <w:t>from the ESPP at any time and receive back any of their contributions, without interest, not used to purchase shares of our common stock; provided that if a participant wishes to withdraw his or her funds prior to purchase, he or she must submit a revised enrollment form to our compensation committee at least fifteen (15) days prior to the end of the then-current offering period. Participants who terminate employment before the end of an offering period will be deemed to have withdrawn from the ESPP and the payroll deductions in the participant’s notional account that have not been used to purchase shares of our common stock will be returned to the participant.</w:t>
      </w:r>
    </w:p>
    <w:p>
      <w:pPr>
        <w:spacing w:after="0" w:line="267"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i w:val="1"/>
          <w:iCs w:val="1"/>
          <w:color w:val="auto"/>
        </w:rPr>
        <w:t xml:space="preserve">Amendment and Termination of the ESPP. </w:t>
      </w:r>
      <w:r>
        <w:rPr>
          <w:rFonts w:ascii="Arial" w:cs="Arial" w:eastAsia="Arial" w:hAnsi="Arial"/>
          <w:sz w:val="14"/>
          <w:szCs w:val="14"/>
          <w:color w:val="auto"/>
        </w:rPr>
        <w:t>Our compensation committee may amend or</w:t>
      </w:r>
      <w:r>
        <w:rPr>
          <w:rFonts w:ascii="Arial" w:cs="Arial" w:eastAsia="Arial" w:hAnsi="Arial"/>
          <w:sz w:val="14"/>
          <w:szCs w:val="14"/>
          <w:i w:val="1"/>
          <w:iCs w:val="1"/>
          <w:color w:val="auto"/>
        </w:rPr>
        <w:t xml:space="preserve"> </w:t>
      </w:r>
      <w:r>
        <w:rPr>
          <w:rFonts w:ascii="Arial" w:cs="Arial" w:eastAsia="Arial" w:hAnsi="Arial"/>
          <w:sz w:val="14"/>
          <w:szCs w:val="14"/>
          <w:color w:val="auto"/>
        </w:rPr>
        <w:t>terminate the ESPP at any time for any reason. If the ESPP is terminated, our compensation committee may elect to terminate the outstanding offering period either immediately, or after shares of our common stock have been purchased on the last trading day of the offering period (which may, in the discretion of our compensation committee, be accelerated) and all amounts that have not been used to purchase shares of our common stock will then be returned to participants as soon as administratively practicable. In the event of a merger, consolidation, acquisition of property or stock, separation, reorganization, or other corporate event described in Section 424 of the Code, each outstanding option will be assumed or an equivalent option substituted by the successor corporation, or a parent, or subsidiary of such successor corporation. If the successor corporation refuses to assume or substitute the option, the offering period with respect to which the option relates will be shortened by setting a new purchase date that occurs before the date of the applicable transaction. Unless terminated earlier pursuant to the terms of the ESPP, the ESPP will have a term of 10 years following the ESPP’s effective date.</w:t>
      </w:r>
    </w:p>
    <w:p>
      <w:pPr>
        <w:spacing w:after="0" w:line="31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Other benefits</w:t>
      </w:r>
    </w:p>
    <w:p>
      <w:pPr>
        <w:spacing w:after="0" w:line="144" w:lineRule="exact"/>
        <w:rPr>
          <w:sz w:val="20"/>
          <w:szCs w:val="20"/>
          <w:color w:val="auto"/>
        </w:rPr>
      </w:pPr>
    </w:p>
    <w:p>
      <w:pPr>
        <w:ind w:left="1220" w:right="1579"/>
        <w:spacing w:after="0" w:line="290" w:lineRule="auto"/>
        <w:rPr>
          <w:sz w:val="20"/>
          <w:szCs w:val="20"/>
          <w:color w:val="auto"/>
        </w:rPr>
      </w:pPr>
      <w:r>
        <w:rPr>
          <w:rFonts w:ascii="Arial" w:cs="Arial" w:eastAsia="Arial" w:hAnsi="Arial"/>
          <w:sz w:val="14"/>
          <w:szCs w:val="14"/>
          <w:color w:val="auto"/>
        </w:rPr>
        <w:t>We currently provide welfare benefits that are available to all of our employees, including our NEOs, including health, dental, life, vision, and disability insurance.</w:t>
      </w:r>
    </w:p>
    <w:p>
      <w:pPr>
        <w:spacing w:after="0" w:line="96" w:lineRule="exact"/>
        <w:rPr>
          <w:sz w:val="20"/>
          <w:szCs w:val="20"/>
          <w:color w:val="auto"/>
        </w:rPr>
      </w:pPr>
    </w:p>
    <w:p>
      <w:pPr>
        <w:ind w:left="1220" w:right="1379"/>
        <w:spacing w:after="0" w:line="275" w:lineRule="auto"/>
        <w:rPr>
          <w:sz w:val="20"/>
          <w:szCs w:val="20"/>
          <w:color w:val="auto"/>
        </w:rPr>
      </w:pPr>
      <w:r>
        <w:rPr>
          <w:rFonts w:ascii="Arial" w:cs="Arial" w:eastAsia="Arial" w:hAnsi="Arial"/>
          <w:sz w:val="14"/>
          <w:szCs w:val="14"/>
          <w:color w:val="auto"/>
        </w:rPr>
        <w:t>In addition, we maintain, and the NEOs participate in, a 401(k) plan that provides eligible employees with an opportunity to save for retirement on a tax advantage basis and under which we make safe harbor matching employer contributions. We match 100% of the first 3% of the participating employee’s contributions and 50% of the next 2% of the participating employee’s contributions, and participants are always fully vested in their safe harbor matching employer contributions. Employees’ pre-tax contributions are allocated to each participant’s individual account and are then invested in selected investment alternatives according to the participant’s directions. The 401(k) plan is intended to be qualified under Section 401(a) of the Code.</w:t>
      </w:r>
    </w:p>
    <w:p>
      <w:pPr>
        <w:spacing w:after="0" w:line="100" w:lineRule="exact"/>
        <w:rPr>
          <w:sz w:val="20"/>
          <w:szCs w:val="20"/>
          <w:color w:val="auto"/>
        </w:rPr>
      </w:pPr>
    </w:p>
    <w:p>
      <w:pPr>
        <w:ind w:left="1220" w:right="1559"/>
        <w:spacing w:after="0" w:line="265" w:lineRule="auto"/>
        <w:rPr>
          <w:sz w:val="20"/>
          <w:szCs w:val="20"/>
          <w:color w:val="auto"/>
        </w:rPr>
      </w:pPr>
      <w:r>
        <w:rPr>
          <w:rFonts w:ascii="Arial" w:cs="Arial" w:eastAsia="Arial" w:hAnsi="Arial"/>
          <w:sz w:val="14"/>
          <w:szCs w:val="14"/>
          <w:color w:val="auto"/>
        </w:rPr>
        <w:t>We do not maintain any defined benefit pension plans or nonqualified deferred compensation plans.</w:t>
      </w:r>
    </w:p>
    <w:p>
      <w:pPr>
        <w:spacing w:after="0" w:line="32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Rule 10b5-1 sales plans</w:t>
      </w:r>
    </w:p>
    <w:p>
      <w:pPr>
        <w:spacing w:after="0" w:line="144" w:lineRule="exact"/>
        <w:rPr>
          <w:sz w:val="20"/>
          <w:szCs w:val="20"/>
          <w:color w:val="auto"/>
        </w:rPr>
      </w:pPr>
    </w:p>
    <w:p>
      <w:pPr>
        <w:ind w:left="1220" w:right="1299"/>
        <w:spacing w:after="0" w:line="273" w:lineRule="auto"/>
        <w:rPr>
          <w:sz w:val="20"/>
          <w:szCs w:val="20"/>
          <w:color w:val="auto"/>
        </w:rPr>
      </w:pPr>
      <w:r>
        <w:rPr>
          <w:rFonts w:ascii="Arial" w:cs="Arial" w:eastAsia="Arial" w:hAnsi="Arial"/>
          <w:sz w:val="14"/>
          <w:szCs w:val="14"/>
          <w:color w:val="auto"/>
        </w:rPr>
        <w:t>Our directors and executive officers may adopt written plans, known as Rule 10b5-1 plans, in which they will contract with a broker to buy or sell our common stock on a periodic basis. Under a Rule 10b5-1 plan, a broker executes trades pursuant to parameters established by the director or officer when entering into the plan, without further direction from them. The director or officer may amend or terminate a Rule 10b5-1 plan subject to compliance with our insider trading policy. Our directors and executive officers also may buy or sell additional shares outside of a</w:t>
      </w:r>
    </w:p>
    <w:p>
      <w:pPr>
        <w:spacing w:after="0" w:line="2" w:lineRule="exact"/>
        <w:rPr>
          <w:sz w:val="20"/>
          <w:szCs w:val="20"/>
          <w:color w:val="auto"/>
        </w:rPr>
      </w:pPr>
    </w:p>
    <w:p>
      <w:pPr>
        <w:ind w:left="1220" w:right="1299"/>
        <w:spacing w:after="0" w:line="278" w:lineRule="auto"/>
        <w:rPr>
          <w:sz w:val="20"/>
          <w:szCs w:val="20"/>
          <w:color w:val="auto"/>
        </w:rPr>
      </w:pPr>
      <w:r>
        <w:rPr>
          <w:rFonts w:ascii="Arial" w:cs="Arial" w:eastAsia="Arial" w:hAnsi="Arial"/>
          <w:sz w:val="14"/>
          <w:szCs w:val="14"/>
          <w:color w:val="auto"/>
        </w:rPr>
        <w:t>Rule 10b5-1 plan when they are not in possession of material nonpublic information subject to compliance with our insider trading policy. Prior to 180 days after the date of this offering, subject to early termination, the sale of any shares under such plan would be prohibited by the lock-up agreement that the director or officer has entered into with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82" w:name="page183"/>
    <w:bookmarkEnd w:id="18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Certain relationships and related party transactions</w:t>
      </w:r>
    </w:p>
    <w:p>
      <w:pPr>
        <w:spacing w:after="0" w:line="122" w:lineRule="exact"/>
        <w:rPr>
          <w:sz w:val="20"/>
          <w:szCs w:val="20"/>
          <w:color w:val="auto"/>
        </w:rPr>
      </w:pPr>
    </w:p>
    <w:p>
      <w:pPr>
        <w:ind w:left="1220" w:right="1419"/>
        <w:spacing w:after="0" w:line="259" w:lineRule="auto"/>
        <w:rPr>
          <w:sz w:val="20"/>
          <w:szCs w:val="20"/>
          <w:color w:val="auto"/>
        </w:rPr>
      </w:pPr>
      <w:r>
        <w:rPr>
          <w:rFonts w:ascii="Arial" w:cs="Arial" w:eastAsia="Arial" w:hAnsi="Arial"/>
          <w:sz w:val="14"/>
          <w:szCs w:val="14"/>
          <w:color w:val="auto"/>
        </w:rPr>
        <w:t>The following includes a summary of transactions since January 1, 2019 and any currently proposed transactions to which we were or are expected to be a participant in which (1) the amount involved exceeded or will exceed the lesser of $120,000 or one percent of our average total assets at year end for the last two completed fiscal years, and (2) any of our directors, executive officers, or holders of more than 5% of our capital stock, or any affiliate or member of the immediate family of the foregoing persons, had or will have a direct or indirect material interest, other than compensation and other arrangements that are described under the section titled “Executive compensation” and “Management—Non-employee director compensation.”</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Bayer HealthCare LLC</w:t>
      </w:r>
    </w:p>
    <w:p>
      <w:pPr>
        <w:spacing w:after="0" w:line="133" w:lineRule="exact"/>
        <w:rPr>
          <w:sz w:val="20"/>
          <w:szCs w:val="20"/>
          <w:color w:val="auto"/>
        </w:rPr>
      </w:pPr>
    </w:p>
    <w:p>
      <w:pPr>
        <w:ind w:left="1220" w:right="1519"/>
        <w:spacing w:after="0" w:line="274" w:lineRule="auto"/>
        <w:rPr>
          <w:sz w:val="20"/>
          <w:szCs w:val="20"/>
          <w:color w:val="auto"/>
        </w:rPr>
      </w:pPr>
      <w:r>
        <w:rPr>
          <w:rFonts w:ascii="Arial" w:cs="Arial" w:eastAsia="Arial" w:hAnsi="Arial"/>
          <w:sz w:val="14"/>
          <w:szCs w:val="14"/>
          <w:color w:val="auto"/>
        </w:rPr>
        <w:t>Bayer is a holder of greater than 5% of our securities. Below is a summary of the transactions entered into between Bayer and us since January 1, 2019.</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Commitment agreement and option agreement</w:t>
      </w:r>
    </w:p>
    <w:p>
      <w:pPr>
        <w:spacing w:after="0" w:line="136"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In June 2019, we entered into a Commitment Agreement by and among Prior Century, Bayer and us, or the Commitment Agreement, pursuant to which Bayer agreed to make an aggregate capital contribution of up to $215 million, upon the achievement of certain milestones. In June 2019, Bayer invested $75 million in consideration for 26,143,709 units in Century Therapeutics, LLC. Bayer invested an additional $70 million in 2020 and 2021, for no additional consideration. The Commitment Agreement terminated on February 25, 2021 in connection with the Series C Financing and Bayer has no continuing obligation to invest any additional amounts under the Commitment Agreement.</w:t>
      </w:r>
    </w:p>
    <w:p>
      <w:pPr>
        <w:spacing w:after="0" w:line="268" w:lineRule="exact"/>
        <w:rPr>
          <w:sz w:val="20"/>
          <w:szCs w:val="20"/>
          <w:color w:val="auto"/>
        </w:rPr>
      </w:pPr>
    </w:p>
    <w:p>
      <w:pPr>
        <w:ind w:left="1220" w:right="1259"/>
        <w:spacing w:after="0" w:line="261" w:lineRule="auto"/>
        <w:rPr>
          <w:sz w:val="20"/>
          <w:szCs w:val="20"/>
          <w:color w:val="auto"/>
        </w:rPr>
      </w:pPr>
      <w:r>
        <w:rPr>
          <w:rFonts w:ascii="Arial" w:cs="Arial" w:eastAsia="Arial" w:hAnsi="Arial"/>
          <w:sz w:val="14"/>
          <w:szCs w:val="14"/>
          <w:color w:val="auto"/>
        </w:rPr>
        <w:t>In June 2019, we entered into an Option Agreement by and among Prior Century, Bayer and us, which, following the 2021 Reorganization, was subsequently amended and restated in February 2021, or the Option Agreement. For a description of the Option Agreement, see “Business—Licensing, Partnerships and Collaborations—Bayer Option Agreement.” No payments were made under the Option Agreement in 2019 or 2020.</w:t>
      </w:r>
    </w:p>
    <w:p>
      <w:pPr>
        <w:spacing w:after="0" w:line="13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Series C Financing</w:t>
      </w:r>
    </w:p>
    <w:p>
      <w:pPr>
        <w:spacing w:after="0" w:line="136" w:lineRule="exact"/>
        <w:rPr>
          <w:sz w:val="20"/>
          <w:szCs w:val="20"/>
          <w:color w:val="auto"/>
        </w:rPr>
      </w:pPr>
    </w:p>
    <w:p>
      <w:pPr>
        <w:ind w:left="1220" w:right="1379"/>
        <w:spacing w:after="0" w:line="274" w:lineRule="auto"/>
        <w:rPr>
          <w:sz w:val="20"/>
          <w:szCs w:val="20"/>
          <w:color w:val="auto"/>
        </w:rPr>
      </w:pPr>
      <w:r>
        <w:rPr>
          <w:rFonts w:ascii="Arial" w:cs="Arial" w:eastAsia="Arial" w:hAnsi="Arial"/>
          <w:sz w:val="14"/>
          <w:szCs w:val="14"/>
          <w:color w:val="auto"/>
        </w:rPr>
        <w:t>Bayer participated in our Series C Financing in February 2021. For a description of the Series C Financing and Bayer’s participation therein, see “—Series C Financing.”</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FUJIFILM Cellular Dynamics, Inc.</w:t>
      </w:r>
    </w:p>
    <w:p>
      <w:pPr>
        <w:spacing w:after="0" w:line="133" w:lineRule="exact"/>
        <w:rPr>
          <w:sz w:val="20"/>
          <w:szCs w:val="20"/>
          <w:color w:val="auto"/>
        </w:rPr>
      </w:pPr>
    </w:p>
    <w:p>
      <w:pPr>
        <w:ind w:left="1220" w:right="1579"/>
        <w:spacing w:after="0" w:line="274" w:lineRule="auto"/>
        <w:rPr>
          <w:sz w:val="20"/>
          <w:szCs w:val="20"/>
          <w:color w:val="auto"/>
        </w:rPr>
      </w:pPr>
      <w:r>
        <w:rPr>
          <w:rFonts w:ascii="Arial" w:cs="Arial" w:eastAsia="Arial" w:hAnsi="Arial"/>
          <w:sz w:val="14"/>
          <w:szCs w:val="14"/>
          <w:color w:val="auto"/>
        </w:rPr>
        <w:t>FCDI is a holder of greater than 5% of our securities. Below are the transactions entered into between FCDI and us since January 1, 2019.</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Reprogramming license agreement</w:t>
      </w:r>
    </w:p>
    <w:p>
      <w:pPr>
        <w:spacing w:after="0" w:line="125"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In September 2018, we entered into a License Agreement, or the Reprogramming License, with FCDI pursuant to which FCDI granted us a non-exclusive, sublicensable, worldwide (excluding Japan) license under certain patents and know-how related to the reprogramming of human cells to iPSCs. For a description of the Reprogramming License, see “Business—Licensing, Partnerships and Collaborations—FUJIFILM Cellular Dynamics.” No payments were made under the Reprogramming License in 2019 or 2020.</w:t>
      </w:r>
    </w:p>
    <w:p>
      <w:pPr>
        <w:spacing w:after="0" w:line="13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Differentiation license agreement</w:t>
      </w:r>
    </w:p>
    <w:p>
      <w:pPr>
        <w:spacing w:after="0" w:line="136"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In September 2018, we entered into a License Agreement, or the Differentiation License, with FCDI pursuant to which FCDI granted us an exclusive, sublicensable, worldwide (excluding Japan) license under certain patents and know-how for the research, development and commercialization of certain cancer immunotherapy products consisting of cells that are, or are modifications of, NK cells, T cells, dendritic cells, and macrophages derived from human iPSCs for cancer immunotherapeutic use. As consideration for the Differentiation License, Prior Century issued FCDI 7,500,000 shares of its common stock, which converted into an equivalent number of shares of our</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83" w:name="page184"/>
    <w:bookmarkEnd w:id="18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619"/>
        <w:spacing w:after="0" w:line="281" w:lineRule="auto"/>
        <w:rPr>
          <w:sz w:val="20"/>
          <w:szCs w:val="20"/>
          <w:color w:val="auto"/>
        </w:rPr>
      </w:pPr>
      <w:r>
        <w:rPr>
          <w:rFonts w:ascii="Arial" w:cs="Arial" w:eastAsia="Arial" w:hAnsi="Arial"/>
          <w:sz w:val="14"/>
          <w:szCs w:val="14"/>
          <w:color w:val="auto"/>
        </w:rPr>
        <w:t>common stock in the 2021 Reorganization. For a description of the Differentiation License Agreement, see “Business—Licensing, Partnerships and Collaborations—FUJIFILM Cellular Dynamics.” No payments were made under the Differentiation License in 2019 or 2020.</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Master collaboration agreement</w:t>
      </w:r>
    </w:p>
    <w:p>
      <w:pPr>
        <w:spacing w:after="0" w:line="136" w:lineRule="exact"/>
        <w:rPr>
          <w:sz w:val="20"/>
          <w:szCs w:val="20"/>
          <w:color w:val="auto"/>
        </w:rPr>
      </w:pPr>
    </w:p>
    <w:p>
      <w:pPr>
        <w:ind w:left="1220" w:right="1239"/>
        <w:spacing w:after="0" w:line="277" w:lineRule="auto"/>
        <w:rPr>
          <w:sz w:val="20"/>
          <w:szCs w:val="20"/>
          <w:color w:val="auto"/>
        </w:rPr>
      </w:pPr>
      <w:r>
        <w:rPr>
          <w:rFonts w:ascii="Arial" w:cs="Arial" w:eastAsia="Arial" w:hAnsi="Arial"/>
          <w:sz w:val="14"/>
          <w:szCs w:val="14"/>
          <w:color w:val="auto"/>
        </w:rPr>
        <w:t>In October 2019, we entered into a Master Collaboration Agreement, or the Collaboration Agreement, with FCDI pursuant to which FCDI agreed to provide certain development, testing, and manufacturing services to us with respect to our sale of certain licensed products pursuant to the Reprogramming License and Differentiation License. For a description of the Master Collaboration Agreement, see “Business—Licensing, Partnerships and Collaborations—FUJIFILM Cellular Dynamics.” We have made payments to FCDI under the Master Collaboration Agreement totaling $4.8 million in 2019 and $5.3 million in 2020.</w:t>
      </w:r>
    </w:p>
    <w:p>
      <w:pPr>
        <w:spacing w:after="0" w:line="30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Manufacturing agreement</w:t>
      </w:r>
    </w:p>
    <w:p>
      <w:pPr>
        <w:spacing w:after="0" w:line="146" w:lineRule="exact"/>
        <w:rPr>
          <w:sz w:val="20"/>
          <w:szCs w:val="20"/>
          <w:color w:val="auto"/>
        </w:rPr>
      </w:pPr>
    </w:p>
    <w:p>
      <w:pPr>
        <w:ind w:left="1220" w:right="1259"/>
        <w:spacing w:after="0" w:line="277" w:lineRule="auto"/>
        <w:rPr>
          <w:sz w:val="20"/>
          <w:szCs w:val="20"/>
          <w:color w:val="auto"/>
        </w:rPr>
      </w:pPr>
      <w:r>
        <w:rPr>
          <w:rFonts w:ascii="Arial" w:cs="Arial" w:eastAsia="Arial" w:hAnsi="Arial"/>
          <w:sz w:val="14"/>
          <w:szCs w:val="14"/>
          <w:color w:val="auto"/>
        </w:rPr>
        <w:t>In March 2021, we entered into a Manufacturing and Supply Agreement with FCDI, or the Manufacturing Agreement, pursuant to which FCDI will provide certain analytical testing, process and analytical development and manufacturing services to us with respect to clinical supply of our product candidates. For a description of the Manufacturing Agreement, see “Business— Licensing, Partnerships and Collaborations—FUJIFILM Cellular Dynamics.”</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Series C Financing</w:t>
      </w:r>
    </w:p>
    <w:p>
      <w:pPr>
        <w:spacing w:after="0" w:line="14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Following the 2021 Reorganization, on February 25, 2021, we completed the Series C Financing.</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Certain holders of more than 5% of our capital stock (or their affiliates) participated in the</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Series C Financing. Versant Vantage II, L.P. invested $10 million for a total of 1,545,125 shares of</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Series C preferred stock and Bayer invested $25 million for a total of 3,862,813 shares of</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Series C Preferred Stock, each at a price of approximately $6.472 per share.</w:t>
      </w:r>
    </w:p>
    <w:p>
      <w:pPr>
        <w:spacing w:after="0" w:line="15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Investors’ rights agreement</w:t>
      </w:r>
    </w:p>
    <w:p>
      <w:pPr>
        <w:spacing w:after="0" w:line="136" w:lineRule="exact"/>
        <w:rPr>
          <w:sz w:val="20"/>
          <w:szCs w:val="20"/>
          <w:color w:val="auto"/>
        </w:rPr>
      </w:pPr>
    </w:p>
    <w:p>
      <w:pPr>
        <w:ind w:left="1220" w:right="1299"/>
        <w:spacing w:after="0" w:line="275" w:lineRule="auto"/>
        <w:rPr>
          <w:sz w:val="20"/>
          <w:szCs w:val="20"/>
          <w:color w:val="auto"/>
        </w:rPr>
      </w:pPr>
      <w:r>
        <w:rPr>
          <w:rFonts w:ascii="Arial" w:cs="Arial" w:eastAsia="Arial" w:hAnsi="Arial"/>
          <w:sz w:val="14"/>
          <w:szCs w:val="14"/>
          <w:color w:val="auto"/>
        </w:rPr>
        <w:t>In connection with the Series C Financing, we entered into an investors’ rights agreement, or the investors’ rights agreement, with certain holders of our common stock and each holder of our preferred stock, which includes each holder of more than 5% of our capital stock. The investors’ rights agreement imposes certain affirmative obligations on us, including with respect to financial reporting obligations and investor inspections, and also grants certain rights to certain of the holders of our capital stock party thereto, including rights of first offer, demand, and piggyback registration rights and, if we are eligible, Form S-3 registration rights, with respect to the registrable securities held by them. See the section titled “Description of capital stock— Registration Rights” for additional information. Certain provisions of the investors’ rights agreement, including our affirmative obligations and the right of first offer rights will terminate immediately prior to the closing of this offering, while the registration rights set forth in the investors’ rights agreement will continue in effect after the closing of this offering until they expire in accordance with their terms.</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Voting agreement</w:t>
      </w:r>
    </w:p>
    <w:p>
      <w:pPr>
        <w:spacing w:after="0" w:line="146" w:lineRule="exact"/>
        <w:rPr>
          <w:sz w:val="20"/>
          <w:szCs w:val="20"/>
          <w:color w:val="auto"/>
        </w:rPr>
      </w:pPr>
    </w:p>
    <w:p>
      <w:pPr>
        <w:ind w:left="1220" w:right="1339"/>
        <w:spacing w:after="0" w:line="278" w:lineRule="auto"/>
        <w:rPr>
          <w:sz w:val="20"/>
          <w:szCs w:val="20"/>
          <w:color w:val="auto"/>
        </w:rPr>
      </w:pPr>
      <w:r>
        <w:rPr>
          <w:rFonts w:ascii="Arial" w:cs="Arial" w:eastAsia="Arial" w:hAnsi="Arial"/>
          <w:sz w:val="14"/>
          <w:szCs w:val="14"/>
          <w:color w:val="auto"/>
        </w:rPr>
        <w:t>In connection with the Series C Financing, we entered into a voting agreement with certain holders of our common stock and each holder of our preferred stock, which includes each holder of more than 5% of our capital stock. The voting agreement, including all rights thereunder, will automatically terminate upon the closing of this offering.</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Right of first refusal and co-sale agreement</w:t>
      </w:r>
    </w:p>
    <w:p>
      <w:pPr>
        <w:spacing w:after="0" w:line="146" w:lineRule="exact"/>
        <w:rPr>
          <w:sz w:val="20"/>
          <w:szCs w:val="20"/>
          <w:color w:val="auto"/>
        </w:rPr>
      </w:pPr>
    </w:p>
    <w:p>
      <w:pPr>
        <w:jc w:val="both"/>
        <w:ind w:left="1220" w:right="1619"/>
        <w:spacing w:after="0" w:line="281" w:lineRule="auto"/>
        <w:rPr>
          <w:sz w:val="20"/>
          <w:szCs w:val="20"/>
          <w:color w:val="auto"/>
        </w:rPr>
      </w:pPr>
      <w:r>
        <w:rPr>
          <w:rFonts w:ascii="Arial" w:cs="Arial" w:eastAsia="Arial" w:hAnsi="Arial"/>
          <w:sz w:val="14"/>
          <w:szCs w:val="14"/>
          <w:color w:val="auto"/>
        </w:rPr>
        <w:t>In connection with the Series C Financing, we entered into a right of first refusal and co-sale agreement with certain holders of our common stock and each holder of our preferred stock, which includes each holder of more</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84" w:name="page185"/>
    <w:bookmarkEnd w:id="18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379"/>
        <w:spacing w:after="0" w:line="290" w:lineRule="auto"/>
        <w:rPr>
          <w:sz w:val="20"/>
          <w:szCs w:val="20"/>
          <w:color w:val="auto"/>
        </w:rPr>
      </w:pPr>
      <w:r>
        <w:rPr>
          <w:rFonts w:ascii="Arial" w:cs="Arial" w:eastAsia="Arial" w:hAnsi="Arial"/>
          <w:sz w:val="14"/>
          <w:szCs w:val="14"/>
          <w:color w:val="auto"/>
        </w:rPr>
        <w:t>than 5% of our capital stock. The right of first refusal and co-sale agreement, including all rights thereunder, will automatically terminate immediately prior to the closing of this offering.</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Executive officer and director compensation</w:t>
      </w:r>
    </w:p>
    <w:p>
      <w:pPr>
        <w:spacing w:after="0" w:line="133" w:lineRule="exact"/>
        <w:rPr>
          <w:sz w:val="20"/>
          <w:szCs w:val="20"/>
          <w:color w:val="auto"/>
        </w:rPr>
      </w:pPr>
    </w:p>
    <w:p>
      <w:pPr>
        <w:ind w:left="1220" w:right="1299"/>
        <w:spacing w:after="0" w:line="290" w:lineRule="auto"/>
        <w:rPr>
          <w:sz w:val="20"/>
          <w:szCs w:val="20"/>
          <w:color w:val="auto"/>
        </w:rPr>
      </w:pPr>
      <w:r>
        <w:rPr>
          <w:rFonts w:ascii="Arial" w:cs="Arial" w:eastAsia="Arial" w:hAnsi="Arial"/>
          <w:sz w:val="14"/>
          <w:szCs w:val="14"/>
          <w:color w:val="auto"/>
        </w:rPr>
        <w:t>Please see “Executive compensation” and “Management—Non-employee director compensation” for information regarding the compensation of our directors and executive officers.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Employment agreements</w:t>
      </w:r>
    </w:p>
    <w:p>
      <w:pPr>
        <w:spacing w:after="0" w:line="144" w:lineRule="exact"/>
        <w:rPr>
          <w:sz w:val="20"/>
          <w:szCs w:val="20"/>
          <w:color w:val="auto"/>
        </w:rPr>
      </w:pPr>
    </w:p>
    <w:p>
      <w:pPr>
        <w:ind w:left="1220" w:right="1319"/>
        <w:spacing w:after="0" w:line="278" w:lineRule="auto"/>
        <w:rPr>
          <w:sz w:val="20"/>
          <w:szCs w:val="20"/>
          <w:color w:val="auto"/>
        </w:rPr>
      </w:pPr>
      <w:r>
        <w:rPr>
          <w:rFonts w:ascii="Arial" w:cs="Arial" w:eastAsia="Arial" w:hAnsi="Arial"/>
          <w:sz w:val="14"/>
          <w:szCs w:val="14"/>
          <w:color w:val="auto"/>
        </w:rPr>
        <w:t>We have entered into employment agreements or offer letter agreements with certain of our executive officers that, among other things, provide for certain compensatory and change in control benefits, as well as severance benefits. We plan to enter into employment agreements with each of our NEOs prior to the closing of this offering. For a description of these agreements with our NEOs, see the section titled “Executive compensation—Employment Arrangements with our NEOs.”</w:t>
      </w:r>
    </w:p>
    <w:p>
      <w:pPr>
        <w:spacing w:after="0" w:line="30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Indemnification agreements</w:t>
      </w:r>
    </w:p>
    <w:p>
      <w:pPr>
        <w:spacing w:after="0" w:line="144" w:lineRule="exact"/>
        <w:rPr>
          <w:sz w:val="20"/>
          <w:szCs w:val="20"/>
          <w:color w:val="auto"/>
        </w:rPr>
      </w:pPr>
    </w:p>
    <w:p>
      <w:pPr>
        <w:ind w:left="1220" w:right="1239"/>
        <w:spacing w:after="0" w:line="276" w:lineRule="auto"/>
        <w:rPr>
          <w:sz w:val="20"/>
          <w:szCs w:val="20"/>
          <w:color w:val="auto"/>
        </w:rPr>
      </w:pPr>
      <w:r>
        <w:rPr>
          <w:rFonts w:ascii="Arial" w:cs="Arial" w:eastAsia="Arial" w:hAnsi="Arial"/>
          <w:sz w:val="14"/>
          <w:szCs w:val="14"/>
          <w:color w:val="auto"/>
        </w:rPr>
        <w:t>We have entered and intend to continue to enter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 For more information regarding these indemnification agreements, see “Management—Limitation on liability and indemnification matters.”</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Policies and procedures for related party transactions</w:t>
      </w:r>
    </w:p>
    <w:p>
      <w:pPr>
        <w:spacing w:after="0" w:line="133"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Our board of directors will adopt a written related party transaction policy, which will become effective upon the closing of this offering, setting forth the policies and procedures for the review and approval or ratification of related-party transactions. This policy will cover any transaction, arrangement or relationship, or any series of similar transactions, arrangements or relationships, in which we were or are to be a participant and a related party had or will have a direct or indirect material interest, as determined by the audit committee of our board of directors, including, without limitation, purchases of goods or services by or from the related party or entities in which the related party has a material interest, and indebtedness, guarantees of indebtedness or employment by us of a related party.</w:t>
      </w:r>
    </w:p>
    <w:p>
      <w:pPr>
        <w:spacing w:after="0" w:line="288" w:lineRule="exact"/>
        <w:rPr>
          <w:sz w:val="20"/>
          <w:szCs w:val="20"/>
          <w:color w:val="auto"/>
        </w:rPr>
      </w:pPr>
    </w:p>
    <w:p>
      <w:pPr>
        <w:ind w:left="1220" w:right="1259"/>
        <w:spacing w:after="0" w:line="281" w:lineRule="auto"/>
        <w:rPr>
          <w:sz w:val="20"/>
          <w:szCs w:val="20"/>
          <w:color w:val="auto"/>
        </w:rPr>
      </w:pPr>
      <w:r>
        <w:rPr>
          <w:rFonts w:ascii="Arial" w:cs="Arial" w:eastAsia="Arial" w:hAnsi="Arial"/>
          <w:sz w:val="14"/>
          <w:szCs w:val="14"/>
          <w:color w:val="auto"/>
        </w:rPr>
        <w:t>All related party transactions described in this section occurred prior to adoption of this policy and as such, these transactions were not subject to the approval and review procedures set forth in the policy. However, these transactions were reviewed and approved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85" w:name="page186"/>
    <w:bookmarkEnd w:id="18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Principal stockholders</w:t>
      </w:r>
    </w:p>
    <w:p>
      <w:pPr>
        <w:spacing w:after="0" w:line="133" w:lineRule="exact"/>
        <w:rPr>
          <w:sz w:val="20"/>
          <w:szCs w:val="20"/>
          <w:color w:val="auto"/>
        </w:rPr>
      </w:pPr>
    </w:p>
    <w:p>
      <w:pPr>
        <w:ind w:left="1220" w:right="1359"/>
        <w:spacing w:after="0" w:line="306" w:lineRule="auto"/>
        <w:rPr>
          <w:sz w:val="20"/>
          <w:szCs w:val="20"/>
          <w:color w:val="auto"/>
        </w:rPr>
      </w:pPr>
      <w:r>
        <w:rPr>
          <w:rFonts w:ascii="Arial" w:cs="Arial" w:eastAsia="Arial" w:hAnsi="Arial"/>
          <w:sz w:val="14"/>
          <w:szCs w:val="14"/>
          <w:color w:val="auto"/>
        </w:rPr>
        <w:t>The following table sets forth, as of April 30, 2021, information regarding beneficial ownership of our capital stock by:</w:t>
      </w:r>
    </w:p>
    <w:p>
      <w:pPr>
        <w:spacing w:after="0" w:line="86" w:lineRule="exact"/>
        <w:rPr>
          <w:sz w:val="20"/>
          <w:szCs w:val="20"/>
          <w:color w:val="auto"/>
        </w:rPr>
      </w:pPr>
    </w:p>
    <w:p>
      <w:pPr>
        <w:ind w:left="1340" w:right="1479" w:hanging="116"/>
        <w:spacing w:after="0" w:line="290" w:lineRule="auto"/>
        <w:tabs>
          <w:tab w:leader="none" w:pos="1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each person, or group of affiliated persons, known by us to beneficially own more than 5% of our common stock;</w:t>
      </w:r>
    </w:p>
    <w:p>
      <w:pPr>
        <w:spacing w:after="0" w:line="74" w:lineRule="exact"/>
        <w:rPr>
          <w:rFonts w:ascii="Arial" w:cs="Arial" w:eastAsia="Arial" w:hAnsi="Arial"/>
          <w:sz w:val="14"/>
          <w:szCs w:val="14"/>
          <w:color w:val="auto"/>
        </w:rPr>
      </w:pPr>
    </w:p>
    <w:p>
      <w:pPr>
        <w:ind w:left="1340" w:hanging="116"/>
        <w:spacing w:after="0"/>
        <w:tabs>
          <w:tab w:leader="none" w:pos="1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each of our NEOs;</w:t>
      </w:r>
    </w:p>
    <w:p>
      <w:pPr>
        <w:spacing w:after="0" w:line="130" w:lineRule="exact"/>
        <w:rPr>
          <w:rFonts w:ascii="Arial" w:cs="Arial" w:eastAsia="Arial" w:hAnsi="Arial"/>
          <w:sz w:val="14"/>
          <w:szCs w:val="14"/>
          <w:color w:val="auto"/>
        </w:rPr>
      </w:pPr>
    </w:p>
    <w:p>
      <w:pPr>
        <w:ind w:left="1340" w:hanging="116"/>
        <w:spacing w:after="0"/>
        <w:tabs>
          <w:tab w:leader="none" w:pos="1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each of our directors; and</w:t>
      </w:r>
    </w:p>
    <w:p>
      <w:pPr>
        <w:spacing w:after="0" w:line="130" w:lineRule="exact"/>
        <w:rPr>
          <w:rFonts w:ascii="Arial" w:cs="Arial" w:eastAsia="Arial" w:hAnsi="Arial"/>
          <w:sz w:val="14"/>
          <w:szCs w:val="14"/>
          <w:color w:val="auto"/>
        </w:rPr>
      </w:pPr>
    </w:p>
    <w:p>
      <w:pPr>
        <w:ind w:left="1340" w:hanging="116"/>
        <w:spacing w:after="0"/>
        <w:tabs>
          <w:tab w:leader="none" w:pos="1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all of our executive officers and directors as a group.</w:t>
      </w:r>
    </w:p>
    <w:p>
      <w:pPr>
        <w:spacing w:after="0" w:line="130" w:lineRule="exact"/>
        <w:rPr>
          <w:sz w:val="20"/>
          <w:szCs w:val="20"/>
          <w:color w:val="auto"/>
        </w:rPr>
      </w:pPr>
    </w:p>
    <w:p>
      <w:pPr>
        <w:ind w:left="1220" w:right="1339"/>
        <w:spacing w:after="0" w:line="289" w:lineRule="auto"/>
        <w:rPr>
          <w:sz w:val="20"/>
          <w:szCs w:val="20"/>
          <w:color w:val="auto"/>
        </w:rPr>
      </w:pPr>
      <w:r>
        <w:rPr>
          <w:rFonts w:ascii="Arial" w:cs="Arial" w:eastAsia="Arial" w:hAnsi="Arial"/>
          <w:sz w:val="14"/>
          <w:szCs w:val="14"/>
          <w:color w:val="auto"/>
        </w:rPr>
        <w:t>The percentage ownership information under the column titled “Beneficial ownership prior to this offering” is based on 110,371,553 shares of common stock outstanding as of April 30, 2021, assuming the automatic conversion of all outstanding shares of our convertible preferred stock into an aggregate of 85,865,789 shares of common stock upon the closing of this offering.</w:t>
      </w:r>
    </w:p>
    <w:p>
      <w:pPr>
        <w:spacing w:after="0" w:line="1" w:lineRule="exact"/>
        <w:rPr>
          <w:sz w:val="20"/>
          <w:szCs w:val="20"/>
          <w:color w:val="auto"/>
        </w:rPr>
      </w:pPr>
    </w:p>
    <w:p>
      <w:pPr>
        <w:ind w:left="1220" w:right="1399"/>
        <w:spacing w:after="0" w:line="289" w:lineRule="auto"/>
        <w:rPr>
          <w:sz w:val="20"/>
          <w:szCs w:val="20"/>
          <w:color w:val="auto"/>
        </w:rPr>
      </w:pPr>
      <w:r>
        <w:rPr>
          <w:rFonts w:ascii="Arial" w:cs="Arial" w:eastAsia="Arial" w:hAnsi="Arial"/>
          <w:sz w:val="14"/>
          <w:szCs w:val="14"/>
          <w:color w:val="auto"/>
        </w:rPr>
        <w:t>The percentage ownership information under the column titled “After Offering” is based on the sale of shares of common stock in this offering (assuming an initial public offering price of $ per share, the midpoint of the price range set forth on the cover page of this prospectus).</w:t>
      </w:r>
    </w:p>
    <w:p>
      <w:pPr>
        <w:spacing w:after="0" w:line="1" w:lineRule="exact"/>
        <w:rPr>
          <w:sz w:val="20"/>
          <w:szCs w:val="20"/>
          <w:color w:val="auto"/>
        </w:rPr>
      </w:pPr>
    </w:p>
    <w:p>
      <w:pPr>
        <w:ind w:left="1220" w:right="1779"/>
        <w:spacing w:after="0" w:line="306" w:lineRule="auto"/>
        <w:rPr>
          <w:sz w:val="20"/>
          <w:szCs w:val="20"/>
          <w:color w:val="auto"/>
        </w:rPr>
      </w:pPr>
      <w:r>
        <w:rPr>
          <w:rFonts w:ascii="Arial" w:cs="Arial" w:eastAsia="Arial" w:hAnsi="Arial"/>
          <w:sz w:val="14"/>
          <w:szCs w:val="14"/>
          <w:color w:val="auto"/>
        </w:rPr>
        <w:t>The percentage ownership information assumes no exercise of the underwriters’ option to purchase additional shares.</w:t>
      </w:r>
    </w:p>
    <w:p>
      <w:pPr>
        <w:spacing w:after="0" w:line="97" w:lineRule="exact"/>
        <w:rPr>
          <w:sz w:val="20"/>
          <w:szCs w:val="20"/>
          <w:color w:val="auto"/>
        </w:rPr>
      </w:pPr>
    </w:p>
    <w:p>
      <w:pPr>
        <w:ind w:left="1220" w:right="1319"/>
        <w:spacing w:after="0" w:line="291" w:lineRule="auto"/>
        <w:rPr>
          <w:sz w:val="20"/>
          <w:szCs w:val="20"/>
          <w:color w:val="auto"/>
        </w:rPr>
      </w:pPr>
      <w:r>
        <w:rPr>
          <w:rFonts w:ascii="Arial" w:cs="Arial" w:eastAsia="Arial" w:hAnsi="Arial"/>
          <w:sz w:val="14"/>
          <w:szCs w:val="14"/>
          <w:color w:val="auto"/>
        </w:rPr>
        <w:t>Beneficial ownership is determined according to the rules of the SEC and generally means that a person has beneficial ownership of a security if he, she or it possesses sole or shared voting or investment power of that security. In addition, shares of common stock issuable upon the exercise of stock options or warrants that are currently exercisable or exercisable within 60 days of April 30, 2021 are included in the following table.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The information contained in the following table does not necessarily indicate beneficial ownership for any other purpose. Unless otherwise indicated, the persons or entities identified in this table have sole voting and investment power with respect to all shares shown as beneficially owned by them, subject to applicable community property laws.</w:t>
      </w:r>
    </w:p>
    <w:p>
      <w:pPr>
        <w:spacing w:after="0" w:line="302" w:lineRule="exact"/>
        <w:rPr>
          <w:sz w:val="20"/>
          <w:szCs w:val="20"/>
          <w:color w:val="auto"/>
        </w:rPr>
      </w:pPr>
    </w:p>
    <w:p>
      <w:pPr>
        <w:ind w:left="1220" w:right="1399"/>
        <w:spacing w:after="0" w:line="306" w:lineRule="auto"/>
        <w:rPr>
          <w:sz w:val="20"/>
          <w:szCs w:val="20"/>
          <w:color w:val="auto"/>
        </w:rPr>
      </w:pPr>
      <w:r>
        <w:rPr>
          <w:rFonts w:ascii="Arial" w:cs="Arial" w:eastAsia="Arial" w:hAnsi="Arial"/>
          <w:sz w:val="14"/>
          <w:szCs w:val="14"/>
          <w:color w:val="auto"/>
        </w:rPr>
        <w:t>Unless otherwise noted below, the address for each beneficial owner listed in the table below is c/o Century Therapeutics, Inc., 3675 Market Street, Philadelphia, Pennsylvania, 19104.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86" w:name="page187"/>
    <w:bookmarkEnd w:id="18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920" w:type="dxa"/>
            <w:vAlign w:val="bottom"/>
            <w:tcBorders>
              <w:top w:val="single" w:sz="8" w:color="auto"/>
            </w:tcBorders>
          </w:tcPr>
          <w:p>
            <w:pPr>
              <w:spacing w:after="0"/>
              <w:rPr>
                <w:sz w:val="14"/>
                <w:szCs w:val="14"/>
                <w:color w:val="auto"/>
              </w:rPr>
            </w:pPr>
          </w:p>
        </w:tc>
        <w:tc>
          <w:tcPr>
            <w:tcW w:w="370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Beneficial ownership prior to Beneficial ownership after</w:t>
            </w:r>
          </w:p>
        </w:tc>
      </w:tr>
      <w:tr>
        <w:trPr>
          <w:trHeight w:val="179"/>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this offering</w:t>
            </w:r>
          </w:p>
        </w:tc>
        <w:tc>
          <w:tcPr>
            <w:tcW w:w="8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this offering</w:t>
            </w:r>
          </w:p>
        </w:tc>
      </w:tr>
      <w:tr>
        <w:trPr>
          <w:trHeight w:val="135"/>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00" w:type="dxa"/>
            <w:vAlign w:val="bottom"/>
          </w:tcPr>
          <w:p>
            <w:pPr>
              <w:jc w:val="right"/>
              <w:ind w:right="110"/>
              <w:spacing w:after="0" w:line="136" w:lineRule="exact"/>
              <w:rPr>
                <w:sz w:val="20"/>
                <w:szCs w:val="20"/>
                <w:color w:val="auto"/>
              </w:rPr>
            </w:pPr>
            <w:r>
              <w:rPr>
                <w:rFonts w:ascii="Arial" w:cs="Arial" w:eastAsia="Arial" w:hAnsi="Arial"/>
                <w:sz w:val="13"/>
                <w:szCs w:val="13"/>
                <w:b w:val="1"/>
                <w:bCs w:val="1"/>
                <w:color w:val="auto"/>
              </w:rPr>
              <w:t>Number of</w:t>
            </w:r>
          </w:p>
        </w:tc>
        <w:tc>
          <w:tcPr>
            <w:tcW w:w="960" w:type="dxa"/>
            <w:vAlign w:val="bottom"/>
          </w:tcPr>
          <w:p>
            <w:pPr>
              <w:jc w:val="right"/>
              <w:ind w:right="10"/>
              <w:spacing w:after="0" w:line="136" w:lineRule="exact"/>
              <w:rPr>
                <w:sz w:val="20"/>
                <w:szCs w:val="20"/>
                <w:color w:val="auto"/>
              </w:rPr>
            </w:pPr>
            <w:r>
              <w:rPr>
                <w:rFonts w:ascii="Arial" w:cs="Arial" w:eastAsia="Arial" w:hAnsi="Arial"/>
                <w:sz w:val="13"/>
                <w:szCs w:val="13"/>
                <w:b w:val="1"/>
                <w:bCs w:val="1"/>
                <w:color w:val="auto"/>
              </w:rPr>
              <w:t>Percentage</w:t>
            </w:r>
          </w:p>
        </w:tc>
        <w:tc>
          <w:tcPr>
            <w:tcW w:w="840" w:type="dxa"/>
            <w:vAlign w:val="bottom"/>
          </w:tcPr>
          <w:p>
            <w:pPr>
              <w:jc w:val="right"/>
              <w:ind w:right="55"/>
              <w:spacing w:after="0" w:line="136" w:lineRule="exact"/>
              <w:rPr>
                <w:sz w:val="20"/>
                <w:szCs w:val="20"/>
                <w:color w:val="auto"/>
              </w:rPr>
            </w:pPr>
            <w:r>
              <w:rPr>
                <w:rFonts w:ascii="Arial" w:cs="Arial" w:eastAsia="Arial" w:hAnsi="Arial"/>
                <w:sz w:val="13"/>
                <w:szCs w:val="13"/>
                <w:b w:val="1"/>
                <w:bCs w:val="1"/>
                <w:color w:val="auto"/>
              </w:rPr>
              <w:t>Number of</w:t>
            </w:r>
          </w:p>
        </w:tc>
        <w:tc>
          <w:tcPr>
            <w:tcW w:w="90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Percentage</w:t>
            </w:r>
          </w:p>
        </w:tc>
      </w:tr>
      <w:tr>
        <w:trPr>
          <w:trHeight w:val="151"/>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Arial" w:cs="Arial" w:eastAsia="Arial" w:hAnsi="Arial"/>
                <w:sz w:val="13"/>
                <w:szCs w:val="13"/>
                <w:b w:val="1"/>
                <w:bCs w:val="1"/>
                <w:color w:val="auto"/>
              </w:rPr>
              <w:t>shares</w:t>
            </w:r>
          </w:p>
        </w:tc>
        <w:tc>
          <w:tcPr>
            <w:tcW w:w="960" w:type="dxa"/>
            <w:vAlign w:val="bottom"/>
          </w:tcPr>
          <w:p>
            <w:pPr>
              <w:jc w:val="right"/>
              <w:ind w:right="10"/>
              <w:spacing w:after="0"/>
              <w:rPr>
                <w:sz w:val="20"/>
                <w:szCs w:val="20"/>
                <w:color w:val="auto"/>
              </w:rPr>
            </w:pPr>
            <w:r>
              <w:rPr>
                <w:rFonts w:ascii="Arial" w:cs="Arial" w:eastAsia="Arial" w:hAnsi="Arial"/>
                <w:sz w:val="13"/>
                <w:szCs w:val="13"/>
                <w:b w:val="1"/>
                <w:bCs w:val="1"/>
                <w:color w:val="auto"/>
              </w:rPr>
              <w:t>of</w:t>
            </w:r>
          </w:p>
        </w:tc>
        <w:tc>
          <w:tcPr>
            <w:tcW w:w="840" w:type="dxa"/>
            <w:vAlign w:val="bottom"/>
          </w:tcPr>
          <w:p>
            <w:pPr>
              <w:jc w:val="right"/>
              <w:ind w:right="55"/>
              <w:spacing w:after="0"/>
              <w:rPr>
                <w:sz w:val="20"/>
                <w:szCs w:val="20"/>
                <w:color w:val="auto"/>
              </w:rPr>
            </w:pPr>
            <w:r>
              <w:rPr>
                <w:rFonts w:ascii="Arial" w:cs="Arial" w:eastAsia="Arial" w:hAnsi="Arial"/>
                <w:sz w:val="13"/>
                <w:szCs w:val="13"/>
                <w:b w:val="1"/>
                <w:bCs w:val="1"/>
                <w:color w:val="auto"/>
              </w:rPr>
              <w:t>shares</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of</w:t>
            </w:r>
          </w:p>
        </w:tc>
      </w:tr>
      <w:tr>
        <w:trPr>
          <w:trHeight w:val="151"/>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00" w:type="dxa"/>
            <w:vAlign w:val="bottom"/>
          </w:tcPr>
          <w:p>
            <w:pPr>
              <w:jc w:val="right"/>
              <w:ind w:right="110"/>
              <w:spacing w:after="0"/>
              <w:rPr>
                <w:sz w:val="20"/>
                <w:szCs w:val="20"/>
                <w:color w:val="auto"/>
              </w:rPr>
            </w:pPr>
            <w:r>
              <w:rPr>
                <w:rFonts w:ascii="Arial" w:cs="Arial" w:eastAsia="Arial" w:hAnsi="Arial"/>
                <w:sz w:val="13"/>
                <w:szCs w:val="13"/>
                <w:b w:val="1"/>
                <w:bCs w:val="1"/>
                <w:color w:val="auto"/>
              </w:rPr>
              <w:t>beneficially</w:t>
            </w:r>
          </w:p>
        </w:tc>
        <w:tc>
          <w:tcPr>
            <w:tcW w:w="1800" w:type="dxa"/>
            <w:vAlign w:val="bottom"/>
            <w:gridSpan w:val="2"/>
          </w:tcPr>
          <w:p>
            <w:pPr>
              <w:jc w:val="right"/>
              <w:ind w:right="55"/>
              <w:spacing w:after="0"/>
              <w:rPr>
                <w:sz w:val="20"/>
                <w:szCs w:val="20"/>
                <w:color w:val="auto"/>
              </w:rPr>
            </w:pPr>
            <w:r>
              <w:rPr>
                <w:rFonts w:ascii="Arial" w:cs="Arial" w:eastAsia="Arial" w:hAnsi="Arial"/>
                <w:sz w:val="13"/>
                <w:szCs w:val="13"/>
                <w:b w:val="1"/>
                <w:bCs w:val="1"/>
                <w:color w:val="auto"/>
              </w:rPr>
              <w:t>beneficial beneficially</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beneficial</w:t>
            </w:r>
          </w:p>
        </w:tc>
      </w:tr>
      <w:tr>
        <w:trPr>
          <w:trHeight w:val="178"/>
        </w:trPr>
        <w:tc>
          <w:tcPr>
            <w:tcW w:w="2940" w:type="dxa"/>
            <w:vAlign w:val="bottom"/>
            <w:gridSpan w:val="2"/>
          </w:tcPr>
          <w:p>
            <w:pPr>
              <w:spacing w:after="0"/>
              <w:rPr>
                <w:sz w:val="20"/>
                <w:szCs w:val="20"/>
                <w:color w:val="auto"/>
              </w:rPr>
            </w:pPr>
            <w:r>
              <w:rPr>
                <w:rFonts w:ascii="Arial" w:cs="Arial" w:eastAsia="Arial" w:hAnsi="Arial"/>
                <w:sz w:val="13"/>
                <w:szCs w:val="13"/>
                <w:b w:val="1"/>
                <w:bCs w:val="1"/>
                <w:color w:val="auto"/>
              </w:rPr>
              <w:t>Name of Beneficial Owner</w:t>
            </w:r>
          </w:p>
        </w:tc>
        <w:tc>
          <w:tcPr>
            <w:tcW w:w="1000" w:type="dxa"/>
            <w:vAlign w:val="bottom"/>
          </w:tcPr>
          <w:p>
            <w:pPr>
              <w:jc w:val="right"/>
              <w:ind w:right="70"/>
              <w:spacing w:after="0"/>
              <w:rPr>
                <w:sz w:val="20"/>
                <w:szCs w:val="20"/>
                <w:color w:val="auto"/>
              </w:rPr>
            </w:pPr>
            <w:r>
              <w:rPr>
                <w:rFonts w:ascii="Arial" w:cs="Arial" w:eastAsia="Arial" w:hAnsi="Arial"/>
                <w:sz w:val="13"/>
                <w:szCs w:val="13"/>
                <w:b w:val="1"/>
                <w:bCs w:val="1"/>
                <w:color w:val="auto"/>
              </w:rPr>
              <w:t>owned</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ownership</w:t>
            </w:r>
          </w:p>
        </w:tc>
        <w:tc>
          <w:tcPr>
            <w:tcW w:w="840" w:type="dxa"/>
            <w:vAlign w:val="bottom"/>
          </w:tcPr>
          <w:p>
            <w:pPr>
              <w:jc w:val="right"/>
              <w:ind w:right="35"/>
              <w:spacing w:after="0"/>
              <w:rPr>
                <w:sz w:val="20"/>
                <w:szCs w:val="20"/>
                <w:color w:val="auto"/>
              </w:rPr>
            </w:pPr>
            <w:r>
              <w:rPr>
                <w:rFonts w:ascii="Arial" w:cs="Arial" w:eastAsia="Arial" w:hAnsi="Arial"/>
                <w:sz w:val="13"/>
                <w:szCs w:val="13"/>
                <w:b w:val="1"/>
                <w:bCs w:val="1"/>
                <w:color w:val="auto"/>
              </w:rPr>
              <w:t>owned</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ownership</w:t>
            </w:r>
          </w:p>
        </w:tc>
      </w:tr>
      <w:tr>
        <w:trPr>
          <w:trHeight w:val="194"/>
        </w:trPr>
        <w:tc>
          <w:tcPr>
            <w:tcW w:w="20" w:type="dxa"/>
            <w:vAlign w:val="bottom"/>
          </w:tcPr>
          <w:p>
            <w:pPr>
              <w:spacing w:after="0"/>
              <w:rPr>
                <w:sz w:val="16"/>
                <w:szCs w:val="16"/>
                <w:color w:val="auto"/>
              </w:rPr>
            </w:pPr>
          </w:p>
        </w:tc>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5% and Greater Stockholders:</w:t>
            </w:r>
          </w:p>
        </w:tc>
        <w:tc>
          <w:tcPr>
            <w:tcW w:w="10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line="216" w:lineRule="exact"/>
              <w:rPr>
                <w:sz w:val="20"/>
                <w:szCs w:val="20"/>
                <w:color w:val="auto"/>
              </w:rPr>
            </w:pPr>
            <w:r>
              <w:rPr>
                <w:rFonts w:ascii="Arial" w:cs="Arial" w:eastAsia="Arial" w:hAnsi="Arial"/>
                <w:sz w:val="14"/>
                <w:szCs w:val="14"/>
                <w:color w:val="auto"/>
              </w:rPr>
              <w:t>Versant Entities</w:t>
            </w:r>
            <w:r>
              <w:rPr>
                <w:rFonts w:ascii="Arial" w:cs="Arial" w:eastAsia="Arial" w:hAnsi="Arial"/>
                <w:sz w:val="21"/>
                <w:szCs w:val="21"/>
                <w:color w:val="auto"/>
                <w:vertAlign w:val="superscript"/>
              </w:rPr>
              <w:t>(1)</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34,045,125</w:t>
            </w:r>
          </w:p>
        </w:tc>
        <w:tc>
          <w:tcPr>
            <w:tcW w:w="1800" w:type="dxa"/>
            <w:vAlign w:val="bottom"/>
            <w:gridSpan w:val="2"/>
          </w:tcPr>
          <w:p>
            <w:pPr>
              <w:jc w:val="right"/>
              <w:ind w:right="675"/>
              <w:spacing w:after="0"/>
              <w:rPr>
                <w:sz w:val="20"/>
                <w:szCs w:val="20"/>
                <w:color w:val="auto"/>
              </w:rPr>
            </w:pPr>
            <w:r>
              <w:rPr>
                <w:rFonts w:ascii="Arial" w:cs="Arial" w:eastAsia="Arial" w:hAnsi="Arial"/>
                <w:sz w:val="14"/>
                <w:szCs w:val="14"/>
                <w:color w:val="auto"/>
              </w:rPr>
              <w:t>30.8%</w:t>
            </w: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FUJIFILM Cellular Dynamics, Inc.</w:t>
            </w:r>
            <w:r>
              <w:rPr>
                <w:rFonts w:ascii="Arial" w:cs="Arial" w:eastAsia="Arial" w:hAnsi="Arial"/>
                <w:sz w:val="21"/>
                <w:szCs w:val="21"/>
                <w:color w:val="auto"/>
                <w:vertAlign w:val="superscript"/>
              </w:rPr>
              <w:t>(2)</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17,500,000</w:t>
            </w:r>
          </w:p>
        </w:tc>
        <w:tc>
          <w:tcPr>
            <w:tcW w:w="1800" w:type="dxa"/>
            <w:vAlign w:val="bottom"/>
            <w:gridSpan w:val="2"/>
            <w:shd w:val="clear" w:color="auto" w:fill="CCEEFF"/>
          </w:tcPr>
          <w:p>
            <w:pPr>
              <w:jc w:val="right"/>
              <w:ind w:right="675"/>
              <w:spacing w:after="0"/>
              <w:rPr>
                <w:sz w:val="20"/>
                <w:szCs w:val="20"/>
                <w:color w:val="auto"/>
              </w:rPr>
            </w:pPr>
            <w:r>
              <w:rPr>
                <w:rFonts w:ascii="Arial" w:cs="Arial" w:eastAsia="Arial" w:hAnsi="Arial"/>
                <w:sz w:val="14"/>
                <w:szCs w:val="14"/>
                <w:color w:val="auto"/>
              </w:rPr>
              <w:t>15.9%</w:t>
            </w:r>
          </w:p>
        </w:tc>
        <w:tc>
          <w:tcPr>
            <w:tcW w:w="9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line="216" w:lineRule="exact"/>
              <w:rPr>
                <w:sz w:val="20"/>
                <w:szCs w:val="20"/>
                <w:color w:val="auto"/>
              </w:rPr>
            </w:pPr>
            <w:r>
              <w:rPr>
                <w:rFonts w:ascii="Arial" w:cs="Arial" w:eastAsia="Arial" w:hAnsi="Arial"/>
                <w:sz w:val="14"/>
                <w:szCs w:val="14"/>
                <w:color w:val="auto"/>
              </w:rPr>
              <w:t>Bayer Entities</w:t>
            </w:r>
            <w:r>
              <w:rPr>
                <w:rFonts w:ascii="Arial" w:cs="Arial" w:eastAsia="Arial" w:hAnsi="Arial"/>
                <w:sz w:val="21"/>
                <w:szCs w:val="21"/>
                <w:color w:val="auto"/>
                <w:vertAlign w:val="superscript"/>
              </w:rPr>
              <w:t>(3)</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30,006,603</w:t>
            </w:r>
          </w:p>
        </w:tc>
        <w:tc>
          <w:tcPr>
            <w:tcW w:w="1800" w:type="dxa"/>
            <w:vAlign w:val="bottom"/>
            <w:gridSpan w:val="2"/>
          </w:tcPr>
          <w:p>
            <w:pPr>
              <w:jc w:val="right"/>
              <w:ind w:right="675"/>
              <w:spacing w:after="0"/>
              <w:rPr>
                <w:sz w:val="20"/>
                <w:szCs w:val="20"/>
                <w:color w:val="auto"/>
              </w:rPr>
            </w:pPr>
            <w:r>
              <w:rPr>
                <w:rFonts w:ascii="Arial" w:cs="Arial" w:eastAsia="Arial" w:hAnsi="Arial"/>
                <w:sz w:val="14"/>
                <w:szCs w:val="14"/>
                <w:color w:val="auto"/>
              </w:rPr>
              <w:t>27.2%</w:t>
            </w: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Casdin Entities</w:t>
            </w:r>
            <w:r>
              <w:rPr>
                <w:rFonts w:ascii="Arial" w:cs="Arial" w:eastAsia="Arial" w:hAnsi="Arial"/>
                <w:sz w:val="21"/>
                <w:szCs w:val="21"/>
                <w:color w:val="auto"/>
                <w:vertAlign w:val="superscript"/>
              </w:rPr>
              <w:t>(4)</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6,180,500</w:t>
            </w:r>
          </w:p>
        </w:tc>
        <w:tc>
          <w:tcPr>
            <w:tcW w:w="1800" w:type="dxa"/>
            <w:vAlign w:val="bottom"/>
            <w:gridSpan w:val="2"/>
            <w:shd w:val="clear" w:color="auto" w:fill="CCEEFF"/>
          </w:tcPr>
          <w:p>
            <w:pPr>
              <w:jc w:val="right"/>
              <w:ind w:right="675"/>
              <w:spacing w:after="0"/>
              <w:rPr>
                <w:sz w:val="20"/>
                <w:szCs w:val="20"/>
                <w:color w:val="auto"/>
              </w:rPr>
            </w:pPr>
            <w:r>
              <w:rPr>
                <w:rFonts w:ascii="Arial" w:cs="Arial" w:eastAsia="Arial" w:hAnsi="Arial"/>
                <w:sz w:val="14"/>
                <w:szCs w:val="14"/>
                <w:color w:val="auto"/>
              </w:rPr>
              <w:t>5.6%</w:t>
            </w:r>
          </w:p>
        </w:tc>
        <w:tc>
          <w:tcPr>
            <w:tcW w:w="900" w:type="dxa"/>
            <w:vAlign w:val="bottom"/>
            <w:shd w:val="clear" w:color="auto" w:fill="CCEEFF"/>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Arial" w:cs="Arial" w:eastAsia="Arial" w:hAnsi="Arial"/>
                <w:sz w:val="14"/>
                <w:szCs w:val="14"/>
                <w:b w:val="1"/>
                <w:bCs w:val="1"/>
                <w:color w:val="auto"/>
              </w:rPr>
              <w:t>Named Executive Officers and Directors:</w:t>
            </w: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2920" w:type="dxa"/>
            <w:vAlign w:val="bottom"/>
            <w:shd w:val="clear" w:color="auto" w:fill="CCEEFF"/>
          </w:tcPr>
          <w:p>
            <w:pPr>
              <w:spacing w:after="0" w:line="231" w:lineRule="exact"/>
              <w:rPr>
                <w:sz w:val="20"/>
                <w:szCs w:val="20"/>
                <w:color w:val="auto"/>
              </w:rPr>
            </w:pPr>
            <w:r>
              <w:rPr>
                <w:rFonts w:ascii="Arial" w:cs="Arial" w:eastAsia="Arial" w:hAnsi="Arial"/>
                <w:sz w:val="14"/>
                <w:szCs w:val="14"/>
                <w:color w:val="auto"/>
              </w:rPr>
              <w:t>Osvaldo Flores, Ph.D.</w:t>
            </w:r>
            <w:r>
              <w:rPr>
                <w:rFonts w:ascii="Arial" w:cs="Arial" w:eastAsia="Arial" w:hAnsi="Arial"/>
                <w:sz w:val="21"/>
                <w:szCs w:val="21"/>
                <w:color w:val="auto"/>
                <w:vertAlign w:val="superscript"/>
              </w:rPr>
              <w:t>(5)</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3,863,080</w:t>
            </w:r>
          </w:p>
        </w:tc>
        <w:tc>
          <w:tcPr>
            <w:tcW w:w="1800" w:type="dxa"/>
            <w:vAlign w:val="bottom"/>
            <w:gridSpan w:val="2"/>
            <w:shd w:val="clear" w:color="auto" w:fill="CCEEFF"/>
          </w:tcPr>
          <w:p>
            <w:pPr>
              <w:jc w:val="right"/>
              <w:ind w:right="675"/>
              <w:spacing w:after="0"/>
              <w:rPr>
                <w:sz w:val="20"/>
                <w:szCs w:val="20"/>
                <w:color w:val="auto"/>
              </w:rPr>
            </w:pPr>
            <w:r>
              <w:rPr>
                <w:rFonts w:ascii="Arial" w:cs="Arial" w:eastAsia="Arial" w:hAnsi="Arial"/>
                <w:sz w:val="14"/>
                <w:szCs w:val="14"/>
                <w:color w:val="auto"/>
              </w:rPr>
              <w:t>3.5%</w:t>
            </w:r>
          </w:p>
        </w:tc>
        <w:tc>
          <w:tcPr>
            <w:tcW w:w="9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line="216" w:lineRule="exact"/>
              <w:rPr>
                <w:sz w:val="20"/>
                <w:szCs w:val="20"/>
                <w:color w:val="auto"/>
              </w:rPr>
            </w:pPr>
            <w:r>
              <w:rPr>
                <w:rFonts w:ascii="Arial" w:cs="Arial" w:eastAsia="Arial" w:hAnsi="Arial"/>
                <w:sz w:val="14"/>
                <w:szCs w:val="14"/>
                <w:color w:val="auto"/>
              </w:rPr>
              <w:t>Michael Diem, M.D.</w:t>
            </w:r>
            <w:r>
              <w:rPr>
                <w:rFonts w:ascii="Arial" w:cs="Arial" w:eastAsia="Arial" w:hAnsi="Arial"/>
                <w:sz w:val="21"/>
                <w:szCs w:val="21"/>
                <w:color w:val="auto"/>
                <w:vertAlign w:val="superscript"/>
              </w:rPr>
              <w:t>(6)</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933,707</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line="216" w:lineRule="exact"/>
              <w:rPr>
                <w:sz w:val="20"/>
                <w:szCs w:val="20"/>
                <w:color w:val="auto"/>
              </w:rPr>
            </w:pPr>
            <w:r>
              <w:rPr>
                <w:rFonts w:ascii="Arial" w:cs="Arial" w:eastAsia="Arial" w:hAnsi="Arial"/>
                <w:sz w:val="14"/>
                <w:szCs w:val="14"/>
                <w:color w:val="auto"/>
              </w:rPr>
              <w:t>Hyam Levitsky, M.D.</w:t>
            </w:r>
            <w:r>
              <w:rPr>
                <w:rFonts w:ascii="Arial" w:cs="Arial" w:eastAsia="Arial" w:hAnsi="Arial"/>
                <w:sz w:val="21"/>
                <w:szCs w:val="21"/>
                <w:color w:val="auto"/>
                <w:vertAlign w:val="superscript"/>
              </w:rPr>
              <w:t>(7)</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1,350,000</w:t>
            </w:r>
          </w:p>
        </w:tc>
        <w:tc>
          <w:tcPr>
            <w:tcW w:w="1800" w:type="dxa"/>
            <w:vAlign w:val="bottom"/>
            <w:gridSpan w:val="2"/>
            <w:shd w:val="clear" w:color="auto" w:fill="CCEEFF"/>
          </w:tcPr>
          <w:p>
            <w:pPr>
              <w:jc w:val="right"/>
              <w:ind w:right="675"/>
              <w:spacing w:after="0"/>
              <w:rPr>
                <w:sz w:val="20"/>
                <w:szCs w:val="20"/>
                <w:color w:val="auto"/>
              </w:rPr>
            </w:pPr>
            <w:r>
              <w:rPr>
                <w:rFonts w:ascii="Arial" w:cs="Arial" w:eastAsia="Arial" w:hAnsi="Arial"/>
                <w:sz w:val="14"/>
                <w:szCs w:val="14"/>
                <w:color w:val="auto"/>
              </w:rPr>
              <w:t>1.2%</w:t>
            </w:r>
          </w:p>
        </w:tc>
        <w:tc>
          <w:tcPr>
            <w:tcW w:w="900" w:type="dxa"/>
            <w:vAlign w:val="bottom"/>
            <w:shd w:val="clear" w:color="auto" w:fill="CCEEFF"/>
          </w:tcPr>
          <w:p>
            <w:pPr>
              <w:spacing w:after="0"/>
              <w:rPr>
                <w:sz w:val="18"/>
                <w:szCs w:val="18"/>
                <w:color w:val="auto"/>
              </w:rPr>
            </w:pPr>
          </w:p>
        </w:tc>
      </w:tr>
      <w:tr>
        <w:trPr>
          <w:trHeight w:val="182"/>
        </w:trPr>
        <w:tc>
          <w:tcPr>
            <w:tcW w:w="2940" w:type="dxa"/>
            <w:vAlign w:val="bottom"/>
            <w:gridSpan w:val="2"/>
          </w:tcPr>
          <w:p>
            <w:pPr>
              <w:spacing w:after="0"/>
              <w:rPr>
                <w:sz w:val="20"/>
                <w:szCs w:val="20"/>
                <w:color w:val="auto"/>
              </w:rPr>
            </w:pPr>
            <w:r>
              <w:rPr>
                <w:rFonts w:ascii="Arial" w:cs="Arial" w:eastAsia="Arial" w:hAnsi="Arial"/>
                <w:sz w:val="14"/>
                <w:szCs w:val="14"/>
                <w:color w:val="auto"/>
              </w:rPr>
              <w:t>Carlo Rizzuto, Ph.D.</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
        </w:trPr>
        <w:tc>
          <w:tcPr>
            <w:tcW w:w="29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Toshikazu Ban</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82"/>
        </w:trPr>
        <w:tc>
          <w:tcPr>
            <w:tcW w:w="2940" w:type="dxa"/>
            <w:vAlign w:val="bottom"/>
            <w:gridSpan w:val="2"/>
          </w:tcPr>
          <w:p>
            <w:pPr>
              <w:spacing w:after="0"/>
              <w:rPr>
                <w:sz w:val="20"/>
                <w:szCs w:val="20"/>
                <w:color w:val="auto"/>
              </w:rPr>
            </w:pPr>
            <w:r>
              <w:rPr>
                <w:rFonts w:ascii="Arial" w:cs="Arial" w:eastAsia="Arial" w:hAnsi="Arial"/>
                <w:sz w:val="14"/>
                <w:szCs w:val="14"/>
                <w:color w:val="auto"/>
              </w:rPr>
              <w:t>Joseph Jimenez</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560,224</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
        </w:trPr>
        <w:tc>
          <w:tcPr>
            <w:tcW w:w="29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Juergen Eckhart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line="216" w:lineRule="exact"/>
              <w:rPr>
                <w:sz w:val="20"/>
                <w:szCs w:val="20"/>
                <w:color w:val="auto"/>
              </w:rPr>
            </w:pPr>
            <w:r>
              <w:rPr>
                <w:rFonts w:ascii="Arial" w:cs="Arial" w:eastAsia="Arial" w:hAnsi="Arial"/>
                <w:sz w:val="14"/>
                <w:szCs w:val="14"/>
                <w:color w:val="auto"/>
              </w:rPr>
              <w:t>Eli Casdin</w:t>
            </w:r>
            <w:r>
              <w:rPr>
                <w:rFonts w:ascii="Arial" w:cs="Arial" w:eastAsia="Arial" w:hAnsi="Arial"/>
                <w:sz w:val="21"/>
                <w:szCs w:val="21"/>
                <w:color w:val="auto"/>
                <w:vertAlign w:val="superscript"/>
              </w:rPr>
              <w:t>(4)</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6,180,500</w:t>
            </w:r>
          </w:p>
        </w:tc>
        <w:tc>
          <w:tcPr>
            <w:tcW w:w="1800" w:type="dxa"/>
            <w:vAlign w:val="bottom"/>
            <w:gridSpan w:val="2"/>
          </w:tcPr>
          <w:p>
            <w:pPr>
              <w:jc w:val="right"/>
              <w:ind w:right="675"/>
              <w:spacing w:after="0"/>
              <w:rPr>
                <w:sz w:val="20"/>
                <w:szCs w:val="20"/>
                <w:color w:val="auto"/>
              </w:rPr>
            </w:pPr>
            <w:r>
              <w:rPr>
                <w:rFonts w:ascii="Arial" w:cs="Arial" w:eastAsia="Arial" w:hAnsi="Arial"/>
                <w:sz w:val="14"/>
                <w:szCs w:val="14"/>
                <w:color w:val="auto"/>
              </w:rPr>
              <w:t>5.6%</w:t>
            </w:r>
          </w:p>
        </w:tc>
        <w:tc>
          <w:tcPr>
            <w:tcW w:w="900" w:type="dxa"/>
            <w:vAlign w:val="bottom"/>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Cynthia Butitta</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Arial" w:cs="Arial" w:eastAsia="Arial" w:hAnsi="Arial"/>
                <w:sz w:val="14"/>
                <w:szCs w:val="14"/>
                <w:color w:val="auto"/>
              </w:rPr>
              <w:t>All current directors and executive officers</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2920" w:type="dxa"/>
            <w:vAlign w:val="bottom"/>
          </w:tcPr>
          <w:p>
            <w:pPr>
              <w:ind w:left="120"/>
              <w:spacing w:after="0"/>
              <w:rPr>
                <w:sz w:val="20"/>
                <w:szCs w:val="20"/>
                <w:color w:val="auto"/>
              </w:rPr>
            </w:pPr>
            <w:r>
              <w:rPr>
                <w:rFonts w:ascii="Arial" w:cs="Arial" w:eastAsia="Arial" w:hAnsi="Arial"/>
                <w:sz w:val="14"/>
                <w:szCs w:val="14"/>
                <w:color w:val="auto"/>
              </w:rPr>
              <w:t>as a group (12 persons)</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15,239,938</w:t>
            </w:r>
          </w:p>
        </w:tc>
        <w:tc>
          <w:tcPr>
            <w:tcW w:w="1800" w:type="dxa"/>
            <w:vAlign w:val="bottom"/>
            <w:gridSpan w:val="2"/>
          </w:tcPr>
          <w:p>
            <w:pPr>
              <w:jc w:val="right"/>
              <w:ind w:right="675"/>
              <w:spacing w:after="0"/>
              <w:rPr>
                <w:sz w:val="20"/>
                <w:szCs w:val="20"/>
                <w:color w:val="auto"/>
              </w:rPr>
            </w:pPr>
            <w:r>
              <w:rPr>
                <w:rFonts w:ascii="Arial" w:cs="Arial" w:eastAsia="Arial" w:hAnsi="Arial"/>
                <w:sz w:val="14"/>
                <w:szCs w:val="14"/>
                <w:color w:val="auto"/>
              </w:rPr>
              <w:t>13.0%</w:t>
            </w:r>
          </w:p>
        </w:tc>
        <w:tc>
          <w:tcPr>
            <w:tcW w:w="9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34925</wp:posOffset>
            </wp:positionV>
            <wp:extent cx="4206875" cy="139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206875" cy="13970"/>
                    </a:xfrm>
                    <a:prstGeom prst="rect">
                      <a:avLst/>
                    </a:prstGeom>
                    <a:noFill/>
                  </pic:spPr>
                </pic:pic>
              </a:graphicData>
            </a:graphic>
          </wp:anchor>
        </w:drawing>
      </w:r>
    </w:p>
    <w:p>
      <w:pPr>
        <w:spacing w:after="0" w:line="110" w:lineRule="exact"/>
        <w:rPr>
          <w:sz w:val="20"/>
          <w:szCs w:val="20"/>
          <w:color w:val="auto"/>
        </w:rPr>
      </w:pPr>
    </w:p>
    <w:p>
      <w:pPr>
        <w:ind w:left="1220" w:right="1259" w:firstLine="4"/>
        <w:spacing w:after="0" w:line="246" w:lineRule="auto"/>
        <w:tabs>
          <w:tab w:leader="none" w:pos="1458" w:val="left"/>
        </w:tabs>
        <w:numPr>
          <w:ilvl w:val="0"/>
          <w:numId w:val="101"/>
        </w:numPr>
        <w:rPr>
          <w:rFonts w:ascii="Arial" w:cs="Arial" w:eastAsia="Arial" w:hAnsi="Arial"/>
          <w:sz w:val="11"/>
          <w:szCs w:val="11"/>
          <w:color w:val="auto"/>
        </w:rPr>
      </w:pPr>
      <w:r>
        <w:rPr>
          <w:rFonts w:ascii="Arial" w:cs="Arial" w:eastAsia="Arial" w:hAnsi="Arial"/>
          <w:sz w:val="11"/>
          <w:szCs w:val="11"/>
          <w:color w:val="auto"/>
        </w:rPr>
        <w:t>Consists of (i) 25,000,000 shares of common stock issuable upon conversion of 25,000,000 shares of Series A preferred stock upon the closing of this offering held by Versant Venture Capital VI, L.P., or Versant VI, (ii) 7,500,000 shares of common stock held by Versant VI and (iii) 1,545,125 shares of common stock issuable upon conversion of 1,545,125 shares of Series C preferred stock upon the closing of this offering held by Versant Vantage II, L.P., or Versant II. Versant Ventures VI GP, L.P., or Versant VI GP LP, is the sole general partner of Versant VI and Versant Ventures VI GP-GP, LLC is the sole general partner of Versant VI GP LP and has voting and dispositive control over the shares held by Versant VI. Jerel Davis, Brad Bolzon, Tom Woiwode, Clare Ozawa, Kirk Nielsen and Robin Praeger, the managing directors of Versant Ventures VI GP-GP, LLC, may be deemed to possess voting and dispositive control over the shares held by Versant VI and may be deemed to have indirect beneficial ownership of the shares held by Versant VI but disclaims beneficial ownership of such securities, except to the extent of their respective pecuniary interest therein, if any. Versant Vantage II GP, L.P., or Versant II GP LP, is the sole general partner of Versant II and Versant Vantage II GP-GP, LLC is the sole general partner of Versant II GP LP and has voting and dispositive control over the shares held by Versant II. Dr. Davis, Mr. Bolzan, Mr. Woiwode, Ms. Owaza, Alex Mayweg and Ms. Praeger, the managing directors of Versant Vantage II GP-GP, LLC, may be deemed to possess voting and dispositive control over the shares held by Versant II and may be deemed to have indirect beneficial ownership of the shares held by Versant II but disclaims beneficial ownership of such securities, except to the extent of their respective pecuniary interest therein, if any. The business address for each of Versant VI, Versant VI GP LP, Versant Ventures VI GP-GP, LLC, Versant II, Versant II GP LP and Versant Vantage II GP-GP, LLC is One Sansome Street, Suite 3630, San Francisco, CA 94104.</w:t>
      </w:r>
    </w:p>
    <w:p>
      <w:pPr>
        <w:spacing w:after="0" w:line="51" w:lineRule="exact"/>
        <w:rPr>
          <w:rFonts w:ascii="Arial" w:cs="Arial" w:eastAsia="Arial" w:hAnsi="Arial"/>
          <w:sz w:val="11"/>
          <w:szCs w:val="11"/>
          <w:color w:val="auto"/>
        </w:rPr>
      </w:pPr>
    </w:p>
    <w:p>
      <w:pPr>
        <w:ind w:left="1220" w:right="1239" w:firstLine="4"/>
        <w:spacing w:after="0" w:line="245" w:lineRule="auto"/>
        <w:tabs>
          <w:tab w:leader="none" w:pos="1458" w:val="left"/>
        </w:tabs>
        <w:numPr>
          <w:ilvl w:val="0"/>
          <w:numId w:val="101"/>
        </w:numPr>
        <w:rPr>
          <w:rFonts w:ascii="Arial" w:cs="Arial" w:eastAsia="Arial" w:hAnsi="Arial"/>
          <w:sz w:val="11"/>
          <w:szCs w:val="11"/>
          <w:color w:val="auto"/>
        </w:rPr>
      </w:pPr>
      <w:r>
        <w:rPr>
          <w:rFonts w:ascii="Arial" w:cs="Arial" w:eastAsia="Arial" w:hAnsi="Arial"/>
          <w:sz w:val="11"/>
          <w:szCs w:val="11"/>
          <w:color w:val="auto"/>
        </w:rPr>
        <w:t>Consists of (i) 10,000,000 shares of common stock issuable upon the conversion of 10,000,000 shares of Series A preferred stock upon the closing of this offering held by FUJIFILM Cellular Dynamics, Inc., or FUJIFILM, and (ii) 7,500,000 shares of common stock held by FUJIFILM. FUJIFILM’s board of directors has sole voting and investment power over the Century shares held by FUJIFILM. FUJIFILM’s board of directors currently has five members who are: (1) Masataka Akiyama; (2) Tetsuya Iwasaki;</w:t>
      </w:r>
    </w:p>
    <w:p>
      <w:pPr>
        <w:spacing w:after="0" w:line="1" w:lineRule="exact"/>
        <w:rPr>
          <w:rFonts w:ascii="Arial" w:cs="Arial" w:eastAsia="Arial" w:hAnsi="Arial"/>
          <w:sz w:val="11"/>
          <w:szCs w:val="11"/>
          <w:color w:val="auto"/>
        </w:rPr>
      </w:pPr>
    </w:p>
    <w:p>
      <w:pPr>
        <w:ind w:left="1220" w:right="1599" w:firstLine="4"/>
        <w:spacing w:after="0" w:line="251" w:lineRule="auto"/>
        <w:tabs>
          <w:tab w:leader="none" w:pos="1393" w:val="left"/>
        </w:tabs>
        <w:numPr>
          <w:ilvl w:val="0"/>
          <w:numId w:val="101"/>
        </w:numPr>
        <w:rPr>
          <w:rFonts w:ascii="Arial" w:cs="Arial" w:eastAsia="Arial" w:hAnsi="Arial"/>
          <w:sz w:val="11"/>
          <w:szCs w:val="11"/>
          <w:color w:val="auto"/>
        </w:rPr>
      </w:pPr>
      <w:r>
        <w:rPr>
          <w:rFonts w:ascii="Arial" w:cs="Arial" w:eastAsia="Arial" w:hAnsi="Arial"/>
          <w:sz w:val="11"/>
          <w:szCs w:val="11"/>
          <w:color w:val="auto"/>
        </w:rPr>
        <w:t>Junji Okada; (4) Yutaka Yamaguchi; and (5) Takeshi Yamamoto (CEO). The address for FUJIFILM is 525 Science Drive, Madison, WI 53711.</w:t>
      </w:r>
    </w:p>
    <w:p>
      <w:pPr>
        <w:spacing w:after="0" w:line="48" w:lineRule="exact"/>
        <w:rPr>
          <w:sz w:val="20"/>
          <w:szCs w:val="20"/>
          <w:color w:val="auto"/>
        </w:rPr>
      </w:pPr>
    </w:p>
    <w:p>
      <w:pPr>
        <w:ind w:left="1220" w:right="1279" w:firstLine="4"/>
        <w:spacing w:after="0" w:line="246" w:lineRule="auto"/>
        <w:tabs>
          <w:tab w:leader="none" w:pos="1491" w:val="left"/>
        </w:tabs>
        <w:numPr>
          <w:ilvl w:val="0"/>
          <w:numId w:val="102"/>
        </w:numPr>
        <w:rPr>
          <w:rFonts w:ascii="Arial" w:cs="Arial" w:eastAsia="Arial" w:hAnsi="Arial"/>
          <w:sz w:val="11"/>
          <w:szCs w:val="11"/>
          <w:color w:val="auto"/>
        </w:rPr>
      </w:pPr>
      <w:r>
        <w:rPr>
          <w:rFonts w:ascii="Arial" w:cs="Arial" w:eastAsia="Arial" w:hAnsi="Arial"/>
          <w:sz w:val="11"/>
          <w:szCs w:val="11"/>
          <w:color w:val="auto"/>
        </w:rPr>
        <w:t>Consists of (i) 26,143,790 shares of common stock issuable upon the conversion of 26,143,790 shares of Series B preferred stock upon the closing of this offering held by Bayer, and (ii) 3,862,813 shares of common stock issuable upon the conversion of 3,862,813 shares of Series C preferred stock upon the closing of this offering held by Bayer World Investments B.V. Bayer and Bayer World Investments B.V. are subsidiaries of Bayer AG and voting and investment decisions with respect to these shares are made by Bayer AG’s Board of Management, which consists of Werner Baumann, Liam Condom, Serena Lin, Wolfgang Nickl, Stefan Oelrich, and Heiko Schipper. Each of Messrs. Baumann, Condon, Nickl, Oelrich, Schipper, and Ms. Lin disclaim beneficial ownership over the shares held by Bayer and Bayer World Investments B.V. The address for Bayer is Bayer AG, Kaiser-Wilhelm-Allee 3, 51373 Leverkusen, Germany.</w:t>
      </w:r>
    </w:p>
    <w:p>
      <w:pPr>
        <w:spacing w:after="0" w:line="63" w:lineRule="exact"/>
        <w:rPr>
          <w:rFonts w:ascii="Arial" w:cs="Arial" w:eastAsia="Arial" w:hAnsi="Arial"/>
          <w:sz w:val="11"/>
          <w:szCs w:val="11"/>
          <w:color w:val="auto"/>
        </w:rPr>
      </w:pPr>
    </w:p>
    <w:p>
      <w:pPr>
        <w:ind w:left="1220" w:right="1259" w:firstLine="4"/>
        <w:spacing w:after="0" w:line="246" w:lineRule="auto"/>
        <w:tabs>
          <w:tab w:leader="none" w:pos="1458" w:val="left"/>
        </w:tabs>
        <w:numPr>
          <w:ilvl w:val="0"/>
          <w:numId w:val="102"/>
        </w:numPr>
        <w:rPr>
          <w:rFonts w:ascii="Arial" w:cs="Arial" w:eastAsia="Arial" w:hAnsi="Arial"/>
          <w:sz w:val="11"/>
          <w:szCs w:val="11"/>
          <w:color w:val="auto"/>
        </w:rPr>
      </w:pPr>
      <w:r>
        <w:rPr>
          <w:rFonts w:ascii="Arial" w:cs="Arial" w:eastAsia="Arial" w:hAnsi="Arial"/>
          <w:sz w:val="11"/>
          <w:szCs w:val="11"/>
          <w:color w:val="auto"/>
        </w:rPr>
        <w:t>Consists of (i) 3,090,250 shares of common stock issuable upon the conversion of 3,090,250 shares of Series C preferred stock upon the closing of this offering held by Casdin Partners Master Fund, L.P., or Casdin PMF, and (ii) 3,090,250 shares of common stock issuable upon the conversion of 3,090,250 shares of Series C preferred stock upon the closing of this offering held by Casdin Private Growth Equity Fund, L.P., or Casdin PGEF. Casdin Capital, LLC is the investment adviser to each of Casdin PMF and Casdin PGEF. Casdin Partners GP, LLC, or Casdin GP, is the general partner of Casdin PMF and Casdin Private Growth Equity Fund GP, LLC, or Casdin PGEF GP, is the general partner of Casdin PGEF. Mr. Casdin is the managing member of Casdin Capital, LLC and Casdin Partners GP, LLC. As such, each of Casdin Capital, LLC, Casdin Partners GP, LLC, and Mr. Casdin may be deemed to beneficially own the securities held by Casdin PMF by virtue of their shared voting and investment control over Casdin PMF and each of Casdin Capital, LLC, Casdin PGEF GP, and Mr. Casdin may be deemed to beneficially own the securities held by Casdin PGEF by virtue of their shared voting and investment control over Casdin PGEF. Each of Casdin Capital, LLC, Casdin Partners GP, Casdin PGEF GP, and Mr. Casdin disclaims beneficial ownership of such</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87" w:name="page188"/>
    <w:bookmarkEnd w:id="18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20" w:right="1339"/>
        <w:spacing w:after="0" w:line="248" w:lineRule="auto"/>
        <w:rPr>
          <w:sz w:val="20"/>
          <w:szCs w:val="20"/>
          <w:color w:val="auto"/>
        </w:rPr>
      </w:pPr>
      <w:r>
        <w:rPr>
          <w:rFonts w:ascii="Arial" w:cs="Arial" w:eastAsia="Arial" w:hAnsi="Arial"/>
          <w:sz w:val="11"/>
          <w:szCs w:val="11"/>
          <w:color w:val="auto"/>
        </w:rPr>
        <w:t>securities except to the extent of their respective pecuniary interest therein. The address of each of Casdin PMF, Casdin PGEF, Casdin Capital, LLC, Casdin GP, Casdin PGEF GP, and Mr. Casdin is 1350 Avenue of the Americas, Suite 2600, New York, New York 10019.</w:t>
      </w:r>
    </w:p>
    <w:p>
      <w:pPr>
        <w:spacing w:after="0" w:line="50" w:lineRule="exact"/>
        <w:rPr>
          <w:sz w:val="20"/>
          <w:szCs w:val="20"/>
          <w:color w:val="auto"/>
        </w:rPr>
      </w:pPr>
    </w:p>
    <w:p>
      <w:pPr>
        <w:ind w:left="1220" w:right="1259" w:firstLine="4"/>
        <w:spacing w:after="0" w:line="247" w:lineRule="auto"/>
        <w:tabs>
          <w:tab w:leader="none" w:pos="1458" w:val="left"/>
        </w:tabs>
        <w:numPr>
          <w:ilvl w:val="0"/>
          <w:numId w:val="103"/>
        </w:numPr>
        <w:rPr>
          <w:rFonts w:ascii="Arial" w:cs="Arial" w:eastAsia="Arial" w:hAnsi="Arial"/>
          <w:sz w:val="11"/>
          <w:szCs w:val="11"/>
          <w:color w:val="auto"/>
        </w:rPr>
      </w:pPr>
      <w:r>
        <w:rPr>
          <w:rFonts w:ascii="Arial" w:cs="Arial" w:eastAsia="Arial" w:hAnsi="Arial"/>
          <w:sz w:val="11"/>
          <w:szCs w:val="11"/>
          <w:color w:val="auto"/>
        </w:rPr>
        <w:t>Consists of (i) 1,325,580 shares of common stock; and (ii) 537,500 shares of common stock issuable pursuant to options that are exercisable within 60 days of April 30, 2021 assuming the achievement of the milestones applicable to the Performance Option by virtue of this offering held by Dr. Flores, 1,000,000 shares of common stock held by Nancy Stone, Dr. Flores’ wife, and 1,000,000 shares of common stock held by the Flores Family Trust for Gabriel O Flores dated October 27, 2016, or the Flores Trust. Ms. Stone is trustee of the Flores Trust. Dr. Flores disclaims beneficial ownership of the shares held by each of Ms. Stone and the Flores Trust.</w:t>
      </w:r>
    </w:p>
    <w:p>
      <w:pPr>
        <w:spacing w:after="0" w:line="179" w:lineRule="exact"/>
        <w:rPr>
          <w:rFonts w:ascii="Arial" w:cs="Arial" w:eastAsia="Arial" w:hAnsi="Arial"/>
          <w:sz w:val="11"/>
          <w:szCs w:val="11"/>
          <w:color w:val="auto"/>
        </w:rPr>
      </w:pPr>
    </w:p>
    <w:p>
      <w:pPr>
        <w:ind w:left="1220" w:right="1519" w:firstLine="4"/>
        <w:spacing w:after="0" w:line="251" w:lineRule="auto"/>
        <w:tabs>
          <w:tab w:leader="none" w:pos="1458" w:val="left"/>
        </w:tabs>
        <w:numPr>
          <w:ilvl w:val="0"/>
          <w:numId w:val="103"/>
        </w:numPr>
        <w:rPr>
          <w:rFonts w:ascii="Arial" w:cs="Arial" w:eastAsia="Arial" w:hAnsi="Arial"/>
          <w:sz w:val="11"/>
          <w:szCs w:val="11"/>
          <w:color w:val="auto"/>
        </w:rPr>
      </w:pPr>
      <w:r>
        <w:rPr>
          <w:rFonts w:ascii="Arial" w:cs="Arial" w:eastAsia="Arial" w:hAnsi="Arial"/>
          <w:sz w:val="11"/>
          <w:szCs w:val="11"/>
          <w:color w:val="auto"/>
        </w:rPr>
        <w:t>Consists of (i) 200,000 shares of common stock; and (ii) 733,707 shares of common stock that are issuable as shares of restricted stock pursuant to options that are exercisable within 60 days of April 30, 2021.</w:t>
      </w:r>
    </w:p>
    <w:p>
      <w:pPr>
        <w:spacing w:after="0" w:line="59" w:lineRule="exact"/>
        <w:rPr>
          <w:rFonts w:ascii="Arial" w:cs="Arial" w:eastAsia="Arial" w:hAnsi="Arial"/>
          <w:sz w:val="11"/>
          <w:szCs w:val="11"/>
          <w:color w:val="auto"/>
        </w:rPr>
      </w:pPr>
    </w:p>
    <w:p>
      <w:pPr>
        <w:ind w:left="1220" w:right="1379" w:firstLine="4"/>
        <w:spacing w:after="0" w:line="248" w:lineRule="auto"/>
        <w:tabs>
          <w:tab w:leader="none" w:pos="1458" w:val="left"/>
        </w:tabs>
        <w:numPr>
          <w:ilvl w:val="0"/>
          <w:numId w:val="103"/>
        </w:numPr>
        <w:rPr>
          <w:rFonts w:ascii="Arial" w:cs="Arial" w:eastAsia="Arial" w:hAnsi="Arial"/>
          <w:sz w:val="11"/>
          <w:szCs w:val="11"/>
          <w:color w:val="auto"/>
        </w:rPr>
      </w:pPr>
      <w:r>
        <w:rPr>
          <w:rFonts w:ascii="Arial" w:cs="Arial" w:eastAsia="Arial" w:hAnsi="Arial"/>
          <w:sz w:val="11"/>
          <w:szCs w:val="11"/>
          <w:color w:val="auto"/>
        </w:rPr>
        <w:t>Consists of 1,350,000 shares of common stock held by the Irrevocable Spousal Trust for Rhonda L. Zuckerman dated December 22, 2020, or the Trust. Dr. Levitsky’s daughter, Abby Miller, serves as Trustee of the Trust and the shares are held by the Trust for the benefit of Dr. Levitsky’s family. Dr. Levitsky disclaims beneficial ownership over the shares held by the Trust.</w:t>
      </w:r>
    </w:p>
    <w:p>
      <w:pPr>
        <w:spacing w:after="0" w:line="142"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Description of capital stock</w:t>
      </w:r>
    </w:p>
    <w:p>
      <w:pPr>
        <w:spacing w:after="0" w:line="162" w:lineRule="exact"/>
        <w:rPr>
          <w:sz w:val="20"/>
          <w:szCs w:val="20"/>
          <w:color w:val="auto"/>
        </w:rPr>
      </w:pPr>
    </w:p>
    <w:p>
      <w:pPr>
        <w:ind w:left="1220" w:right="1299"/>
        <w:spacing w:after="0" w:line="232" w:lineRule="auto"/>
        <w:rPr>
          <w:sz w:val="20"/>
          <w:szCs w:val="20"/>
          <w:color w:val="auto"/>
        </w:rPr>
      </w:pPr>
      <w:r>
        <w:rPr>
          <w:rFonts w:ascii="Arial" w:cs="Arial" w:eastAsia="Arial" w:hAnsi="Arial"/>
          <w:sz w:val="14"/>
          <w:szCs w:val="14"/>
          <w:i w:val="1"/>
          <w:iCs w:val="1"/>
          <w:color w:val="auto"/>
        </w:rPr>
        <w:t>The following descriptions are summaries of the material terms of our second amended and restated certificate of incorporation, amended and restated bylaws, the investor rights agreement to which we and certain of our stockholders are parties and of the DGCL. Because the following is only a summary, it does not contain all of the information that may be important to you. For a complete description, you should refer to our form of second amended and restated certificate of incorporation, form of amended and restated bylaws, and investors’ rights agreement, copies of which have been filed as exhibits to the registration statement of which this prospectus is part.</w:t>
      </w:r>
    </w:p>
    <w:p>
      <w:pPr>
        <w:spacing w:after="0" w:line="13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General</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Upon the closing of this offering and the filing of our second amended and restated certificate of</w:t>
      </w:r>
    </w:p>
    <w:p>
      <w:pPr>
        <w:sectPr>
          <w:pgSz w:w="11900" w:h="16838" w:orient="portrait"/>
          <w:cols w:equalWidth="0" w:num="1">
            <w:col w:w="9019"/>
          </w:cols>
          <w:pgMar w:left="1440" w:top="133" w:right="1440" w:bottom="1440" w:gutter="0" w:footer="0" w:header="0"/>
        </w:sectPr>
      </w:pP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incorporation, our authorized capital stock will consist of</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shares of common stock,</w:t>
      </w:r>
    </w:p>
    <w:p>
      <w:pPr>
        <w:spacing w:after="0" w:line="22" w:lineRule="exact"/>
        <w:rPr>
          <w:sz w:val="20"/>
          <w:szCs w:val="20"/>
          <w:color w:val="auto"/>
        </w:rPr>
      </w:pPr>
    </w:p>
    <w:p>
      <w:pPr>
        <w:sectPr>
          <w:pgSz w:w="11900" w:h="16838" w:orient="portrait"/>
          <w:cols w:equalWidth="0" w:num="2">
            <w:col w:w="5140" w:space="720"/>
            <w:col w:w="3159"/>
          </w:cols>
          <w:pgMar w:left="1440" w:top="133" w:right="1440" w:bottom="1440" w:gutter="0" w:footer="0" w:header="0"/>
          <w:type w:val="continuous"/>
        </w:sectPr>
      </w:pPr>
    </w:p>
    <w:p>
      <w:pPr>
        <w:ind w:left="1220"/>
        <w:spacing w:after="0"/>
        <w:rPr>
          <w:sz w:val="20"/>
          <w:szCs w:val="20"/>
          <w:color w:val="auto"/>
        </w:rPr>
      </w:pPr>
      <w:r>
        <w:rPr>
          <w:rFonts w:ascii="Arial" w:cs="Arial" w:eastAsia="Arial" w:hAnsi="Arial"/>
          <w:sz w:val="14"/>
          <w:szCs w:val="14"/>
          <w:color w:val="auto"/>
        </w:rPr>
        <w:t>par value $0.0001 per share,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shares of preferred stock, par value $0.0001 per</w:t>
      </w:r>
    </w:p>
    <w:p>
      <w:pPr>
        <w:spacing w:after="0" w:line="22" w:lineRule="exact"/>
        <w:rPr>
          <w:sz w:val="20"/>
          <w:szCs w:val="20"/>
          <w:color w:val="auto"/>
        </w:rPr>
      </w:pPr>
    </w:p>
    <w:p>
      <w:pPr>
        <w:sectPr>
          <w:pgSz w:w="11900" w:h="16838" w:orient="portrait"/>
          <w:cols w:equalWidth="0" w:num="2">
            <w:col w:w="3620" w:space="720"/>
            <w:col w:w="4679"/>
          </w:cols>
          <w:pgMar w:left="1440" w:top="133" w:right="1440" w:bottom="1440" w:gutter="0" w:footer="0" w:header="0"/>
          <w:type w:val="continuous"/>
        </w:sectPr>
      </w:pPr>
    </w:p>
    <w:p>
      <w:pPr>
        <w:ind w:left="1220" w:right="1299"/>
        <w:spacing w:after="0" w:line="290" w:lineRule="auto"/>
        <w:rPr>
          <w:sz w:val="20"/>
          <w:szCs w:val="20"/>
          <w:color w:val="auto"/>
        </w:rPr>
      </w:pPr>
      <w:r>
        <w:rPr>
          <w:rFonts w:ascii="Arial" w:cs="Arial" w:eastAsia="Arial" w:hAnsi="Arial"/>
          <w:sz w:val="14"/>
          <w:szCs w:val="14"/>
          <w:color w:val="auto"/>
        </w:rPr>
        <w:t>share. All of our outstanding shares of common stock are, and the shares of common stock to be issued in this offering will be, fully paid and nonassessable.</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Common stock</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Outstanding shares</w:t>
      </w:r>
    </w:p>
    <w:p>
      <w:pPr>
        <w:spacing w:after="0" w:line="146"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As of April 30, 2021, there would have been 110,367,274 shares of common stock outstanding, held by stockholders of record, after giving effect to the automatic conversion of all our preferred stock outstanding into an aggregate of 85,865,789 shares of our common stock immediately upon the closing of this offering.</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Voting rights</w:t>
      </w:r>
    </w:p>
    <w:p>
      <w:pPr>
        <w:spacing w:after="0" w:line="146" w:lineRule="exact"/>
        <w:rPr>
          <w:sz w:val="20"/>
          <w:szCs w:val="20"/>
          <w:color w:val="auto"/>
        </w:rPr>
      </w:pPr>
    </w:p>
    <w:p>
      <w:pPr>
        <w:ind w:left="1220" w:right="1399"/>
        <w:spacing w:after="0" w:line="264" w:lineRule="auto"/>
        <w:rPr>
          <w:sz w:val="20"/>
          <w:szCs w:val="20"/>
          <w:color w:val="auto"/>
        </w:rPr>
      </w:pPr>
      <w:r>
        <w:rPr>
          <w:rFonts w:ascii="Arial" w:cs="Arial" w:eastAsia="Arial" w:hAnsi="Arial"/>
          <w:sz w:val="14"/>
          <w:szCs w:val="14"/>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w:t>
      </w:r>
      <w:r>
        <w:rPr>
          <w:rFonts w:ascii="Arial" w:cs="Arial" w:eastAsia="Arial" w:hAnsi="Arial"/>
          <w:sz w:val="20"/>
          <w:szCs w:val="20"/>
          <w:color w:val="auto"/>
          <w:vertAlign w:val="superscript"/>
        </w:rPr>
        <w:t>2</w:t>
      </w:r>
      <w:r>
        <w:rPr>
          <w:rFonts w:ascii="Arial" w:cs="Arial" w:eastAsia="Arial" w:hAnsi="Arial"/>
          <w:sz w:val="14"/>
          <w:szCs w:val="14"/>
          <w:color w:val="auto"/>
        </w:rPr>
        <w:t>⁄</w:t>
      </w:r>
      <w:r>
        <w:rPr>
          <w:rFonts w:ascii="Arial" w:cs="Arial" w:eastAsia="Arial" w:hAnsi="Arial"/>
          <w:sz w:val="10"/>
          <w:szCs w:val="10"/>
          <w:color w:val="auto"/>
        </w:rPr>
        <w:t>3</w:t>
      </w:r>
      <w:r>
        <w:rPr>
          <w:rFonts w:ascii="Arial" w:cs="Arial" w:eastAsia="Arial" w:hAnsi="Arial"/>
          <w:sz w:val="14"/>
          <w:szCs w:val="14"/>
          <w:color w:val="auto"/>
        </w:rPr>
        <w:t>% of the voting power of all of the then outstanding voting stock will be required to take certain actions, including amending certain provisions of our second amended and restated certificate of incorporation, such as the provisions relating to amending our amended and restated bylaws, procedures for our stockholder meetings, the classified board, director liability, and exclusive forum for proceedings.</w:t>
      </w:r>
    </w:p>
    <w:p>
      <w:pPr>
        <w:spacing w:after="0" w:line="31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Dividends</w:t>
      </w:r>
    </w:p>
    <w:p>
      <w:pPr>
        <w:spacing w:after="0" w:line="136" w:lineRule="exact"/>
        <w:rPr>
          <w:sz w:val="20"/>
          <w:szCs w:val="20"/>
          <w:color w:val="auto"/>
        </w:rPr>
      </w:pPr>
    </w:p>
    <w:p>
      <w:pPr>
        <w:jc w:val="both"/>
        <w:ind w:left="1220" w:right="1279"/>
        <w:spacing w:after="0" w:line="281" w:lineRule="auto"/>
        <w:rPr>
          <w:sz w:val="20"/>
          <w:szCs w:val="20"/>
          <w:color w:val="auto"/>
        </w:rPr>
      </w:pPr>
      <w:r>
        <w:rPr>
          <w:rFonts w:ascii="Arial" w:cs="Arial" w:eastAsia="Arial" w:hAnsi="Arial"/>
          <w:sz w:val="14"/>
          <w:szCs w:val="14"/>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Liquidation</w:t>
      </w:r>
    </w:p>
    <w:p>
      <w:pPr>
        <w:spacing w:after="0" w:line="146" w:lineRule="exact"/>
        <w:rPr>
          <w:sz w:val="20"/>
          <w:szCs w:val="20"/>
          <w:color w:val="auto"/>
        </w:rPr>
      </w:pPr>
    </w:p>
    <w:p>
      <w:pPr>
        <w:ind w:left="1220" w:right="1279"/>
        <w:spacing w:after="0" w:line="281" w:lineRule="auto"/>
        <w:rPr>
          <w:sz w:val="20"/>
          <w:szCs w:val="20"/>
          <w:color w:val="auto"/>
        </w:rPr>
      </w:pPr>
      <w:r>
        <w:rPr>
          <w:rFonts w:ascii="Arial" w:cs="Arial" w:eastAsia="Arial" w:hAnsi="Arial"/>
          <w:sz w:val="14"/>
          <w:szCs w:val="14"/>
          <w:color w:val="auto"/>
        </w:rPr>
        <w:t>In the event of our liquidation, dissolution or winding up, holders of our common stock will be entitled to share ratably in the net assets legally available for distribution to stockholders after the payment of all of our debts and</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type w:val="continuous"/>
        </w:sectPr>
      </w:pPr>
    </w:p>
    <w:bookmarkStart w:id="188" w:name="page189"/>
    <w:bookmarkEnd w:id="18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539"/>
        <w:spacing w:after="0" w:line="290" w:lineRule="auto"/>
        <w:rPr>
          <w:sz w:val="20"/>
          <w:szCs w:val="20"/>
          <w:color w:val="auto"/>
        </w:rPr>
      </w:pPr>
      <w:r>
        <w:rPr>
          <w:rFonts w:ascii="Arial" w:cs="Arial" w:eastAsia="Arial" w:hAnsi="Arial"/>
          <w:sz w:val="14"/>
          <w:szCs w:val="14"/>
          <w:color w:val="auto"/>
        </w:rPr>
        <w:t>other liabilities and the satisfaction of any liquidation preference granted to the holders of any then outstanding shares of preferred stock.</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Rights and preferences</w:t>
      </w:r>
    </w:p>
    <w:p>
      <w:pPr>
        <w:spacing w:after="0" w:line="136" w:lineRule="exact"/>
        <w:rPr>
          <w:sz w:val="20"/>
          <w:szCs w:val="20"/>
          <w:color w:val="auto"/>
        </w:rPr>
      </w:pPr>
    </w:p>
    <w:p>
      <w:pPr>
        <w:ind w:left="1220" w:right="1379"/>
        <w:spacing w:after="0" w:line="280" w:lineRule="auto"/>
        <w:rPr>
          <w:sz w:val="20"/>
          <w:szCs w:val="20"/>
          <w:color w:val="auto"/>
        </w:rPr>
      </w:pPr>
      <w:r>
        <w:rPr>
          <w:rFonts w:ascii="Arial" w:cs="Arial" w:eastAsia="Arial" w:hAnsi="Arial"/>
          <w:sz w:val="14"/>
          <w:szCs w:val="14"/>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30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Preferred stock</w:t>
      </w:r>
    </w:p>
    <w:p>
      <w:pPr>
        <w:spacing w:after="0" w:line="144"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Upon the closing of this offering, all outstanding shares of our preferred stock will be automatically converted into an aggregate of 85,865,789 shares of common stock. Under the terms of our second amended and restated certificate of incorporation that will become effective immediately prior to the closing of this offering,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290"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Warrants</w:t>
      </w:r>
    </w:p>
    <w:p>
      <w:pPr>
        <w:spacing w:after="0" w:line="133" w:lineRule="exact"/>
        <w:rPr>
          <w:sz w:val="20"/>
          <w:szCs w:val="20"/>
          <w:color w:val="auto"/>
        </w:rPr>
      </w:pPr>
    </w:p>
    <w:p>
      <w:pPr>
        <w:ind w:left="1220" w:right="1279"/>
        <w:spacing w:after="0" w:line="277" w:lineRule="auto"/>
        <w:rPr>
          <w:sz w:val="20"/>
          <w:szCs w:val="20"/>
          <w:color w:val="auto"/>
        </w:rPr>
      </w:pPr>
      <w:r>
        <w:rPr>
          <w:rFonts w:ascii="Arial" w:cs="Arial" w:eastAsia="Arial" w:hAnsi="Arial"/>
          <w:sz w:val="14"/>
          <w:szCs w:val="14"/>
          <w:color w:val="auto"/>
        </w:rPr>
        <w:t>Pursuant to our warrant agreement between us and Hercules Technology Management Co II, Inc., or Hercules, as of April 30, 2021, Hercules held warrants to purchase an aggregate of 40,450 shares of our common stock at an exercise price of $5.55 per share, subject to customary adjustments provided in the warrant agreement. These warrants may be exercised at any time and from time to time, in whole or in part, prior to September 14, 2030.</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Stock options and grant plan shares</w:t>
      </w:r>
    </w:p>
    <w:p>
      <w:pPr>
        <w:spacing w:after="0" w:line="144" w:lineRule="exact"/>
        <w:rPr>
          <w:sz w:val="20"/>
          <w:szCs w:val="20"/>
          <w:color w:val="auto"/>
        </w:rPr>
      </w:pPr>
    </w:p>
    <w:p>
      <w:pPr>
        <w:ind w:left="1220" w:right="1319"/>
        <w:spacing w:after="0" w:line="278" w:lineRule="auto"/>
        <w:rPr>
          <w:sz w:val="20"/>
          <w:szCs w:val="20"/>
          <w:color w:val="auto"/>
        </w:rPr>
      </w:pPr>
      <w:r>
        <w:rPr>
          <w:rFonts w:ascii="Arial" w:cs="Arial" w:eastAsia="Arial" w:hAnsi="Arial"/>
          <w:sz w:val="14"/>
          <w:szCs w:val="14"/>
          <w:color w:val="auto"/>
        </w:rPr>
        <w:t>As of April 30, 2021, 9,285,662 shares of common stock were issuable upon the exercise of outstanding stock options, at a weighted average exercise price of $.89 per share. For additional information regarding terms of our equity incentive plans, see the section titled “Executive compensation—Equity incentive plans.”</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Registration rights</w:t>
      </w:r>
    </w:p>
    <w:p>
      <w:pPr>
        <w:spacing w:after="0" w:line="144" w:lineRule="exact"/>
        <w:rPr>
          <w:sz w:val="20"/>
          <w:szCs w:val="20"/>
          <w:color w:val="auto"/>
        </w:rPr>
      </w:pPr>
    </w:p>
    <w:p>
      <w:pPr>
        <w:ind w:left="1220" w:right="1239"/>
        <w:spacing w:after="0" w:line="273" w:lineRule="auto"/>
        <w:rPr>
          <w:sz w:val="20"/>
          <w:szCs w:val="20"/>
          <w:color w:val="auto"/>
        </w:rPr>
      </w:pPr>
      <w:r>
        <w:rPr>
          <w:rFonts w:ascii="Arial" w:cs="Arial" w:eastAsia="Arial" w:hAnsi="Arial"/>
          <w:sz w:val="14"/>
          <w:szCs w:val="14"/>
          <w:color w:val="auto"/>
        </w:rPr>
        <w:t>The investors’ rights agreement grants certain of the holders of our capital stock party thereto certain registration rights in respect of the “registrable securities” held by them, which securities include (1) the shares of our common stock issued upon the conversion of shares of our preferred stock, (2) the shares of common stock issued upon the conversion of any other security,</w:t>
      </w:r>
    </w:p>
    <w:p>
      <w:pPr>
        <w:spacing w:after="0" w:line="1" w:lineRule="exact"/>
        <w:rPr>
          <w:sz w:val="20"/>
          <w:szCs w:val="20"/>
          <w:color w:val="auto"/>
        </w:rPr>
      </w:pPr>
    </w:p>
    <w:p>
      <w:pPr>
        <w:jc w:val="both"/>
        <w:ind w:left="1220" w:right="1339" w:firstLine="4"/>
        <w:spacing w:after="0" w:line="273" w:lineRule="auto"/>
        <w:tabs>
          <w:tab w:leader="none" w:pos="145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shares of common stock held by certain of the holders of our capital stock party thereto as of the date of the investors’ rights agreement, and (4) any shares of our common stock issued as a dividend or other distribution with respect to the shares described in the foregoing clause (1),</w:t>
      </w:r>
    </w:p>
    <w:p>
      <w:pPr>
        <w:ind w:left="1220" w:right="1419" w:firstLine="4"/>
        <w:spacing w:after="0" w:line="281" w:lineRule="auto"/>
        <w:tabs>
          <w:tab w:leader="none" w:pos="1407" w:val="left"/>
        </w:tabs>
        <w:numPr>
          <w:ilvl w:val="0"/>
          <w:numId w:val="105"/>
        </w:numPr>
        <w:rPr>
          <w:rFonts w:ascii="Arial" w:cs="Arial" w:eastAsia="Arial" w:hAnsi="Arial"/>
          <w:sz w:val="14"/>
          <w:szCs w:val="14"/>
          <w:color w:val="auto"/>
        </w:rPr>
      </w:pPr>
      <w:r>
        <w:rPr>
          <w:rFonts w:ascii="Arial" w:cs="Arial" w:eastAsia="Arial" w:hAnsi="Arial"/>
          <w:sz w:val="14"/>
          <w:szCs w:val="14"/>
          <w:color w:val="auto"/>
        </w:rPr>
        <w:t>, and (3). The registration of shares of our common stock pursuant to the exercise of these registration rights would enable the holders thereof to sell such shares without restriction under the Securities Act when the applicable registration statement is declared effective.</w:t>
      </w:r>
    </w:p>
    <w:p>
      <w:pPr>
        <w:spacing w:after="0" w:line="93" w:lineRule="exact"/>
        <w:rPr>
          <w:sz w:val="20"/>
          <w:szCs w:val="20"/>
          <w:color w:val="auto"/>
        </w:rPr>
      </w:pPr>
    </w:p>
    <w:p>
      <w:pPr>
        <w:jc w:val="both"/>
        <w:ind w:left="1220" w:right="1899"/>
        <w:spacing w:after="0" w:line="281" w:lineRule="auto"/>
        <w:rPr>
          <w:sz w:val="20"/>
          <w:szCs w:val="20"/>
          <w:color w:val="auto"/>
        </w:rPr>
      </w:pPr>
      <w:r>
        <w:rPr>
          <w:rFonts w:ascii="Arial" w:cs="Arial" w:eastAsia="Arial" w:hAnsi="Arial"/>
          <w:sz w:val="14"/>
          <w:szCs w:val="14"/>
          <w:color w:val="auto"/>
        </w:rPr>
        <w:t>Holders of shares of our common stock (including shares issuable upon the conversion of our preferred stock) are entitled to such registration rights pursuant to the investors’ rights agreement.</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89" w:name="page190"/>
    <w:bookmarkEnd w:id="18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Expenses of registration</w:t>
      </w:r>
    </w:p>
    <w:p>
      <w:pPr>
        <w:spacing w:after="0" w:line="136" w:lineRule="exact"/>
        <w:rPr>
          <w:sz w:val="20"/>
          <w:szCs w:val="20"/>
          <w:color w:val="auto"/>
        </w:rPr>
      </w:pPr>
    </w:p>
    <w:p>
      <w:pPr>
        <w:ind w:left="1220" w:right="1299"/>
        <w:spacing w:after="0" w:line="281" w:lineRule="auto"/>
        <w:rPr>
          <w:sz w:val="20"/>
          <w:szCs w:val="20"/>
          <w:color w:val="auto"/>
        </w:rPr>
      </w:pPr>
      <w:r>
        <w:rPr>
          <w:rFonts w:ascii="Arial" w:cs="Arial" w:eastAsia="Arial" w:hAnsi="Arial"/>
          <w:sz w:val="14"/>
          <w:szCs w:val="14"/>
          <w:color w:val="auto"/>
        </w:rPr>
        <w:t>Subject to specified conditions and limitations, we are required to pay all expenses, other than underwriting discounts and commissions and stock transfer taxes incurred in connection with any exercise of these registration rights.</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Expiration of registration rights</w:t>
      </w:r>
    </w:p>
    <w:p>
      <w:pPr>
        <w:spacing w:after="0" w:line="146" w:lineRule="exact"/>
        <w:rPr>
          <w:sz w:val="20"/>
          <w:szCs w:val="20"/>
          <w:color w:val="auto"/>
        </w:rPr>
      </w:pPr>
    </w:p>
    <w:p>
      <w:pPr>
        <w:ind w:left="1220" w:right="1359"/>
        <w:spacing w:after="0" w:line="283" w:lineRule="auto"/>
        <w:rPr>
          <w:sz w:val="20"/>
          <w:szCs w:val="20"/>
          <w:color w:val="auto"/>
        </w:rPr>
      </w:pPr>
      <w:r>
        <w:rPr>
          <w:rFonts w:ascii="Arial" w:cs="Arial" w:eastAsia="Arial" w:hAnsi="Arial"/>
          <w:sz w:val="14"/>
          <w:szCs w:val="14"/>
          <w:color w:val="auto"/>
        </w:rPr>
        <w:t>These registration rights will expire on the earlier to occur of (1) such time after the consummation of this offering in which all of such holders registrable shares can be sold without limitation during a three-month period without registration, and (2) the third anniversary of the closing of this offering.</w:t>
      </w:r>
    </w:p>
    <w:p>
      <w:pPr>
        <w:spacing w:after="0" w:line="29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Demand registration rights</w:t>
      </w:r>
    </w:p>
    <w:p>
      <w:pPr>
        <w:spacing w:after="0" w:line="146" w:lineRule="exact"/>
        <w:rPr>
          <w:sz w:val="20"/>
          <w:szCs w:val="20"/>
          <w:color w:val="auto"/>
        </w:rPr>
      </w:pPr>
    </w:p>
    <w:p>
      <w:pPr>
        <w:ind w:left="1220" w:right="1319"/>
        <w:spacing w:after="0" w:line="275" w:lineRule="auto"/>
        <w:rPr>
          <w:sz w:val="20"/>
          <w:szCs w:val="20"/>
          <w:color w:val="auto"/>
        </w:rPr>
      </w:pPr>
      <w:r>
        <w:rPr>
          <w:rFonts w:ascii="Arial" w:cs="Arial" w:eastAsia="Arial" w:hAnsi="Arial"/>
          <w:sz w:val="14"/>
          <w:szCs w:val="14"/>
          <w:color w:val="auto"/>
        </w:rPr>
        <w:t>At any time beginning six months after the closing of this offering, the holders of a majority of the common stock issued or issuable upon conversion of our preferred stock then outstanding may, on not more than two occasions, request that we prepare, file, and maintain a registration statement on Form S-1 to register the sale of their registrable securities, provided such registrable securities represent at least 40% of all registrable securities then outstanding. Once we are eligible to use a registration statement on Form S-3, the stockholders party to the investors’ rights agreement representing at least 30% of the registrable securities then outstanding may, not more than twice in any twelve-month period, request that we prepare, file, and maintain a registration statement on Form S-3 covering the sale of their registrable securities, but only if the anticipated offering price, net of underwriting discounts and commissions, would exceed $5.0 million.</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Piggyback registration rights</w:t>
      </w:r>
    </w:p>
    <w:p>
      <w:pPr>
        <w:spacing w:after="0" w:line="136"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In the event that we propose to register any of our securities under the Securities Act, either for our own account or for the account of other security holders, the stockholders party to the investors’ rights agreement will be entitled to certain “piggyback” registration rights allowing them to include their registrable securities in such registration, subject to certain marketing and other limitations. As a result, whenever we propose to file a registration statement under the Securities Act other than with respect to a demand registration or a registration statement on Form S-8, these holders will be entitled to notice of the registration and will have the right to include their registrable securities in the registration subject to certain limitations.</w:t>
      </w:r>
    </w:p>
    <w:p>
      <w:pPr>
        <w:spacing w:after="0" w:line="12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Indemnification</w:t>
      </w:r>
    </w:p>
    <w:p>
      <w:pPr>
        <w:spacing w:after="0" w:line="146" w:lineRule="exact"/>
        <w:rPr>
          <w:sz w:val="20"/>
          <w:szCs w:val="20"/>
          <w:color w:val="auto"/>
        </w:rPr>
      </w:pPr>
    </w:p>
    <w:p>
      <w:pPr>
        <w:ind w:left="1220" w:right="1239"/>
        <w:spacing w:after="0" w:line="278" w:lineRule="auto"/>
        <w:rPr>
          <w:sz w:val="20"/>
          <w:szCs w:val="20"/>
          <w:color w:val="auto"/>
        </w:rPr>
      </w:pPr>
      <w:r>
        <w:rPr>
          <w:rFonts w:ascii="Arial" w:cs="Arial" w:eastAsia="Arial" w:hAnsi="Arial"/>
          <w:sz w:val="14"/>
          <w:szCs w:val="14"/>
          <w:color w:val="auto"/>
        </w:rPr>
        <w:t>The investors’ rights agreement contains customary cross-indemnification provisions, pursuant to which we are obligated to indemnify the selling holders of registrable securities in the event of either material misstatements or omissions in the applicable registration statement attributable to us or our violation of the Securities Act, and the selling stockholders are obligated to indemnify us for material misstatements or omission in the registration statement attributable to them, subject to certain limitations.</w:t>
      </w:r>
    </w:p>
    <w:p>
      <w:pPr>
        <w:spacing w:after="0" w:line="30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Anti-Takeover Provisions of Delaware law and our charter documents</w:t>
      </w:r>
    </w:p>
    <w:p>
      <w:pPr>
        <w:spacing w:after="0" w:line="144"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Some provisions of Delaware law and our second amended and restated certificate of incorporation and our amended and restated bylaws that will become effective immediately prior to the closing of this offering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00"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90" w:name="page191"/>
    <w:bookmarkEnd w:id="19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99"/>
        <w:spacing w:after="0" w:line="265" w:lineRule="auto"/>
        <w:rPr>
          <w:sz w:val="20"/>
          <w:szCs w:val="20"/>
          <w:color w:val="auto"/>
        </w:rPr>
      </w:pPr>
      <w:r>
        <w:rPr>
          <w:rFonts w:ascii="Arial" w:cs="Arial" w:eastAsia="Arial" w:hAnsi="Arial"/>
          <w:sz w:val="14"/>
          <w:szCs w:val="14"/>
          <w:color w:val="auto"/>
        </w:rPr>
        <w:t>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Section 203 of the Delaware General Corporation Law</w:t>
      </w:r>
    </w:p>
    <w:p>
      <w:pPr>
        <w:spacing w:after="0" w:line="136" w:lineRule="exact"/>
        <w:rPr>
          <w:sz w:val="20"/>
          <w:szCs w:val="20"/>
          <w:color w:val="auto"/>
        </w:rPr>
      </w:pPr>
    </w:p>
    <w:p>
      <w:pPr>
        <w:ind w:left="1220" w:right="1339"/>
        <w:spacing w:after="0" w:line="274" w:lineRule="auto"/>
        <w:rPr>
          <w:sz w:val="20"/>
          <w:szCs w:val="20"/>
          <w:color w:val="auto"/>
        </w:rPr>
      </w:pPr>
      <w:r>
        <w:rPr>
          <w:rFonts w:ascii="Arial" w:cs="Arial" w:eastAsia="Arial" w:hAnsi="Arial"/>
          <w:sz w:val="14"/>
          <w:szCs w:val="14"/>
          <w:color w:val="auto"/>
        </w:rPr>
        <w:t>We are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31"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Elimination of stockholder action by written consent</w:t>
      </w:r>
    </w:p>
    <w:p>
      <w:pPr>
        <w:spacing w:after="0" w:line="146"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color w:val="auto"/>
        </w:rPr>
        <w:t>Our second amended and restated certificate of incorporation, which will be in effect immediately prior to the closing of this offering, will provide that all stockholder actions must be effected at a duly called meeting of stockholders and not by consent in writing. A special meeting of stockholders may be called only by a majority of our board of directors, the chair of our board of directors, or our chief executive officer.</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Undesignated preferred stock</w:t>
      </w:r>
    </w:p>
    <w:p>
      <w:pPr>
        <w:spacing w:after="0" w:line="146" w:lineRule="exact"/>
        <w:rPr>
          <w:sz w:val="20"/>
          <w:szCs w:val="20"/>
          <w:color w:val="auto"/>
        </w:rPr>
      </w:pPr>
    </w:p>
    <w:p>
      <w:pPr>
        <w:ind w:left="1220" w:right="1339"/>
        <w:spacing w:after="0" w:line="278" w:lineRule="auto"/>
        <w:rPr>
          <w:sz w:val="20"/>
          <w:szCs w:val="20"/>
          <w:color w:val="auto"/>
        </w:rPr>
      </w:pPr>
      <w:r>
        <w:rPr>
          <w:rFonts w:ascii="Arial" w:cs="Arial" w:eastAsia="Arial" w:hAnsi="Arial"/>
          <w:sz w:val="14"/>
          <w:szCs w:val="14"/>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Amendment of charter provisions</w:t>
      </w:r>
    </w:p>
    <w:p>
      <w:pPr>
        <w:spacing w:after="0" w:line="136" w:lineRule="exact"/>
        <w:rPr>
          <w:sz w:val="20"/>
          <w:szCs w:val="20"/>
          <w:color w:val="auto"/>
        </w:rPr>
      </w:pPr>
    </w:p>
    <w:p>
      <w:pPr>
        <w:ind w:left="1220" w:right="1299"/>
        <w:spacing w:after="0" w:line="284" w:lineRule="auto"/>
        <w:rPr>
          <w:sz w:val="20"/>
          <w:szCs w:val="20"/>
          <w:color w:val="auto"/>
        </w:rPr>
      </w:pPr>
      <w:r>
        <w:rPr>
          <w:rFonts w:ascii="Arial" w:cs="Arial" w:eastAsia="Arial" w:hAnsi="Arial"/>
          <w:sz w:val="14"/>
          <w:szCs w:val="14"/>
          <w:color w:val="auto"/>
        </w:rPr>
        <w:t>Our second amended and restated certificate of incorporation will further provide that the affirmative vote of holders of at least 66</w:t>
      </w:r>
      <w:r>
        <w:rPr>
          <w:rFonts w:ascii="Arial" w:cs="Arial" w:eastAsia="Arial" w:hAnsi="Arial"/>
          <w:sz w:val="10"/>
          <w:szCs w:val="10"/>
          <w:color w:val="auto"/>
        </w:rPr>
        <w:t>2</w:t>
      </w:r>
      <w:r>
        <w:rPr>
          <w:rFonts w:ascii="Arial" w:cs="Arial" w:eastAsia="Arial" w:hAnsi="Arial"/>
          <w:sz w:val="14"/>
          <w:szCs w:val="14"/>
          <w:color w:val="auto"/>
        </w:rPr>
        <w:t>⁄</w:t>
      </w:r>
      <w:r>
        <w:rPr>
          <w:rFonts w:ascii="Arial" w:cs="Arial" w:eastAsia="Arial" w:hAnsi="Arial"/>
          <w:sz w:val="10"/>
          <w:szCs w:val="10"/>
          <w:color w:val="auto"/>
        </w:rPr>
        <w:t>3</w:t>
      </w:r>
      <w:r>
        <w:rPr>
          <w:rFonts w:ascii="Arial" w:cs="Arial" w:eastAsia="Arial" w:hAnsi="Arial"/>
          <w:sz w:val="14"/>
          <w:szCs w:val="14"/>
          <w:color w:val="auto"/>
        </w:rPr>
        <w:t>% of the voting power of all of the then outstanding shares of voting stock, voting as a single class, will be required to amend certain provisions of our second amended and restated certificate of incorporation, including provisions relating to the size of the board, removal of directors, special meetings, actions by written consent, and cumulative voting. The affirmative vote of holders of at least 66</w:t>
      </w:r>
      <w:r>
        <w:rPr>
          <w:rFonts w:ascii="Arial" w:cs="Arial" w:eastAsia="Arial" w:hAnsi="Arial"/>
          <w:sz w:val="10"/>
          <w:szCs w:val="10"/>
          <w:color w:val="auto"/>
        </w:rPr>
        <w:t>2</w:t>
      </w:r>
      <w:r>
        <w:rPr>
          <w:rFonts w:ascii="Arial" w:cs="Arial" w:eastAsia="Arial" w:hAnsi="Arial"/>
          <w:sz w:val="14"/>
          <w:szCs w:val="14"/>
          <w:color w:val="auto"/>
        </w:rPr>
        <w:t>⁄</w:t>
      </w:r>
      <w:r>
        <w:rPr>
          <w:rFonts w:ascii="Arial" w:cs="Arial" w:eastAsia="Arial" w:hAnsi="Arial"/>
          <w:sz w:val="10"/>
          <w:szCs w:val="10"/>
          <w:color w:val="auto"/>
        </w:rPr>
        <w:t>3</w:t>
      </w:r>
      <w:r>
        <w:rPr>
          <w:rFonts w:ascii="Arial" w:cs="Arial" w:eastAsia="Arial" w:hAnsi="Arial"/>
          <w:sz w:val="14"/>
          <w:szCs w:val="14"/>
          <w:color w:val="auto"/>
        </w:rPr>
        <w:t>% of the voting power of all of the then outstanding shares of voting stock, voting as a single class, will be required to amend or repeal our amended and restated bylaws, although our amended and restated bylaws may be amended by a simple majority vote of our board of directors.</w:t>
      </w:r>
    </w:p>
    <w:p>
      <w:pPr>
        <w:spacing w:after="0" w:line="30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Classified board; election and removal of directors</w:t>
      </w:r>
    </w:p>
    <w:p>
      <w:pPr>
        <w:spacing w:after="0" w:line="146"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color w:val="auto"/>
        </w:rPr>
        <w:t>Our second amended and restated certificate of incorporation will further provide that our board of directors is divided into three classes, Class I, Class II, and Class III, with each class serving staggered terms, and will give our board of directors the exclusive right to expand the size of our board of directors and to elect directors to fill a vacancy created by the expansion of the board of directors or the resignation, death, or removal of a director.</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Choice of forum</w:t>
      </w:r>
    </w:p>
    <w:p>
      <w:pPr>
        <w:spacing w:after="0" w:line="146" w:lineRule="exact"/>
        <w:rPr>
          <w:sz w:val="20"/>
          <w:szCs w:val="20"/>
          <w:color w:val="auto"/>
        </w:rPr>
      </w:pPr>
    </w:p>
    <w:p>
      <w:pPr>
        <w:ind w:left="1220" w:right="1239"/>
        <w:spacing w:after="0" w:line="277" w:lineRule="auto"/>
        <w:rPr>
          <w:sz w:val="20"/>
          <w:szCs w:val="20"/>
          <w:color w:val="auto"/>
        </w:rPr>
      </w:pPr>
      <w:r>
        <w:rPr>
          <w:rFonts w:ascii="Arial" w:cs="Arial" w:eastAsia="Arial" w:hAnsi="Arial"/>
          <w:sz w:val="14"/>
          <w:szCs w:val="14"/>
          <w:color w:val="auto"/>
        </w:rPr>
        <w:t>Our second amended and restated certificate of incorporation will provide that, unless we consent in writing to the selection of an alternative forum, the Court of Chancery of the State of Delaware (or, if the Court of Chancery does not have jurisdiction, another state court located within the State of Delaware or, if no state court located within the State of Delaware has jurisdiction, the federal district court for the District of Delaware) will be the sole</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91" w:name="page192"/>
    <w:bookmarkEnd w:id="19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39"/>
        <w:spacing w:after="0" w:line="276" w:lineRule="auto"/>
        <w:rPr>
          <w:sz w:val="20"/>
          <w:szCs w:val="20"/>
          <w:color w:val="auto"/>
        </w:rPr>
      </w:pPr>
      <w:r>
        <w:rPr>
          <w:rFonts w:ascii="Arial" w:cs="Arial" w:eastAsia="Arial" w:hAnsi="Arial"/>
          <w:sz w:val="14"/>
          <w:szCs w:val="14"/>
          <w:color w:val="auto"/>
        </w:rPr>
        <w:t>and exclusive forum for (i) any derivative action or proceeding brought on behalf of us, (ii) any action asserting a claim of breach of a fiduciary duty owed by any current or former director, officer, stockholder, employee, or agent of ours to us or our stockholders, (iii) any action asserting a claim arising pursuant to any provision of the DGCL, our second amended and restated certificate of incorporation or our amended and restated bylaws (in each case, as may be amended from time to time), (iv) any action asserting a claim governed by the internal affairs doctrine of the State of Delaware, or (v) any other action asserting an “internal corporate claim,” as defined in Section 115 of the DGCL, in all cases subject to the court having personal jurisdiction over all indispensable parties named as defendants.</w:t>
      </w:r>
    </w:p>
    <w:p>
      <w:pPr>
        <w:spacing w:after="0" w:line="278" w:lineRule="exact"/>
        <w:rPr>
          <w:sz w:val="20"/>
          <w:szCs w:val="20"/>
          <w:color w:val="auto"/>
        </w:rPr>
      </w:pPr>
    </w:p>
    <w:p>
      <w:pPr>
        <w:ind w:left="1220" w:right="1279"/>
        <w:spacing w:after="0" w:line="277" w:lineRule="auto"/>
        <w:rPr>
          <w:sz w:val="20"/>
          <w:szCs w:val="20"/>
          <w:color w:val="auto"/>
        </w:rPr>
      </w:pPr>
      <w:r>
        <w:rPr>
          <w:rFonts w:ascii="Arial" w:cs="Arial" w:eastAsia="Arial" w:hAnsi="Arial"/>
          <w:sz w:val="14"/>
          <w:szCs w:val="14"/>
          <w:color w:val="auto"/>
        </w:rPr>
        <w:t>In addition, our second amended and restated certificate of incorporation will further provide that, unless we consent in writing to the selection of an alternative forum (which consent may be given at any time, including during the pendency of litigation), the federal district courts of the United States of America shall be the sole and exclusive forum for the resolution of any complaint asserting a cause of action arising under the Securities Act. Any person or entity purchasing or otherwise acquiring or holding any interest in any of our securities will be deemed to have notice of and consented to this provision.</w:t>
      </w:r>
    </w:p>
    <w:p>
      <w:pPr>
        <w:spacing w:after="0" w:line="30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Limitation on liability and indemnification matters</w:t>
      </w:r>
    </w:p>
    <w:p>
      <w:pPr>
        <w:spacing w:after="0" w:line="144" w:lineRule="exact"/>
        <w:rPr>
          <w:sz w:val="20"/>
          <w:szCs w:val="20"/>
          <w:color w:val="auto"/>
        </w:rPr>
      </w:pPr>
    </w:p>
    <w:p>
      <w:pPr>
        <w:ind w:left="1220" w:right="1499"/>
        <w:spacing w:after="0" w:line="290" w:lineRule="auto"/>
        <w:rPr>
          <w:sz w:val="20"/>
          <w:szCs w:val="20"/>
          <w:color w:val="auto"/>
        </w:rPr>
      </w:pPr>
      <w:r>
        <w:rPr>
          <w:rFonts w:ascii="Arial" w:cs="Arial" w:eastAsia="Arial" w:hAnsi="Arial"/>
          <w:sz w:val="14"/>
          <w:szCs w:val="14"/>
          <w:color w:val="auto"/>
        </w:rPr>
        <w:t>For a discussion of liability and indemnification, see “Management—Limitation on Liability and Indemnification Matters.”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Listing</w:t>
      </w:r>
    </w:p>
    <w:p>
      <w:pPr>
        <w:spacing w:after="0" w:line="144" w:lineRule="exact"/>
        <w:rPr>
          <w:sz w:val="20"/>
          <w:szCs w:val="20"/>
          <w:color w:val="auto"/>
        </w:rPr>
      </w:pPr>
    </w:p>
    <w:p>
      <w:pPr>
        <w:ind w:left="1220" w:right="1279"/>
        <w:spacing w:after="0" w:line="290" w:lineRule="auto"/>
        <w:rPr>
          <w:sz w:val="20"/>
          <w:szCs w:val="20"/>
          <w:color w:val="auto"/>
        </w:rPr>
      </w:pPr>
      <w:r>
        <w:rPr>
          <w:rFonts w:ascii="Arial" w:cs="Arial" w:eastAsia="Arial" w:hAnsi="Arial"/>
          <w:sz w:val="14"/>
          <w:szCs w:val="14"/>
          <w:color w:val="auto"/>
        </w:rPr>
        <w:t>We have applied to list our common stock on The Nasdaq Global Select Market under the trading symbol “IPSC.”</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Transfer agent and registrar</w:t>
      </w:r>
    </w:p>
    <w:p>
      <w:pPr>
        <w:spacing w:after="0" w:line="133" w:lineRule="exact"/>
        <w:rPr>
          <w:sz w:val="20"/>
          <w:szCs w:val="20"/>
          <w:color w:val="auto"/>
        </w:rPr>
      </w:pPr>
    </w:p>
    <w:p>
      <w:pPr>
        <w:ind w:left="1220"/>
        <w:spacing w:after="0"/>
        <w:tabs>
          <w:tab w:leader="none" w:pos="5880" w:val="left"/>
        </w:tabs>
        <w:rPr>
          <w:sz w:val="20"/>
          <w:szCs w:val="20"/>
          <w:color w:val="auto"/>
        </w:rPr>
      </w:pPr>
      <w:r>
        <w:rPr>
          <w:rFonts w:ascii="Arial" w:cs="Arial" w:eastAsia="Arial" w:hAnsi="Arial"/>
          <w:sz w:val="14"/>
          <w:szCs w:val="14"/>
          <w:color w:val="auto"/>
        </w:rPr>
        <w:t>The transfer agent and registrar for our common stock is</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92" w:name="page193"/>
    <w:bookmarkEnd w:id="19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Shares eligible for future sale</w:t>
      </w:r>
    </w:p>
    <w:p>
      <w:pPr>
        <w:spacing w:after="0" w:line="122"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Prior to this offering, there has been no public market for our common stock, and a liquid trading market for our common stock may not develop or be sustained after this offering. Future sales of our common stock, including shares issued upon the exercise of outstanding options or warrants, in the public market after the closing of this offering, or the perception that those sales may occur, could adversely affect the prevailing market price for our common stock from time to time or impair our ability to raise equity capital in the future.</w:t>
      </w:r>
    </w:p>
    <w:p>
      <w:pPr>
        <w:spacing w:after="0" w:line="108" w:lineRule="exact"/>
        <w:rPr>
          <w:sz w:val="20"/>
          <w:szCs w:val="20"/>
          <w:color w:val="auto"/>
        </w:rPr>
      </w:pPr>
    </w:p>
    <w:p>
      <w:pPr>
        <w:ind w:left="1220" w:right="1259"/>
        <w:spacing w:after="0" w:line="257" w:lineRule="auto"/>
        <w:rPr>
          <w:sz w:val="20"/>
          <w:szCs w:val="20"/>
          <w:color w:val="auto"/>
        </w:rPr>
      </w:pPr>
      <w:r>
        <w:rPr>
          <w:rFonts w:ascii="Arial" w:cs="Arial" w:eastAsia="Arial" w:hAnsi="Arial"/>
          <w:sz w:val="14"/>
          <w:szCs w:val="14"/>
          <w:color w:val="auto"/>
        </w:rPr>
        <w:t>Based on the number of shares of common stock outstanding as of December 31, 2020, upon the closing of this offering and assuming (i) the completion of the 2021 Reorganization,</w:t>
      </w:r>
    </w:p>
    <w:p>
      <w:pPr>
        <w:ind w:left="1220" w:right="1239" w:firstLine="4"/>
        <w:spacing w:after="0" w:line="258" w:lineRule="auto"/>
        <w:tabs>
          <w:tab w:leader="none" w:pos="1438"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completion of the Series C Financing, (iii) the automatic conversion of all our preferred stock outstanding as of April 30, 2021 into an aggregate of 85,865,789 shares of our common stock upon the closing of this offering, (iv) no exercise of the underwriters’ option to purchase additional shares of common stock, and (v) no exercise of outstanding options or warrants, we will have outstanding an aggregate of approximately 110,247,171 shares of common stock. All of the shares sold in this offering will be freely tradable unless purchased by our “affiliates” as such term is defined in Rule 144 or purchased by existing stockholders and their affiliated entities that are subject to lock-up agreements. All remaining shares of common stock held by existing stockholders immediately prior to the consummation of this offering will be “restricted securities,” as such term is defined in Rule 144. These restricted securities were issued and sold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29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As a result of the lock-up agreements referred to below and the provisions of Rule 144 and</w:t>
      </w:r>
    </w:p>
    <w:p>
      <w:pPr>
        <w:spacing w:after="0" w:line="22" w:lineRule="exact"/>
        <w:rPr>
          <w:sz w:val="20"/>
          <w:szCs w:val="20"/>
          <w:color w:val="auto"/>
        </w:rPr>
      </w:pPr>
    </w:p>
    <w:p>
      <w:pPr>
        <w:ind w:left="1220" w:right="1439"/>
        <w:spacing w:after="0" w:line="281" w:lineRule="auto"/>
        <w:rPr>
          <w:sz w:val="20"/>
          <w:szCs w:val="20"/>
          <w:color w:val="auto"/>
        </w:rPr>
      </w:pPr>
      <w:r>
        <w:rPr>
          <w:rFonts w:ascii="Arial" w:cs="Arial" w:eastAsia="Arial" w:hAnsi="Arial"/>
          <w:sz w:val="14"/>
          <w:szCs w:val="14"/>
          <w:color w:val="auto"/>
        </w:rPr>
        <w:t>Rule 701, based on the number of shares of our common stock outstanding as of , 2021, the remaining shares of our common stock will generally become for sale in the public market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80010</wp:posOffset>
            </wp:positionV>
            <wp:extent cx="4494530" cy="139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494530" cy="13970"/>
                    </a:xfrm>
                    <a:prstGeom prst="rect">
                      <a:avLst/>
                    </a:prstGeom>
                    <a:noFill/>
                  </pic:spPr>
                </pic:pic>
              </a:graphicData>
            </a:graphic>
          </wp:anchor>
        </w:drawing>
      </w:r>
    </w:p>
    <w:p>
      <w:pPr>
        <w:spacing w:after="0" w:line="134"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Approximate number of sharesFirst date available for sale on the public markets</w:t>
      </w:r>
    </w:p>
    <w:p>
      <w:pPr>
        <w:spacing w:after="0" w:line="22"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15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4"/>
                <w:szCs w:val="14"/>
                <w:color w:val="auto"/>
              </w:rPr>
              <w:t>shares</w:t>
            </w:r>
          </w:p>
        </w:tc>
        <w:tc>
          <w:tcPr>
            <w:tcW w:w="55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181 days after the date of this prospectus, upon expiration of the lock-up</w:t>
            </w:r>
          </w:p>
        </w:tc>
      </w:tr>
      <w:tr>
        <w:trPr>
          <w:trHeight w:val="172"/>
        </w:trPr>
        <w:tc>
          <w:tcPr>
            <w:tcW w:w="1500" w:type="dxa"/>
            <w:vAlign w:val="bottom"/>
            <w:shd w:val="clear" w:color="auto" w:fill="CCEEFF"/>
          </w:tcPr>
          <w:p>
            <w:pPr>
              <w:spacing w:after="0"/>
              <w:rPr>
                <w:sz w:val="14"/>
                <w:szCs w:val="14"/>
                <w:color w:val="auto"/>
              </w:rPr>
            </w:pPr>
          </w:p>
        </w:tc>
        <w:tc>
          <w:tcPr>
            <w:tcW w:w="55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agreements referred to below, subject in some cases to applicable volume,</w:t>
            </w:r>
          </w:p>
        </w:tc>
      </w:tr>
      <w:tr>
        <w:trPr>
          <w:trHeight w:val="186"/>
        </w:trPr>
        <w:tc>
          <w:tcPr>
            <w:tcW w:w="1500" w:type="dxa"/>
            <w:vAlign w:val="bottom"/>
            <w:tcBorders>
              <w:bottom w:val="single" w:sz="8" w:color="CCEEFF"/>
            </w:tcBorders>
            <w:shd w:val="clear" w:color="auto" w:fill="CCEEFF"/>
          </w:tcPr>
          <w:p>
            <w:pPr>
              <w:spacing w:after="0"/>
              <w:rPr>
                <w:sz w:val="16"/>
                <w:szCs w:val="16"/>
                <w:color w:val="auto"/>
              </w:rPr>
            </w:pPr>
          </w:p>
        </w:tc>
        <w:tc>
          <w:tcPr>
            <w:tcW w:w="55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manner of sale and other limitations under Rule 144 and Rule 701.</w:t>
            </w:r>
          </w:p>
        </w:tc>
      </w:tr>
      <w:tr>
        <w:trPr>
          <w:trHeight w:val="20"/>
        </w:trPr>
        <w:tc>
          <w:tcPr>
            <w:tcW w:w="1500" w:type="dxa"/>
            <w:vAlign w:val="bottom"/>
            <w:shd w:val="clear" w:color="auto" w:fill="000000"/>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r>
    </w:tbl>
    <w:p>
      <w:pPr>
        <w:spacing w:after="0" w:line="118" w:lineRule="exact"/>
        <w:rPr>
          <w:sz w:val="20"/>
          <w:szCs w:val="20"/>
          <w:color w:val="auto"/>
        </w:rPr>
      </w:pPr>
    </w:p>
    <w:p>
      <w:pPr>
        <w:ind w:left="1220" w:right="1319"/>
        <w:spacing w:after="0" w:line="290" w:lineRule="auto"/>
        <w:rPr>
          <w:sz w:val="20"/>
          <w:szCs w:val="20"/>
          <w:color w:val="auto"/>
        </w:rPr>
      </w:pPr>
      <w:r>
        <w:rPr>
          <w:rFonts w:ascii="Arial" w:cs="Arial" w:eastAsia="Arial" w:hAnsi="Arial"/>
          <w:sz w:val="14"/>
          <w:szCs w:val="14"/>
          <w:color w:val="auto"/>
        </w:rPr>
        <w:t>We may issue shares of common stock from time to time as consideration for future acquisitions, investments, or other corporate purposes.</w:t>
      </w:r>
    </w:p>
    <w:p>
      <w:pPr>
        <w:spacing w:after="0" w:line="96" w:lineRule="exact"/>
        <w:rPr>
          <w:sz w:val="20"/>
          <w:szCs w:val="20"/>
          <w:color w:val="auto"/>
        </w:rPr>
      </w:pPr>
    </w:p>
    <w:p>
      <w:pPr>
        <w:ind w:left="1220" w:right="1359"/>
        <w:spacing w:after="0" w:line="278" w:lineRule="auto"/>
        <w:rPr>
          <w:sz w:val="20"/>
          <w:szCs w:val="20"/>
          <w:color w:val="auto"/>
        </w:rPr>
      </w:pPr>
      <w:r>
        <w:rPr>
          <w:rFonts w:ascii="Arial" w:cs="Arial" w:eastAsia="Arial" w:hAnsi="Arial"/>
          <w:sz w:val="14"/>
          <w:szCs w:val="14"/>
          <w:color w:val="auto"/>
        </w:rPr>
        <w:t>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106" w:lineRule="exact"/>
        <w:rPr>
          <w:sz w:val="20"/>
          <w:szCs w:val="20"/>
          <w:color w:val="auto"/>
        </w:rPr>
      </w:pPr>
    </w:p>
    <w:p>
      <w:pPr>
        <w:ind w:left="1220" w:right="1399"/>
        <w:spacing w:after="0" w:line="278" w:lineRule="auto"/>
        <w:rPr>
          <w:sz w:val="20"/>
          <w:szCs w:val="20"/>
          <w:color w:val="auto"/>
        </w:rPr>
      </w:pPr>
      <w:r>
        <w:rPr>
          <w:rFonts w:ascii="Arial" w:cs="Arial" w:eastAsia="Arial" w:hAnsi="Arial"/>
          <w:sz w:val="14"/>
          <w:szCs w:val="14"/>
          <w:color w:val="auto"/>
        </w:rPr>
        <w:t>In addition, the shares of common stock reserved for future issuance under the 2018 Plan and 2021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Rule 144</w:t>
      </w:r>
    </w:p>
    <w:p>
      <w:pPr>
        <w:spacing w:after="0" w:line="133"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below,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93" w:name="page194"/>
    <w:bookmarkEnd w:id="19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19"/>
        <w:spacing w:after="0" w:line="265" w:lineRule="auto"/>
        <w:rPr>
          <w:sz w:val="20"/>
          <w:szCs w:val="20"/>
          <w:color w:val="auto"/>
        </w:rPr>
      </w:pPr>
      <w:r>
        <w:rPr>
          <w:rFonts w:ascii="Arial" w:cs="Arial" w:eastAsia="Arial" w:hAnsi="Arial"/>
          <w:sz w:val="14"/>
          <w:szCs w:val="14"/>
          <w:color w:val="auto"/>
        </w:rPr>
        <w:t>including the holding period of any prior owner other than “affiliates,” then such person is entitled to sell such shares in the public market without complying with any of the requirements of Rule 144 (subject to the lock-up agreement referred to below, if applicable).</w:t>
      </w:r>
    </w:p>
    <w:p>
      <w:pPr>
        <w:spacing w:after="0" w:line="93" w:lineRule="exact"/>
        <w:rPr>
          <w:sz w:val="20"/>
          <w:szCs w:val="20"/>
          <w:color w:val="auto"/>
        </w:rPr>
      </w:pPr>
    </w:p>
    <w:p>
      <w:pPr>
        <w:ind w:left="1220" w:right="1419"/>
        <w:spacing w:after="0" w:line="261" w:lineRule="auto"/>
        <w:rPr>
          <w:sz w:val="20"/>
          <w:szCs w:val="20"/>
          <w:color w:val="auto"/>
        </w:rPr>
      </w:pPr>
      <w:r>
        <w:rPr>
          <w:rFonts w:ascii="Arial" w:cs="Arial" w:eastAsia="Arial" w:hAnsi="Arial"/>
          <w:sz w:val="14"/>
          <w:szCs w:val="14"/>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pacing w:after="0" w:line="258" w:lineRule="exact"/>
        <w:rPr>
          <w:sz w:val="20"/>
          <w:szCs w:val="20"/>
          <w:color w:val="auto"/>
        </w:rPr>
      </w:pPr>
    </w:p>
    <w:p>
      <w:pPr>
        <w:ind w:left="1840" w:right="1339" w:hanging="616"/>
        <w:spacing w:after="0" w:line="273" w:lineRule="auto"/>
        <w:tabs>
          <w:tab w:leader="none" w:pos="1339" w:val="left"/>
        </w:tabs>
        <w:numPr>
          <w:ilvl w:val="0"/>
          <w:numId w:val="107"/>
        </w:numPr>
        <w:rPr>
          <w:rFonts w:ascii="Arial" w:cs="Arial" w:eastAsia="Arial" w:hAnsi="Arial"/>
          <w:sz w:val="14"/>
          <w:szCs w:val="14"/>
          <w:color w:val="auto"/>
        </w:rPr>
      </w:pPr>
      <w:r>
        <w:rPr>
          <w:rFonts w:ascii="Arial" w:cs="Arial" w:eastAsia="Arial" w:hAnsi="Arial"/>
          <w:sz w:val="14"/>
          <w:szCs w:val="14"/>
          <w:color w:val="auto"/>
        </w:rPr>
        <w:t>1% of the number of shares of common stock then outstanding, which will equal approximately shares of common stock immediately upon the closing of this offering (calculated as</w:t>
      </w:r>
    </w:p>
    <w:p>
      <w:pPr>
        <w:spacing w:after="0" w:line="1" w:lineRule="exact"/>
        <w:rPr>
          <w:sz w:val="20"/>
          <w:szCs w:val="20"/>
          <w:color w:val="auto"/>
        </w:rPr>
      </w:pPr>
    </w:p>
    <w:p>
      <w:pPr>
        <w:ind w:left="1340" w:right="1739"/>
        <w:spacing w:after="0" w:line="273" w:lineRule="auto"/>
        <w:rPr>
          <w:sz w:val="20"/>
          <w:szCs w:val="20"/>
          <w:color w:val="auto"/>
        </w:rPr>
      </w:pPr>
      <w:r>
        <w:rPr>
          <w:rFonts w:ascii="Arial" w:cs="Arial" w:eastAsia="Arial" w:hAnsi="Arial"/>
          <w:sz w:val="14"/>
          <w:szCs w:val="14"/>
          <w:color w:val="auto"/>
        </w:rPr>
        <w:t>of , 2021 on the basis of the assumptions described above and assuming no exercise of the underwriter’s option to purchase additional shares and no exercise of</w:t>
      </w:r>
    </w:p>
    <w:p>
      <w:pPr>
        <w:spacing w:after="0" w:line="1" w:lineRule="exact"/>
        <w:rPr>
          <w:sz w:val="20"/>
          <w:szCs w:val="20"/>
          <w:color w:val="auto"/>
        </w:rPr>
      </w:pPr>
    </w:p>
    <w:tbl>
      <w:tblPr>
        <w:tblLayout w:type="fixed"/>
        <w:tblInd w:w="1340" w:type="dxa"/>
        <w:tblCellMar>
          <w:top w:w="0" w:type="dxa"/>
          <w:left w:w="0" w:type="dxa"/>
          <w:bottom w:w="0" w:type="dxa"/>
          <w:right w:w="0" w:type="dxa"/>
        </w:tblCellMar>
      </w:tblPr>
      <w:tr>
        <w:trPr>
          <w:trHeight w:val="172"/>
        </w:trPr>
        <w:tc>
          <w:tcPr>
            <w:tcW w:w="3540" w:type="dxa"/>
            <w:vAlign w:val="bottom"/>
          </w:tcPr>
          <w:p>
            <w:pPr>
              <w:spacing w:after="0"/>
              <w:rPr>
                <w:sz w:val="20"/>
                <w:szCs w:val="20"/>
                <w:color w:val="auto"/>
              </w:rPr>
            </w:pPr>
            <w:r>
              <w:rPr>
                <w:rFonts w:ascii="Arial" w:cs="Arial" w:eastAsia="Arial" w:hAnsi="Arial"/>
                <w:sz w:val="14"/>
                <w:szCs w:val="14"/>
                <w:color w:val="auto"/>
              </w:rPr>
              <w:t>outstanding options or warrants subsequent to</w:t>
            </w:r>
          </w:p>
        </w:tc>
        <w:tc>
          <w:tcPr>
            <w:tcW w:w="1140" w:type="dxa"/>
            <w:vAlign w:val="bottom"/>
          </w:tcPr>
          <w:p>
            <w:pPr>
              <w:ind w:left="460"/>
              <w:spacing w:after="0"/>
              <w:rPr>
                <w:sz w:val="20"/>
                <w:szCs w:val="20"/>
                <w:color w:val="auto"/>
              </w:rPr>
            </w:pPr>
            <w:r>
              <w:rPr>
                <w:rFonts w:ascii="Arial" w:cs="Arial" w:eastAsia="Arial" w:hAnsi="Arial"/>
                <w:sz w:val="14"/>
                <w:szCs w:val="14"/>
                <w:color w:val="auto"/>
              </w:rPr>
              <w:t>, 2021); or</w:t>
            </w:r>
          </w:p>
        </w:tc>
      </w:tr>
    </w:tbl>
    <w:p>
      <w:pPr>
        <w:spacing w:after="0" w:line="98" w:lineRule="exact"/>
        <w:rPr>
          <w:sz w:val="20"/>
          <w:szCs w:val="20"/>
          <w:color w:val="auto"/>
        </w:rPr>
      </w:pPr>
    </w:p>
    <w:p>
      <w:pPr>
        <w:ind w:left="1340" w:right="1779" w:hanging="116"/>
        <w:spacing w:after="0" w:line="290" w:lineRule="auto"/>
        <w:tabs>
          <w:tab w:leader="none" w:pos="13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average weekly trading volume of our common stock during the four calendar weeks preceding the filing of a notice on Form 144 with respect to such sale.</w:t>
      </w:r>
    </w:p>
    <w:p>
      <w:pPr>
        <w:spacing w:after="0" w:line="75"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Such sales under Rule 144 by our “affiliates” or persons selling shares on behalf of our “affiliates” are also subject to certain manner of sale provisions, notice requirements and requirements related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Rule 701</w:t>
      </w:r>
    </w:p>
    <w:p>
      <w:pPr>
        <w:spacing w:after="0" w:line="133" w:lineRule="exact"/>
        <w:rPr>
          <w:sz w:val="20"/>
          <w:szCs w:val="20"/>
          <w:color w:val="auto"/>
        </w:rPr>
      </w:pPr>
    </w:p>
    <w:p>
      <w:pPr>
        <w:ind w:left="1220" w:right="1299"/>
        <w:spacing w:after="0" w:line="257" w:lineRule="auto"/>
        <w:rPr>
          <w:sz w:val="20"/>
          <w:szCs w:val="20"/>
          <w:color w:val="auto"/>
        </w:rPr>
      </w:pPr>
      <w:r>
        <w:rPr>
          <w:rFonts w:ascii="Arial" w:cs="Arial" w:eastAsia="Arial" w:hAnsi="Arial"/>
          <w:sz w:val="14"/>
          <w:szCs w:val="14"/>
          <w:color w:val="auto"/>
        </w:rPr>
        <w:t>In general, under Rule 701, any of our employees, directors, officers, consultants, or advisors who acquired common stock from us in connection with a written compensatory stock or option plan or other written agreement in compliance with Rule 701 before the effective date of the registration statement of which this prospectus is a part (to the extent such common stock is not subject to a lock-up agreement) and who are not our “affiliates” as defined in Rule 144 during the immediately preceding 90 days, is entitled to rely on Rule 701 to resell such shares beginning</w:t>
      </w:r>
    </w:p>
    <w:p>
      <w:pPr>
        <w:spacing w:after="0" w:line="1" w:lineRule="exact"/>
        <w:rPr>
          <w:sz w:val="20"/>
          <w:szCs w:val="20"/>
          <w:color w:val="auto"/>
        </w:rPr>
      </w:pPr>
    </w:p>
    <w:p>
      <w:pPr>
        <w:ind w:left="1220" w:right="1379"/>
        <w:spacing w:after="0" w:line="261" w:lineRule="auto"/>
        <w:rPr>
          <w:sz w:val="20"/>
          <w:szCs w:val="20"/>
          <w:color w:val="auto"/>
        </w:rPr>
      </w:pPr>
      <w:r>
        <w:rPr>
          <w:rFonts w:ascii="Arial" w:cs="Arial" w:eastAsia="Arial" w:hAnsi="Arial"/>
          <w:sz w:val="14"/>
          <w:szCs w:val="14"/>
          <w:color w:val="auto"/>
        </w:rPr>
        <w:t>90 days after the date of this prospectus in reliance on Rule 144, but without complying with the notice, manner of sale, public information requirements, or volume limitation provisions of Rule 144. Persons who are our “affiliates” may resell those shares beginning 90 days after the date of this prospectus without compliance with minimum holding period requirements under Rule 144 (subject to the terms of the lock-up agreement referred to below, if applicable).</w:t>
      </w:r>
    </w:p>
    <w:p>
      <w:pPr>
        <w:spacing w:after="0" w:line="13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Lock-up agreements</w:t>
      </w:r>
    </w:p>
    <w:p>
      <w:pPr>
        <w:spacing w:after="0" w:line="133"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In connection with this offering, we, our directors, our executive officers, and the holders of substantially all of our common stock, stock options, and other securities convertible into, exercisable or exchangeable for our common stock, have agreed, subject to certain exceptions, with the underwriters not to directly or indirectly offer, pledge, sell, contract to sell, sell any option or contract to purchase, purchase any option or contract to sell, grant any option, right or warrant to purchase, lend, or otherwise transfer or dispose of, directly or indirectly, or enter into any hedging, swap or other agreement or transaction that transfers any of the economic consequences of ownership of shares of our common stock, or any options to purchase shares of our common stock, or any securities convertible into or exchangeable for shares of common stock, during the period from the date of this prospectus continuing through the date 180 days after the date of this prospectus, except with the prior written consent of the representatives of the underwriters, and certain other limited exceptions. These agreements are described in the section titled “Underwriting.”</w:t>
      </w:r>
    </w:p>
    <w:p>
      <w:pPr>
        <w:spacing w:after="0" w:line="200" w:lineRule="exact"/>
        <w:rPr>
          <w:sz w:val="20"/>
          <w:szCs w:val="20"/>
          <w:color w:val="auto"/>
        </w:rPr>
      </w:pPr>
    </w:p>
    <w:p>
      <w:pPr>
        <w:spacing w:after="0" w:line="241" w:lineRule="exact"/>
        <w:rPr>
          <w:sz w:val="20"/>
          <w:szCs w:val="20"/>
          <w:color w:val="auto"/>
        </w:rPr>
      </w:pPr>
    </w:p>
    <w:p>
      <w:pPr>
        <w:ind w:left="1220" w:right="1599"/>
        <w:spacing w:after="0" w:line="262" w:lineRule="auto"/>
        <w:rPr>
          <w:sz w:val="20"/>
          <w:szCs w:val="20"/>
          <w:color w:val="auto"/>
        </w:rPr>
      </w:pPr>
      <w:r>
        <w:rPr>
          <w:rFonts w:ascii="Arial" w:cs="Arial" w:eastAsia="Arial" w:hAnsi="Arial"/>
          <w:sz w:val="14"/>
          <w:szCs w:val="14"/>
          <w:color w:val="auto"/>
        </w:rPr>
        <w:t>In addition to the restrictions contained in the lock-up agreements described above, we have entered into agreements with certain security holders, including the amended and restated investors’ rights agreement, our standard form of option agreement, our standard form of restricted stock agreement and our standard form of</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5458460" cy="393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94" w:name="page195"/>
    <w:bookmarkEnd w:id="19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439"/>
        <w:spacing w:after="0" w:line="278" w:lineRule="auto"/>
        <w:rPr>
          <w:sz w:val="20"/>
          <w:szCs w:val="20"/>
          <w:color w:val="auto"/>
        </w:rPr>
      </w:pPr>
      <w:r>
        <w:rPr>
          <w:rFonts w:ascii="Arial" w:cs="Arial" w:eastAsia="Arial" w:hAnsi="Arial"/>
          <w:sz w:val="14"/>
          <w:szCs w:val="14"/>
          <w:color w:val="auto"/>
        </w:rPr>
        <w:t>restricted stock purchase agreement, that contain market stand-off provisions or incorporate market stand-off provisions from our equity incentive plan imposing restrictions on the ability of such security holders to offer, sell, or transfer our equity securities for a period of 180 days following the date of this prospectus.</w:t>
      </w:r>
    </w:p>
    <w:p>
      <w:pPr>
        <w:spacing w:after="0" w:line="96"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Following the lock-up periods set forth in the agreements described above, and assuming that the representatives of the underwriters do not release any parties from these agreements, all of the shares of our common stock that are restricted securities or are held by our affiliates as of the date of this prospectus will be eligible for sale in the public market in compliance with Rule 144.</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Registration rights</w:t>
      </w:r>
    </w:p>
    <w:p>
      <w:pPr>
        <w:spacing w:after="0" w:line="144"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Upon the closing of this offering, the holders of up to approximately million shares of our common stock (which includes all of the shares of common stock issuable upon the automatic conversion of our preferred stock upon the closing of this offering), or their transferees will be entitled to rights with respect to the registration of their shares under the Securities Act, subject to the lock-up agreements described under “Lock-up agreements” above. Registration of these shares under the Securities Act would result in the shares becoming freely tradable without restriction under the Securities Act immediately upon the effectiveness of the registration statement registering such shares, except for shares purchased by affiliates.</w:t>
      </w:r>
    </w:p>
    <w:p>
      <w:pPr>
        <w:spacing w:after="0" w:line="110" w:lineRule="exact"/>
        <w:rPr>
          <w:sz w:val="20"/>
          <w:szCs w:val="20"/>
          <w:color w:val="auto"/>
        </w:rPr>
      </w:pPr>
    </w:p>
    <w:p>
      <w:pPr>
        <w:ind w:left="1220" w:right="1379"/>
        <w:spacing w:after="0" w:line="280" w:lineRule="auto"/>
        <w:rPr>
          <w:sz w:val="20"/>
          <w:szCs w:val="20"/>
          <w:color w:val="auto"/>
        </w:rPr>
      </w:pPr>
      <w:r>
        <w:rPr>
          <w:rFonts w:ascii="Arial" w:cs="Arial" w:eastAsia="Arial" w:hAnsi="Arial"/>
          <w:sz w:val="14"/>
          <w:szCs w:val="14"/>
          <w:color w:val="auto"/>
        </w:rPr>
        <w:t>Following the closing of our initial public offering, we intend to enter into a registration rights agreement with Hercules Capital, Inc. granting Hercules Capital, Inc. rights with respect to the registration of their shares under the Securities Act in connection with the common stock issued in connection with the exercise of warrants to purchase shares of our common stock held by Hercules Capital, Inc.</w:t>
      </w:r>
    </w:p>
    <w:p>
      <w:pPr>
        <w:spacing w:after="0" w:line="274" w:lineRule="exact"/>
        <w:rPr>
          <w:sz w:val="20"/>
          <w:szCs w:val="20"/>
          <w:color w:val="auto"/>
        </w:rPr>
      </w:pPr>
    </w:p>
    <w:p>
      <w:pPr>
        <w:jc w:val="both"/>
        <w:ind w:left="1220" w:right="1279"/>
        <w:spacing w:after="0" w:line="283" w:lineRule="auto"/>
        <w:rPr>
          <w:sz w:val="20"/>
          <w:szCs w:val="20"/>
          <w:color w:val="auto"/>
        </w:rPr>
      </w:pPr>
      <w:r>
        <w:rPr>
          <w:rFonts w:ascii="Arial" w:cs="Arial" w:eastAsia="Arial" w:hAnsi="Arial"/>
          <w:sz w:val="14"/>
          <w:szCs w:val="14"/>
          <w:color w:val="auto"/>
        </w:rPr>
        <w:t>Any sales of securities by these stockholders could have a material adverse effect on the trading price of our common stock. The requisite percentage of these stockholders have waived all such stockholders’ rights to notice of this offering and to include their shares of registrable securities in this offering.</w:t>
      </w:r>
    </w:p>
    <w:p>
      <w:pPr>
        <w:spacing w:after="0" w:line="283" w:lineRule="exact"/>
        <w:rPr>
          <w:sz w:val="20"/>
          <w:szCs w:val="20"/>
          <w:color w:val="auto"/>
        </w:rPr>
      </w:pPr>
    </w:p>
    <w:p>
      <w:pPr>
        <w:jc w:val="both"/>
        <w:ind w:left="1220" w:right="1299"/>
        <w:spacing w:after="0" w:line="281" w:lineRule="auto"/>
        <w:rPr>
          <w:sz w:val="20"/>
          <w:szCs w:val="20"/>
          <w:color w:val="auto"/>
        </w:rPr>
      </w:pPr>
      <w:r>
        <w:rPr>
          <w:rFonts w:ascii="Arial" w:cs="Arial" w:eastAsia="Arial" w:hAnsi="Arial"/>
          <w:sz w:val="14"/>
          <w:szCs w:val="14"/>
          <w:color w:val="auto"/>
        </w:rPr>
        <w:t>See the section titled “Description of capital stock—Registration rights” for additional information. Shares covered by a registration statement will be eligible for sale on the public market upon the expiration or release from the terms of any applicable lock-up agreement.</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Equity incentive plans</w:t>
      </w:r>
    </w:p>
    <w:p>
      <w:pPr>
        <w:spacing w:after="0" w:line="144" w:lineRule="exact"/>
        <w:rPr>
          <w:sz w:val="20"/>
          <w:szCs w:val="20"/>
          <w:color w:val="auto"/>
        </w:rPr>
      </w:pPr>
    </w:p>
    <w:p>
      <w:pPr>
        <w:ind w:left="1220" w:right="1239"/>
        <w:spacing w:after="0" w:line="276" w:lineRule="auto"/>
        <w:rPr>
          <w:sz w:val="20"/>
          <w:szCs w:val="20"/>
          <w:color w:val="auto"/>
        </w:rPr>
      </w:pPr>
      <w:r>
        <w:rPr>
          <w:rFonts w:ascii="Arial" w:cs="Arial" w:eastAsia="Arial" w:hAnsi="Arial"/>
          <w:sz w:val="14"/>
          <w:szCs w:val="14"/>
          <w:color w:val="auto"/>
        </w:rPr>
        <w:t>We intend to file with the SEC a registration statement on Form S-8 under the Securities Act covering the shares of common stock reserved for issuance under the 2018 Plan, the 2021 Plan, and the ESPP. Such registration statement is expected to be filed and become effective as soon as practicable after the closing of this offering. Accordingly, shares registered under such registration statement will be available for sale in the open market following its effective date, subject to Rule 144 volume limitations and the lock-up agreements described above,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95" w:name="page196"/>
    <w:bookmarkEnd w:id="19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right="1499"/>
        <w:spacing w:after="0" w:line="251" w:lineRule="auto"/>
        <w:rPr>
          <w:sz w:val="20"/>
          <w:szCs w:val="20"/>
          <w:color w:val="auto"/>
        </w:rPr>
      </w:pPr>
      <w:r>
        <w:rPr>
          <w:rFonts w:ascii="Arial" w:cs="Arial" w:eastAsia="Arial" w:hAnsi="Arial"/>
          <w:sz w:val="23"/>
          <w:szCs w:val="23"/>
          <w:b w:val="1"/>
          <w:bCs w:val="1"/>
          <w:color w:val="auto"/>
        </w:rPr>
        <w:t>Material U.S. federal income tax consequences to Non-U.S. holders</w:t>
      </w:r>
    </w:p>
    <w:p>
      <w:pPr>
        <w:spacing w:after="0" w:line="71" w:lineRule="exact"/>
        <w:rPr>
          <w:sz w:val="20"/>
          <w:szCs w:val="20"/>
          <w:color w:val="auto"/>
        </w:rPr>
      </w:pPr>
    </w:p>
    <w:p>
      <w:pPr>
        <w:ind w:left="1220" w:right="1319"/>
        <w:spacing w:after="0" w:line="258" w:lineRule="auto"/>
        <w:rPr>
          <w:sz w:val="20"/>
          <w:szCs w:val="20"/>
          <w:color w:val="auto"/>
        </w:rPr>
      </w:pPr>
      <w:r>
        <w:rPr>
          <w:rFonts w:ascii="Arial" w:cs="Arial" w:eastAsia="Arial" w:hAnsi="Arial"/>
          <w:sz w:val="14"/>
          <w:szCs w:val="14"/>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286" w:lineRule="exact"/>
        <w:rPr>
          <w:sz w:val="20"/>
          <w:szCs w:val="20"/>
          <w:color w:val="auto"/>
        </w:rPr>
      </w:pPr>
    </w:p>
    <w:p>
      <w:pPr>
        <w:ind w:left="1220" w:right="1379"/>
        <w:spacing w:after="0" w:line="260" w:lineRule="auto"/>
        <w:rPr>
          <w:sz w:val="20"/>
          <w:szCs w:val="20"/>
          <w:color w:val="auto"/>
        </w:rPr>
      </w:pPr>
      <w:r>
        <w:rPr>
          <w:rFonts w:ascii="Arial" w:cs="Arial" w:eastAsia="Arial" w:hAnsi="Arial"/>
          <w:sz w:val="14"/>
          <w:szCs w:val="14"/>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 U.S. Holder’s particular circumstances, including the impact of the Medicare contribution tax on net investment income. In addition, it does not address consequences relevant to Non-U.S. Holders subject to special rules, including, without limitation:</w:t>
      </w:r>
    </w:p>
    <w:p>
      <w:pPr>
        <w:spacing w:after="0" w:line="86" w:lineRule="exact"/>
        <w:rPr>
          <w:sz w:val="20"/>
          <w:szCs w:val="20"/>
          <w:color w:val="auto"/>
        </w:rPr>
      </w:pPr>
    </w:p>
    <w:p>
      <w:pPr>
        <w:ind w:left="1340" w:hanging="116"/>
        <w:spacing w:after="0"/>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U.S. expatriates and former citizens or long-term residents of the United States;</w:t>
      </w:r>
    </w:p>
    <w:p>
      <w:pPr>
        <w:spacing w:after="0" w:line="97" w:lineRule="exact"/>
        <w:rPr>
          <w:rFonts w:ascii="Arial" w:cs="Arial" w:eastAsia="Arial" w:hAnsi="Arial"/>
          <w:sz w:val="14"/>
          <w:szCs w:val="14"/>
          <w:color w:val="auto"/>
        </w:rPr>
      </w:pPr>
    </w:p>
    <w:p>
      <w:pPr>
        <w:ind w:left="1340" w:hanging="116"/>
        <w:spacing w:after="0"/>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persons subject to the alternative minimum tax;</w:t>
      </w:r>
    </w:p>
    <w:p>
      <w:pPr>
        <w:spacing w:after="0" w:line="108" w:lineRule="exact"/>
        <w:rPr>
          <w:rFonts w:ascii="Arial" w:cs="Arial" w:eastAsia="Arial" w:hAnsi="Arial"/>
          <w:sz w:val="14"/>
          <w:szCs w:val="14"/>
          <w:color w:val="auto"/>
        </w:rPr>
      </w:pPr>
    </w:p>
    <w:p>
      <w:pPr>
        <w:ind w:left="1340" w:right="1339" w:hanging="116"/>
        <w:spacing w:after="0" w:line="290" w:lineRule="auto"/>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persons holding our common stock as part of a hedge, straddle or other risk reduction strategy or as part of a conversion transaction, or other integrated investment;</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banks, insurance companies, and other financial institutions;</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brokers, dealers, or traders in securities;</w:t>
      </w:r>
    </w:p>
    <w:p>
      <w:pPr>
        <w:spacing w:after="0" w:line="97" w:lineRule="exact"/>
        <w:rPr>
          <w:rFonts w:ascii="Arial" w:cs="Arial" w:eastAsia="Arial" w:hAnsi="Arial"/>
          <w:sz w:val="14"/>
          <w:szCs w:val="14"/>
          <w:color w:val="auto"/>
        </w:rPr>
      </w:pPr>
    </w:p>
    <w:p>
      <w:pPr>
        <w:ind w:left="1340" w:right="1259" w:hanging="116"/>
        <w:spacing w:after="0" w:line="290" w:lineRule="auto"/>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“controlled foreign corporations,” “passive foreign investment companies,” and corporations that accumulate earnings to avoid U.S. federal income tax;</w:t>
      </w:r>
    </w:p>
    <w:p>
      <w:pPr>
        <w:spacing w:after="0" w:line="64" w:lineRule="exact"/>
        <w:rPr>
          <w:rFonts w:ascii="Arial" w:cs="Arial" w:eastAsia="Arial" w:hAnsi="Arial"/>
          <w:sz w:val="14"/>
          <w:szCs w:val="14"/>
          <w:color w:val="auto"/>
        </w:rPr>
      </w:pPr>
    </w:p>
    <w:p>
      <w:pPr>
        <w:ind w:left="1340" w:right="1259" w:hanging="116"/>
        <w:spacing w:after="0" w:line="290" w:lineRule="auto"/>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partnerships, other entities, or arrangements treated as partnerships for U.S. federal income tax purposes (and investors therein);</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tax-exempt organizations or governmental organizations;</w:t>
      </w:r>
    </w:p>
    <w:p>
      <w:pPr>
        <w:spacing w:after="0" w:line="97" w:lineRule="exact"/>
        <w:rPr>
          <w:rFonts w:ascii="Arial" w:cs="Arial" w:eastAsia="Arial" w:hAnsi="Arial"/>
          <w:sz w:val="14"/>
          <w:szCs w:val="14"/>
          <w:color w:val="auto"/>
        </w:rPr>
      </w:pPr>
    </w:p>
    <w:p>
      <w:pPr>
        <w:ind w:left="1340" w:hanging="116"/>
        <w:spacing w:after="0"/>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persons deemed to sell our common stock under the constructive sale provisions of the Code;</w:t>
      </w:r>
    </w:p>
    <w:p>
      <w:pPr>
        <w:spacing w:after="0" w:line="108" w:lineRule="exact"/>
        <w:rPr>
          <w:rFonts w:ascii="Arial" w:cs="Arial" w:eastAsia="Arial" w:hAnsi="Arial"/>
          <w:sz w:val="14"/>
          <w:szCs w:val="14"/>
          <w:color w:val="auto"/>
        </w:rPr>
      </w:pPr>
    </w:p>
    <w:p>
      <w:pPr>
        <w:ind w:left="1340" w:right="1299" w:hanging="116"/>
        <w:spacing w:after="0" w:line="290" w:lineRule="auto"/>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persons who hold or receive our common stock pursuant to the exercise of any employee stock option or otherwise as compensation;</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tax-qualified retirement plans;</w:t>
      </w:r>
    </w:p>
    <w:p>
      <w:pPr>
        <w:spacing w:after="0" w:line="108" w:lineRule="exact"/>
        <w:rPr>
          <w:rFonts w:ascii="Arial" w:cs="Arial" w:eastAsia="Arial" w:hAnsi="Arial"/>
          <w:sz w:val="14"/>
          <w:szCs w:val="14"/>
          <w:color w:val="auto"/>
        </w:rPr>
      </w:pPr>
    </w:p>
    <w:p>
      <w:pPr>
        <w:ind w:left="1340" w:right="1399" w:hanging="116"/>
        <w:spacing w:after="0" w:line="290" w:lineRule="auto"/>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“qualified foreign pension funds” and entities, all of the interests of which are held by qualified foreign pension funds; and</w:t>
      </w:r>
    </w:p>
    <w:p>
      <w:pPr>
        <w:spacing w:after="0" w:line="64" w:lineRule="exact"/>
        <w:rPr>
          <w:rFonts w:ascii="Arial" w:cs="Arial" w:eastAsia="Arial" w:hAnsi="Arial"/>
          <w:sz w:val="14"/>
          <w:szCs w:val="14"/>
          <w:color w:val="auto"/>
        </w:rPr>
      </w:pPr>
    </w:p>
    <w:p>
      <w:pPr>
        <w:jc w:val="both"/>
        <w:ind w:left="1340" w:right="1579" w:hanging="116"/>
        <w:spacing w:after="0" w:line="290" w:lineRule="auto"/>
        <w:tabs>
          <w:tab w:leader="none" w:pos="13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persons subject to special tax accounting rules as a result of any item of gross income with respect to our common stock being taken into account in an applicable financial statement.</w:t>
      </w:r>
    </w:p>
    <w:p>
      <w:pPr>
        <w:spacing w:after="0" w:line="86" w:lineRule="exact"/>
        <w:rPr>
          <w:sz w:val="20"/>
          <w:szCs w:val="20"/>
          <w:color w:val="auto"/>
        </w:rPr>
      </w:pPr>
    </w:p>
    <w:p>
      <w:pPr>
        <w:ind w:left="1220" w:right="1259"/>
        <w:spacing w:after="0" w:line="261" w:lineRule="auto"/>
        <w:rPr>
          <w:sz w:val="20"/>
          <w:szCs w:val="20"/>
          <w:color w:val="auto"/>
        </w:rPr>
      </w:pPr>
      <w:r>
        <w:rPr>
          <w:rFonts w:ascii="Arial" w:cs="Arial" w:eastAsia="Arial" w:hAnsi="Arial"/>
          <w:sz w:val="14"/>
          <w:szCs w:val="14"/>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78" w:lineRule="exact"/>
        <w:rPr>
          <w:sz w:val="20"/>
          <w:szCs w:val="20"/>
          <w:color w:val="auto"/>
        </w:rPr>
      </w:pPr>
    </w:p>
    <w:p>
      <w:pPr>
        <w:ind w:left="1220" w:right="1439"/>
        <w:spacing w:after="0" w:line="279" w:lineRule="auto"/>
        <w:rPr>
          <w:sz w:val="20"/>
          <w:szCs w:val="20"/>
          <w:color w:val="auto"/>
        </w:rPr>
      </w:pPr>
      <w:r>
        <w:rPr>
          <w:rFonts w:ascii="Arial" w:cs="Arial" w:eastAsia="Arial" w:hAnsi="Arial"/>
          <w:sz w:val="14"/>
          <w:szCs w:val="14"/>
          <w:b w:val="1"/>
          <w:bCs w:val="1"/>
          <w:color w:val="auto"/>
        </w:rPr>
        <w:t>THIS DISCUSSION IS FOR INFORMATIONAL PURPOSES ONLY AND IS NOT TAX ADVICE. INVESTORS SHOULD CONSULT THEIR TAX ADVISORS WITH RESPECT TO THE APPLICATION OF THE U.S. FEDERAL INCOME TAX LAWS</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96" w:name="page197"/>
    <w:bookmarkEnd w:id="19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20" w:right="1399"/>
        <w:spacing w:after="0" w:line="304" w:lineRule="auto"/>
        <w:rPr>
          <w:sz w:val="20"/>
          <w:szCs w:val="20"/>
          <w:color w:val="auto"/>
        </w:rPr>
      </w:pPr>
      <w:r>
        <w:rPr>
          <w:rFonts w:ascii="Arial" w:cs="Arial" w:eastAsia="Arial" w:hAnsi="Arial"/>
          <w:sz w:val="14"/>
          <w:szCs w:val="14"/>
          <w:b w:val="1"/>
          <w:bCs w:val="1"/>
          <w:color w:val="auto"/>
        </w:rPr>
        <w:t>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30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Definition of a Non-U.S. holder</w:t>
      </w:r>
    </w:p>
    <w:p>
      <w:pPr>
        <w:spacing w:after="0" w:line="133" w:lineRule="exact"/>
        <w:rPr>
          <w:sz w:val="20"/>
          <w:szCs w:val="20"/>
          <w:color w:val="auto"/>
        </w:rPr>
      </w:pPr>
    </w:p>
    <w:p>
      <w:pPr>
        <w:ind w:left="1220" w:right="1259"/>
        <w:spacing w:after="0" w:line="301" w:lineRule="auto"/>
        <w:rPr>
          <w:sz w:val="20"/>
          <w:szCs w:val="20"/>
          <w:color w:val="auto"/>
        </w:rPr>
      </w:pPr>
      <w:r>
        <w:rPr>
          <w:rFonts w:ascii="Arial" w:cs="Arial" w:eastAsia="Arial" w:hAnsi="Arial"/>
          <w:sz w:val="14"/>
          <w:szCs w:val="14"/>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268" w:lineRule="exact"/>
        <w:rPr>
          <w:sz w:val="20"/>
          <w:szCs w:val="20"/>
          <w:color w:val="auto"/>
        </w:rPr>
      </w:pPr>
    </w:p>
    <w:p>
      <w:pPr>
        <w:ind w:left="1340" w:hanging="116"/>
        <w:spacing w:after="0"/>
        <w:tabs>
          <w:tab w:leader="none" w:pos="1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an individual who is a citizen or resident of the United States;</w:t>
      </w:r>
    </w:p>
    <w:p>
      <w:pPr>
        <w:spacing w:after="0" w:line="119" w:lineRule="exact"/>
        <w:rPr>
          <w:rFonts w:ascii="Arial" w:cs="Arial" w:eastAsia="Arial" w:hAnsi="Arial"/>
          <w:sz w:val="14"/>
          <w:szCs w:val="14"/>
          <w:color w:val="auto"/>
        </w:rPr>
      </w:pPr>
    </w:p>
    <w:p>
      <w:pPr>
        <w:ind w:left="1340" w:right="1479" w:hanging="116"/>
        <w:spacing w:after="0" w:line="290" w:lineRule="auto"/>
        <w:tabs>
          <w:tab w:leader="none" w:pos="1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 corporation or entity treated as a corporation that is created or organized under the laws of the United States, any state thereof, or the District of Columbia;</w:t>
      </w:r>
    </w:p>
    <w:p>
      <w:pPr>
        <w:spacing w:after="0" w:line="64" w:lineRule="exact"/>
        <w:rPr>
          <w:rFonts w:ascii="Arial" w:cs="Arial" w:eastAsia="Arial" w:hAnsi="Arial"/>
          <w:sz w:val="14"/>
          <w:szCs w:val="14"/>
          <w:color w:val="auto"/>
        </w:rPr>
      </w:pPr>
    </w:p>
    <w:p>
      <w:pPr>
        <w:ind w:left="1340" w:hanging="116"/>
        <w:spacing w:after="0"/>
        <w:tabs>
          <w:tab w:leader="none" w:pos="1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 regardless of its source; or</w:t>
      </w:r>
    </w:p>
    <w:p>
      <w:pPr>
        <w:spacing w:after="0" w:line="119" w:lineRule="exact"/>
        <w:rPr>
          <w:rFonts w:ascii="Arial" w:cs="Arial" w:eastAsia="Arial" w:hAnsi="Arial"/>
          <w:sz w:val="14"/>
          <w:szCs w:val="14"/>
          <w:color w:val="auto"/>
        </w:rPr>
      </w:pPr>
    </w:p>
    <w:p>
      <w:pPr>
        <w:ind w:left="1340" w:right="1599" w:hanging="116"/>
        <w:spacing w:after="0" w:line="273" w:lineRule="auto"/>
        <w:tabs>
          <w:tab w:leader="none" w:pos="13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 trust that (i) is subject to the primary supervision of a U.S. court and the control of one or more “United States persons” (within the meaning of Section 7701(a)(30) of the Code), or</w:t>
      </w:r>
    </w:p>
    <w:p>
      <w:pPr>
        <w:ind w:left="1340" w:right="1319"/>
        <w:spacing w:after="0" w:line="290" w:lineRule="auto"/>
        <w:rPr>
          <w:rFonts w:ascii="Arial" w:cs="Arial" w:eastAsia="Arial" w:hAnsi="Arial"/>
          <w:sz w:val="14"/>
          <w:szCs w:val="14"/>
          <w:color w:val="auto"/>
        </w:rPr>
      </w:pPr>
      <w:r>
        <w:rPr>
          <w:rFonts w:ascii="Arial" w:cs="Arial" w:eastAsia="Arial" w:hAnsi="Arial"/>
          <w:sz w:val="14"/>
          <w:szCs w:val="14"/>
          <w:color w:val="auto"/>
        </w:rPr>
        <w:t>(ii) has a valid election in effect to be treated as a United States person for U.S. federal income tax purposes.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Distributions</w:t>
      </w:r>
    </w:p>
    <w:p>
      <w:pPr>
        <w:spacing w:after="0" w:line="144" w:lineRule="exact"/>
        <w:rPr>
          <w:sz w:val="20"/>
          <w:szCs w:val="20"/>
          <w:color w:val="auto"/>
        </w:rPr>
      </w:pPr>
    </w:p>
    <w:p>
      <w:pPr>
        <w:ind w:left="1220" w:right="1239"/>
        <w:spacing w:after="0" w:line="292" w:lineRule="auto"/>
        <w:rPr>
          <w:sz w:val="20"/>
          <w:szCs w:val="20"/>
          <w:color w:val="auto"/>
        </w:rPr>
      </w:pPr>
      <w:r>
        <w:rPr>
          <w:rFonts w:ascii="Arial" w:cs="Arial" w:eastAsia="Arial" w:hAnsi="Arial"/>
          <w:sz w:val="14"/>
          <w:szCs w:val="14"/>
          <w:color w:val="auto"/>
        </w:rPr>
        <w:t>As described in the section titled “Dividend policy,” we do not currently intend to pay any cash dividends on our capital stock in the foreseeable future. However, if we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289"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Subject to the discussions below on effectively connected income, backup withholding and the Foreign Account Tax Compliance Act, or FATCA,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93"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290"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Any such effectively connected dividends generally will be subject to U.S. federal income tax on a net income basis at the regular rates. A Non-U.S. Holder that is a corporation also generally will be subject to a branch profits tax at a rate of 30% (or such lower rate specified by an applicable income tax treaty) on its effectively connected earnings and profits attributable to such dividends, as adjusted for certain items. Non-U.S. Holders should consult their tax advisors regarding any applicable tax treaties that may provide for different rules.</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97" w:name="page198"/>
    <w:bookmarkEnd w:id="19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Sale or other taxable disposition</w:t>
      </w:r>
    </w:p>
    <w:p>
      <w:pPr>
        <w:spacing w:after="0" w:line="133" w:lineRule="exact"/>
        <w:rPr>
          <w:sz w:val="20"/>
          <w:szCs w:val="20"/>
          <w:color w:val="auto"/>
        </w:rPr>
      </w:pPr>
    </w:p>
    <w:p>
      <w:pPr>
        <w:ind w:left="1220" w:right="1339"/>
        <w:spacing w:after="0" w:line="281" w:lineRule="auto"/>
        <w:rPr>
          <w:sz w:val="20"/>
          <w:szCs w:val="20"/>
          <w:color w:val="auto"/>
        </w:rPr>
      </w:pPr>
      <w:r>
        <w:rPr>
          <w:rFonts w:ascii="Arial" w:cs="Arial" w:eastAsia="Arial" w:hAnsi="Arial"/>
          <w:sz w:val="14"/>
          <w:szCs w:val="14"/>
          <w:color w:val="auto"/>
        </w:rPr>
        <w:t>Subject to the discussions below regarding backup withholding and FATCA, a Non-U.S. Holder will not be subject to U.S. federal income tax on any gain realized upon the sale or other taxable disposition of our common stock unless:</w:t>
      </w:r>
    </w:p>
    <w:p>
      <w:pPr>
        <w:spacing w:after="0" w:line="71" w:lineRule="exact"/>
        <w:rPr>
          <w:sz w:val="20"/>
          <w:szCs w:val="20"/>
          <w:color w:val="auto"/>
        </w:rPr>
      </w:pPr>
    </w:p>
    <w:p>
      <w:pPr>
        <w:ind w:left="1340" w:right="1439" w:hanging="116"/>
        <w:spacing w:after="0" w:line="283" w:lineRule="auto"/>
        <w:tabs>
          <w:tab w:leader="none" w:pos="1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261" w:lineRule="exact"/>
        <w:rPr>
          <w:rFonts w:ascii="Arial" w:cs="Arial" w:eastAsia="Arial" w:hAnsi="Arial"/>
          <w:sz w:val="14"/>
          <w:szCs w:val="14"/>
          <w:color w:val="auto"/>
        </w:rPr>
      </w:pPr>
    </w:p>
    <w:p>
      <w:pPr>
        <w:ind w:left="1340" w:right="1359" w:hanging="116"/>
        <w:spacing w:after="0" w:line="290" w:lineRule="auto"/>
        <w:tabs>
          <w:tab w:leader="none" w:pos="1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the Non-U.S. Holder is a nonresident alien individual present in the United States for 183 days or more during the taxable year of the disposition and certain other requirements are met; or</w:t>
      </w:r>
    </w:p>
    <w:p>
      <w:pPr>
        <w:spacing w:after="0" w:line="64" w:lineRule="exact"/>
        <w:rPr>
          <w:rFonts w:ascii="Arial" w:cs="Arial" w:eastAsia="Arial" w:hAnsi="Arial"/>
          <w:sz w:val="14"/>
          <w:szCs w:val="14"/>
          <w:color w:val="auto"/>
        </w:rPr>
      </w:pPr>
    </w:p>
    <w:p>
      <w:pPr>
        <w:ind w:left="1340" w:right="1339" w:hanging="116"/>
        <w:spacing w:after="0" w:line="290" w:lineRule="auto"/>
        <w:tabs>
          <w:tab w:leader="none" w:pos="13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our common stock constitutes a U.S. real property interest, or USRPI, by reason of our status as a U.S. real property holding corporation, or USRPHC, for U.S. federal income tax purposes.</w:t>
      </w:r>
    </w:p>
    <w:p>
      <w:pPr>
        <w:spacing w:after="0" w:line="86" w:lineRule="exact"/>
        <w:rPr>
          <w:sz w:val="20"/>
          <w:szCs w:val="20"/>
          <w:color w:val="auto"/>
        </w:rPr>
      </w:pPr>
    </w:p>
    <w:p>
      <w:pPr>
        <w:ind w:left="1220" w:right="1279"/>
        <w:spacing w:after="0" w:line="280" w:lineRule="auto"/>
        <w:rPr>
          <w:sz w:val="20"/>
          <w:szCs w:val="20"/>
          <w:color w:val="auto"/>
        </w:rPr>
      </w:pPr>
      <w:r>
        <w:rPr>
          <w:rFonts w:ascii="Arial" w:cs="Arial" w:eastAsia="Arial" w:hAnsi="Arial"/>
          <w:sz w:val="14"/>
          <w:szCs w:val="14"/>
          <w:color w:val="auto"/>
        </w:rPr>
        <w:t>Gain described in the first bullet point above generally will be subject to U.S. federal income tax on a net income basis at the regular rates. A Non-U.S. Holder that is a corporation also generally will be subject to a branch profits tax at a rate of 30% (or such lower rate specified by an applicable income tax treaty) on its effectively connected earnings and profits attributable to such gain, as adjusted for certain items.</w:t>
      </w:r>
    </w:p>
    <w:p>
      <w:pPr>
        <w:spacing w:after="0" w:line="285" w:lineRule="exact"/>
        <w:rPr>
          <w:sz w:val="20"/>
          <w:szCs w:val="20"/>
          <w:color w:val="auto"/>
        </w:rPr>
      </w:pPr>
    </w:p>
    <w:p>
      <w:pPr>
        <w:ind w:left="1220" w:right="1259"/>
        <w:spacing w:after="0" w:line="277" w:lineRule="auto"/>
        <w:rPr>
          <w:sz w:val="20"/>
          <w:szCs w:val="20"/>
          <w:color w:val="auto"/>
        </w:rPr>
      </w:pPr>
      <w:r>
        <w:rPr>
          <w:rFonts w:ascii="Arial" w:cs="Arial" w:eastAsia="Arial" w:hAnsi="Arial"/>
          <w:sz w:val="14"/>
          <w:szCs w:val="14"/>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07"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With respect to the third bullet point above, we believe we currently are not, and do not anticipate becoming, a USRPHC. However, because the determination of whether we are a USRPHC depends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If we are a USRPHC and either our common stock is not regularly traded on an established securities market or a Non-U.S. Holder holds more than 5% of our common stock, actually or constructively, during the applicable testing period, such Non-U.S. Holder will generally be taxed on any gain in the same manner as gain that is effectively connected with the conduct of a U.S. trade or business, except that the branch profits tax generally will not apply.</w:t>
      </w:r>
    </w:p>
    <w:p>
      <w:pPr>
        <w:spacing w:after="0" w:line="286" w:lineRule="exact"/>
        <w:rPr>
          <w:sz w:val="20"/>
          <w:szCs w:val="20"/>
          <w:color w:val="auto"/>
        </w:rPr>
      </w:pPr>
    </w:p>
    <w:p>
      <w:pPr>
        <w:ind w:left="1220" w:right="1399"/>
        <w:spacing w:after="0" w:line="290" w:lineRule="auto"/>
        <w:rPr>
          <w:sz w:val="20"/>
          <w:szCs w:val="20"/>
          <w:color w:val="auto"/>
        </w:rPr>
      </w:pPr>
      <w:r>
        <w:rPr>
          <w:rFonts w:ascii="Arial" w:cs="Arial" w:eastAsia="Arial" w:hAnsi="Arial"/>
          <w:sz w:val="14"/>
          <w:szCs w:val="14"/>
          <w:color w:val="auto"/>
        </w:rPr>
        <w:t>Non-U.S. Holders should consult their tax advisors regarding any applicable income tax treaties that may provide for different rules.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44" w:lineRule="exact"/>
        <w:rPr>
          <w:sz w:val="20"/>
          <w:szCs w:val="20"/>
          <w:color w:val="auto"/>
        </w:rPr>
      </w:pPr>
    </w:p>
    <w:p>
      <w:pPr>
        <w:ind w:left="1220" w:right="1319"/>
        <w:spacing w:after="0" w:line="275" w:lineRule="auto"/>
        <w:rPr>
          <w:sz w:val="20"/>
          <w:szCs w:val="20"/>
          <w:color w:val="auto"/>
        </w:rPr>
      </w:pPr>
      <w:r>
        <w:rPr>
          <w:rFonts w:ascii="Arial" w:cs="Arial" w:eastAsia="Arial" w:hAnsi="Arial"/>
          <w:sz w:val="14"/>
          <w:szCs w:val="14"/>
          <w:color w:val="auto"/>
        </w:rPr>
        <w:t>Payments of dividends on our common stock will not be subject to backup withholding, provided the holder either certifies its non-U.S. status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98" w:name="page199"/>
    <w:bookmarkEnd w:id="19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419"/>
        <w:spacing w:after="0" w:line="281" w:lineRule="auto"/>
        <w:rPr>
          <w:sz w:val="20"/>
          <w:szCs w:val="20"/>
          <w:color w:val="auto"/>
        </w:rPr>
      </w:pPr>
      <w:r>
        <w:rPr>
          <w:rFonts w:ascii="Arial" w:cs="Arial" w:eastAsia="Arial" w:hAnsi="Arial"/>
          <w:sz w:val="14"/>
          <w:szCs w:val="14"/>
          <w:color w:val="auto"/>
        </w:rPr>
        <w:t>Copies of information returns that are filed with the IRS also may be made available under the provisions of an applicable treaty or agreement to the tax authorities of the country in which the Non-U.S. Holder resides or is established.</w:t>
      </w:r>
    </w:p>
    <w:p>
      <w:pPr>
        <w:spacing w:after="0" w:line="93" w:lineRule="exact"/>
        <w:rPr>
          <w:sz w:val="20"/>
          <w:szCs w:val="20"/>
          <w:color w:val="auto"/>
        </w:rPr>
      </w:pPr>
    </w:p>
    <w:p>
      <w:pPr>
        <w:jc w:val="both"/>
        <w:ind w:left="1220" w:right="1299"/>
        <w:spacing w:after="0" w:line="281" w:lineRule="auto"/>
        <w:rPr>
          <w:sz w:val="20"/>
          <w:szCs w:val="20"/>
          <w:color w:val="auto"/>
        </w:rPr>
      </w:pPr>
      <w:r>
        <w:rPr>
          <w:rFonts w:ascii="Arial" w:cs="Arial" w:eastAsia="Arial" w:hAnsi="Arial"/>
          <w:sz w:val="14"/>
          <w:szCs w:val="14"/>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Additional withholding tax on payments made to foreign accounts</w:t>
      </w:r>
    </w:p>
    <w:p>
      <w:pPr>
        <w:spacing w:after="0" w:line="144" w:lineRule="exact"/>
        <w:rPr>
          <w:sz w:val="20"/>
          <w:szCs w:val="20"/>
          <w:color w:val="auto"/>
        </w:rPr>
      </w:pPr>
    </w:p>
    <w:p>
      <w:pPr>
        <w:ind w:left="1220" w:right="1279"/>
        <w:spacing w:after="0" w:line="274" w:lineRule="auto"/>
        <w:rPr>
          <w:sz w:val="20"/>
          <w:szCs w:val="20"/>
          <w:color w:val="auto"/>
        </w:rPr>
      </w:pPr>
      <w:r>
        <w:rPr>
          <w:rFonts w:ascii="Arial" w:cs="Arial" w:eastAsia="Arial" w:hAnsi="Arial"/>
          <w:sz w:val="14"/>
          <w:szCs w:val="14"/>
          <w:color w:val="auto"/>
        </w:rPr>
        <w:t>Withholding taxes may be imposed under Sections 1471 to 1474 of the Code (commonly referred to as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undertakes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296" w:lineRule="exact"/>
        <w:rPr>
          <w:sz w:val="20"/>
          <w:szCs w:val="20"/>
          <w:color w:val="auto"/>
        </w:rPr>
      </w:pPr>
    </w:p>
    <w:p>
      <w:pPr>
        <w:ind w:left="1220" w:right="1399"/>
        <w:spacing w:after="0" w:line="277" w:lineRule="auto"/>
        <w:rPr>
          <w:sz w:val="20"/>
          <w:szCs w:val="20"/>
          <w:color w:val="auto"/>
        </w:rPr>
      </w:pPr>
      <w:r>
        <w:rPr>
          <w:rFonts w:ascii="Arial" w:cs="Arial" w:eastAsia="Arial" w:hAnsi="Arial"/>
          <w:sz w:val="14"/>
          <w:szCs w:val="14"/>
          <w:color w:val="auto"/>
        </w:rPr>
        <w:t>Under the applicable Treasury Regulations and administrative guidance, withholding under FATCA generally applies currently to payments of dividends on our common stock. While withholding under FATCA would have applied also to payments of gross proceeds from the sale or other disposition of our common stock on or after January 1, 2021, proposed Treasury Regulations eliminate FATCA withholding on payments of gross proceeds entirely. Taxpayers generally may rely on these proposed Treasury Regulations until final Treasury Regulations are issued.</w:t>
      </w:r>
    </w:p>
    <w:p>
      <w:pPr>
        <w:spacing w:after="0" w:line="277" w:lineRule="exact"/>
        <w:rPr>
          <w:sz w:val="20"/>
          <w:szCs w:val="20"/>
          <w:color w:val="auto"/>
        </w:rPr>
      </w:pPr>
    </w:p>
    <w:p>
      <w:pPr>
        <w:ind w:left="1220" w:right="1639"/>
        <w:spacing w:after="0" w:line="290" w:lineRule="auto"/>
        <w:rPr>
          <w:sz w:val="20"/>
          <w:szCs w:val="20"/>
          <w:color w:val="auto"/>
        </w:rPr>
      </w:pPr>
      <w:r>
        <w:rPr>
          <w:rFonts w:ascii="Arial" w:cs="Arial" w:eastAsia="Arial" w:hAnsi="Arial"/>
          <w:sz w:val="14"/>
          <w:szCs w:val="14"/>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199" w:name="page200"/>
    <w:bookmarkEnd w:id="19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Underwriting</w:t>
      </w:r>
    </w:p>
    <w:p>
      <w:pPr>
        <w:spacing w:after="0" w:line="122"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We are offering the shares of common stock described in this prospectus through a number of underwriters. J.P. Morgan Securities LLC, BofA Securities, Inc., SVB Leerink LLC, and Piper Sandler &amp; Co. are acting as joint book-running managers of the offering and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34"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980" w:type="dxa"/>
            <w:vAlign w:val="bottom"/>
            <w:tcBorders>
              <w:top w:val="single" w:sz="8" w:color="auto"/>
            </w:tcBorders>
          </w:tcPr>
          <w:p>
            <w:pPr>
              <w:spacing w:after="0"/>
              <w:rPr>
                <w:sz w:val="14"/>
                <w:szCs w:val="14"/>
                <w:color w:val="auto"/>
              </w:rPr>
            </w:pPr>
          </w:p>
        </w:tc>
        <w:tc>
          <w:tcPr>
            <w:tcW w:w="35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Number of</w:t>
            </w:r>
          </w:p>
        </w:tc>
      </w:tr>
      <w:tr>
        <w:trPr>
          <w:trHeight w:val="151"/>
        </w:trPr>
        <w:tc>
          <w:tcPr>
            <w:tcW w:w="2980" w:type="dxa"/>
            <w:vAlign w:val="bottom"/>
          </w:tcPr>
          <w:p>
            <w:pPr>
              <w:spacing w:after="0"/>
              <w:rPr>
                <w:sz w:val="13"/>
                <w:szCs w:val="13"/>
                <w:color w:val="auto"/>
              </w:rPr>
            </w:pPr>
          </w:p>
        </w:tc>
        <w:tc>
          <w:tcPr>
            <w:tcW w:w="3580" w:type="dxa"/>
            <w:vAlign w:val="bottom"/>
          </w:tcPr>
          <w:p>
            <w:pPr>
              <w:jc w:val="right"/>
              <w:spacing w:after="0"/>
              <w:rPr>
                <w:sz w:val="20"/>
                <w:szCs w:val="20"/>
                <w:color w:val="auto"/>
              </w:rPr>
            </w:pPr>
            <w:r>
              <w:rPr>
                <w:rFonts w:ascii="Arial" w:cs="Arial" w:eastAsia="Arial" w:hAnsi="Arial"/>
                <w:sz w:val="13"/>
                <w:szCs w:val="13"/>
                <w:b w:val="1"/>
                <w:bCs w:val="1"/>
                <w:color w:val="auto"/>
              </w:rPr>
              <w:t>shares of</w:t>
            </w:r>
          </w:p>
        </w:tc>
      </w:tr>
      <w:tr>
        <w:trPr>
          <w:trHeight w:val="171"/>
        </w:trPr>
        <w:tc>
          <w:tcPr>
            <w:tcW w:w="298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3580" w:type="dxa"/>
            <w:vAlign w:val="bottom"/>
          </w:tcPr>
          <w:p>
            <w:pPr>
              <w:jc w:val="right"/>
              <w:spacing w:after="0"/>
              <w:rPr>
                <w:sz w:val="20"/>
                <w:szCs w:val="20"/>
                <w:color w:val="auto"/>
              </w:rPr>
            </w:pPr>
            <w:r>
              <w:rPr>
                <w:rFonts w:ascii="Arial" w:cs="Arial" w:eastAsia="Arial" w:hAnsi="Arial"/>
                <w:sz w:val="13"/>
                <w:szCs w:val="13"/>
                <w:b w:val="1"/>
                <w:bCs w:val="1"/>
                <w:color w:val="auto"/>
              </w:rPr>
              <w:t>common stock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10160</wp:posOffset>
            </wp:positionV>
            <wp:extent cx="4165600" cy="1301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165600" cy="130175"/>
                    </a:xfrm>
                    <a:prstGeom prst="rect">
                      <a:avLst/>
                    </a:prstGeom>
                    <a:noFill/>
                  </pic:spPr>
                </pic:pic>
              </a:graphicData>
            </a:graphic>
          </wp:anchor>
        </w:drawing>
      </w:r>
    </w:p>
    <w:p>
      <w:pPr>
        <w:spacing w:after="0" w:line="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J.P. Morgan Securities LLC</w:t>
      </w:r>
    </w:p>
    <w:p>
      <w:pPr>
        <w:spacing w:after="0" w:line="4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21590</wp:posOffset>
            </wp:positionV>
            <wp:extent cx="4165600" cy="1301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165600" cy="130175"/>
                    </a:xfrm>
                    <a:prstGeom prst="rect">
                      <a:avLst/>
                    </a:prstGeom>
                    <a:noFill/>
                  </pic:spPr>
                </pic:pic>
              </a:graphicData>
            </a:graphic>
          </wp:anchor>
        </w:drawing>
      </w:r>
    </w:p>
    <w:p>
      <w:pPr>
        <w:spacing w:after="0" w:line="2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SVB Leerink LLC</w:t>
      </w:r>
    </w:p>
    <w:p>
      <w:pPr>
        <w:spacing w:after="0" w:line="4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14605</wp:posOffset>
            </wp:positionV>
            <wp:extent cx="416560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165600" cy="137160"/>
                    </a:xfrm>
                    <a:prstGeom prst="rect">
                      <a:avLst/>
                    </a:prstGeom>
                    <a:noFill/>
                  </pic:spPr>
                </pic:pic>
              </a:graphicData>
            </a:graphic>
          </wp:anchor>
        </w:drawing>
      </w:r>
    </w:p>
    <w:p>
      <w:pPr>
        <w:spacing w:after="0" w:line="1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28575</wp:posOffset>
            </wp:positionV>
            <wp:extent cx="4165600"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165600" cy="6985"/>
                    </a:xfrm>
                    <a:prstGeom prst="rect">
                      <a:avLst/>
                    </a:prstGeom>
                    <a:noFill/>
                  </pic:spPr>
                </pic:pic>
              </a:graphicData>
            </a:graphic>
          </wp:anchor>
        </w:drawing>
      </w:r>
    </w:p>
    <w:p>
      <w:pPr>
        <w:spacing w:after="0" w:line="143" w:lineRule="exact"/>
        <w:rPr>
          <w:sz w:val="20"/>
          <w:szCs w:val="20"/>
          <w:color w:val="auto"/>
        </w:rPr>
      </w:pPr>
    </w:p>
    <w:p>
      <w:pPr>
        <w:ind w:left="1220" w:right="1319"/>
        <w:spacing w:after="0" w:line="262" w:lineRule="auto"/>
        <w:rPr>
          <w:sz w:val="20"/>
          <w:szCs w:val="20"/>
          <w:color w:val="auto"/>
        </w:rPr>
      </w:pPr>
      <w:r>
        <w:rPr>
          <w:rFonts w:ascii="Arial" w:cs="Arial" w:eastAsia="Arial" w:hAnsi="Arial"/>
          <w:sz w:val="14"/>
          <w:szCs w:val="14"/>
          <w:color w:val="auto"/>
        </w:rPr>
        <w:t>The underwriters are committed to purchase all the shares of common stock offered by us if they purchase any shares of common stock. The underwriting agreement also provides that if an underwriter defaults, the purchase commitments of non-defaulting underwriters may also be increased or the offering may be terminated.</w:t>
      </w:r>
    </w:p>
    <w:p>
      <w:pPr>
        <w:spacing w:after="0" w:line="95" w:lineRule="exact"/>
        <w:rPr>
          <w:sz w:val="20"/>
          <w:szCs w:val="20"/>
          <w:color w:val="auto"/>
        </w:rPr>
      </w:pPr>
    </w:p>
    <w:p>
      <w:pPr>
        <w:ind w:left="1220" w:right="1399"/>
        <w:spacing w:after="0" w:line="257" w:lineRule="auto"/>
        <w:rPr>
          <w:sz w:val="20"/>
          <w:szCs w:val="20"/>
          <w:color w:val="auto"/>
        </w:rPr>
      </w:pPr>
      <w:r>
        <w:rPr>
          <w:rFonts w:ascii="Arial" w:cs="Arial" w:eastAsia="Arial" w:hAnsi="Arial"/>
          <w:sz w:val="14"/>
          <w:szCs w:val="14"/>
          <w:color w:val="auto"/>
        </w:rPr>
        <w:t>The underwriters propose to offer the shares of common stock directly to the public at the initial public offering price set forth on the cover page of this prospectus and to certain dealers at that</w:t>
      </w:r>
    </w:p>
    <w:p>
      <w:pPr>
        <w:ind w:left="1220" w:right="1339"/>
        <w:spacing w:after="0" w:line="262" w:lineRule="auto"/>
        <w:rPr>
          <w:sz w:val="20"/>
          <w:szCs w:val="20"/>
          <w:color w:val="auto"/>
        </w:rPr>
      </w:pPr>
      <w:r>
        <w:rPr>
          <w:rFonts w:ascii="Arial" w:cs="Arial" w:eastAsia="Arial" w:hAnsi="Arial"/>
          <w:sz w:val="14"/>
          <w:szCs w:val="14"/>
          <w:color w:val="auto"/>
        </w:rPr>
        <w:t>price less a concession not in excess of $ per share. After the initial offering of the shares of common stock to the public, if all of the shares of common stock are not sold at the initial public offering price, the underwriters may change the offering price and the other selling terms. Sales of any shares of common stock made outside of the United States may be made by affiliates of the underwriters.</w:t>
      </w:r>
    </w:p>
    <w:p>
      <w:pPr>
        <w:spacing w:after="0" w:line="279"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The underwriters have an option to buy up to additional shares of common stock from us to cover sales of shares of common stock by the underwriters which exceed the number of shares of common stock specified in the table above. The underwriters have 30 days from the date of this prospectus to exercise this option to purchase additional shares of common stock. If any shares of common stock are purchased with this option to purchase additional shares of common stock, the underwriters will purchase shares of common stock in approximately the same proportion as shown in the table above. If any additional shares of common stock are purchased, the underwriters will offer the additional shares of common stock on the same terms as those on which the shares of common stock are being offered.</w:t>
      </w:r>
    </w:p>
    <w:p>
      <w:pPr>
        <w:spacing w:after="0" w:line="29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underwriting fee is equal to the public offering price per common share less the amount paid</w:t>
      </w:r>
    </w:p>
    <w:p>
      <w:pPr>
        <w:spacing w:after="0" w:line="22" w:lineRule="exact"/>
        <w:rPr>
          <w:sz w:val="20"/>
          <w:szCs w:val="20"/>
          <w:color w:val="auto"/>
        </w:rPr>
      </w:pPr>
    </w:p>
    <w:p>
      <w:pPr>
        <w:ind w:left="1220" w:right="1319"/>
        <w:spacing w:after="0" w:line="278" w:lineRule="auto"/>
        <w:rPr>
          <w:sz w:val="20"/>
          <w:szCs w:val="20"/>
          <w:color w:val="auto"/>
        </w:rPr>
      </w:pPr>
      <w:r>
        <w:rPr>
          <w:rFonts w:ascii="Arial" w:cs="Arial" w:eastAsia="Arial" w:hAnsi="Arial"/>
          <w:sz w:val="14"/>
          <w:szCs w:val="14"/>
          <w:color w:val="auto"/>
        </w:rPr>
        <w:t>by the underwriters to us per common share. The underwriting fee is $ per share. The following table shows the per share and total underwriting discounts and commissions to be paid to the underwriters assuming both no exercise and full exercise of the underwriters’ option to purchase additional shares of common stock.</w:t>
      </w:r>
    </w:p>
    <w:p>
      <w:pPr>
        <w:spacing w:after="0" w:line="109"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1000" w:type="dxa"/>
            <w:vAlign w:val="bottom"/>
          </w:tcPr>
          <w:p>
            <w:pPr>
              <w:spacing w:after="0"/>
              <w:rPr>
                <w:sz w:val="13"/>
                <w:szCs w:val="13"/>
                <w:color w:val="auto"/>
              </w:rPr>
            </w:pPr>
          </w:p>
        </w:tc>
        <w:tc>
          <w:tcPr>
            <w:tcW w:w="224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Without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With full</w:t>
            </w:r>
          </w:p>
        </w:tc>
        <w:tc>
          <w:tcPr>
            <w:tcW w:w="100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60" w:type="dxa"/>
            <w:vAlign w:val="bottom"/>
          </w:tcPr>
          <w:p>
            <w:pPr>
              <w:jc w:val="right"/>
              <w:ind w:right="74"/>
              <w:spacing w:after="0"/>
              <w:rPr>
                <w:sz w:val="20"/>
                <w:szCs w:val="20"/>
                <w:color w:val="auto"/>
              </w:rPr>
            </w:pPr>
            <w:r>
              <w:rPr>
                <w:rFonts w:ascii="Arial" w:cs="Arial" w:eastAsia="Arial" w:hAnsi="Arial"/>
                <w:sz w:val="13"/>
                <w:szCs w:val="13"/>
                <w:b w:val="1"/>
                <w:bCs w:val="1"/>
                <w:color w:val="auto"/>
              </w:rPr>
              <w:t>option to</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option to</w:t>
            </w:r>
          </w:p>
        </w:tc>
        <w:tc>
          <w:tcPr>
            <w:tcW w:w="100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60" w:type="dxa"/>
            <w:vAlign w:val="bottom"/>
          </w:tcPr>
          <w:p>
            <w:pPr>
              <w:jc w:val="right"/>
              <w:ind w:right="74"/>
              <w:spacing w:after="0"/>
              <w:rPr>
                <w:sz w:val="20"/>
                <w:szCs w:val="20"/>
                <w:color w:val="auto"/>
              </w:rPr>
            </w:pPr>
            <w:r>
              <w:rPr>
                <w:rFonts w:ascii="Arial" w:cs="Arial" w:eastAsia="Arial" w:hAnsi="Arial"/>
                <w:sz w:val="13"/>
                <w:szCs w:val="13"/>
                <w:b w:val="1"/>
                <w:bCs w:val="1"/>
                <w:color w:val="auto"/>
              </w:rPr>
              <w:t>purchase</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purchase</w:t>
            </w:r>
          </w:p>
        </w:tc>
        <w:tc>
          <w:tcPr>
            <w:tcW w:w="100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60" w:type="dxa"/>
            <w:vAlign w:val="bottom"/>
          </w:tcPr>
          <w:p>
            <w:pPr>
              <w:jc w:val="right"/>
              <w:ind w:right="74"/>
              <w:spacing w:after="0"/>
              <w:rPr>
                <w:sz w:val="20"/>
                <w:szCs w:val="20"/>
                <w:color w:val="auto"/>
              </w:rPr>
            </w:pPr>
            <w:r>
              <w:rPr>
                <w:rFonts w:ascii="Arial" w:cs="Arial" w:eastAsia="Arial" w:hAnsi="Arial"/>
                <w:sz w:val="13"/>
                <w:szCs w:val="13"/>
                <w:b w:val="1"/>
                <w:bCs w:val="1"/>
                <w:color w:val="auto"/>
              </w:rPr>
              <w:t>additional</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additional</w:t>
            </w:r>
          </w:p>
        </w:tc>
        <w:tc>
          <w:tcPr>
            <w:tcW w:w="100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60" w:type="dxa"/>
            <w:vAlign w:val="bottom"/>
          </w:tcPr>
          <w:p>
            <w:pPr>
              <w:jc w:val="right"/>
              <w:ind w:right="74"/>
              <w:spacing w:after="0"/>
              <w:rPr>
                <w:sz w:val="20"/>
                <w:szCs w:val="20"/>
                <w:color w:val="auto"/>
              </w:rPr>
            </w:pPr>
            <w:r>
              <w:rPr>
                <w:rFonts w:ascii="Arial" w:cs="Arial" w:eastAsia="Arial" w:hAnsi="Arial"/>
                <w:sz w:val="13"/>
                <w:szCs w:val="13"/>
                <w:b w:val="1"/>
                <w:bCs w:val="1"/>
                <w:color w:val="auto"/>
              </w:rPr>
              <w:t>shares of</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shares of</w:t>
            </w:r>
          </w:p>
        </w:tc>
        <w:tc>
          <w:tcPr>
            <w:tcW w:w="100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60" w:type="dxa"/>
            <w:vAlign w:val="bottom"/>
          </w:tcPr>
          <w:p>
            <w:pPr>
              <w:jc w:val="right"/>
              <w:ind w:right="74"/>
              <w:spacing w:after="0"/>
              <w:rPr>
                <w:sz w:val="20"/>
                <w:szCs w:val="20"/>
                <w:color w:val="auto"/>
              </w:rPr>
            </w:pPr>
            <w:r>
              <w:rPr>
                <w:rFonts w:ascii="Arial" w:cs="Arial" w:eastAsia="Arial" w:hAnsi="Arial"/>
                <w:sz w:val="13"/>
                <w:szCs w:val="13"/>
                <w:b w:val="1"/>
                <w:bCs w:val="1"/>
                <w:color w:val="auto"/>
              </w:rPr>
              <w:t>common stock</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common stock</w:t>
            </w:r>
          </w:p>
        </w:tc>
        <w:tc>
          <w:tcPr>
            <w:tcW w:w="1000" w:type="dxa"/>
            <w:vAlign w:val="bottom"/>
          </w:tcPr>
          <w:p>
            <w:pPr>
              <w:spacing w:after="0"/>
              <w:rPr>
                <w:sz w:val="13"/>
                <w:szCs w:val="13"/>
                <w:color w:val="auto"/>
              </w:rPr>
            </w:pPr>
          </w:p>
        </w:tc>
      </w:tr>
      <w:tr>
        <w:trPr>
          <w:trHeight w:val="178"/>
        </w:trPr>
        <w:tc>
          <w:tcPr>
            <w:tcW w:w="1000" w:type="dxa"/>
            <w:vAlign w:val="bottom"/>
          </w:tcPr>
          <w:p>
            <w:pPr>
              <w:spacing w:after="0"/>
              <w:rPr>
                <w:sz w:val="15"/>
                <w:szCs w:val="15"/>
                <w:color w:val="auto"/>
              </w:rPr>
            </w:pPr>
          </w:p>
        </w:tc>
        <w:tc>
          <w:tcPr>
            <w:tcW w:w="224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exercise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exercise</w:t>
            </w:r>
          </w:p>
        </w:tc>
        <w:tc>
          <w:tcPr>
            <w:tcW w:w="100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4"/>
                <w:szCs w:val="14"/>
                <w:color w:val="auto"/>
              </w:rPr>
              <w:t>Per Common Share</w:t>
            </w:r>
          </w:p>
        </w:tc>
        <w:tc>
          <w:tcPr>
            <w:tcW w:w="20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172"/>
        </w:trPr>
        <w:tc>
          <w:tcPr>
            <w:tcW w:w="1000" w:type="dxa"/>
            <w:vAlign w:val="bottom"/>
          </w:tcPr>
          <w:p>
            <w:pPr>
              <w:spacing w:after="0"/>
              <w:rPr>
                <w:sz w:val="14"/>
                <w:szCs w:val="14"/>
                <w:color w:val="auto"/>
              </w:rPr>
            </w:pPr>
          </w:p>
        </w:tc>
        <w:tc>
          <w:tcPr>
            <w:tcW w:w="2240" w:type="dxa"/>
            <w:vAlign w:val="bottom"/>
          </w:tcPr>
          <w:p>
            <w:pPr>
              <w:spacing w:after="0"/>
              <w:rPr>
                <w:sz w:val="20"/>
                <w:szCs w:val="20"/>
                <w:color w:val="auto"/>
              </w:rPr>
            </w:pPr>
            <w:r>
              <w:rPr>
                <w:rFonts w:ascii="Arial" w:cs="Arial" w:eastAsia="Arial" w:hAnsi="Arial"/>
                <w:sz w:val="14"/>
                <w:szCs w:val="14"/>
                <w:color w:val="auto"/>
              </w:rPr>
              <w:t>Total</w:t>
            </w:r>
          </w:p>
        </w:tc>
        <w:tc>
          <w:tcPr>
            <w:tcW w:w="3240" w:type="dxa"/>
            <w:vAlign w:val="bottom"/>
            <w:gridSpan w:val="2"/>
          </w:tcPr>
          <w:p>
            <w:pPr>
              <w:jc w:val="right"/>
              <w:ind w:right="854"/>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754"/>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r>
      <w:tr>
        <w:trPr>
          <w:trHeight w:val="22"/>
        </w:trPr>
        <w:tc>
          <w:tcPr>
            <w:tcW w:w="10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508"/>
        </w:trPr>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80" w:type="dxa"/>
            <w:vAlign w:val="bottom"/>
          </w:tcPr>
          <w:p>
            <w:pPr>
              <w:jc w:val="right"/>
              <w:ind w:right="868"/>
              <w:spacing w:after="0"/>
              <w:rPr>
                <w:sz w:val="20"/>
                <w:szCs w:val="20"/>
                <w:color w:val="auto"/>
              </w:rPr>
            </w:pPr>
            <w:r>
              <w:rPr>
                <w:rFonts w:ascii="Arial" w:cs="Arial" w:eastAsia="Arial" w:hAnsi="Arial"/>
                <w:sz w:val="14"/>
                <w:szCs w:val="14"/>
                <w:color w:val="auto"/>
              </w:rPr>
              <w:t>185</w:t>
            </w: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6"/>
        </w:trPr>
        <w:tc>
          <w:tcPr>
            <w:tcW w:w="10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-800735</wp:posOffset>
            </wp:positionV>
            <wp:extent cx="2733675"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733675" cy="6985"/>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-26035</wp:posOffset>
            </wp:positionV>
            <wp:extent cx="32385" cy="393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-26035</wp:posOffset>
            </wp:positionV>
            <wp:extent cx="32385" cy="393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0" w:name="page201"/>
    <w:bookmarkEnd w:id="20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99"/>
        <w:spacing w:after="0" w:line="257" w:lineRule="auto"/>
        <w:rPr>
          <w:sz w:val="20"/>
          <w:szCs w:val="20"/>
          <w:color w:val="auto"/>
        </w:rPr>
      </w:pPr>
      <w:r>
        <w:rPr>
          <w:rFonts w:ascii="Arial" w:cs="Arial" w:eastAsia="Arial" w:hAnsi="Arial"/>
          <w:sz w:val="14"/>
          <w:szCs w:val="14"/>
          <w:color w:val="auto"/>
        </w:rPr>
        <w:t>We estimate that the total expenses of this offering, including registration, filing and listing fees, printing fees and legal and accounting expenses, but excluding the underwriting discounts and</w:t>
      </w:r>
    </w:p>
    <w:p>
      <w:pPr>
        <w:ind w:left="1220"/>
        <w:spacing w:after="0"/>
        <w:tabs>
          <w:tab w:leader="none" w:pos="4320" w:val="left"/>
        </w:tabs>
        <w:rPr>
          <w:sz w:val="20"/>
          <w:szCs w:val="20"/>
          <w:color w:val="auto"/>
        </w:rPr>
      </w:pPr>
      <w:r>
        <w:rPr>
          <w:rFonts w:ascii="Arial" w:cs="Arial" w:eastAsia="Arial" w:hAnsi="Arial"/>
          <w:sz w:val="14"/>
          <w:szCs w:val="14"/>
          <w:color w:val="auto"/>
        </w:rPr>
        <w:t>commissions, will be approximately $</w:t>
      </w:r>
      <w:r>
        <w:rPr>
          <w:sz w:val="20"/>
          <w:szCs w:val="20"/>
          <w:color w:val="auto"/>
        </w:rPr>
        <w:tab/>
      </w:r>
      <w:r>
        <w:rPr>
          <w:rFonts w:ascii="Arial" w:cs="Arial" w:eastAsia="Arial" w:hAnsi="Arial"/>
          <w:sz w:val="14"/>
          <w:szCs w:val="14"/>
          <w:color w:val="auto"/>
        </w:rPr>
        <w:t>million.</w:t>
      </w:r>
    </w:p>
    <w:p>
      <w:pPr>
        <w:spacing w:after="0" w:line="120" w:lineRule="exact"/>
        <w:rPr>
          <w:sz w:val="20"/>
          <w:szCs w:val="20"/>
          <w:color w:val="auto"/>
        </w:rPr>
      </w:pPr>
    </w:p>
    <w:p>
      <w:pPr>
        <w:ind w:left="1220" w:right="1239"/>
        <w:spacing w:after="0" w:line="257" w:lineRule="auto"/>
        <w:rPr>
          <w:sz w:val="20"/>
          <w:szCs w:val="20"/>
          <w:color w:val="auto"/>
        </w:rPr>
      </w:pPr>
      <w:r>
        <w:rPr>
          <w:rFonts w:ascii="Arial" w:cs="Arial" w:eastAsia="Arial" w:hAnsi="Arial"/>
          <w:sz w:val="14"/>
          <w:szCs w:val="14"/>
          <w:color w:val="auto"/>
        </w:rPr>
        <w:t>A prospectus in electronic format may be made available on the web sites maintained by one or more underwriters, or selling group members, if any, participating in the offering. The underwriters may agree to allocate a number of shares of common stock to underwriters and selling group members for sale to their online brokerage account holders. Internet distributions will be allocated by the representatives to underwriters and selling group members that may make Internet distributions on the same basis as other allocations. We have also agreed to reimburse the</w:t>
      </w:r>
    </w:p>
    <w:p>
      <w:pPr>
        <w:spacing w:after="0" w:line="1" w:lineRule="exact"/>
        <w:rPr>
          <w:sz w:val="20"/>
          <w:szCs w:val="20"/>
          <w:color w:val="auto"/>
        </w:rPr>
      </w:pPr>
    </w:p>
    <w:p>
      <w:pPr>
        <w:ind w:left="1220"/>
        <w:spacing w:after="0"/>
        <w:tabs>
          <w:tab w:leader="none" w:pos="6060" w:val="left"/>
        </w:tabs>
        <w:rPr>
          <w:sz w:val="20"/>
          <w:szCs w:val="20"/>
          <w:color w:val="auto"/>
        </w:rPr>
      </w:pPr>
      <w:r>
        <w:rPr>
          <w:rFonts w:ascii="Arial" w:cs="Arial" w:eastAsia="Arial" w:hAnsi="Arial"/>
          <w:sz w:val="14"/>
          <w:szCs w:val="14"/>
          <w:color w:val="auto"/>
        </w:rPr>
        <w:t>underwriters for certain of their expenses in an amount of up to $</w:t>
      </w:r>
      <w:r>
        <w:rPr>
          <w:sz w:val="20"/>
          <w:szCs w:val="20"/>
          <w:color w:val="auto"/>
        </w:rPr>
        <w:tab/>
      </w:r>
      <w:r>
        <w:rPr>
          <w:rFonts w:ascii="Arial" w:cs="Arial" w:eastAsia="Arial" w:hAnsi="Arial"/>
          <w:sz w:val="14"/>
          <w:szCs w:val="14"/>
          <w:color w:val="auto"/>
        </w:rPr>
        <w:t>.</w:t>
      </w:r>
    </w:p>
    <w:p>
      <w:pPr>
        <w:spacing w:after="0" w:line="130" w:lineRule="exact"/>
        <w:rPr>
          <w:sz w:val="20"/>
          <w:szCs w:val="20"/>
          <w:color w:val="auto"/>
        </w:rPr>
      </w:pPr>
    </w:p>
    <w:p>
      <w:pPr>
        <w:ind w:left="1220" w:right="1259"/>
        <w:spacing w:after="0" w:line="257" w:lineRule="auto"/>
        <w:rPr>
          <w:sz w:val="20"/>
          <w:szCs w:val="20"/>
          <w:color w:val="auto"/>
        </w:rPr>
      </w:pPr>
      <w:r>
        <w:rPr>
          <w:rFonts w:ascii="Arial" w:cs="Arial" w:eastAsia="Arial" w:hAnsi="Arial"/>
          <w:sz w:val="14"/>
          <w:szCs w:val="14"/>
          <w:color w:val="auto"/>
        </w:rPr>
        <w:t>Our directors and executive officers, and substantially all of our stockholders (such persons, “lock-up parties”) will enter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BofA Securities, Inc., SVB Leerink LLC, and Piper Sandler &amp; Co., (i) offer, pledge, sell, contract to sell, sell any option, or contract to purchase, purchase any option or contract to sell, grant any option, right or warrant to purchase, lend, or otherwise transfer or dispose of, directly or indirectly, any shares of common stock of the Company or any securities convertible into or exercisable or exchangeable for common stock (including without limitation, common stock or such other securities which may be deemed to be beneficially owned by the lock-up party in accordance with the rules and regulations of the SEC and securities which may be issued upon exercise of a stock option or warrant) (collectively with the common stock, the “Lock-Up Securities”), (ii) enter into any hedging, swap, or other agreement or transaction that transfers, in whole or in part, any of the economic consequences of ownership of the Lock-Up Securities, whether any such transaction described in clause (i) or (ii) above is to be settled by delivery of Lock-Up Securities, in cash or otherwise, (iii) make any demand for or exercise any right with respect to the registration of any Lock-Up Securities, or (iv) publicly disclose the intention to do any of the foregoing (and, for the avoidance of doubt, the lock-up party has waived any and all notice requirements and rights with respect to the registration of any securities pursuant to any agreement, instrument, understanding or otherwise, including any stockholders or registration rights agreement or similar agreement, to which the lock-up party is a party or under which the lock-up party is entitled to any right or benefit; provided, however, that such waiver shall apply only to this offering). Each lock-up party has further acknowledged that the foregoing precludes the lock-up party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lock-up party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Each lock-up party will further confirm that it will furnish the representatives with the details of any transaction the lock-up party, or any of its affiliates, is a party to as of the date hereof, which transaction would have been restricted by the lock-up agreement if it had been entered into by the lock-up party during the Restricted Period.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20" w:right="1239"/>
        <w:spacing w:after="0" w:line="257" w:lineRule="auto"/>
        <w:rPr>
          <w:sz w:val="20"/>
          <w:szCs w:val="20"/>
          <w:color w:val="auto"/>
        </w:rPr>
      </w:pPr>
      <w:r>
        <w:rPr>
          <w:rFonts w:ascii="Arial" w:cs="Arial" w:eastAsia="Arial" w:hAnsi="Arial"/>
          <w:sz w:val="14"/>
          <w:szCs w:val="14"/>
          <w:color w:val="auto"/>
        </w:rPr>
        <w:t>The restrictions described in the immediately preceding paragraph and contained in the lock-up agreements to be entered into between the underwriters and the lock-up parties do not apply, subject in certain cases to various conditions, to certain transactions, including (a) transfer the lock-up party’s Lock-Up Securities: (i) as a bona fide gift or gifts, or for bona fide estate planning purposes, (ii) by will, other testamentary document or intestacy, (iii) to an immediate family member (as defined in the lock-up agreement) of the lock-up party or any trust for the direct or indirect benefit of the lock-up party or the immediate family of the lock-up party, or if the lock-up party is a trust, to a trustor or beneficiary of the trust or to the estate of a beneficiary of such trust,</w:t>
      </w:r>
    </w:p>
    <w:p>
      <w:pPr>
        <w:spacing w:after="0" w:line="2" w:lineRule="exact"/>
        <w:rPr>
          <w:sz w:val="20"/>
          <w:szCs w:val="20"/>
          <w:color w:val="auto"/>
        </w:rPr>
      </w:pPr>
    </w:p>
    <w:p>
      <w:pPr>
        <w:ind w:left="1220" w:right="1239" w:firstLine="4"/>
        <w:spacing w:after="0" w:line="262" w:lineRule="auto"/>
        <w:tabs>
          <w:tab w:leader="none" w:pos="1478"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to a partnership, limited liability company, or other entity of which the lock-up party and/or the immediate family of the lock-up party are the legal and beneficial owner of all of the outstanding equity securities or similar interests, (v) to a nominee or custodian of a person or entity to whom a disposition or transfer would be permissible under clauses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1" w:name="page202"/>
    <w:bookmarkEnd w:id="20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firstLine="4"/>
        <w:spacing w:after="0" w:line="258" w:lineRule="auto"/>
        <w:tabs>
          <w:tab w:leader="none" w:pos="1402"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through (iv) above, (vi) if the lock-up party is a corporation, partnership, limited liability company, trust, or other business entity, (A) to another corporation, partnership, limited liability company, trust, or other business entity that is an affiliate (as defined in Rule 405 promulgated under the Securities Act) of the lock-up party, or to any investment fund or other entity controlling, controlled by, managing or managed by, or under common control with the lock-up party or affiliates of the lock-up party (including, for the avoidance of doubt, where the lock-up party is a partnership, to its general partner or a successor partnership or fund, or any other funds managed by such partnership), or (B) as part of a distribution to members, partners, stockholders, or other equity holders of the lock-up party, (vii) by operation of law, such as pursuant to a qualified domestic order, divorce settlement, divorce decree, separation agreement, or other court order, (viii) to the Company from an employee or other service provider of the Company upon death, disability or termination of employment or service, in each case, of such employee or service provider, (ix) in connection with a sale of the lock-up party’s Lock-Up Securities after the closing date of this offering acquired (A) in open market transactions after the closing date of this offering or (B) from the underwriters in this offering; (x) to the Company in connection with the vesting, settlement, or exercise of restricted stock units, options, warrants, or other rights to purchase shares of common stock (including, in each case, by way of “net” or “cashless” exercise), including for the payment of exercise price and tax withholdings and remittance payments due as a result of the vesting, settlement, or exercise of such restricted stock units, options, warrants, or rights, provided that any such shares of common stock received upon such exercise, vesting, or settlement shall be subject to the terms of the lock-up agreement, and provided further that any such restricted stock units, options, warrants, or rights are held by the lock-up party pursuant to an agreement or equity awards granted under a stock incentive plan or other equity award plan, each such agreement or plan which is described in this prospectus, or</w:t>
      </w:r>
    </w:p>
    <w:p>
      <w:pPr>
        <w:spacing w:after="0" w:line="335" w:lineRule="exact"/>
        <w:rPr>
          <w:rFonts w:ascii="Arial" w:cs="Arial" w:eastAsia="Arial" w:hAnsi="Arial"/>
          <w:sz w:val="14"/>
          <w:szCs w:val="14"/>
          <w:color w:val="auto"/>
        </w:rPr>
      </w:pPr>
    </w:p>
    <w:p>
      <w:pPr>
        <w:ind w:left="1220" w:right="1259" w:firstLine="4"/>
        <w:spacing w:after="0" w:line="257" w:lineRule="auto"/>
        <w:tabs>
          <w:tab w:leader="none" w:pos="1478" w:val="left"/>
        </w:tabs>
        <w:numPr>
          <w:ilvl w:val="0"/>
          <w:numId w:val="114"/>
        </w:numPr>
        <w:rPr>
          <w:rFonts w:ascii="Arial" w:cs="Arial" w:eastAsia="Arial" w:hAnsi="Arial"/>
          <w:sz w:val="14"/>
          <w:szCs w:val="14"/>
          <w:color w:val="auto"/>
        </w:rPr>
      </w:pPr>
      <w:r>
        <w:rPr>
          <w:rFonts w:ascii="Arial" w:cs="Arial" w:eastAsia="Arial" w:hAnsi="Arial"/>
          <w:sz w:val="14"/>
          <w:szCs w:val="14"/>
          <w:color w:val="auto"/>
        </w:rPr>
        <w:t>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lock-up party’s Lock-Up Securities shall remain subject to the provisions of the lock-up agreement; provided that (A) in the case of any transfer, distribution, or other distribution pursuant to clause (a)(i), (ii), (iii), (iv), (v), (vi) , and (vii), such transfer shall not involve a disposition for value and each donee, devisee, transferee, or distributee shall execute and deliver to the representatives a lock-up letter in the form of the lock-up agreement, (B) in the case of any transfer or distribution pursuant to clause (a) (i), (ii), (iii), (iv), (v), and (vi), no filing by any party (donor, donee, devisee, transferor, transferee, distributer, or distributee) under the Exchange Act or other public announcement shall be required or shall be made voluntarily in connection with such transfer or distribution (other than a filing on a Form 5 made after the expiration of the Restricted Period referred to above) and (C) in the case of any transfer or distribution pursuant to clause (a)(vii), (viii), (ix) , and (x)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 (b) exercise options, settled restricted stock units, or other equity awards or exercise warrants pursuant to plans described in this prospectus; provided that any Lock-Up Securities received upon such exercise, vesting, or settlement shall be subject to the terms of the lock-up agreement; (c) convert outstanding preferred stock, warrants to acquire preferred stock, or convertible securities into shares of common stock or warrants to acquire shares of common stock; provided that any such shares of common stock or warrants received upon such conversion shall be subject to the terms of the lock-up agreement; 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20" w:right="1479" w:firstLine="4"/>
        <w:spacing w:after="0" w:line="261" w:lineRule="auto"/>
        <w:tabs>
          <w:tab w:leader="none" w:pos="145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establish trading plans pursuant to Rule 10b5-1 under the Exchange Act for the transfer or disposition of shares of Lock-Up Securities; provided that (1) such plans do not provide for the transfer of Lock-Up Securities during the Restricted Period and (2) no filing by any party under the Exchange Act or other public announcement shall be required or made voluntarily in connection with such trading plan during the Restricted Period.</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2" w:name="page203"/>
    <w:bookmarkEnd w:id="20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20" w:right="1279"/>
        <w:spacing w:after="0" w:line="265" w:lineRule="auto"/>
        <w:rPr>
          <w:sz w:val="20"/>
          <w:szCs w:val="20"/>
          <w:color w:val="auto"/>
        </w:rPr>
      </w:pPr>
      <w:r>
        <w:rPr>
          <w:rFonts w:ascii="Arial" w:cs="Arial" w:eastAsia="Arial" w:hAnsi="Arial"/>
          <w:sz w:val="14"/>
          <w:szCs w:val="14"/>
          <w:color w:val="auto"/>
        </w:rPr>
        <w:t>J.P. Morgan Securities LLC, BofA Securities, Inc., SVB Leerink LLC, and Piper Sandler &amp; Co., in their sole discretion, may release the securities subject to any of the lock-up agreements with the underwriters described above, in whole or in part at any time.</w:t>
      </w:r>
    </w:p>
    <w:p>
      <w:pPr>
        <w:spacing w:after="0" w:line="93" w:lineRule="exact"/>
        <w:rPr>
          <w:sz w:val="20"/>
          <w:szCs w:val="20"/>
          <w:color w:val="auto"/>
        </w:rPr>
      </w:pPr>
    </w:p>
    <w:p>
      <w:pPr>
        <w:jc w:val="both"/>
        <w:ind w:left="1220" w:right="1299"/>
        <w:spacing w:after="0" w:line="274" w:lineRule="auto"/>
        <w:rPr>
          <w:sz w:val="20"/>
          <w:szCs w:val="20"/>
          <w:color w:val="auto"/>
        </w:rPr>
      </w:pPr>
      <w:r>
        <w:rPr>
          <w:rFonts w:ascii="Arial" w:cs="Arial" w:eastAsia="Arial" w:hAnsi="Arial"/>
          <w:sz w:val="14"/>
          <w:szCs w:val="14"/>
          <w:color w:val="auto"/>
        </w:rPr>
        <w:t>We have agreed to indemnify the underwriters against certain liabilities, including liabilities under the Securities Act.</w:t>
      </w:r>
    </w:p>
    <w:p>
      <w:pPr>
        <w:spacing w:after="0" w:line="107" w:lineRule="exact"/>
        <w:rPr>
          <w:sz w:val="20"/>
          <w:szCs w:val="20"/>
          <w:color w:val="auto"/>
        </w:rPr>
      </w:pPr>
    </w:p>
    <w:p>
      <w:pPr>
        <w:ind w:left="1220" w:right="1399"/>
        <w:spacing w:after="0" w:line="290" w:lineRule="auto"/>
        <w:rPr>
          <w:sz w:val="20"/>
          <w:szCs w:val="20"/>
          <w:color w:val="auto"/>
        </w:rPr>
      </w:pPr>
      <w:r>
        <w:rPr>
          <w:rFonts w:ascii="Arial" w:cs="Arial" w:eastAsia="Arial" w:hAnsi="Arial"/>
          <w:sz w:val="14"/>
          <w:szCs w:val="14"/>
          <w:color w:val="auto"/>
        </w:rPr>
        <w:t>We have applied to have our shares of common stock approved for listing on Nasdaq under the symbol “IPSC”.</w:t>
      </w:r>
    </w:p>
    <w:p>
      <w:pPr>
        <w:spacing w:after="0" w:line="86"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shares of common stock while this offering is in progress. These stabilizing transactions may include making short sales of shares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of common stock referred to above, or may be “naked” shorts, which are short positions in excess of that amount. The underwriters may close out any covered short position either by exercising their option to purchase additional shares of common stock, in whole or in part, or by purchasing shares of common stock in the open market. In making this determination, the underwriters will consider, among other things, the price of shares of common stock available for purchase in the open market compared to the price at which the underwriters may purchase shares of common stock through the option to purchase additional shares of common stock. A naked short position is more likely to be created if the underwriters are concerned that there may be downward pressure on the price of the shares of common stock in the open market that could adversely affect investors who purchase in this offering. To the extent that the underwriters create a naked short position, they will purchase shares of common stock in the open market to cover the position.</w:t>
      </w:r>
    </w:p>
    <w:p>
      <w:pPr>
        <w:spacing w:after="0" w:line="200" w:lineRule="exact"/>
        <w:rPr>
          <w:sz w:val="20"/>
          <w:szCs w:val="20"/>
          <w:color w:val="auto"/>
        </w:rPr>
      </w:pPr>
    </w:p>
    <w:p>
      <w:pPr>
        <w:spacing w:after="0" w:line="245"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The underwriters have advised us that, pursuant to Regulation M of the Securities Act, they may also engage in other activities that stabilize, maintain, or otherwise affect the price of the shares of common stock, including the imposition of penalty bids. This means that if the representatives of the underwriters purchase shares of common stock in the open market in stabilizing transactions or to cover short sales, the representatives can require the underwriters that sold those shares of common stock as part of this offering to repay the underwriting discount received by them.</w:t>
      </w:r>
    </w:p>
    <w:p>
      <w:pPr>
        <w:spacing w:after="0" w:line="281"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These activities may have the effect of raising or maintaining the market price of the shares of common stock or preventing or retarding a decline in the market price of the shares of common stock, and, as a result, the price of the shares of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108" w:lineRule="exact"/>
        <w:rPr>
          <w:sz w:val="20"/>
          <w:szCs w:val="20"/>
          <w:color w:val="auto"/>
        </w:rPr>
      </w:pPr>
    </w:p>
    <w:p>
      <w:pPr>
        <w:ind w:left="1220" w:right="1279"/>
        <w:spacing w:after="0" w:line="262" w:lineRule="auto"/>
        <w:rPr>
          <w:sz w:val="20"/>
          <w:szCs w:val="20"/>
          <w:color w:val="auto"/>
        </w:rPr>
      </w:pPr>
      <w:r>
        <w:rPr>
          <w:rFonts w:ascii="Arial" w:cs="Arial" w:eastAsia="Arial" w:hAnsi="Arial"/>
          <w:sz w:val="14"/>
          <w:szCs w:val="14"/>
          <w:color w:val="auto"/>
        </w:rPr>
        <w:t>Prior to this offering, there has been no public market for our shares of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74" w:lineRule="exact"/>
        <w:rPr>
          <w:sz w:val="20"/>
          <w:szCs w:val="20"/>
          <w:color w:val="auto"/>
        </w:rPr>
      </w:pPr>
    </w:p>
    <w:p>
      <w:pPr>
        <w:ind w:left="1340" w:hanging="116"/>
        <w:spacing w:after="0"/>
        <w:tabs>
          <w:tab w:leader="none" w:pos="1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information set forth in this prospectus and otherwise available to the representatives;</w:t>
      </w:r>
    </w:p>
    <w:p>
      <w:pPr>
        <w:spacing w:after="0" w:line="97" w:lineRule="exact"/>
        <w:rPr>
          <w:rFonts w:ascii="Arial" w:cs="Arial" w:eastAsia="Arial" w:hAnsi="Arial"/>
          <w:sz w:val="14"/>
          <w:szCs w:val="14"/>
          <w:color w:val="auto"/>
        </w:rPr>
      </w:pPr>
    </w:p>
    <w:p>
      <w:pPr>
        <w:ind w:left="1340" w:hanging="116"/>
        <w:spacing w:after="0"/>
        <w:tabs>
          <w:tab w:leader="none" w:pos="1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our prospects and the history and prospects for the industry in which we compete;</w:t>
      </w:r>
    </w:p>
    <w:p>
      <w:pPr>
        <w:spacing w:after="0" w:line="108" w:lineRule="exact"/>
        <w:rPr>
          <w:rFonts w:ascii="Arial" w:cs="Arial" w:eastAsia="Arial" w:hAnsi="Arial"/>
          <w:sz w:val="14"/>
          <w:szCs w:val="14"/>
          <w:color w:val="auto"/>
        </w:rPr>
      </w:pPr>
    </w:p>
    <w:p>
      <w:pPr>
        <w:ind w:left="1340" w:hanging="116"/>
        <w:spacing w:after="0"/>
        <w:tabs>
          <w:tab w:leader="none" w:pos="1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an assessment of our management;</w:t>
      </w:r>
    </w:p>
    <w:p>
      <w:pPr>
        <w:spacing w:after="0" w:line="97" w:lineRule="exact"/>
        <w:rPr>
          <w:rFonts w:ascii="Arial" w:cs="Arial" w:eastAsia="Arial" w:hAnsi="Arial"/>
          <w:sz w:val="14"/>
          <w:szCs w:val="14"/>
          <w:color w:val="auto"/>
        </w:rPr>
      </w:pPr>
    </w:p>
    <w:p>
      <w:pPr>
        <w:ind w:left="1340" w:hanging="116"/>
        <w:spacing w:after="0"/>
        <w:tabs>
          <w:tab w:leader="none" w:pos="1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our prospects for future earnings;</w:t>
      </w:r>
    </w:p>
    <w:p>
      <w:pPr>
        <w:spacing w:after="0" w:line="97" w:lineRule="exact"/>
        <w:rPr>
          <w:rFonts w:ascii="Arial" w:cs="Arial" w:eastAsia="Arial" w:hAnsi="Arial"/>
          <w:sz w:val="14"/>
          <w:szCs w:val="14"/>
          <w:color w:val="auto"/>
        </w:rPr>
      </w:pPr>
    </w:p>
    <w:p>
      <w:pPr>
        <w:ind w:left="1340" w:hanging="116"/>
        <w:spacing w:after="0"/>
        <w:tabs>
          <w:tab w:leader="none" w:pos="1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general condition of the securities markets at the time of this offering;</w:t>
      </w:r>
    </w:p>
    <w:p>
      <w:pPr>
        <w:spacing w:after="0" w:line="108" w:lineRule="exact"/>
        <w:rPr>
          <w:rFonts w:ascii="Arial" w:cs="Arial" w:eastAsia="Arial" w:hAnsi="Arial"/>
          <w:sz w:val="14"/>
          <w:szCs w:val="14"/>
          <w:color w:val="auto"/>
        </w:rPr>
      </w:pPr>
    </w:p>
    <w:p>
      <w:pPr>
        <w:ind w:left="1340" w:right="1839" w:hanging="116"/>
        <w:spacing w:after="0" w:line="290" w:lineRule="auto"/>
        <w:tabs>
          <w:tab w:leader="none" w:pos="1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recent market prices of, and demand for, publicly traded common stock of generally comparable companies; and</w:t>
      </w:r>
    </w:p>
    <w:p>
      <w:pPr>
        <w:spacing w:after="0" w:line="53" w:lineRule="exact"/>
        <w:rPr>
          <w:rFonts w:ascii="Arial" w:cs="Arial" w:eastAsia="Arial" w:hAnsi="Arial"/>
          <w:sz w:val="14"/>
          <w:szCs w:val="14"/>
          <w:color w:val="auto"/>
        </w:rPr>
      </w:pPr>
    </w:p>
    <w:p>
      <w:pPr>
        <w:ind w:left="1340" w:hanging="116"/>
        <w:spacing w:after="0"/>
        <w:tabs>
          <w:tab w:leader="none" w:pos="1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other factors deemed relevant by the underwriters and us.</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3" w:name="page204"/>
    <w:bookmarkEnd w:id="20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459"/>
        <w:spacing w:after="0" w:line="281" w:lineRule="auto"/>
        <w:rPr>
          <w:sz w:val="20"/>
          <w:szCs w:val="20"/>
          <w:color w:val="auto"/>
        </w:rPr>
      </w:pPr>
      <w:r>
        <w:rPr>
          <w:rFonts w:ascii="Arial" w:cs="Arial" w:eastAsia="Arial" w:hAnsi="Arial"/>
          <w:sz w:val="14"/>
          <w:szCs w:val="14"/>
          <w:color w:val="auto"/>
        </w:rPr>
        <w:t>Neither we nor the underwriters can assure investors that an active trading market will develop for our shares of common stock, or that the shares of common stock will trade in the public market at or above the initial public offering price.</w:t>
      </w:r>
    </w:p>
    <w:p>
      <w:pPr>
        <w:spacing w:after="0" w:line="93"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92" w:lineRule="exact"/>
        <w:rPr>
          <w:sz w:val="20"/>
          <w:szCs w:val="20"/>
          <w:color w:val="auto"/>
        </w:rPr>
      </w:pPr>
    </w:p>
    <w:p>
      <w:pPr>
        <w:ind w:left="1220" w:right="1459"/>
        <w:spacing w:after="0" w:line="276" w:lineRule="auto"/>
        <w:rPr>
          <w:sz w:val="20"/>
          <w:szCs w:val="20"/>
          <w:color w:val="auto"/>
        </w:rPr>
      </w:pPr>
      <w:r>
        <w:rPr>
          <w:rFonts w:ascii="Arial" w:cs="Arial" w:eastAsia="Arial" w:hAnsi="Arial"/>
          <w:sz w:val="14"/>
          <w:szCs w:val="14"/>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the European Economic Area</w:t>
      </w:r>
    </w:p>
    <w:p>
      <w:pPr>
        <w:spacing w:after="0" w:line="144"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In relation to each Member State of the European Economic Area (each a “Relevant State”), no shares of our common stock have been offered or will be offered pursuant to the offering to the public in that Relevant State prior to the publication of a prospectus in relation to the shares of our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279" w:lineRule="exact"/>
        <w:rPr>
          <w:sz w:val="20"/>
          <w:szCs w:val="20"/>
          <w:color w:val="auto"/>
        </w:rPr>
      </w:pPr>
    </w:p>
    <w:p>
      <w:pPr>
        <w:ind w:left="1400" w:hanging="176"/>
        <w:spacing w:after="0"/>
        <w:tabs>
          <w:tab w:leader="none" w:pos="14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the Prospectus Regulation;</w:t>
      </w:r>
    </w:p>
    <w:p>
      <w:pPr>
        <w:spacing w:after="0" w:line="141" w:lineRule="exact"/>
        <w:rPr>
          <w:rFonts w:ascii="Arial" w:cs="Arial" w:eastAsia="Arial" w:hAnsi="Arial"/>
          <w:sz w:val="14"/>
          <w:szCs w:val="14"/>
          <w:color w:val="auto"/>
        </w:rPr>
      </w:pPr>
    </w:p>
    <w:p>
      <w:pPr>
        <w:ind w:left="1220" w:right="1339" w:firstLine="4"/>
        <w:spacing w:after="0" w:line="295" w:lineRule="auto"/>
        <w:tabs>
          <w:tab w:leader="none" w:pos="1399"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the Prospectus Regulation), subject to obtaining the prior consent of the underwriters for any such offer; or</w:t>
      </w:r>
    </w:p>
    <w:p>
      <w:pPr>
        <w:spacing w:after="0" w:line="273" w:lineRule="exact"/>
        <w:rPr>
          <w:rFonts w:ascii="Arial" w:cs="Arial" w:eastAsia="Arial" w:hAnsi="Arial"/>
          <w:sz w:val="14"/>
          <w:szCs w:val="14"/>
          <w:color w:val="auto"/>
        </w:rPr>
      </w:pPr>
    </w:p>
    <w:p>
      <w:pPr>
        <w:ind w:left="1400" w:hanging="176"/>
        <w:spacing w:after="0"/>
        <w:tabs>
          <w:tab w:leader="none" w:pos="14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in any other circumstances falling within Article 1(4) of the Prospectus Regulation,</w:t>
      </w:r>
    </w:p>
    <w:p>
      <w:pPr>
        <w:spacing w:after="0" w:line="130" w:lineRule="exact"/>
        <w:rPr>
          <w:sz w:val="20"/>
          <w:szCs w:val="20"/>
          <w:color w:val="auto"/>
        </w:rPr>
      </w:pPr>
    </w:p>
    <w:p>
      <w:pPr>
        <w:ind w:left="1220" w:right="1299"/>
        <w:spacing w:after="0" w:line="281" w:lineRule="auto"/>
        <w:rPr>
          <w:sz w:val="20"/>
          <w:szCs w:val="20"/>
          <w:color w:val="auto"/>
        </w:rPr>
      </w:pPr>
      <w:r>
        <w:rPr>
          <w:rFonts w:ascii="Arial" w:cs="Arial" w:eastAsia="Arial" w:hAnsi="Arial"/>
          <w:sz w:val="14"/>
          <w:szCs w:val="14"/>
          <w:color w:val="auto"/>
        </w:rPr>
        <w:t>provided that no such offer of shares of common stock shall require the Issuer or any underwriter to publish a prospectus pursuant to Article 3 of the Prospectus Regulation or supplement a prospectus pursuant to Article 23 of the Prospectus Regulation.</w:t>
      </w:r>
    </w:p>
    <w:p>
      <w:pPr>
        <w:spacing w:after="0" w:line="103" w:lineRule="exact"/>
        <w:rPr>
          <w:sz w:val="20"/>
          <w:szCs w:val="20"/>
          <w:color w:val="auto"/>
        </w:rPr>
      </w:pPr>
    </w:p>
    <w:p>
      <w:pPr>
        <w:ind w:left="1220" w:right="1299"/>
        <w:spacing w:after="0" w:line="283" w:lineRule="auto"/>
        <w:rPr>
          <w:sz w:val="20"/>
          <w:szCs w:val="20"/>
          <w:color w:val="auto"/>
        </w:rPr>
      </w:pPr>
      <w:r>
        <w:rPr>
          <w:rFonts w:ascii="Arial" w:cs="Arial" w:eastAsia="Arial" w:hAnsi="Arial"/>
          <w:sz w:val="14"/>
          <w:szCs w:val="14"/>
          <w:color w:val="auto"/>
        </w:rPr>
        <w:t>Each person in a Relevant State who initially acquires any shares of common stock or to whom any offer is made will be deemed to have represented, acknowledged and agreed to and with the Company and the underwriters that it is a qualified investor within the meaning of the Prospectus Regulation.</w:t>
      </w:r>
    </w:p>
    <w:p>
      <w:pPr>
        <w:spacing w:after="0" w:line="283" w:lineRule="exact"/>
        <w:rPr>
          <w:sz w:val="20"/>
          <w:szCs w:val="20"/>
          <w:color w:val="auto"/>
        </w:rPr>
      </w:pPr>
    </w:p>
    <w:p>
      <w:pPr>
        <w:ind w:left="1220" w:right="1359"/>
        <w:spacing w:after="0" w:line="276" w:lineRule="auto"/>
        <w:rPr>
          <w:sz w:val="20"/>
          <w:szCs w:val="20"/>
          <w:color w:val="auto"/>
        </w:rPr>
      </w:pPr>
      <w:r>
        <w:rPr>
          <w:rFonts w:ascii="Arial" w:cs="Arial" w:eastAsia="Arial" w:hAnsi="Arial"/>
          <w:sz w:val="14"/>
          <w:szCs w:val="14"/>
          <w:color w:val="auto"/>
        </w:rPr>
        <w:t>In the case of any shares of common stock being offered to a financial intermediary as that term is used in Article 5(1) of the Prospectus Regulation, each such financial intermediary will be deemed to have represented, acknowledged and agreed that the shares of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4" w:name="page205"/>
    <w:bookmarkEnd w:id="204"/>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559"/>
        <w:spacing w:after="0" w:line="274" w:lineRule="auto"/>
        <w:rPr>
          <w:sz w:val="20"/>
          <w:szCs w:val="20"/>
          <w:color w:val="auto"/>
        </w:rPr>
      </w:pPr>
      <w:r>
        <w:rPr>
          <w:rFonts w:ascii="Arial" w:cs="Arial" w:eastAsia="Arial" w:hAnsi="Arial"/>
          <w:sz w:val="14"/>
          <w:szCs w:val="14"/>
          <w:color w:val="auto"/>
        </w:rPr>
        <w:t>The Company, the underwriters and their affiliates will rely upon the truth and accuracy of the foregoing representations, acknowledgements and agreements.</w:t>
      </w:r>
    </w:p>
    <w:p>
      <w:pPr>
        <w:spacing w:after="0" w:line="86" w:lineRule="exact"/>
        <w:rPr>
          <w:sz w:val="20"/>
          <w:szCs w:val="20"/>
          <w:color w:val="auto"/>
        </w:rPr>
      </w:pPr>
    </w:p>
    <w:p>
      <w:pPr>
        <w:ind w:left="1220" w:right="1299"/>
        <w:spacing w:after="0" w:line="261" w:lineRule="auto"/>
        <w:rPr>
          <w:sz w:val="20"/>
          <w:szCs w:val="20"/>
          <w:color w:val="auto"/>
        </w:rPr>
      </w:pPr>
      <w:r>
        <w:rPr>
          <w:rFonts w:ascii="Arial" w:cs="Arial" w:eastAsia="Arial" w:hAnsi="Arial"/>
          <w:sz w:val="14"/>
          <w:szCs w:val="14"/>
          <w:color w:val="auto"/>
        </w:rPr>
        <w:t>For the purposes of this provision, the expression an “offer to the public” in relation to any shares of common stock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3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the United Kingdom</w:t>
      </w:r>
    </w:p>
    <w:p>
      <w:pPr>
        <w:spacing w:after="0" w:line="133" w:lineRule="exact"/>
        <w:rPr>
          <w:sz w:val="20"/>
          <w:szCs w:val="20"/>
          <w:color w:val="auto"/>
        </w:rPr>
      </w:pPr>
    </w:p>
    <w:p>
      <w:pPr>
        <w:ind w:left="1220" w:right="1379"/>
        <w:spacing w:after="0" w:line="260" w:lineRule="auto"/>
        <w:rPr>
          <w:sz w:val="20"/>
          <w:szCs w:val="20"/>
          <w:color w:val="auto"/>
        </w:rPr>
      </w:pPr>
      <w:r>
        <w:rPr>
          <w:rFonts w:ascii="Arial" w:cs="Arial" w:eastAsia="Arial" w:hAnsi="Arial"/>
          <w:sz w:val="14"/>
          <w:szCs w:val="14"/>
          <w:color w:val="auto"/>
        </w:rPr>
        <w:t>In relation to the United Kingdom (“UK”), no shares of our common stock have been offered or will be offered pursuant to the offering to the public in the UK prior to the publication of a prospectus in relation to the shares of common stock which has been approved by the Financial Conduct Authority in the UK in accordance with the UK Prospectus Regulation and the FSMA, except that offers of shares of common stock may be made to the public in the UK at any time under the following exemptions under the UK Prospectus Regulation and the FSMA:</w:t>
      </w:r>
    </w:p>
    <w:p>
      <w:pPr>
        <w:spacing w:after="0" w:line="119" w:lineRule="exact"/>
        <w:rPr>
          <w:sz w:val="20"/>
          <w:szCs w:val="20"/>
          <w:color w:val="auto"/>
        </w:rPr>
      </w:pPr>
    </w:p>
    <w:p>
      <w:pPr>
        <w:ind w:left="1400" w:hanging="176"/>
        <w:spacing w:after="0"/>
        <w:tabs>
          <w:tab w:leader="none" w:pos="14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under the UK Prospectus Regulation;</w:t>
      </w:r>
    </w:p>
    <w:p>
      <w:pPr>
        <w:spacing w:after="0" w:line="119" w:lineRule="exact"/>
        <w:rPr>
          <w:rFonts w:ascii="Arial" w:cs="Arial" w:eastAsia="Arial" w:hAnsi="Arial"/>
          <w:sz w:val="14"/>
          <w:szCs w:val="14"/>
          <w:color w:val="auto"/>
        </w:rPr>
      </w:pPr>
    </w:p>
    <w:p>
      <w:pPr>
        <w:ind w:left="1220" w:right="1339" w:firstLine="4"/>
        <w:spacing w:after="0" w:line="274" w:lineRule="auto"/>
        <w:tabs>
          <w:tab w:leader="none" w:pos="1399"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under the UK Prospectus Regulation), subject to obtaining the prior consent of the underwriters for any such offer; or</w:t>
      </w:r>
    </w:p>
    <w:p>
      <w:pPr>
        <w:spacing w:after="0" w:line="279" w:lineRule="exact"/>
        <w:rPr>
          <w:rFonts w:ascii="Arial" w:cs="Arial" w:eastAsia="Arial" w:hAnsi="Arial"/>
          <w:sz w:val="14"/>
          <w:szCs w:val="14"/>
          <w:color w:val="auto"/>
        </w:rPr>
      </w:pPr>
    </w:p>
    <w:p>
      <w:pPr>
        <w:ind w:left="1400" w:hanging="176"/>
        <w:spacing w:after="0"/>
        <w:tabs>
          <w:tab w:leader="none" w:pos="14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at any time in other circumstances falling within section 86 of the FSMA,</w:t>
      </w:r>
    </w:p>
    <w:p>
      <w:pPr>
        <w:spacing w:after="0" w:line="130" w:lineRule="exact"/>
        <w:rPr>
          <w:sz w:val="20"/>
          <w:szCs w:val="20"/>
          <w:color w:val="auto"/>
        </w:rPr>
      </w:pPr>
    </w:p>
    <w:p>
      <w:pPr>
        <w:ind w:left="1220" w:right="1299"/>
        <w:spacing w:after="0" w:line="265" w:lineRule="auto"/>
        <w:rPr>
          <w:sz w:val="20"/>
          <w:szCs w:val="20"/>
          <w:color w:val="auto"/>
        </w:rPr>
      </w:pPr>
      <w:r>
        <w:rPr>
          <w:rFonts w:ascii="Arial" w:cs="Arial" w:eastAsia="Arial" w:hAnsi="Arial"/>
          <w:sz w:val="14"/>
          <w:szCs w:val="14"/>
          <w:color w:val="auto"/>
        </w:rPr>
        <w:t>provided that no such offer of shares of common stock shall require the Issuer or any underwriter to publish a prospectus pursuant to Section 85 of the FSMA or Article 3 of the UK Prospectus Regulation or supplement a prospectus pursuant to Article 23 of the UK Prospectus Regulation.</w:t>
      </w:r>
    </w:p>
    <w:p>
      <w:pPr>
        <w:spacing w:after="0" w:line="93" w:lineRule="exact"/>
        <w:rPr>
          <w:sz w:val="20"/>
          <w:szCs w:val="20"/>
          <w:color w:val="auto"/>
        </w:rPr>
      </w:pPr>
    </w:p>
    <w:p>
      <w:pPr>
        <w:ind w:left="1220" w:right="1299"/>
        <w:spacing w:after="0" w:line="265" w:lineRule="auto"/>
        <w:rPr>
          <w:sz w:val="20"/>
          <w:szCs w:val="20"/>
          <w:color w:val="auto"/>
        </w:rPr>
      </w:pPr>
      <w:r>
        <w:rPr>
          <w:rFonts w:ascii="Arial" w:cs="Arial" w:eastAsia="Arial" w:hAnsi="Arial"/>
          <w:sz w:val="14"/>
          <w:szCs w:val="14"/>
          <w:color w:val="auto"/>
        </w:rPr>
        <w:t>Each person in the UK who initially acquires any shares of common stock or to whom any offer is made will be deemed to have represented, acknowledged and agreed to and with the Company and the underwriters that it is a qualified investor within the meaning of the UK Prospectus Regulation.</w:t>
      </w:r>
    </w:p>
    <w:p>
      <w:pPr>
        <w:spacing w:after="0" w:line="276" w:lineRule="exact"/>
        <w:rPr>
          <w:sz w:val="20"/>
          <w:szCs w:val="20"/>
          <w:color w:val="auto"/>
        </w:rPr>
      </w:pPr>
    </w:p>
    <w:p>
      <w:pPr>
        <w:ind w:left="1220" w:right="1359"/>
        <w:spacing w:after="0" w:line="260" w:lineRule="auto"/>
        <w:rPr>
          <w:sz w:val="20"/>
          <w:szCs w:val="20"/>
          <w:color w:val="auto"/>
        </w:rPr>
      </w:pPr>
      <w:r>
        <w:rPr>
          <w:rFonts w:ascii="Arial" w:cs="Arial" w:eastAsia="Arial" w:hAnsi="Arial"/>
          <w:sz w:val="14"/>
          <w:szCs w:val="14"/>
          <w:color w:val="auto"/>
        </w:rPr>
        <w:t>In the case of any shares of common stock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279" w:lineRule="exact"/>
        <w:rPr>
          <w:sz w:val="20"/>
          <w:szCs w:val="20"/>
          <w:color w:val="auto"/>
        </w:rPr>
      </w:pPr>
    </w:p>
    <w:p>
      <w:pPr>
        <w:ind w:left="1220" w:right="1559"/>
        <w:spacing w:after="0" w:line="274" w:lineRule="auto"/>
        <w:rPr>
          <w:sz w:val="20"/>
          <w:szCs w:val="20"/>
          <w:color w:val="auto"/>
        </w:rPr>
      </w:pPr>
      <w:r>
        <w:rPr>
          <w:rFonts w:ascii="Arial" w:cs="Arial" w:eastAsia="Arial" w:hAnsi="Arial"/>
          <w:sz w:val="14"/>
          <w:szCs w:val="14"/>
          <w:color w:val="auto"/>
        </w:rPr>
        <w:t>The Company, the underwriters and their affiliates will rely upon the truth and accuracy of the foregoing representations, acknowledgements and agreements.</w:t>
      </w:r>
    </w:p>
    <w:p>
      <w:pPr>
        <w:spacing w:after="0" w:line="86"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For the purposes of this provision, the expression an “offer to the public” in relation to any shares of our common stock in the UK means the communication in any form and by any means of sufficient information on the terms of the offer and any shares of our common stock to be offered so as to enable an investor to decide to purchase or subscribe for any shares of our common stock, the expression “UK Prospectus Regulation” means Regulation (EU) 2017/1129 as it forms part of domestic law by virtue of the European Union (Withdrawal) Act 2018, and the expression “FSMA” means the Financial Services and Markets Act 2000.</w:t>
      </w:r>
    </w:p>
    <w:p>
      <w:pPr>
        <w:spacing w:after="0" w:line="106" w:lineRule="exact"/>
        <w:rPr>
          <w:sz w:val="20"/>
          <w:szCs w:val="20"/>
          <w:color w:val="auto"/>
        </w:rPr>
      </w:pPr>
    </w:p>
    <w:p>
      <w:pPr>
        <w:ind w:left="1220" w:right="1359"/>
        <w:spacing w:after="0" w:line="257" w:lineRule="auto"/>
        <w:rPr>
          <w:sz w:val="20"/>
          <w:szCs w:val="20"/>
          <w:color w:val="auto"/>
        </w:rPr>
      </w:pPr>
      <w:r>
        <w:rPr>
          <w:rFonts w:ascii="Arial" w:cs="Arial" w:eastAsia="Arial" w:hAnsi="Arial"/>
          <w:sz w:val="14"/>
          <w:szCs w:val="14"/>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w:t>
      </w:r>
    </w:p>
    <w:p>
      <w:pPr>
        <w:spacing w:after="0" w:line="1" w:lineRule="exact"/>
        <w:rPr>
          <w:sz w:val="20"/>
          <w:szCs w:val="20"/>
          <w:color w:val="auto"/>
        </w:rPr>
      </w:pPr>
    </w:p>
    <w:p>
      <w:pPr>
        <w:ind w:left="1220" w:right="1479" w:firstLine="4"/>
        <w:spacing w:after="0" w:line="262" w:lineRule="auto"/>
        <w:tabs>
          <w:tab w:leader="none" w:pos="145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FSMA, in connection with the issue or sale of any securities may otherwise</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5" w:name="page206"/>
    <w:bookmarkEnd w:id="205"/>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62" w:lineRule="auto"/>
        <w:rPr>
          <w:sz w:val="20"/>
          <w:szCs w:val="20"/>
          <w:color w:val="auto"/>
        </w:rPr>
      </w:pPr>
      <w:r>
        <w:rPr>
          <w:rFonts w:ascii="Arial" w:cs="Arial" w:eastAsia="Arial" w:hAnsi="Arial"/>
          <w:sz w:val="14"/>
          <w:szCs w:val="14"/>
          <w:color w:val="auto"/>
        </w:rPr>
        <w:t>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Canada</w:t>
      </w:r>
    </w:p>
    <w:p>
      <w:pPr>
        <w:spacing w:after="0" w:line="122" w:lineRule="exact"/>
        <w:rPr>
          <w:sz w:val="20"/>
          <w:szCs w:val="20"/>
          <w:color w:val="auto"/>
        </w:rPr>
      </w:pPr>
    </w:p>
    <w:p>
      <w:pPr>
        <w:ind w:left="1220" w:right="1419"/>
        <w:spacing w:after="0" w:line="260" w:lineRule="auto"/>
        <w:rPr>
          <w:sz w:val="20"/>
          <w:szCs w:val="20"/>
          <w:color w:val="auto"/>
        </w:rPr>
      </w:pPr>
      <w:r>
        <w:rPr>
          <w:rFonts w:ascii="Arial" w:cs="Arial" w:eastAsia="Arial" w:hAnsi="Arial"/>
          <w:sz w:val="14"/>
          <w:szCs w:val="14"/>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06" w:lineRule="exact"/>
        <w:rPr>
          <w:sz w:val="20"/>
          <w:szCs w:val="20"/>
          <w:color w:val="auto"/>
        </w:rPr>
      </w:pPr>
    </w:p>
    <w:p>
      <w:pPr>
        <w:ind w:left="1220" w:right="1239"/>
        <w:spacing w:after="0" w:line="260"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81" w:lineRule="exact"/>
        <w:rPr>
          <w:sz w:val="20"/>
          <w:szCs w:val="20"/>
          <w:color w:val="auto"/>
        </w:rPr>
      </w:pPr>
    </w:p>
    <w:p>
      <w:pPr>
        <w:ind w:left="1220" w:right="1379"/>
        <w:spacing w:after="0" w:line="265" w:lineRule="auto"/>
        <w:rPr>
          <w:sz w:val="20"/>
          <w:szCs w:val="20"/>
          <w:color w:val="auto"/>
        </w:rPr>
      </w:pPr>
      <w:r>
        <w:rPr>
          <w:rFonts w:ascii="Arial" w:cs="Arial" w:eastAsia="Arial" w:hAnsi="Arial"/>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3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Switzerland</w:t>
      </w:r>
    </w:p>
    <w:p>
      <w:pPr>
        <w:spacing w:after="0" w:line="122"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The shares of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293"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Neither this document nor any other offering or marketing material relating to the offering, the Company, the shares of common stock have been or will be filed with or approved by any Swiss regulatory authority. In particular, this document will not be filed with, and the offer of shares of common stock will not be supervised by, the Swiss Financial Market Supervisory Authority FINMA, or FINMA, and the offer of shares of common stock has not been and will not be authorized under the Swiss Federal Act on Collective Investment Schemes, or CISA. The investor protection afforded to acquirers of interests in collective investment schemes under the CISA does not extend to acquirers of shares of common stock.</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Hong Kong</w:t>
      </w:r>
    </w:p>
    <w:p>
      <w:pPr>
        <w:spacing w:after="0" w:line="144"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The shares of common stock have not been offered or sold and will not be offered or sold in Hong Kong, by means of any document, other than (a) to “professional investors” as defined in the Securities and Futures Ordinance (Cap. 571 of the Laws of Hong Kong), or SFO, of Hong Kong and any rules made thereunder; or (b) in other circumstances which do not result in the document being a “prospectus” as defined in the Companies (Winding Up and Miscellaneous Provisions) Ordinance (Cap. 32) of Hong Kong), or CO, or which do not constitute an offer to the public within the meaning of the CO. No advertisement, invitation or document relating to the shares of common stock has been or may be issued or has been or may be in the possession of any person for the purposes of issue, whether in Hong Kong or elsewhere, which is directed at, or the contents of which are likely to</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6" w:name="page207"/>
    <w:bookmarkEnd w:id="206"/>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479"/>
        <w:spacing w:after="0" w:line="278" w:lineRule="auto"/>
        <w:rPr>
          <w:sz w:val="20"/>
          <w:szCs w:val="20"/>
          <w:color w:val="auto"/>
        </w:rPr>
      </w:pPr>
      <w:r>
        <w:rPr>
          <w:rFonts w:ascii="Arial" w:cs="Arial" w:eastAsia="Arial" w:hAnsi="Arial"/>
          <w:sz w:val="14"/>
          <w:szCs w:val="14"/>
          <w:color w:val="auto"/>
        </w:rPr>
        <w:t>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SFO and any rules made thereunder.</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Singapore</w:t>
      </w:r>
    </w:p>
    <w:p>
      <w:pPr>
        <w:spacing w:after="0" w:line="133"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Each joint book-running manager has acknowledged that this prospectus has not been registered as a prospectus with the Monetary Authority of Singapore. Accordingly, each joint book-running manager has represented and agreed that it has not offered or sold any shares of common stock or caused the shares of common stock to be made the subject of an invitation for subscription or purchase and will not offer or sell any shares of common stock or cause the shares of common stock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of common stock, whether directly or indirectly, to any person in Singapore other than:</w:t>
      </w:r>
    </w:p>
    <w:p>
      <w:pPr>
        <w:spacing w:after="0" w:line="109" w:lineRule="exact"/>
        <w:rPr>
          <w:sz w:val="20"/>
          <w:szCs w:val="20"/>
          <w:color w:val="auto"/>
        </w:rPr>
      </w:pPr>
    </w:p>
    <w:p>
      <w:pPr>
        <w:ind w:left="1220" w:right="1419" w:firstLine="4"/>
        <w:spacing w:after="0" w:line="281" w:lineRule="auto"/>
        <w:tabs>
          <w:tab w:leader="none" w:pos="145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to an institutional investor (as defined in Section 4A of the Securities and Futures Act (Chapter 289) of Singapore, as modified or amended from time to time, or the SFA) pursuant to Section 274 of the SFA;</w:t>
      </w:r>
    </w:p>
    <w:p>
      <w:pPr>
        <w:spacing w:after="0" w:line="103" w:lineRule="exact"/>
        <w:rPr>
          <w:rFonts w:ascii="Arial" w:cs="Arial" w:eastAsia="Arial" w:hAnsi="Arial"/>
          <w:sz w:val="14"/>
          <w:szCs w:val="14"/>
          <w:color w:val="auto"/>
        </w:rPr>
      </w:pPr>
    </w:p>
    <w:p>
      <w:pPr>
        <w:ind w:left="1220" w:right="1439" w:firstLine="4"/>
        <w:spacing w:after="0" w:line="281" w:lineRule="auto"/>
        <w:tabs>
          <w:tab w:leader="none" w:pos="145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92" w:lineRule="exact"/>
        <w:rPr>
          <w:rFonts w:ascii="Arial" w:cs="Arial" w:eastAsia="Arial" w:hAnsi="Arial"/>
          <w:sz w:val="14"/>
          <w:szCs w:val="14"/>
          <w:color w:val="auto"/>
        </w:rPr>
      </w:pPr>
    </w:p>
    <w:p>
      <w:pPr>
        <w:ind w:left="1220" w:right="1239" w:firstLine="4"/>
        <w:spacing w:after="0" w:line="290" w:lineRule="auto"/>
        <w:tabs>
          <w:tab w:leader="none" w:pos="1442" w:val="left"/>
        </w:tabs>
        <w:numPr>
          <w:ilvl w:val="0"/>
          <w:numId w:val="120"/>
        </w:numPr>
        <w:rPr>
          <w:rFonts w:ascii="Arial" w:cs="Arial" w:eastAsia="Arial" w:hAnsi="Arial"/>
          <w:sz w:val="14"/>
          <w:szCs w:val="14"/>
          <w:color w:val="auto"/>
        </w:rPr>
      </w:pPr>
      <w:r>
        <w:rPr>
          <w:rFonts w:ascii="Arial" w:cs="Arial" w:eastAsia="Arial" w:hAnsi="Arial"/>
          <w:sz w:val="14"/>
          <w:szCs w:val="14"/>
          <w:color w:val="auto"/>
        </w:rPr>
        <w:t>otherwise pursuant to, and in accordance with the conditions of, any other applicable provision of the SFA.</w:t>
      </w:r>
    </w:p>
    <w:p>
      <w:pPr>
        <w:spacing w:after="0" w:line="96" w:lineRule="exact"/>
        <w:rPr>
          <w:sz w:val="20"/>
          <w:szCs w:val="20"/>
          <w:color w:val="auto"/>
        </w:rPr>
      </w:pPr>
    </w:p>
    <w:p>
      <w:pPr>
        <w:ind w:left="1220" w:right="1439"/>
        <w:spacing w:after="0" w:line="290" w:lineRule="auto"/>
        <w:rPr>
          <w:sz w:val="20"/>
          <w:szCs w:val="20"/>
          <w:color w:val="auto"/>
        </w:rPr>
      </w:pPr>
      <w:r>
        <w:rPr>
          <w:rFonts w:ascii="Arial" w:cs="Arial" w:eastAsia="Arial" w:hAnsi="Arial"/>
          <w:sz w:val="14"/>
          <w:szCs w:val="14"/>
          <w:color w:val="auto"/>
        </w:rPr>
        <w:t>Where the shares of common stock are subscribed or purchased under Section 275 of the SFA by a relevant person which is:</w:t>
      </w:r>
    </w:p>
    <w:p>
      <w:pPr>
        <w:spacing w:after="0" w:line="96" w:lineRule="exact"/>
        <w:rPr>
          <w:sz w:val="20"/>
          <w:szCs w:val="20"/>
          <w:color w:val="auto"/>
        </w:rPr>
      </w:pPr>
    </w:p>
    <w:p>
      <w:pPr>
        <w:jc w:val="both"/>
        <w:ind w:left="1220" w:right="1419" w:firstLine="4"/>
        <w:spacing w:after="0" w:line="281" w:lineRule="auto"/>
        <w:tabs>
          <w:tab w:leader="none" w:pos="145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2" w:lineRule="exact"/>
        <w:rPr>
          <w:rFonts w:ascii="Arial" w:cs="Arial" w:eastAsia="Arial" w:hAnsi="Arial"/>
          <w:sz w:val="14"/>
          <w:szCs w:val="14"/>
          <w:color w:val="auto"/>
        </w:rPr>
      </w:pPr>
    </w:p>
    <w:p>
      <w:pPr>
        <w:ind w:left="1220" w:right="1259" w:firstLine="4"/>
        <w:spacing w:after="0" w:line="276" w:lineRule="auto"/>
        <w:tabs>
          <w:tab w:leader="none" w:pos="145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08" w:lineRule="exact"/>
        <w:rPr>
          <w:rFonts w:ascii="Arial" w:cs="Arial" w:eastAsia="Arial" w:hAnsi="Arial"/>
          <w:sz w:val="14"/>
          <w:szCs w:val="14"/>
          <w:color w:val="auto"/>
        </w:rPr>
      </w:pPr>
    </w:p>
    <w:p>
      <w:pPr>
        <w:ind w:left="1480" w:right="1499" w:firstLine="3"/>
        <w:spacing w:after="0" w:line="290" w:lineRule="auto"/>
        <w:tabs>
          <w:tab w:leader="none" w:pos="1662" w:val="left"/>
        </w:tabs>
        <w:numPr>
          <w:ilvl w:val="1"/>
          <w:numId w:val="121"/>
        </w:numPr>
        <w:rPr>
          <w:rFonts w:ascii="Arial" w:cs="Arial" w:eastAsia="Arial" w:hAnsi="Arial"/>
          <w:sz w:val="14"/>
          <w:szCs w:val="14"/>
          <w:color w:val="auto"/>
        </w:rPr>
      </w:pPr>
      <w:r>
        <w:rPr>
          <w:rFonts w:ascii="Arial" w:cs="Arial" w:eastAsia="Arial" w:hAnsi="Arial"/>
          <w:sz w:val="14"/>
          <w:szCs w:val="14"/>
          <w:color w:val="auto"/>
        </w:rPr>
        <w:t>to an institutional investor or to a relevant person, or to any person arising from an offer referred to in Section 275(1A) or Section 276(4)(i)(B) of the SFA;</w:t>
      </w:r>
    </w:p>
    <w:p>
      <w:pPr>
        <w:spacing w:after="0" w:line="96" w:lineRule="exact"/>
        <w:rPr>
          <w:rFonts w:ascii="Arial" w:cs="Arial" w:eastAsia="Arial" w:hAnsi="Arial"/>
          <w:sz w:val="14"/>
          <w:szCs w:val="14"/>
          <w:color w:val="auto"/>
        </w:rPr>
      </w:pPr>
    </w:p>
    <w:p>
      <w:pPr>
        <w:ind w:left="1700" w:hanging="217"/>
        <w:spacing w:after="0"/>
        <w:tabs>
          <w:tab w:leader="none" w:pos="1700" w:val="left"/>
        </w:tabs>
        <w:numPr>
          <w:ilvl w:val="1"/>
          <w:numId w:val="121"/>
        </w:numPr>
        <w:rPr>
          <w:rFonts w:ascii="Arial" w:cs="Arial" w:eastAsia="Arial" w:hAnsi="Arial"/>
          <w:sz w:val="14"/>
          <w:szCs w:val="14"/>
          <w:color w:val="auto"/>
        </w:rPr>
      </w:pPr>
      <w:r>
        <w:rPr>
          <w:rFonts w:ascii="Arial" w:cs="Arial" w:eastAsia="Arial" w:hAnsi="Arial"/>
          <w:sz w:val="14"/>
          <w:szCs w:val="14"/>
          <w:color w:val="auto"/>
        </w:rPr>
        <w:t>where no consideration is or will be given for the transfer;</w:t>
      </w:r>
    </w:p>
    <w:p>
      <w:pPr>
        <w:spacing w:after="0" w:line="130" w:lineRule="exact"/>
        <w:rPr>
          <w:rFonts w:ascii="Arial" w:cs="Arial" w:eastAsia="Arial" w:hAnsi="Arial"/>
          <w:sz w:val="14"/>
          <w:szCs w:val="14"/>
          <w:color w:val="auto"/>
        </w:rPr>
      </w:pPr>
    </w:p>
    <w:p>
      <w:pPr>
        <w:ind w:left="1740" w:hanging="257"/>
        <w:spacing w:after="0"/>
        <w:tabs>
          <w:tab w:leader="none" w:pos="1740" w:val="left"/>
        </w:tabs>
        <w:numPr>
          <w:ilvl w:val="1"/>
          <w:numId w:val="121"/>
        </w:numPr>
        <w:rPr>
          <w:rFonts w:ascii="Arial" w:cs="Arial" w:eastAsia="Arial" w:hAnsi="Arial"/>
          <w:sz w:val="14"/>
          <w:szCs w:val="14"/>
          <w:color w:val="auto"/>
        </w:rPr>
      </w:pPr>
      <w:r>
        <w:rPr>
          <w:rFonts w:ascii="Arial" w:cs="Arial" w:eastAsia="Arial" w:hAnsi="Arial"/>
          <w:sz w:val="14"/>
          <w:szCs w:val="14"/>
          <w:color w:val="auto"/>
        </w:rPr>
        <w:t>where the transfer is by operation of law;</w:t>
      </w:r>
    </w:p>
    <w:p>
      <w:pPr>
        <w:spacing w:after="0" w:line="141" w:lineRule="exact"/>
        <w:rPr>
          <w:rFonts w:ascii="Arial" w:cs="Arial" w:eastAsia="Arial" w:hAnsi="Arial"/>
          <w:sz w:val="14"/>
          <w:szCs w:val="14"/>
          <w:color w:val="auto"/>
        </w:rPr>
      </w:pPr>
    </w:p>
    <w:p>
      <w:pPr>
        <w:ind w:left="1740" w:hanging="257"/>
        <w:spacing w:after="0"/>
        <w:tabs>
          <w:tab w:leader="none" w:pos="1740" w:val="left"/>
        </w:tabs>
        <w:numPr>
          <w:ilvl w:val="1"/>
          <w:numId w:val="121"/>
        </w:numPr>
        <w:rPr>
          <w:rFonts w:ascii="Arial" w:cs="Arial" w:eastAsia="Arial" w:hAnsi="Arial"/>
          <w:sz w:val="14"/>
          <w:szCs w:val="14"/>
          <w:color w:val="auto"/>
        </w:rPr>
      </w:pPr>
      <w:r>
        <w:rPr>
          <w:rFonts w:ascii="Arial" w:cs="Arial" w:eastAsia="Arial" w:hAnsi="Arial"/>
          <w:sz w:val="14"/>
          <w:szCs w:val="14"/>
          <w:color w:val="auto"/>
        </w:rPr>
        <w:t>as specified in Section 276(7) of the SFA; or</w:t>
      </w:r>
    </w:p>
    <w:p>
      <w:pPr>
        <w:spacing w:after="0" w:line="141" w:lineRule="exact"/>
        <w:rPr>
          <w:rFonts w:ascii="Arial" w:cs="Arial" w:eastAsia="Arial" w:hAnsi="Arial"/>
          <w:sz w:val="14"/>
          <w:szCs w:val="14"/>
          <w:color w:val="auto"/>
        </w:rPr>
      </w:pPr>
    </w:p>
    <w:p>
      <w:pPr>
        <w:ind w:left="1480" w:right="1699" w:firstLine="3"/>
        <w:spacing w:after="0" w:line="290" w:lineRule="auto"/>
        <w:tabs>
          <w:tab w:leader="none" w:pos="1702" w:val="left"/>
        </w:tabs>
        <w:numPr>
          <w:ilvl w:val="1"/>
          <w:numId w:val="121"/>
        </w:numPr>
        <w:rPr>
          <w:rFonts w:ascii="Arial" w:cs="Arial" w:eastAsia="Arial" w:hAnsi="Arial"/>
          <w:sz w:val="14"/>
          <w:szCs w:val="14"/>
          <w:color w:val="auto"/>
        </w:rPr>
      </w:pPr>
      <w:r>
        <w:rPr>
          <w:rFonts w:ascii="Arial" w:cs="Arial" w:eastAsia="Arial" w:hAnsi="Arial"/>
          <w:sz w:val="14"/>
          <w:szCs w:val="14"/>
          <w:color w:val="auto"/>
        </w:rPr>
        <w:t>as specified in Regulation 37A of the Securities and Futures (Offers of Investments) (Securities and Securities-based Derivatives Contracts) Regulations 2018.</w:t>
      </w:r>
    </w:p>
    <w:p>
      <w:pPr>
        <w:spacing w:after="0" w:line="86"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color w:val="auto"/>
        </w:rPr>
        <w:t>Singapore SFA Product Classification—In connection with Section 309B of the SFA and the CMP Regulations 2018, unless otherwise specified before an offer of shares of common stock, we have determined, and hereby notify all relevant persons (as defined in Section 309A(1) of the SFA), that the shares of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7" w:name="page208"/>
    <w:bookmarkEnd w:id="207"/>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Japan</w:t>
      </w:r>
    </w:p>
    <w:p>
      <w:pPr>
        <w:spacing w:after="0" w:line="122"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The shares of common stock have not been and will not be registered pursuant to Article 4, Paragraph 1 of the Financial Instruments and Exchange Act. Accordingly, none of the shares of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3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the United Arab Emirates</w:t>
      </w:r>
    </w:p>
    <w:p>
      <w:pPr>
        <w:spacing w:after="0" w:line="133" w:lineRule="exact"/>
        <w:rPr>
          <w:sz w:val="20"/>
          <w:szCs w:val="20"/>
          <w:color w:val="auto"/>
        </w:rPr>
      </w:pPr>
    </w:p>
    <w:p>
      <w:pPr>
        <w:ind w:left="1220" w:right="1339"/>
        <w:spacing w:after="0" w:line="259" w:lineRule="auto"/>
        <w:rPr>
          <w:sz w:val="20"/>
          <w:szCs w:val="20"/>
          <w:color w:val="auto"/>
        </w:rPr>
      </w:pPr>
      <w:r>
        <w:rPr>
          <w:rFonts w:ascii="Arial" w:cs="Arial" w:eastAsia="Arial" w:hAnsi="Arial"/>
          <w:sz w:val="14"/>
          <w:szCs w:val="14"/>
          <w:color w:val="auto"/>
        </w:rPr>
        <w:t>The shares of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Israel</w:t>
      </w:r>
    </w:p>
    <w:p>
      <w:pPr>
        <w:spacing w:after="0" w:line="133" w:lineRule="exact"/>
        <w:rPr>
          <w:sz w:val="20"/>
          <w:szCs w:val="20"/>
          <w:color w:val="auto"/>
        </w:rPr>
      </w:pPr>
    </w:p>
    <w:p>
      <w:pPr>
        <w:ind w:left="1220" w:right="1419"/>
        <w:spacing w:after="0" w:line="257" w:lineRule="auto"/>
        <w:rPr>
          <w:sz w:val="20"/>
          <w:szCs w:val="20"/>
          <w:color w:val="auto"/>
        </w:rPr>
      </w:pPr>
      <w:r>
        <w:rPr>
          <w:rFonts w:ascii="Arial" w:cs="Arial" w:eastAsia="Arial" w:hAnsi="Arial"/>
          <w:sz w:val="14"/>
          <w:szCs w:val="14"/>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w:t>
      </w:r>
    </w:p>
    <w:p>
      <w:pPr>
        <w:spacing w:after="0" w:line="1" w:lineRule="exact"/>
        <w:rPr>
          <w:sz w:val="20"/>
          <w:szCs w:val="20"/>
          <w:color w:val="auto"/>
        </w:rPr>
      </w:pPr>
    </w:p>
    <w:p>
      <w:pPr>
        <w:ind w:left="1220" w:right="1259" w:firstLine="4"/>
        <w:spacing w:after="0" w:line="259" w:lineRule="auto"/>
        <w:tabs>
          <w:tab w:leader="none" w:pos="1402"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our shares of common stock to any person within the State of Israel, other than to Qualified Investors and up to 35 Addressed Investors.</w:t>
      </w:r>
    </w:p>
    <w:p>
      <w:pPr>
        <w:spacing w:after="0" w:line="271"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Qualified Investors may have to submit written evidence that they meet the definitions set out in of the First Addendum to the Israeli Securities Law, 5728—1968. In particular, we may request, as a condition to be offered shares of common stock, that Qualified Investors will each represent, warrant and certify to us and/or to anyone acting on our behalf: (i) that it is an investor falling within one of the categories listed in the First Addendum to the Israeli Securities Law, 5728— 1968; (ii) which of the categories listed in the First Addendum to the Israeli Securities Law, 5728 —1968 regarding Qualified Investors is applicable to it; (iii) that it will abide by all provisions set forth in the Israeli Securities Law, 5728—1968 and the regulations promulgated thereunder in connection with the offer to be issued shares of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312"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Australia</w:t>
      </w:r>
    </w:p>
    <w:p>
      <w:pPr>
        <w:spacing w:after="0" w:line="14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This prospectus:</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8" w:name="page209"/>
    <w:bookmarkEnd w:id="208"/>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899" w:firstLine="4"/>
        <w:spacing w:after="0" w:line="274" w:lineRule="auto"/>
        <w:tabs>
          <w:tab w:leader="none" w:pos="140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does not constitute a disclosure document or a prospectus under Chapter 6D.2 of the Corporations Act 2001 (Cth), or the Corporations Act;</w:t>
      </w:r>
    </w:p>
    <w:p>
      <w:pPr>
        <w:spacing w:after="0" w:line="85" w:lineRule="exact"/>
        <w:rPr>
          <w:rFonts w:ascii="Arial" w:cs="Arial" w:eastAsia="Arial" w:hAnsi="Arial"/>
          <w:sz w:val="14"/>
          <w:szCs w:val="14"/>
          <w:color w:val="auto"/>
        </w:rPr>
      </w:pPr>
    </w:p>
    <w:p>
      <w:pPr>
        <w:ind w:left="1220" w:right="1319" w:firstLine="4"/>
        <w:spacing w:after="0" w:line="265" w:lineRule="auto"/>
        <w:tabs>
          <w:tab w:leader="none" w:pos="140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275" w:lineRule="exact"/>
        <w:rPr>
          <w:rFonts w:ascii="Arial" w:cs="Arial" w:eastAsia="Arial" w:hAnsi="Arial"/>
          <w:sz w:val="14"/>
          <w:szCs w:val="14"/>
          <w:color w:val="auto"/>
        </w:rPr>
      </w:pPr>
    </w:p>
    <w:p>
      <w:pPr>
        <w:jc w:val="both"/>
        <w:ind w:left="1220" w:right="1239" w:firstLine="4"/>
        <w:spacing w:after="0" w:line="265" w:lineRule="auto"/>
        <w:tabs>
          <w:tab w:leader="none" w:pos="1442" w:val="left"/>
        </w:tabs>
        <w:numPr>
          <w:ilvl w:val="0"/>
          <w:numId w:val="123"/>
        </w:numPr>
        <w:rPr>
          <w:rFonts w:ascii="Arial" w:cs="Arial" w:eastAsia="Arial" w:hAnsi="Arial"/>
          <w:sz w:val="14"/>
          <w:szCs w:val="14"/>
          <w:color w:val="auto"/>
        </w:rPr>
      </w:pPr>
      <w:r>
        <w:rPr>
          <w:rFonts w:ascii="Arial" w:cs="Arial" w:eastAsia="Arial" w:hAnsi="Arial"/>
          <w:sz w:val="14"/>
          <w:szCs w:val="14"/>
          <w:color w:val="auto"/>
        </w:rPr>
        <w:t>may only be provided in Australia to select investors who are able to demonstrate that they fall within one or more of the categories of investors, available under section 708 of the Corporations Act, or Exempt Investors.</w:t>
      </w:r>
    </w:p>
    <w:p>
      <w:pPr>
        <w:spacing w:after="0" w:line="103"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The shares of common stock may not be directly or indirectly offered for subscription or purchased or sold, and no invitations to subscribe for or buy the shares of common stock may be issued, and no draft or definitive offering memorandum, advertisement, or other offering material relating to any shares of common stock may be distributed in Australia, except where disclosure to investors is not required under Chapter 6D of the Corporations Act or is otherwise in compliance with all applicable Australian laws and regulations. By submitting an application for the shares of common stock, you represent and warrant to us that you are an Exempt Investor.</w:t>
      </w:r>
    </w:p>
    <w:p>
      <w:pPr>
        <w:spacing w:after="0" w:line="95" w:lineRule="exact"/>
        <w:rPr>
          <w:sz w:val="20"/>
          <w:szCs w:val="20"/>
          <w:color w:val="auto"/>
        </w:rPr>
      </w:pPr>
    </w:p>
    <w:p>
      <w:pPr>
        <w:ind w:left="1220" w:right="1359"/>
        <w:spacing w:after="0" w:line="259" w:lineRule="auto"/>
        <w:rPr>
          <w:sz w:val="20"/>
          <w:szCs w:val="20"/>
          <w:color w:val="auto"/>
        </w:rPr>
      </w:pPr>
      <w:r>
        <w:rPr>
          <w:rFonts w:ascii="Arial" w:cs="Arial" w:eastAsia="Arial" w:hAnsi="Arial"/>
          <w:sz w:val="14"/>
          <w:szCs w:val="14"/>
          <w:color w:val="auto"/>
        </w:rPr>
        <w:t>As any offer of shares of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common stock you undertake to us that you will not, for a period of 12 months from the date of issue of the shares of common stock, offer, transfer, assign, or otherwise alienate those shares of common stock to investors in Australia except in circumstances where disclosure to investors is not required under Chapter 6D.2 of the Corporations Act or where a compliant disclosure document is prepared and lodged with ASIC.</w:t>
      </w:r>
    </w:p>
    <w:p>
      <w:pPr>
        <w:spacing w:after="0" w:line="13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China</w:t>
      </w:r>
    </w:p>
    <w:p>
      <w:pPr>
        <w:spacing w:after="0" w:line="133" w:lineRule="exact"/>
        <w:rPr>
          <w:sz w:val="20"/>
          <w:szCs w:val="20"/>
          <w:color w:val="auto"/>
        </w:rPr>
      </w:pPr>
    </w:p>
    <w:p>
      <w:pPr>
        <w:ind w:left="1220" w:right="1379"/>
        <w:spacing w:after="0" w:line="260" w:lineRule="auto"/>
        <w:rPr>
          <w:sz w:val="20"/>
          <w:szCs w:val="20"/>
          <w:color w:val="auto"/>
        </w:rPr>
      </w:pPr>
      <w:r>
        <w:rPr>
          <w:rFonts w:ascii="Arial" w:cs="Arial" w:eastAsia="Arial" w:hAnsi="Arial"/>
          <w:sz w:val="14"/>
          <w:szCs w:val="14"/>
          <w:color w:val="auto"/>
        </w:rPr>
        <w:t>This prospectus will not be circulated or distributed in the PRC and the shares of common stock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3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Korea</w:t>
      </w:r>
    </w:p>
    <w:p>
      <w:pPr>
        <w:spacing w:after="0" w:line="133"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The shares of common stock have not been and will not be registered under the Financial Investments Services and Capital Markets Act of Korea and the decrees and regulations thereunder, or the FSCMA, and the shares of common stock have been and will be offered in Korea as a private placement under the FSCMA. None of the shares of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FETL. Furthermore, the purchaser of the shares of common stock shall comply with all applicable regulatory requirements (including but not limited to requirements under the FETL) in connection with the purchase of the shares of common stock. By the purchase of the shares of common stock, the relevant holder thereof will be deemed to represent and warrant that if it is in Korea or is a resident of Korea, it purchased the shares of common stock pursuant to the applicable laws and regulations of Korea.</w:t>
      </w:r>
    </w:p>
    <w:p>
      <w:pPr>
        <w:spacing w:after="0" w:line="31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Saudi Arabia</w:t>
      </w:r>
    </w:p>
    <w:p>
      <w:pPr>
        <w:spacing w:after="0" w:line="122" w:lineRule="exact"/>
        <w:rPr>
          <w:sz w:val="20"/>
          <w:szCs w:val="20"/>
          <w:color w:val="auto"/>
        </w:rPr>
      </w:pPr>
    </w:p>
    <w:p>
      <w:pPr>
        <w:ind w:left="1220" w:right="1339"/>
        <w:spacing w:after="0" w:line="260" w:lineRule="auto"/>
        <w:rPr>
          <w:sz w:val="20"/>
          <w:szCs w:val="20"/>
          <w:color w:val="auto"/>
        </w:rPr>
      </w:pPr>
      <w:r>
        <w:rPr>
          <w:rFonts w:ascii="Arial" w:cs="Arial" w:eastAsia="Arial" w:hAnsi="Arial"/>
          <w:sz w:val="14"/>
          <w:szCs w:val="14"/>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09" w:name="page210"/>
    <w:bookmarkEnd w:id="209"/>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79"/>
        <w:spacing w:after="0" w:line="278" w:lineRule="auto"/>
        <w:rPr>
          <w:sz w:val="20"/>
          <w:szCs w:val="20"/>
          <w:color w:val="auto"/>
        </w:rPr>
      </w:pPr>
      <w:r>
        <w:rPr>
          <w:rFonts w:ascii="Arial" w:cs="Arial" w:eastAsia="Arial" w:hAnsi="Arial"/>
          <w:sz w:val="14"/>
          <w:szCs w:val="14"/>
          <w:color w:val="auto"/>
        </w:rPr>
        <w:t>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23" w:lineRule="exact"/>
        <w:rPr>
          <w:sz w:val="20"/>
          <w:szCs w:val="20"/>
          <w:color w:val="auto"/>
        </w:rPr>
      </w:pPr>
    </w:p>
    <w:p>
      <w:pPr>
        <w:ind w:left="1220" w:right="1399"/>
        <w:spacing w:after="0" w:line="267" w:lineRule="auto"/>
        <w:rPr>
          <w:sz w:val="20"/>
          <w:szCs w:val="20"/>
          <w:color w:val="auto"/>
        </w:rPr>
      </w:pPr>
      <w:r>
        <w:rPr>
          <w:rFonts w:ascii="Arial" w:cs="Arial" w:eastAsia="Arial" w:hAnsi="Arial"/>
          <w:sz w:val="17"/>
          <w:szCs w:val="17"/>
          <w:b w:val="1"/>
          <w:bCs w:val="1"/>
          <w:color w:val="auto"/>
        </w:rPr>
        <w:t>Notice to prospective investors in the Dubai International Financial Centre (DIFC)</w:t>
      </w:r>
    </w:p>
    <w:p>
      <w:pPr>
        <w:spacing w:after="0" w:line="77"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w:t>
      </w:r>
    </w:p>
    <w:p>
      <w:pPr>
        <w:spacing w:after="0" w:line="108"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06" w:lineRule="exact"/>
        <w:rPr>
          <w:sz w:val="20"/>
          <w:szCs w:val="20"/>
          <w:color w:val="auto"/>
        </w:rPr>
      </w:pPr>
    </w:p>
    <w:p>
      <w:pPr>
        <w:ind w:left="1220" w:right="1239"/>
        <w:spacing w:after="0" w:line="278" w:lineRule="auto"/>
        <w:rPr>
          <w:sz w:val="20"/>
          <w:szCs w:val="20"/>
          <w:color w:val="auto"/>
        </w:rPr>
      </w:pPr>
      <w:r>
        <w:rPr>
          <w:rFonts w:ascii="Arial" w:cs="Arial" w:eastAsia="Arial" w:hAnsi="Arial"/>
          <w:sz w:val="14"/>
          <w:szCs w:val="14"/>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Notice to prospective investors in Bermuda</w:t>
      </w:r>
    </w:p>
    <w:p>
      <w:pPr>
        <w:spacing w:after="0" w:line="133" w:lineRule="exact"/>
        <w:rPr>
          <w:sz w:val="20"/>
          <w:szCs w:val="20"/>
          <w:color w:val="auto"/>
        </w:rPr>
      </w:pPr>
    </w:p>
    <w:p>
      <w:pPr>
        <w:ind w:left="1220" w:right="1299"/>
        <w:spacing w:after="0" w:line="280" w:lineRule="auto"/>
        <w:rPr>
          <w:sz w:val="20"/>
          <w:szCs w:val="20"/>
          <w:color w:val="auto"/>
        </w:rPr>
      </w:pPr>
      <w:r>
        <w:rPr>
          <w:rFonts w:ascii="Arial" w:cs="Arial" w:eastAsia="Arial" w:hAnsi="Arial"/>
          <w:sz w:val="14"/>
          <w:szCs w:val="14"/>
          <w:color w:val="auto"/>
        </w:rPr>
        <w:t>Shares of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10" w:name="page211"/>
    <w:bookmarkEnd w:id="210"/>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Legal matters</w:t>
      </w:r>
    </w:p>
    <w:p>
      <w:pPr>
        <w:spacing w:after="0" w:line="133" w:lineRule="exact"/>
        <w:rPr>
          <w:sz w:val="20"/>
          <w:szCs w:val="20"/>
          <w:color w:val="auto"/>
        </w:rPr>
      </w:pPr>
    </w:p>
    <w:p>
      <w:pPr>
        <w:jc w:val="both"/>
        <w:ind w:left="1220" w:right="1399"/>
        <w:spacing w:after="0" w:line="281" w:lineRule="auto"/>
        <w:rPr>
          <w:sz w:val="20"/>
          <w:szCs w:val="20"/>
          <w:color w:val="auto"/>
        </w:rPr>
      </w:pPr>
      <w:r>
        <w:rPr>
          <w:rFonts w:ascii="Arial" w:cs="Arial" w:eastAsia="Arial" w:hAnsi="Arial"/>
          <w:sz w:val="14"/>
          <w:szCs w:val="14"/>
          <w:color w:val="auto"/>
        </w:rPr>
        <w:t>The validity of the issuance of our common stock offered in this prospectus will be passed upon for us by Troutman Pepper Hamilton Sanders LLP. Certain legal matters in connection with this offering will be passed upon for the underwriters by Davis Polk &amp; Wardwell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11" w:name="page212"/>
    <w:bookmarkEnd w:id="211"/>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Experts</w:t>
      </w:r>
    </w:p>
    <w:p>
      <w:pPr>
        <w:spacing w:after="0" w:line="133"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The consolidated financial statements of Century Therapeutics, Inc. and subsidiary at December 31, 2020 and 2019 (Successor), and for the year ended December 31, 2020 (Successor), the period June 21, 2019 through December 31, 2019 (Predecessor), and January 1, 2019 through June 20, 2019 (Predecessor),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12" w:name="page213"/>
    <w:bookmarkEnd w:id="212"/>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Where you can find additional information</w:t>
      </w:r>
    </w:p>
    <w:p>
      <w:pPr>
        <w:spacing w:after="0" w:line="133"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We have filed with the SEC a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09"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You may read our SEC filings, including this registration statement, over the Internet at the SEC’s website at www.sec.gov. Upon the closing of this offering, we will be subject to the information reporting requirements of the Exchange Act and we will file reports, proxy statements, and other information with the SEC. These reports, proxy statements and other information will be available for review at the SEC’s website referred to above. We also maintain a website at www.centurytx.com, at which, following the closing of this offering, you may access these materials free of charge as soon as reasonably practicable after they are electronically filed with, or furnished to, the SEC. Information contained on or accessible through our website is not a part of this prospectus or the registration statement of which it forms a part, and the inclusion of our website address in this prospectus is an inactive textual reference only. You should not consider the contents of our website in making an investment decision with respect to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13" w:name="page214"/>
    <w:bookmarkEnd w:id="213"/>
    <w:p>
      <w:pPr>
        <w:ind w:left="2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right="2959"/>
        <w:spacing w:after="0" w:line="228" w:lineRule="auto"/>
        <w:rPr>
          <w:sz w:val="20"/>
          <w:szCs w:val="20"/>
          <w:color w:val="auto"/>
        </w:rPr>
      </w:pPr>
      <w:r>
        <w:rPr>
          <w:rFonts w:ascii="Arial" w:cs="Arial" w:eastAsia="Arial" w:hAnsi="Arial"/>
          <w:sz w:val="23"/>
          <w:szCs w:val="23"/>
          <w:b w:val="1"/>
          <w:bCs w:val="1"/>
          <w:color w:val="auto"/>
        </w:rPr>
        <w:t>Century Therapeutics, Inc. and Subsidiary Table of Contents</w:t>
      </w:r>
    </w:p>
    <w:p>
      <w:pPr>
        <w:ind w:left="1220" w:right="1659"/>
        <w:spacing w:after="0" w:line="233" w:lineRule="auto"/>
        <w:rPr>
          <w:sz w:val="20"/>
          <w:szCs w:val="20"/>
          <w:color w:val="auto"/>
        </w:rPr>
      </w:pPr>
      <w:r>
        <w:rPr>
          <w:rFonts w:ascii="Arial" w:cs="Arial" w:eastAsia="Arial" w:hAnsi="Arial"/>
          <w:sz w:val="23"/>
          <w:szCs w:val="23"/>
          <w:b w:val="1"/>
          <w:bCs w:val="1"/>
          <w:color w:val="auto"/>
        </w:rPr>
        <w:t>As of and for the years ended December 31, 2020 and 2019</w:t>
      </w:r>
    </w:p>
    <w:p>
      <w:pPr>
        <w:spacing w:after="0" w:line="84"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6780" w:type="dxa"/>
            <w:vAlign w:val="bottom"/>
            <w:tcBorders>
              <w:bottom w:val="single" w:sz="8" w:color="0000EE"/>
            </w:tcBorders>
            <w:gridSpan w:val="7"/>
            <w:shd w:val="clear" w:color="auto" w:fill="CCEEFF"/>
          </w:tcPr>
          <w:p>
            <w:pPr>
              <w:spacing w:after="0"/>
              <w:rPr>
                <w:rFonts w:ascii="Arial" w:cs="Arial" w:eastAsia="Arial" w:hAnsi="Arial"/>
                <w:sz w:val="14"/>
                <w:szCs w:val="14"/>
                <w:color w:val="0000EE"/>
              </w:rPr>
            </w:pPr>
            <w:hyperlink w:anchor="page214">
              <w:r>
                <w:rPr>
                  <w:rFonts w:ascii="Arial" w:cs="Arial" w:eastAsia="Arial" w:hAnsi="Arial"/>
                  <w:sz w:val="14"/>
                  <w:szCs w:val="14"/>
                  <w:color w:val="0000EE"/>
                </w:rPr>
                <w:t>Report of Independent Registered Public Accounting Firm on consolidated financial statements as of</w:t>
              </w:r>
            </w:hyperlink>
          </w:p>
        </w:tc>
        <w:tc>
          <w:tcPr>
            <w:tcW w:w="300" w:type="dxa"/>
            <w:vAlign w:val="bottom"/>
            <w:tcBorders>
              <w:bottom w:val="single" w:sz="8" w:color="CCEEFF"/>
              <w:right w:val="single" w:sz="8" w:color="CCEEFF"/>
            </w:tcBorders>
            <w:gridSpan w:val="7"/>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r>
      <w:tr>
        <w:trPr>
          <w:trHeight w:val="153"/>
        </w:trPr>
        <w:tc>
          <w:tcPr>
            <w:tcW w:w="140" w:type="dxa"/>
            <w:vAlign w:val="bottom"/>
            <w:tcBorders>
              <w:bottom w:val="single" w:sz="8" w:color="CCEEFF"/>
            </w:tcBorders>
            <w:shd w:val="clear" w:color="auto" w:fill="CCEEFF"/>
          </w:tcPr>
          <w:p>
            <w:pPr>
              <w:spacing w:after="0"/>
              <w:rPr>
                <w:sz w:val="13"/>
                <w:szCs w:val="13"/>
                <w:color w:val="auto"/>
              </w:rPr>
            </w:pPr>
          </w:p>
        </w:tc>
        <w:tc>
          <w:tcPr>
            <w:tcW w:w="6940" w:type="dxa"/>
            <w:vAlign w:val="bottom"/>
            <w:tcBorders>
              <w:bottom w:val="single" w:sz="8" w:color="0000EE"/>
              <w:right w:val="single" w:sz="8" w:color="CCEEFF"/>
            </w:tcBorders>
            <w:gridSpan w:val="13"/>
            <w:shd w:val="clear" w:color="auto" w:fill="CCEEFF"/>
          </w:tcPr>
          <w:p>
            <w:pPr>
              <w:spacing w:after="0" w:line="153" w:lineRule="exact"/>
              <w:rPr>
                <w:rFonts w:ascii="Arial" w:cs="Arial" w:eastAsia="Arial" w:hAnsi="Arial"/>
                <w:sz w:val="14"/>
                <w:szCs w:val="14"/>
                <w:color w:val="0000EE"/>
              </w:rPr>
            </w:pPr>
            <w:hyperlink w:anchor="page214">
              <w:r>
                <w:rPr>
                  <w:rFonts w:ascii="Arial" w:cs="Arial" w:eastAsia="Arial" w:hAnsi="Arial"/>
                  <w:sz w:val="14"/>
                  <w:szCs w:val="14"/>
                  <w:color w:val="0000EE"/>
                </w:rPr>
                <w:t>December 31, 2020 and 2019 (successor), for the year ended December 31, 2020 (successor), for the</w:t>
              </w:r>
            </w:hyperlink>
          </w:p>
        </w:tc>
        <w:tc>
          <w:tcPr>
            <w:tcW w:w="220" w:type="dxa"/>
            <w:vAlign w:val="bottom"/>
            <w:tcBorders>
              <w:bottom w:val="single" w:sz="8" w:color="CCEEFF"/>
            </w:tcBorders>
            <w:shd w:val="clear" w:color="auto" w:fill="CCEEFF"/>
          </w:tcPr>
          <w:p>
            <w:pPr>
              <w:spacing w:after="0"/>
              <w:rPr>
                <w:sz w:val="13"/>
                <w:szCs w:val="13"/>
                <w:color w:val="auto"/>
              </w:rPr>
            </w:pPr>
          </w:p>
        </w:tc>
      </w:tr>
      <w:tr>
        <w:trPr>
          <w:trHeight w:val="153"/>
        </w:trPr>
        <w:tc>
          <w:tcPr>
            <w:tcW w:w="140" w:type="dxa"/>
            <w:vAlign w:val="bottom"/>
            <w:tcBorders>
              <w:bottom w:val="single" w:sz="8" w:color="CCEEFF"/>
            </w:tcBorders>
            <w:shd w:val="clear" w:color="auto" w:fill="CCEEFF"/>
          </w:tcPr>
          <w:p>
            <w:pPr>
              <w:spacing w:after="0"/>
              <w:rPr>
                <w:sz w:val="13"/>
                <w:szCs w:val="13"/>
                <w:color w:val="auto"/>
              </w:rPr>
            </w:pPr>
          </w:p>
        </w:tc>
        <w:tc>
          <w:tcPr>
            <w:tcW w:w="6940" w:type="dxa"/>
            <w:vAlign w:val="bottom"/>
            <w:tcBorders>
              <w:bottom w:val="single" w:sz="8" w:color="0000EE"/>
              <w:right w:val="single" w:sz="8" w:color="CCEEFF"/>
            </w:tcBorders>
            <w:gridSpan w:val="13"/>
            <w:shd w:val="clear" w:color="auto" w:fill="CCEEFF"/>
          </w:tcPr>
          <w:p>
            <w:pPr>
              <w:spacing w:after="0" w:line="153" w:lineRule="exact"/>
              <w:rPr>
                <w:rFonts w:ascii="Arial" w:cs="Arial" w:eastAsia="Arial" w:hAnsi="Arial"/>
                <w:sz w:val="14"/>
                <w:szCs w:val="14"/>
                <w:color w:val="0000EE"/>
              </w:rPr>
            </w:pPr>
            <w:hyperlink w:anchor="page214">
              <w:r>
                <w:rPr>
                  <w:rFonts w:ascii="Arial" w:cs="Arial" w:eastAsia="Arial" w:hAnsi="Arial"/>
                  <w:sz w:val="14"/>
                  <w:szCs w:val="14"/>
                  <w:color w:val="0000EE"/>
                </w:rPr>
                <w:t>period from June 21, 2019 through December 31, 2019 (successor) and for the period from January 1,</w:t>
              </w:r>
            </w:hyperlink>
          </w:p>
        </w:tc>
        <w:tc>
          <w:tcPr>
            <w:tcW w:w="220" w:type="dxa"/>
            <w:vAlign w:val="bottom"/>
            <w:tcBorders>
              <w:bottom w:val="single" w:sz="8" w:color="CCEEFF"/>
            </w:tcBorders>
            <w:shd w:val="clear" w:color="auto" w:fill="CCEEFF"/>
          </w:tcPr>
          <w:p>
            <w:pPr>
              <w:spacing w:after="0"/>
              <w:rPr>
                <w:sz w:val="13"/>
                <w:szCs w:val="13"/>
                <w:color w:val="auto"/>
              </w:rPr>
            </w:pPr>
          </w:p>
        </w:tc>
      </w:tr>
      <w:tr>
        <w:trPr>
          <w:trHeight w:val="165"/>
        </w:trPr>
        <w:tc>
          <w:tcPr>
            <w:tcW w:w="140" w:type="dxa"/>
            <w:vAlign w:val="bottom"/>
            <w:tcBorders>
              <w:bottom w:val="single" w:sz="8" w:color="CCEEFF"/>
            </w:tcBorders>
            <w:shd w:val="clear" w:color="auto" w:fill="CCEEFF"/>
          </w:tcPr>
          <w:p>
            <w:pPr>
              <w:spacing w:after="0"/>
              <w:rPr>
                <w:sz w:val="14"/>
                <w:szCs w:val="14"/>
                <w:color w:val="auto"/>
              </w:rPr>
            </w:pPr>
          </w:p>
        </w:tc>
        <w:tc>
          <w:tcPr>
            <w:tcW w:w="2880" w:type="dxa"/>
            <w:vAlign w:val="bottom"/>
            <w:tcBorders>
              <w:bottom w:val="single" w:sz="8" w:color="0000EE"/>
            </w:tcBorders>
            <w:gridSpan w:val="3"/>
            <w:shd w:val="clear" w:color="auto" w:fill="CCEEFF"/>
          </w:tcPr>
          <w:p>
            <w:pPr>
              <w:spacing w:after="0" w:line="153" w:lineRule="exact"/>
              <w:rPr>
                <w:rFonts w:ascii="Arial" w:cs="Arial" w:eastAsia="Arial" w:hAnsi="Arial"/>
                <w:sz w:val="14"/>
                <w:szCs w:val="14"/>
                <w:color w:val="0000EE"/>
              </w:rPr>
            </w:pPr>
            <w:hyperlink w:anchor="page214">
              <w:r>
                <w:rPr>
                  <w:rFonts w:ascii="Arial" w:cs="Arial" w:eastAsia="Arial" w:hAnsi="Arial"/>
                  <w:sz w:val="14"/>
                  <w:szCs w:val="14"/>
                  <w:color w:val="0000EE"/>
                </w:rPr>
                <w:t>2019 through June 20, 2019 (predecessor)</w:t>
              </w:r>
            </w:hyperlink>
          </w:p>
        </w:tc>
        <w:tc>
          <w:tcPr>
            <w:tcW w:w="4060" w:type="dxa"/>
            <w:vAlign w:val="bottom"/>
            <w:tcBorders>
              <w:bottom w:val="single" w:sz="8" w:color="CCEEFF"/>
              <w:right w:val="single" w:sz="8" w:color="CCEEFF"/>
            </w:tcBorders>
            <w:gridSpan w:val="10"/>
            <w:shd w:val="clear" w:color="auto" w:fill="CCEEFF"/>
          </w:tcPr>
          <w:p>
            <w:pPr>
              <w:spacing w:after="0"/>
              <w:rPr>
                <w:sz w:val="14"/>
                <w:szCs w:val="14"/>
                <w:color w:val="auto"/>
              </w:rPr>
            </w:pPr>
          </w:p>
        </w:tc>
        <w:tc>
          <w:tcPr>
            <w:tcW w:w="220" w:type="dxa"/>
            <w:vAlign w:val="bottom"/>
            <w:tcBorders>
              <w:bottom w:val="single" w:sz="8" w:color="0000EE"/>
            </w:tcBorders>
            <w:shd w:val="clear" w:color="auto" w:fill="CCEEFF"/>
          </w:tcPr>
          <w:p>
            <w:pPr>
              <w:spacing w:after="0" w:line="153" w:lineRule="exact"/>
              <w:rPr>
                <w:rFonts w:ascii="Arial" w:cs="Arial" w:eastAsia="Arial" w:hAnsi="Arial"/>
                <w:sz w:val="14"/>
                <w:szCs w:val="14"/>
                <w:color w:val="0000EE"/>
                <w:w w:val="94"/>
              </w:rPr>
            </w:pPr>
            <w:hyperlink w:anchor="page214">
              <w:r>
                <w:rPr>
                  <w:rFonts w:ascii="Arial" w:cs="Arial" w:eastAsia="Arial" w:hAnsi="Arial"/>
                  <w:sz w:val="14"/>
                  <w:szCs w:val="14"/>
                  <w:color w:val="0000EE"/>
                  <w:w w:val="94"/>
                </w:rPr>
                <w:t>F-2</w:t>
              </w:r>
            </w:hyperlink>
          </w:p>
        </w:tc>
      </w:tr>
      <w:tr>
        <w:trPr>
          <w:trHeight w:val="204"/>
        </w:trPr>
        <w:tc>
          <w:tcPr>
            <w:tcW w:w="7080" w:type="dxa"/>
            <w:vAlign w:val="bottom"/>
            <w:gridSpan w:val="14"/>
          </w:tcPr>
          <w:p>
            <w:pPr>
              <w:spacing w:after="0"/>
              <w:rPr>
                <w:sz w:val="20"/>
                <w:szCs w:val="20"/>
                <w:color w:val="auto"/>
              </w:rPr>
            </w:pPr>
            <w:r>
              <w:rPr>
                <w:rFonts w:ascii="Arial" w:cs="Arial" w:eastAsia="Arial" w:hAnsi="Arial"/>
                <w:sz w:val="14"/>
                <w:szCs w:val="14"/>
                <w:b w:val="1"/>
                <w:bCs w:val="1"/>
                <w:color w:val="auto"/>
              </w:rPr>
              <w:t>Consolidated financial statements</w:t>
            </w:r>
          </w:p>
        </w:tc>
        <w:tc>
          <w:tcPr>
            <w:tcW w:w="220" w:type="dxa"/>
            <w:vAlign w:val="bottom"/>
          </w:tcPr>
          <w:p>
            <w:pPr>
              <w:spacing w:after="0"/>
              <w:rPr>
                <w:sz w:val="17"/>
                <w:szCs w:val="17"/>
                <w:color w:val="auto"/>
              </w:rPr>
            </w:pPr>
          </w:p>
        </w:tc>
      </w:tr>
      <w:tr>
        <w:trPr>
          <w:trHeight w:val="186"/>
        </w:trPr>
        <w:tc>
          <w:tcPr>
            <w:tcW w:w="6960" w:type="dxa"/>
            <w:vAlign w:val="bottom"/>
            <w:tcBorders>
              <w:bottom w:val="single" w:sz="8" w:color="0000EE"/>
            </w:tcBorders>
            <w:gridSpan w:val="13"/>
            <w:shd w:val="clear" w:color="auto" w:fill="CCEEFF"/>
          </w:tcPr>
          <w:p>
            <w:pPr>
              <w:spacing w:after="0"/>
              <w:rPr>
                <w:rFonts w:ascii="Arial" w:cs="Arial" w:eastAsia="Arial" w:hAnsi="Arial"/>
                <w:sz w:val="14"/>
                <w:szCs w:val="14"/>
                <w:color w:val="0000EE"/>
                <w:shd w:val="clear" w:color="auto" w:fill="CCEEFF"/>
              </w:rPr>
            </w:pPr>
            <w:hyperlink w:anchor="page215">
              <w:r>
                <w:rPr>
                  <w:rFonts w:ascii="Arial" w:cs="Arial" w:eastAsia="Arial" w:hAnsi="Arial"/>
                  <w:sz w:val="14"/>
                  <w:szCs w:val="14"/>
                  <w:color w:val="0000EE"/>
                  <w:shd w:val="clear" w:color="auto" w:fill="CCEEFF"/>
                </w:rPr>
                <w:t>Consolidated balance sheets as of December 31, 2020 (successor) and December 31, 2019(successor)</w:t>
              </w:r>
            </w:hyperlink>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220" w:type="dxa"/>
            <w:vAlign w:val="bottom"/>
            <w:tcBorders>
              <w:bottom w:val="single" w:sz="8" w:color="0000EE"/>
            </w:tcBorders>
            <w:shd w:val="clear" w:color="auto" w:fill="CCEEFF"/>
          </w:tcPr>
          <w:p>
            <w:pPr>
              <w:spacing w:after="0"/>
              <w:rPr>
                <w:rFonts w:ascii="Arial" w:cs="Arial" w:eastAsia="Arial" w:hAnsi="Arial"/>
                <w:sz w:val="14"/>
                <w:szCs w:val="14"/>
                <w:color w:val="0000EE"/>
                <w:w w:val="94"/>
                <w:shd w:val="clear" w:color="auto" w:fill="CCEEFF"/>
              </w:rPr>
            </w:pPr>
            <w:hyperlink w:anchor="page215">
              <w:r>
                <w:rPr>
                  <w:rFonts w:ascii="Arial" w:cs="Arial" w:eastAsia="Arial" w:hAnsi="Arial"/>
                  <w:sz w:val="14"/>
                  <w:szCs w:val="14"/>
                  <w:color w:val="0000EE"/>
                  <w:w w:val="94"/>
                  <w:shd w:val="clear" w:color="auto" w:fill="CCEEFF"/>
                </w:rPr>
                <w:t>F-3</w:t>
              </w:r>
            </w:hyperlink>
          </w:p>
        </w:tc>
      </w:tr>
      <w:tr>
        <w:trPr>
          <w:trHeight w:val="173"/>
        </w:trPr>
        <w:tc>
          <w:tcPr>
            <w:tcW w:w="6920" w:type="dxa"/>
            <w:vAlign w:val="bottom"/>
            <w:tcBorders>
              <w:bottom w:val="single" w:sz="8" w:color="0000EE"/>
            </w:tcBorders>
            <w:gridSpan w:val="11"/>
          </w:tcPr>
          <w:p>
            <w:pPr>
              <w:spacing w:after="0"/>
              <w:rPr>
                <w:rFonts w:ascii="Arial" w:cs="Arial" w:eastAsia="Arial" w:hAnsi="Arial"/>
                <w:sz w:val="14"/>
                <w:szCs w:val="14"/>
                <w:color w:val="0000EE"/>
              </w:rPr>
            </w:pPr>
            <w:hyperlink w:anchor="page216">
              <w:r>
                <w:rPr>
                  <w:rFonts w:ascii="Arial" w:cs="Arial" w:eastAsia="Arial" w:hAnsi="Arial"/>
                  <w:sz w:val="14"/>
                  <w:szCs w:val="14"/>
                  <w:color w:val="0000EE"/>
                </w:rPr>
                <w:t>Consolidated statements of operations and comprehensive loss for the year ended December 31, 2020</w:t>
              </w:r>
            </w:hyperlink>
          </w:p>
        </w:tc>
        <w:tc>
          <w:tcPr>
            <w:tcW w:w="16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r>
      <w:tr>
        <w:trPr>
          <w:trHeight w:val="153"/>
        </w:trPr>
        <w:tc>
          <w:tcPr>
            <w:tcW w:w="140" w:type="dxa"/>
            <w:vAlign w:val="bottom"/>
          </w:tcPr>
          <w:p>
            <w:pPr>
              <w:spacing w:after="0"/>
              <w:rPr>
                <w:sz w:val="13"/>
                <w:szCs w:val="13"/>
                <w:color w:val="auto"/>
              </w:rPr>
            </w:pPr>
          </w:p>
        </w:tc>
        <w:tc>
          <w:tcPr>
            <w:tcW w:w="6720" w:type="dxa"/>
            <w:vAlign w:val="bottom"/>
            <w:tcBorders>
              <w:bottom w:val="single" w:sz="8" w:color="0000EE"/>
            </w:tcBorders>
            <w:gridSpan w:val="8"/>
          </w:tcPr>
          <w:p>
            <w:pPr>
              <w:spacing w:after="0" w:line="153" w:lineRule="exact"/>
              <w:rPr>
                <w:rFonts w:ascii="Arial" w:cs="Arial" w:eastAsia="Arial" w:hAnsi="Arial"/>
                <w:sz w:val="14"/>
                <w:szCs w:val="14"/>
                <w:color w:val="0000EE"/>
              </w:rPr>
            </w:pPr>
            <w:hyperlink w:anchor="page216">
              <w:r>
                <w:rPr>
                  <w:rFonts w:ascii="Arial" w:cs="Arial" w:eastAsia="Arial" w:hAnsi="Arial"/>
                  <w:sz w:val="14"/>
                  <w:szCs w:val="14"/>
                  <w:color w:val="0000EE"/>
                </w:rPr>
                <w:t>(successor), and the periods June 21, 2019 through December 31, 2019 (successor) and January 1,</w:t>
              </w:r>
            </w:hyperlink>
          </w:p>
        </w:tc>
        <w:tc>
          <w:tcPr>
            <w:tcW w:w="220" w:type="dxa"/>
            <w:vAlign w:val="bottom"/>
            <w:gridSpan w:val="5"/>
          </w:tcPr>
          <w:p>
            <w:pPr>
              <w:spacing w:after="0"/>
              <w:rPr>
                <w:sz w:val="13"/>
                <w:szCs w:val="13"/>
                <w:color w:val="auto"/>
              </w:rPr>
            </w:pPr>
          </w:p>
        </w:tc>
        <w:tc>
          <w:tcPr>
            <w:tcW w:w="220" w:type="dxa"/>
            <w:vAlign w:val="bottom"/>
          </w:tcPr>
          <w:p>
            <w:pPr>
              <w:spacing w:after="0"/>
              <w:rPr>
                <w:sz w:val="13"/>
                <w:szCs w:val="13"/>
                <w:color w:val="auto"/>
              </w:rPr>
            </w:pPr>
          </w:p>
        </w:tc>
      </w:tr>
      <w:tr>
        <w:trPr>
          <w:trHeight w:val="153"/>
        </w:trPr>
        <w:tc>
          <w:tcPr>
            <w:tcW w:w="140" w:type="dxa"/>
            <w:vAlign w:val="bottom"/>
          </w:tcPr>
          <w:p>
            <w:pPr>
              <w:spacing w:after="0"/>
              <w:rPr>
                <w:sz w:val="13"/>
                <w:szCs w:val="13"/>
                <w:color w:val="auto"/>
              </w:rPr>
            </w:pPr>
          </w:p>
        </w:tc>
        <w:tc>
          <w:tcPr>
            <w:tcW w:w="6940" w:type="dxa"/>
            <w:vAlign w:val="bottom"/>
            <w:gridSpan w:val="13"/>
          </w:tcPr>
          <w:p>
            <w:pPr>
              <w:spacing w:after="0" w:line="153" w:lineRule="exact"/>
              <w:rPr>
                <w:rFonts w:ascii="Arial" w:cs="Arial" w:eastAsia="Arial" w:hAnsi="Arial"/>
                <w:sz w:val="14"/>
                <w:szCs w:val="14"/>
                <w:color w:val="0000EE"/>
              </w:rPr>
            </w:pPr>
            <w:hyperlink w:anchor="page216">
              <w:r>
                <w:rPr>
                  <w:rFonts w:ascii="Arial" w:cs="Arial" w:eastAsia="Arial" w:hAnsi="Arial"/>
                  <w:sz w:val="14"/>
                  <w:szCs w:val="14"/>
                  <w:color w:val="0000EE"/>
                </w:rPr>
                <w:t>2019 through June 20, 2019 (predecessor)</w:t>
              </w:r>
            </w:hyperlink>
          </w:p>
        </w:tc>
        <w:tc>
          <w:tcPr>
            <w:tcW w:w="220" w:type="dxa"/>
            <w:vAlign w:val="bottom"/>
          </w:tcPr>
          <w:p>
            <w:pPr>
              <w:spacing w:after="0" w:line="153" w:lineRule="exact"/>
              <w:rPr>
                <w:rFonts w:ascii="Arial" w:cs="Arial" w:eastAsia="Arial" w:hAnsi="Arial"/>
                <w:sz w:val="14"/>
                <w:szCs w:val="14"/>
                <w:color w:val="0000EE"/>
                <w:w w:val="94"/>
              </w:rPr>
            </w:pPr>
            <w:hyperlink w:anchor="page216">
              <w:r>
                <w:rPr>
                  <w:rFonts w:ascii="Arial" w:cs="Arial" w:eastAsia="Arial" w:hAnsi="Arial"/>
                  <w:sz w:val="14"/>
                  <w:szCs w:val="14"/>
                  <w:color w:val="0000EE"/>
                  <w:w w:val="94"/>
                </w:rPr>
                <w:t>F-4</w:t>
              </w:r>
            </w:hyperlink>
          </w:p>
        </w:tc>
      </w:tr>
      <w:tr>
        <w:trPr>
          <w:trHeight w:val="23"/>
        </w:trPr>
        <w:tc>
          <w:tcPr>
            <w:tcW w:w="14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17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r>
      <w:tr>
        <w:trPr>
          <w:trHeight w:val="173"/>
        </w:trPr>
        <w:tc>
          <w:tcPr>
            <w:tcW w:w="6940" w:type="dxa"/>
            <w:vAlign w:val="bottom"/>
            <w:tcBorders>
              <w:bottom w:val="single" w:sz="8" w:color="0000EE"/>
            </w:tcBorders>
            <w:gridSpan w:val="12"/>
            <w:shd w:val="clear" w:color="auto" w:fill="CCEEFF"/>
          </w:tcPr>
          <w:p>
            <w:pPr>
              <w:spacing w:after="0"/>
              <w:rPr>
                <w:rFonts w:ascii="Arial" w:cs="Arial" w:eastAsia="Arial" w:hAnsi="Arial"/>
                <w:sz w:val="14"/>
                <w:szCs w:val="14"/>
                <w:color w:val="0000EE"/>
              </w:rPr>
            </w:pPr>
            <w:hyperlink w:anchor="page217">
              <w:r>
                <w:rPr>
                  <w:rFonts w:ascii="Arial" w:cs="Arial" w:eastAsia="Arial" w:hAnsi="Arial"/>
                  <w:sz w:val="14"/>
                  <w:szCs w:val="14"/>
                  <w:color w:val="0000EE"/>
                </w:rPr>
                <w:t>Consolidated statements of changes in convertible preferred stock and stockholders’ deficit for the year</w:t>
              </w:r>
            </w:hyperlink>
          </w:p>
        </w:tc>
        <w:tc>
          <w:tcPr>
            <w:tcW w:w="140" w:type="dxa"/>
            <w:vAlign w:val="bottom"/>
            <w:tcBorders>
              <w:bottom w:val="single" w:sz="8" w:color="CCEEFF"/>
              <w:right w:val="single" w:sz="8" w:color="CCEEFF"/>
            </w:tcBorders>
            <w:gridSpan w:val="2"/>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r>
      <w:tr>
        <w:trPr>
          <w:trHeight w:val="153"/>
        </w:trPr>
        <w:tc>
          <w:tcPr>
            <w:tcW w:w="140" w:type="dxa"/>
            <w:vAlign w:val="bottom"/>
            <w:shd w:val="clear" w:color="auto" w:fill="CCEEFF"/>
          </w:tcPr>
          <w:p>
            <w:pPr>
              <w:spacing w:after="0"/>
              <w:rPr>
                <w:sz w:val="13"/>
                <w:szCs w:val="13"/>
                <w:color w:val="auto"/>
              </w:rPr>
            </w:pPr>
          </w:p>
        </w:tc>
        <w:tc>
          <w:tcPr>
            <w:tcW w:w="6940" w:type="dxa"/>
            <w:vAlign w:val="bottom"/>
            <w:tcBorders>
              <w:right w:val="single" w:sz="8" w:color="CCEEFF"/>
            </w:tcBorders>
            <w:gridSpan w:val="13"/>
            <w:shd w:val="clear" w:color="auto" w:fill="CCEEFF"/>
          </w:tcPr>
          <w:p>
            <w:pPr>
              <w:spacing w:after="0" w:line="153" w:lineRule="exact"/>
              <w:rPr>
                <w:rFonts w:ascii="Arial" w:cs="Arial" w:eastAsia="Arial" w:hAnsi="Arial"/>
                <w:sz w:val="14"/>
                <w:szCs w:val="14"/>
                <w:color w:val="0000EE"/>
              </w:rPr>
            </w:pPr>
            <w:hyperlink w:anchor="page217">
              <w:r>
                <w:rPr>
                  <w:rFonts w:ascii="Arial" w:cs="Arial" w:eastAsia="Arial" w:hAnsi="Arial"/>
                  <w:sz w:val="14"/>
                  <w:szCs w:val="14"/>
                  <w:color w:val="0000EE"/>
                </w:rPr>
                <w:t>ended December 31, 2020 (successor), the periods June 21, 2019 through December 31, 2019</w:t>
              </w:r>
            </w:hyperlink>
          </w:p>
        </w:tc>
        <w:tc>
          <w:tcPr>
            <w:tcW w:w="220" w:type="dxa"/>
            <w:vAlign w:val="bottom"/>
            <w:shd w:val="clear" w:color="auto" w:fill="CCEEFF"/>
          </w:tcPr>
          <w:p>
            <w:pPr>
              <w:spacing w:after="0"/>
              <w:rPr>
                <w:sz w:val="13"/>
                <w:szCs w:val="13"/>
                <w:color w:val="auto"/>
              </w:rPr>
            </w:pPr>
          </w:p>
        </w:tc>
      </w:tr>
      <w:tr>
        <w:trPr>
          <w:trHeight w:val="153"/>
        </w:trPr>
        <w:tc>
          <w:tcPr>
            <w:tcW w:w="140" w:type="dxa"/>
            <w:vAlign w:val="bottom"/>
            <w:tcBorders>
              <w:top w:val="single" w:sz="8" w:color="CCEEFF"/>
            </w:tcBorders>
            <w:shd w:val="clear" w:color="auto" w:fill="CCEEFF"/>
          </w:tcPr>
          <w:p>
            <w:pPr>
              <w:spacing w:after="0"/>
              <w:rPr>
                <w:sz w:val="13"/>
                <w:szCs w:val="13"/>
                <w:color w:val="auto"/>
              </w:rPr>
            </w:pPr>
          </w:p>
        </w:tc>
        <w:tc>
          <w:tcPr>
            <w:tcW w:w="6380" w:type="dxa"/>
            <w:vAlign w:val="bottom"/>
            <w:tcBorders>
              <w:top w:val="single" w:sz="8" w:color="0000EE"/>
            </w:tcBorders>
            <w:gridSpan w:val="5"/>
            <w:shd w:val="clear" w:color="auto" w:fill="CCEEFF"/>
          </w:tcPr>
          <w:p>
            <w:pPr>
              <w:spacing w:after="0" w:line="153" w:lineRule="exact"/>
              <w:rPr>
                <w:rFonts w:ascii="Arial" w:cs="Arial" w:eastAsia="Arial" w:hAnsi="Arial"/>
                <w:sz w:val="14"/>
                <w:szCs w:val="14"/>
                <w:color w:val="0000EE"/>
              </w:rPr>
            </w:pPr>
            <w:hyperlink w:anchor="page217">
              <w:r>
                <w:rPr>
                  <w:rFonts w:ascii="Arial" w:cs="Arial" w:eastAsia="Arial" w:hAnsi="Arial"/>
                  <w:sz w:val="14"/>
                  <w:szCs w:val="14"/>
                  <w:color w:val="0000EE"/>
                </w:rPr>
                <w:t>(successor) and January 1, 2019 through June 20, 2019 (predecessor)</w:t>
              </w:r>
            </w:hyperlink>
          </w:p>
        </w:tc>
        <w:tc>
          <w:tcPr>
            <w:tcW w:w="560" w:type="dxa"/>
            <w:vAlign w:val="bottom"/>
            <w:tcBorders>
              <w:top w:val="single" w:sz="8" w:color="CCEEFF"/>
              <w:right w:val="single" w:sz="8" w:color="CCEEFF"/>
            </w:tcBorders>
            <w:gridSpan w:val="8"/>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line="153" w:lineRule="exact"/>
              <w:rPr>
                <w:rFonts w:ascii="Arial" w:cs="Arial" w:eastAsia="Arial" w:hAnsi="Arial"/>
                <w:sz w:val="14"/>
                <w:szCs w:val="14"/>
                <w:color w:val="0000EE"/>
                <w:w w:val="94"/>
              </w:rPr>
            </w:pPr>
            <w:hyperlink w:anchor="page217">
              <w:r>
                <w:rPr>
                  <w:rFonts w:ascii="Arial" w:cs="Arial" w:eastAsia="Arial" w:hAnsi="Arial"/>
                  <w:sz w:val="14"/>
                  <w:szCs w:val="14"/>
                  <w:color w:val="0000EE"/>
                  <w:w w:val="94"/>
                </w:rPr>
                <w:t>F-5</w:t>
              </w:r>
            </w:hyperlink>
          </w:p>
        </w:tc>
      </w:tr>
      <w:tr>
        <w:trPr>
          <w:trHeight w:val="23"/>
        </w:trPr>
        <w:tc>
          <w:tcPr>
            <w:tcW w:w="1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17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60" w:type="dxa"/>
            <w:vAlign w:val="bottom"/>
            <w:tcBorders>
              <w:top w:val="single" w:sz="8" w:color="0000EE"/>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r>
      <w:tr>
        <w:trPr>
          <w:trHeight w:val="173"/>
        </w:trPr>
        <w:tc>
          <w:tcPr>
            <w:tcW w:w="6900" w:type="dxa"/>
            <w:vAlign w:val="bottom"/>
            <w:tcBorders>
              <w:bottom w:val="single" w:sz="8" w:color="0000EE"/>
            </w:tcBorders>
            <w:gridSpan w:val="10"/>
          </w:tcPr>
          <w:p>
            <w:pPr>
              <w:spacing w:after="0"/>
              <w:rPr>
                <w:rFonts w:ascii="Arial" w:cs="Arial" w:eastAsia="Arial" w:hAnsi="Arial"/>
                <w:sz w:val="14"/>
                <w:szCs w:val="14"/>
                <w:color w:val="0000EE"/>
              </w:rPr>
            </w:pPr>
            <w:hyperlink w:anchor="page218">
              <w:r>
                <w:rPr>
                  <w:rFonts w:ascii="Arial" w:cs="Arial" w:eastAsia="Arial" w:hAnsi="Arial"/>
                  <w:sz w:val="14"/>
                  <w:szCs w:val="14"/>
                  <w:color w:val="0000EE"/>
                </w:rPr>
                <w:t>Consolidated statements of cash flows for the year ended December 31, 2020 (successor), the periods</w:t>
              </w:r>
            </w:hyperlink>
          </w:p>
        </w:tc>
        <w:tc>
          <w:tcPr>
            <w:tcW w:w="180" w:type="dxa"/>
            <w:vAlign w:val="bottom"/>
            <w:gridSpan w:val="4"/>
          </w:tcPr>
          <w:p>
            <w:pPr>
              <w:spacing w:after="0"/>
              <w:rPr>
                <w:sz w:val="15"/>
                <w:szCs w:val="15"/>
                <w:color w:val="auto"/>
              </w:rPr>
            </w:pPr>
          </w:p>
        </w:tc>
        <w:tc>
          <w:tcPr>
            <w:tcW w:w="220" w:type="dxa"/>
            <w:vAlign w:val="bottom"/>
          </w:tcPr>
          <w:p>
            <w:pPr>
              <w:spacing w:after="0"/>
              <w:rPr>
                <w:sz w:val="15"/>
                <w:szCs w:val="15"/>
                <w:color w:val="auto"/>
              </w:rPr>
            </w:pPr>
          </w:p>
        </w:tc>
      </w:tr>
      <w:tr>
        <w:trPr>
          <w:trHeight w:val="153"/>
        </w:trPr>
        <w:tc>
          <w:tcPr>
            <w:tcW w:w="140" w:type="dxa"/>
            <w:vAlign w:val="bottom"/>
          </w:tcPr>
          <w:p>
            <w:pPr>
              <w:spacing w:after="0"/>
              <w:rPr>
                <w:sz w:val="13"/>
                <w:szCs w:val="13"/>
                <w:color w:val="auto"/>
              </w:rPr>
            </w:pPr>
          </w:p>
        </w:tc>
        <w:tc>
          <w:tcPr>
            <w:tcW w:w="6700" w:type="dxa"/>
            <w:vAlign w:val="bottom"/>
            <w:tcBorders>
              <w:bottom w:val="single" w:sz="8" w:color="0000EE"/>
            </w:tcBorders>
            <w:gridSpan w:val="7"/>
          </w:tcPr>
          <w:p>
            <w:pPr>
              <w:spacing w:after="0" w:line="153" w:lineRule="exact"/>
              <w:rPr>
                <w:rFonts w:ascii="Arial" w:cs="Arial" w:eastAsia="Arial" w:hAnsi="Arial"/>
                <w:sz w:val="14"/>
                <w:szCs w:val="14"/>
                <w:color w:val="0000EE"/>
              </w:rPr>
            </w:pPr>
            <w:hyperlink w:anchor="page218">
              <w:r>
                <w:rPr>
                  <w:rFonts w:ascii="Arial" w:cs="Arial" w:eastAsia="Arial" w:hAnsi="Arial"/>
                  <w:sz w:val="14"/>
                  <w:szCs w:val="14"/>
                  <w:color w:val="0000EE"/>
                </w:rPr>
                <w:t>June 21, 2019 through December 31, 2019 (successor) and January 1, 2019 through June 20, 2019</w:t>
              </w:r>
            </w:hyperlink>
          </w:p>
        </w:tc>
        <w:tc>
          <w:tcPr>
            <w:tcW w:w="240" w:type="dxa"/>
            <w:vAlign w:val="bottom"/>
            <w:gridSpan w:val="6"/>
          </w:tcPr>
          <w:p>
            <w:pPr>
              <w:spacing w:after="0"/>
              <w:rPr>
                <w:sz w:val="13"/>
                <w:szCs w:val="13"/>
                <w:color w:val="auto"/>
              </w:rPr>
            </w:pPr>
          </w:p>
        </w:tc>
        <w:tc>
          <w:tcPr>
            <w:tcW w:w="220" w:type="dxa"/>
            <w:vAlign w:val="bottom"/>
          </w:tcPr>
          <w:p>
            <w:pPr>
              <w:spacing w:after="0"/>
              <w:rPr>
                <w:sz w:val="13"/>
                <w:szCs w:val="13"/>
                <w:color w:val="auto"/>
              </w:rPr>
            </w:pPr>
          </w:p>
        </w:tc>
      </w:tr>
      <w:tr>
        <w:trPr>
          <w:trHeight w:val="153"/>
        </w:trPr>
        <w:tc>
          <w:tcPr>
            <w:tcW w:w="140" w:type="dxa"/>
            <w:vAlign w:val="bottom"/>
          </w:tcPr>
          <w:p>
            <w:pPr>
              <w:spacing w:after="0"/>
              <w:rPr>
                <w:sz w:val="13"/>
                <w:szCs w:val="13"/>
                <w:color w:val="auto"/>
              </w:rPr>
            </w:pPr>
          </w:p>
        </w:tc>
        <w:tc>
          <w:tcPr>
            <w:tcW w:w="6940" w:type="dxa"/>
            <w:vAlign w:val="bottom"/>
            <w:gridSpan w:val="13"/>
          </w:tcPr>
          <w:p>
            <w:pPr>
              <w:spacing w:after="0" w:line="153" w:lineRule="exact"/>
              <w:rPr>
                <w:rFonts w:ascii="Arial" w:cs="Arial" w:eastAsia="Arial" w:hAnsi="Arial"/>
                <w:sz w:val="14"/>
                <w:szCs w:val="14"/>
                <w:color w:val="0000EE"/>
              </w:rPr>
            </w:pPr>
            <w:hyperlink w:anchor="page218">
              <w:r>
                <w:rPr>
                  <w:rFonts w:ascii="Arial" w:cs="Arial" w:eastAsia="Arial" w:hAnsi="Arial"/>
                  <w:sz w:val="14"/>
                  <w:szCs w:val="14"/>
                  <w:color w:val="0000EE"/>
                </w:rPr>
                <w:t>(predecessor)</w:t>
              </w:r>
            </w:hyperlink>
          </w:p>
        </w:tc>
        <w:tc>
          <w:tcPr>
            <w:tcW w:w="220" w:type="dxa"/>
            <w:vAlign w:val="bottom"/>
          </w:tcPr>
          <w:p>
            <w:pPr>
              <w:spacing w:after="0" w:line="153" w:lineRule="exact"/>
              <w:rPr>
                <w:rFonts w:ascii="Arial" w:cs="Arial" w:eastAsia="Arial" w:hAnsi="Arial"/>
                <w:sz w:val="14"/>
                <w:szCs w:val="14"/>
                <w:color w:val="0000EE"/>
                <w:w w:val="94"/>
              </w:rPr>
            </w:pPr>
            <w:hyperlink w:anchor="page218">
              <w:r>
                <w:rPr>
                  <w:rFonts w:ascii="Arial" w:cs="Arial" w:eastAsia="Arial" w:hAnsi="Arial"/>
                  <w:sz w:val="14"/>
                  <w:szCs w:val="14"/>
                  <w:color w:val="0000EE"/>
                  <w:w w:val="94"/>
                </w:rPr>
                <w:t>F-6</w:t>
              </w:r>
            </w:hyperlink>
          </w:p>
        </w:tc>
      </w:tr>
      <w:tr>
        <w:trPr>
          <w:trHeight w:val="23"/>
        </w:trPr>
        <w:tc>
          <w:tcPr>
            <w:tcW w:w="140" w:type="dxa"/>
            <w:vAlign w:val="bottom"/>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r>
      <w:tr>
        <w:trPr>
          <w:trHeight w:val="183"/>
        </w:trPr>
        <w:tc>
          <w:tcPr>
            <w:tcW w:w="7080" w:type="dxa"/>
            <w:vAlign w:val="bottom"/>
            <w:tcBorders>
              <w:right w:val="single" w:sz="8" w:color="CCEEFF"/>
            </w:tcBorders>
            <w:gridSpan w:val="14"/>
            <w:shd w:val="clear" w:color="auto" w:fill="CCEEFF"/>
          </w:tcPr>
          <w:p>
            <w:pPr>
              <w:spacing w:after="0"/>
              <w:rPr>
                <w:rFonts w:ascii="Arial" w:cs="Arial" w:eastAsia="Arial" w:hAnsi="Arial"/>
                <w:sz w:val="14"/>
                <w:szCs w:val="14"/>
                <w:color w:val="0000EE"/>
              </w:rPr>
            </w:pPr>
            <w:hyperlink w:anchor="page219">
              <w:r>
                <w:rPr>
                  <w:rFonts w:ascii="Arial" w:cs="Arial" w:eastAsia="Arial" w:hAnsi="Arial"/>
                  <w:sz w:val="14"/>
                  <w:szCs w:val="14"/>
                  <w:color w:val="0000EE"/>
                </w:rPr>
                <w:t>Notes to consolidated financial statements</w:t>
              </w:r>
            </w:hyperlink>
          </w:p>
        </w:tc>
        <w:tc>
          <w:tcPr>
            <w:tcW w:w="220" w:type="dxa"/>
            <w:vAlign w:val="bottom"/>
            <w:shd w:val="clear" w:color="auto" w:fill="CCEEFF"/>
          </w:tcPr>
          <w:p>
            <w:pPr>
              <w:spacing w:after="0"/>
              <w:rPr>
                <w:rFonts w:ascii="Arial" w:cs="Arial" w:eastAsia="Arial" w:hAnsi="Arial"/>
                <w:sz w:val="14"/>
                <w:szCs w:val="14"/>
                <w:color w:val="0000EE"/>
                <w:w w:val="94"/>
              </w:rPr>
            </w:pPr>
            <w:hyperlink w:anchor="page219">
              <w:r>
                <w:rPr>
                  <w:rFonts w:ascii="Arial" w:cs="Arial" w:eastAsia="Arial" w:hAnsi="Arial"/>
                  <w:sz w:val="14"/>
                  <w:szCs w:val="14"/>
                  <w:color w:val="0000EE"/>
                  <w:w w:val="94"/>
                </w:rPr>
                <w:t>F-7</w:t>
              </w:r>
            </w:hyperlink>
          </w:p>
        </w:tc>
      </w:tr>
      <w:tr>
        <w:trPr>
          <w:trHeight w:val="22"/>
        </w:trPr>
        <w:tc>
          <w:tcPr>
            <w:tcW w:w="1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14" w:name="page215"/>
    <w:bookmarkEnd w:id="214"/>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Report of independent registered public accounting firm</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To the Stockholders and the Board of Directors of</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Century Therapeutics, Inc.</w:t>
      </w:r>
    </w:p>
    <w:p>
      <w:pPr>
        <w:spacing w:after="0" w:line="15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Opinion on the financial statements</w:t>
      </w:r>
    </w:p>
    <w:p>
      <w:pPr>
        <w:spacing w:after="0" w:line="144"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We have audited the accompanying consolidated balance sheets of Century Therapeutics, Inc. and subsidiary (the Company) as of December 31, 2020 and 2019 (Successor), the related consolidated statements of operations and comprehensive loss, changes in convertible preferred stock and stockholders’ deficit and cash flows for the year ended December 31, 2020 (Successor), the period June 21, 2019 through December 31, 2019 (Successor) and the period January 1, 2019 through June 20, 2019 (Predecessor), and the related notes (collectively referred to as the “consolidated financial statements”). In our opinion, the consolidated financial statements present fairly, in all material respects, the financial position of the Company at December 31, 2020 and 2019 (Successor), and the results of its operations and its cash flows for the year ended December 31, 2020 (Successor), the period June 21, 2019 through December 31, 2019 (Successor) and the period January 1, 2019 through June 20, 2019 (Predecessor), in conformity with U.S. generally accepted accounting principles.</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Adoption of new accounting standard</w:t>
      </w:r>
    </w:p>
    <w:p>
      <w:pPr>
        <w:spacing w:after="0" w:line="144" w:lineRule="exact"/>
        <w:rPr>
          <w:sz w:val="20"/>
          <w:szCs w:val="20"/>
          <w:color w:val="auto"/>
        </w:rPr>
      </w:pPr>
    </w:p>
    <w:p>
      <w:pPr>
        <w:ind w:left="1220" w:right="1539"/>
        <w:spacing w:after="0" w:line="281" w:lineRule="auto"/>
        <w:rPr>
          <w:sz w:val="20"/>
          <w:szCs w:val="20"/>
          <w:color w:val="auto"/>
        </w:rPr>
      </w:pPr>
      <w:r>
        <w:rPr>
          <w:rFonts w:ascii="Arial" w:cs="Arial" w:eastAsia="Arial" w:hAnsi="Arial"/>
          <w:sz w:val="14"/>
          <w:szCs w:val="14"/>
          <w:color w:val="auto"/>
        </w:rPr>
        <w:t>As discussed in Note 2 to the consolidated financial statements, the Company changed its method of accounting for leases in 2020 due to the adoption of Accounting Standards Update (ASU) No. 2016-02, Leases (Topic 842), and related amendments.</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Basis for opinion</w:t>
      </w:r>
    </w:p>
    <w:p>
      <w:pPr>
        <w:spacing w:after="0" w:line="133"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8"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ind w:left="1220" w:right="1279"/>
        <w:spacing w:after="0" w:line="277"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 Ernst &amp; Young LLP</w:t>
      </w:r>
    </w:p>
    <w:p>
      <w:pPr>
        <w:spacing w:after="0" w:line="14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We have served as the Company’s auditor since 2019.</w:t>
      </w:r>
    </w:p>
    <w:p>
      <w:pPr>
        <w:spacing w:after="0" w:line="14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Philadelphia, Pennsylvania</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May 5, 2021</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15" w:name="page216"/>
    <w:bookmarkEnd w:id="215"/>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right="2959"/>
        <w:spacing w:after="0" w:line="237" w:lineRule="auto"/>
        <w:rPr>
          <w:sz w:val="20"/>
          <w:szCs w:val="20"/>
          <w:color w:val="auto"/>
        </w:rPr>
      </w:pPr>
      <w:r>
        <w:rPr>
          <w:rFonts w:ascii="Arial" w:cs="Arial" w:eastAsia="Arial" w:hAnsi="Arial"/>
          <w:sz w:val="23"/>
          <w:szCs w:val="23"/>
          <w:b w:val="1"/>
          <w:bCs w:val="1"/>
          <w:color w:val="auto"/>
        </w:rPr>
        <w:t>Century Therapeutics, Inc. and Subsidiary Consolidated balance sheets</w:t>
      </w:r>
    </w:p>
    <w:p>
      <w:pPr>
        <w:spacing w:after="0" w:line="2"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80645</wp:posOffset>
            </wp:positionV>
            <wp:extent cx="4494530" cy="139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494530" cy="13970"/>
                    </a:xfrm>
                    <a:prstGeom prst="rect">
                      <a:avLst/>
                    </a:prstGeom>
                    <a:noFill/>
                  </pic:spPr>
                </pic:pic>
              </a:graphicData>
            </a:graphic>
          </wp:anchor>
        </w:drawing>
      </w:r>
    </w:p>
    <w:p>
      <w:pPr>
        <w:spacing w:after="0" w:line="136" w:lineRule="exact"/>
        <w:rPr>
          <w:sz w:val="20"/>
          <w:szCs w:val="20"/>
          <w:color w:val="auto"/>
        </w:rPr>
      </w:pPr>
    </w:p>
    <w:p>
      <w:pPr>
        <w:jc w:val="center"/>
        <w:ind w:left="5120"/>
        <w:spacing w:after="0"/>
        <w:rPr>
          <w:sz w:val="20"/>
          <w:szCs w:val="20"/>
          <w:color w:val="auto"/>
        </w:rPr>
      </w:pPr>
      <w:r>
        <w:rPr>
          <w:rFonts w:ascii="Arial" w:cs="Arial" w:eastAsia="Arial" w:hAnsi="Arial"/>
          <w:sz w:val="13"/>
          <w:szCs w:val="13"/>
          <w:b w:val="1"/>
          <w:bCs w:val="1"/>
          <w:color w:val="auto"/>
        </w:rPr>
        <w:t>Successor</w:t>
      </w:r>
    </w:p>
    <w:p>
      <w:pPr>
        <w:spacing w:after="0" w:line="23" w:lineRule="exact"/>
        <w:rPr>
          <w:sz w:val="20"/>
          <w:szCs w:val="20"/>
          <w:color w:val="auto"/>
        </w:rPr>
      </w:pPr>
    </w:p>
    <w:p>
      <w:pPr>
        <w:jc w:val="center"/>
        <w:ind w:left="5120"/>
        <w:spacing w:after="0"/>
        <w:rPr>
          <w:sz w:val="20"/>
          <w:szCs w:val="20"/>
          <w:color w:val="auto"/>
        </w:rPr>
      </w:pPr>
      <w:r>
        <w:rPr>
          <w:rFonts w:ascii="Arial" w:cs="Arial" w:eastAsia="Arial" w:hAnsi="Arial"/>
          <w:sz w:val="13"/>
          <w:szCs w:val="13"/>
          <w:b w:val="1"/>
          <w:bCs w:val="1"/>
          <w:color w:val="auto"/>
        </w:rPr>
        <w:t>December 31, 2020December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-92075</wp:posOffset>
            </wp:positionV>
            <wp:extent cx="1562100"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562100" cy="6985"/>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-98425</wp:posOffset>
            </wp:positionV>
            <wp:extent cx="4494530" cy="1301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494530" cy="130175"/>
                    </a:xfrm>
                    <a:prstGeom prst="rect">
                      <a:avLst/>
                    </a:prstGeom>
                    <a:noFill/>
                  </pic:spPr>
                </pic:pic>
              </a:graphicData>
            </a:graphic>
          </wp:anchor>
        </w:drawing>
      </w:r>
    </w:p>
    <w:p>
      <w:pPr>
        <w:spacing w:after="0" w:line="28"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Current assets:</w:t>
      </w:r>
    </w:p>
    <w:p>
      <w:pPr>
        <w:spacing w:after="0" w:line="3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-100965</wp:posOffset>
            </wp:positionV>
            <wp:extent cx="4494530" cy="1231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494530" cy="123190"/>
                    </a:xfrm>
                    <a:prstGeom prst="rect">
                      <a:avLst/>
                    </a:prstGeom>
                    <a:noFill/>
                  </pic:spPr>
                </pic:pic>
              </a:graphicData>
            </a:graphic>
          </wp:anchor>
        </w:drawing>
      </w:r>
    </w:p>
    <w:p>
      <w:pPr>
        <w:spacing w:after="0" w:line="1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Short-term investments</w:t>
      </w:r>
    </w:p>
    <w:p>
      <w:pPr>
        <w:spacing w:after="0" w:line="3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Escrow deposits,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-100965</wp:posOffset>
            </wp:positionV>
            <wp:extent cx="4494530" cy="1231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494530" cy="123190"/>
                    </a:xfrm>
                    <a:prstGeom prst="rect">
                      <a:avLst/>
                    </a:prstGeom>
                    <a:noFill/>
                  </pic:spPr>
                </pic:pic>
              </a:graphicData>
            </a:graphic>
          </wp:anchor>
        </w:drawing>
      </w:r>
    </w:p>
    <w:p>
      <w:pPr>
        <w:spacing w:after="0" w:line="13" w:lineRule="exact"/>
        <w:rPr>
          <w:sz w:val="20"/>
          <w:szCs w:val="20"/>
          <w:color w:val="auto"/>
        </w:rPr>
      </w:pPr>
    </w:p>
    <w:p>
      <w:pPr>
        <w:ind w:left="1220" w:right="1580" w:firstLine="144"/>
        <w:spacing w:after="0" w:line="281" w:lineRule="auto"/>
        <w:rPr>
          <w:sz w:val="20"/>
          <w:szCs w:val="20"/>
          <w:color w:val="auto"/>
        </w:rPr>
      </w:pPr>
      <w:r>
        <w:rPr>
          <w:rFonts w:ascii="Arial" w:cs="Arial" w:eastAsia="Arial" w:hAnsi="Arial"/>
          <w:sz w:val="14"/>
          <w:szCs w:val="14"/>
          <w:color w:val="auto"/>
        </w:rPr>
        <w:t>Prepaid expenses and other current assets 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-128905</wp:posOffset>
            </wp:positionV>
            <wp:extent cx="4494530" cy="1301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494530" cy="13017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4"/>
          <w:szCs w:val="14"/>
          <w:color w:val="auto"/>
        </w:rPr>
        <w:t>Property and equipment, net</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Operating lease right-of-use asset,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-100965</wp:posOffset>
            </wp:positionV>
            <wp:extent cx="4494530" cy="1231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494530" cy="123190"/>
                    </a:xfrm>
                    <a:prstGeom prst="rect">
                      <a:avLst/>
                    </a:prstGeom>
                    <a:noFill/>
                  </pic:spPr>
                </pic:pic>
              </a:graphicData>
            </a:graphic>
          </wp:anchor>
        </w:drawing>
      </w:r>
    </w:p>
    <w:p>
      <w:pPr>
        <w:spacing w:after="0" w:line="1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Restricted cash</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Escrow deposits,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-100965</wp:posOffset>
            </wp:positionV>
            <wp:extent cx="4494530" cy="1231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494530" cy="123190"/>
                    </a:xfrm>
                    <a:prstGeom prst="rect">
                      <a:avLst/>
                    </a:prstGeom>
                    <a:noFill/>
                  </pic:spPr>
                </pic:pic>
              </a:graphicData>
            </a:graphic>
          </wp:anchor>
        </w:drawing>
      </w:r>
    </w:p>
    <w:p>
      <w:pPr>
        <w:spacing w:after="0" w:line="1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Long-term investments</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Security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-100965</wp:posOffset>
            </wp:positionV>
            <wp:extent cx="4494530" cy="1162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494530" cy="11620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4"/>
          <w:szCs w:val="14"/>
          <w:b w:val="1"/>
          <w:bCs w:val="1"/>
          <w:color w:val="auto"/>
        </w:rPr>
        <w:t>Total assets</w:t>
      </w:r>
    </w:p>
    <w:p>
      <w:pPr>
        <w:spacing w:after="0" w:line="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-93980</wp:posOffset>
            </wp:positionV>
            <wp:extent cx="4494530" cy="1162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494530" cy="116205"/>
                    </a:xfrm>
                    <a:prstGeom prst="rect">
                      <a:avLst/>
                    </a:prstGeom>
                    <a:noFill/>
                  </pic:spPr>
                </pic:pic>
              </a:graphicData>
            </a:graphic>
          </wp:anchor>
        </w:drawing>
      </w:r>
    </w:p>
    <w:p>
      <w:pPr>
        <w:spacing w:after="0" w:line="1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Current liabilities:</w:t>
      </w:r>
    </w:p>
    <w:p>
      <w:pPr>
        <w:spacing w:after="0" w:line="3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-100965</wp:posOffset>
            </wp:positionV>
            <wp:extent cx="4494530" cy="1231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494530" cy="123190"/>
                    </a:xfrm>
                    <a:prstGeom prst="rect">
                      <a:avLst/>
                    </a:prstGeom>
                    <a:noFill/>
                  </pic:spPr>
                </pic:pic>
              </a:graphicData>
            </a:graphic>
          </wp:anchor>
        </w:drawing>
      </w:r>
    </w:p>
    <w:p>
      <w:pPr>
        <w:spacing w:after="0" w:line="1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7620</wp:posOffset>
            </wp:positionV>
            <wp:extent cx="4494530" cy="1301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494530" cy="130175"/>
                    </a:xfrm>
                    <a:prstGeom prst="rect">
                      <a:avLst/>
                    </a:prstGeom>
                    <a:noFill/>
                  </pic:spPr>
                </pic:pic>
              </a:graphicData>
            </a:graphic>
          </wp:anchor>
        </w:drawing>
      </w:r>
    </w:p>
    <w:p>
      <w:pPr>
        <w:spacing w:after="0" w:line="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Total current liabilities</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Operating lease liability, long-term</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Long-term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-100965</wp:posOffset>
            </wp:positionV>
            <wp:extent cx="4494530" cy="1162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494530" cy="11620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4"/>
          <w:szCs w:val="14"/>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15240</wp:posOffset>
            </wp:positionV>
            <wp:extent cx="4494530" cy="1231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494530" cy="123190"/>
                    </a:xfrm>
                    <a:prstGeom prst="rect">
                      <a:avLst/>
                    </a:prstGeom>
                    <a:noFill/>
                  </pic:spPr>
                </pic:pic>
              </a:graphicData>
            </a:graphic>
          </wp:anchor>
        </w:drawing>
      </w:r>
    </w:p>
    <w:p>
      <w:pPr>
        <w:spacing w:after="0" w:line="1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Commitments and contingencies (Note 11)</w:t>
      </w:r>
    </w:p>
    <w:p>
      <w:pPr>
        <w:spacing w:after="0" w:line="22" w:lineRule="exact"/>
        <w:rPr>
          <w:sz w:val="20"/>
          <w:szCs w:val="20"/>
          <w:color w:val="auto"/>
        </w:rPr>
      </w:pPr>
    </w:p>
    <w:p>
      <w:pPr>
        <w:jc w:val="both"/>
        <w:ind w:left="1360" w:right="180" w:hanging="143"/>
        <w:spacing w:after="0" w:line="262" w:lineRule="auto"/>
        <w:rPr>
          <w:sz w:val="20"/>
          <w:szCs w:val="20"/>
          <w:color w:val="auto"/>
        </w:rPr>
      </w:pPr>
      <w:r>
        <w:rPr>
          <w:rFonts w:ascii="Arial" w:cs="Arial" w:eastAsia="Arial" w:hAnsi="Arial"/>
          <w:sz w:val="14"/>
          <w:szCs w:val="14"/>
          <w:color w:val="auto"/>
        </w:rPr>
        <w:t>Non-cumulative convertible preferred stock, Series A, $0.0001 par value, 35,000,000 shares authorized, issued and outstanding at December 31, 2020 and 2019</w:t>
      </w:r>
    </w:p>
    <w:p>
      <w:pPr>
        <w:spacing w:after="0" w:line="1" w:lineRule="exact"/>
        <w:rPr>
          <w:sz w:val="20"/>
          <w:szCs w:val="20"/>
          <w:color w:val="auto"/>
        </w:rPr>
      </w:pPr>
    </w:p>
    <w:p>
      <w:pPr>
        <w:jc w:val="both"/>
        <w:ind w:left="1360" w:right="180" w:hanging="143"/>
        <w:spacing w:after="0" w:line="265" w:lineRule="auto"/>
        <w:rPr>
          <w:sz w:val="20"/>
          <w:szCs w:val="20"/>
          <w:color w:val="auto"/>
        </w:rPr>
      </w:pPr>
      <w:r>
        <w:rPr>
          <w:rFonts w:ascii="Arial" w:cs="Arial" w:eastAsia="Arial" w:hAnsi="Arial"/>
          <w:sz w:val="14"/>
          <w:szCs w:val="14"/>
          <w:color w:val="auto"/>
        </w:rPr>
        <w:t>Non-cumulative convertible preferred stock, Series B, $0.0001 par value, 26,143,790 shares authorized, issued and outstanding at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-337820</wp:posOffset>
            </wp:positionV>
            <wp:extent cx="4494530" cy="3422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494530" cy="34226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4"/>
          <w:szCs w:val="14"/>
          <w:color w:val="auto"/>
        </w:rPr>
        <w:t>Stockholders' deficit</w:t>
      </w:r>
    </w:p>
    <w:p>
      <w:pPr>
        <w:spacing w:after="0" w:line="22" w:lineRule="exact"/>
        <w:rPr>
          <w:sz w:val="20"/>
          <w:szCs w:val="20"/>
          <w:color w:val="auto"/>
        </w:rPr>
      </w:pPr>
    </w:p>
    <w:p>
      <w:pPr>
        <w:jc w:val="both"/>
        <w:ind w:left="1360" w:right="80" w:hanging="143"/>
        <w:spacing w:after="0" w:line="265" w:lineRule="auto"/>
        <w:rPr>
          <w:sz w:val="20"/>
          <w:szCs w:val="20"/>
          <w:color w:val="auto"/>
        </w:rPr>
      </w:pPr>
      <w:r>
        <w:rPr>
          <w:rFonts w:ascii="Arial" w:cs="Arial" w:eastAsia="Arial" w:hAnsi="Arial"/>
          <w:sz w:val="14"/>
          <w:szCs w:val="14"/>
          <w:color w:val="auto"/>
        </w:rPr>
        <w:t>Common stock, $0.0001 par value, 125,236,190 shares authorized; 18,825,136 shares issued and outstanding at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-337820</wp:posOffset>
            </wp:positionV>
            <wp:extent cx="4494530" cy="3422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494530" cy="34226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4"/>
          <w:szCs w:val="14"/>
          <w:color w:val="auto"/>
        </w:rPr>
        <w:t>Additional paid-in capital</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Subscription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-100965</wp:posOffset>
            </wp:positionV>
            <wp:extent cx="4494530" cy="1231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494530" cy="123190"/>
                    </a:xfrm>
                    <a:prstGeom prst="rect">
                      <a:avLst/>
                    </a:prstGeom>
                    <a:noFill/>
                  </pic:spPr>
                </pic:pic>
              </a:graphicData>
            </a:graphic>
          </wp:anchor>
        </w:drawing>
      </w:r>
    </w:p>
    <w:p>
      <w:pPr>
        <w:spacing w:after="0" w:line="1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Accumulated deficit</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-100965</wp:posOffset>
            </wp:positionV>
            <wp:extent cx="4494530" cy="1162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494530" cy="11620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4"/>
          <w:szCs w:val="14"/>
          <w:b w:val="1"/>
          <w:bCs w:val="1"/>
          <w:color w:val="auto"/>
        </w:rPr>
        <w:t>Total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8255</wp:posOffset>
            </wp:positionV>
            <wp:extent cx="4494530" cy="2673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494530" cy="267335"/>
                    </a:xfrm>
                    <a:prstGeom prst="rect">
                      <a:avLst/>
                    </a:prstGeom>
                    <a:noFill/>
                  </pic:spPr>
                </pic:pic>
              </a:graphicData>
            </a:graphic>
          </wp:anchor>
        </w:drawing>
      </w:r>
    </w:p>
    <w:p>
      <w:pPr>
        <w:spacing w:after="0" w:line="2" w:lineRule="exact"/>
        <w:rPr>
          <w:sz w:val="20"/>
          <w:szCs w:val="20"/>
          <w:color w:val="auto"/>
        </w:rPr>
      </w:pPr>
    </w:p>
    <w:p>
      <w:pPr>
        <w:ind w:left="1360" w:right="200" w:hanging="143"/>
        <w:spacing w:after="0" w:line="274" w:lineRule="auto"/>
        <w:rPr>
          <w:sz w:val="20"/>
          <w:szCs w:val="20"/>
          <w:color w:val="auto"/>
        </w:rPr>
      </w:pPr>
      <w:r>
        <w:rPr>
          <w:rFonts w:ascii="Arial" w:cs="Arial" w:eastAsia="Arial" w:hAnsi="Arial"/>
          <w:sz w:val="14"/>
          <w:szCs w:val="14"/>
          <w:b w:val="1"/>
          <w:bCs w:val="1"/>
          <w:color w:val="auto"/>
        </w:rPr>
        <w:t>Total 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27940</wp:posOffset>
            </wp:positionV>
            <wp:extent cx="4494530"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49453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500" w:type="dxa"/>
        <w:tblCellMar>
          <w:top w:w="0" w:type="dxa"/>
          <w:left w:w="0" w:type="dxa"/>
          <w:bottom w:w="0" w:type="dxa"/>
          <w:right w:w="0" w:type="dxa"/>
        </w:tblCellMar>
      </w:tblPr>
      <w:tr>
        <w:trPr>
          <w:trHeight w:val="172"/>
        </w:trPr>
        <w:tc>
          <w:tcPr>
            <w:tcW w:w="980" w:type="dxa"/>
            <w:vAlign w:val="bottom"/>
          </w:tcPr>
          <w:p>
            <w:pPr>
              <w:jc w:val="right"/>
              <w:ind w:right="168"/>
              <w:spacing w:after="0"/>
              <w:rPr>
                <w:sz w:val="20"/>
                <w:szCs w:val="20"/>
                <w:color w:val="auto"/>
              </w:rPr>
            </w:pPr>
            <w:r>
              <w:rPr>
                <w:rFonts w:ascii="Arial" w:cs="Arial" w:eastAsia="Arial" w:hAnsi="Arial"/>
                <w:sz w:val="14"/>
                <w:szCs w:val="14"/>
                <w:color w:val="auto"/>
              </w:rPr>
              <w:t>$   27,211</w:t>
            </w:r>
          </w:p>
        </w:tc>
        <w:tc>
          <w:tcPr>
            <w:tcW w:w="980" w:type="dxa"/>
            <w:vAlign w:val="bottom"/>
          </w:tcPr>
          <w:p>
            <w:pPr>
              <w:jc w:val="right"/>
              <w:spacing w:after="0"/>
              <w:rPr>
                <w:sz w:val="20"/>
                <w:szCs w:val="20"/>
                <w:color w:val="auto"/>
              </w:rPr>
            </w:pPr>
            <w:r>
              <w:rPr>
                <w:rFonts w:ascii="Arial" w:cs="Arial" w:eastAsia="Arial" w:hAnsi="Arial"/>
                <w:sz w:val="14"/>
                <w:szCs w:val="14"/>
                <w:color w:val="auto"/>
              </w:rPr>
              <w:t>$   44,064</w:t>
            </w:r>
          </w:p>
        </w:tc>
      </w:tr>
      <w:tr>
        <w:trPr>
          <w:trHeight w:val="194"/>
        </w:trPr>
        <w:tc>
          <w:tcPr>
            <w:tcW w:w="980" w:type="dxa"/>
            <w:vAlign w:val="bottom"/>
          </w:tcPr>
          <w:p>
            <w:pPr>
              <w:jc w:val="right"/>
              <w:ind w:right="168"/>
              <w:spacing w:after="0"/>
              <w:rPr>
                <w:sz w:val="20"/>
                <w:szCs w:val="20"/>
                <w:color w:val="auto"/>
              </w:rPr>
            </w:pPr>
            <w:r>
              <w:rPr>
                <w:rFonts w:ascii="Arial" w:cs="Arial" w:eastAsia="Arial" w:hAnsi="Arial"/>
                <w:sz w:val="14"/>
                <w:szCs w:val="14"/>
                <w:color w:val="auto"/>
              </w:rPr>
              <w:t>48,542</w:t>
            </w:r>
          </w:p>
        </w:tc>
        <w:tc>
          <w:tcPr>
            <w:tcW w:w="980" w:type="dxa"/>
            <w:vAlign w:val="bottom"/>
          </w:tcPr>
          <w:p>
            <w:pPr>
              <w:jc w:val="right"/>
              <w:spacing w:after="0"/>
              <w:rPr>
                <w:sz w:val="20"/>
                <w:szCs w:val="20"/>
                <w:color w:val="auto"/>
              </w:rPr>
            </w:pPr>
            <w:r>
              <w:rPr>
                <w:rFonts w:ascii="Arial" w:cs="Arial" w:eastAsia="Arial" w:hAnsi="Arial"/>
                <w:sz w:val="14"/>
                <w:szCs w:val="14"/>
                <w:color w:val="auto"/>
              </w:rPr>
              <w:t>37,475</w:t>
            </w:r>
          </w:p>
        </w:tc>
      </w:tr>
    </w:tbl>
    <w:p>
      <w:pPr>
        <w:spacing w:after="0" w:line="22" w:lineRule="exact"/>
        <w:rPr>
          <w:sz w:val="20"/>
          <w:szCs w:val="20"/>
          <w:color w:val="auto"/>
        </w:rPr>
      </w:pPr>
    </w:p>
    <w:p>
      <w:pPr>
        <w:ind w:left="2320" w:hanging="1328"/>
        <w:spacing w:after="0"/>
        <w:tabs>
          <w:tab w:leader="none" w:pos="232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w:t>
      </w:r>
    </w:p>
    <w:p>
      <w:pPr>
        <w:spacing w:after="0" w:line="33"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2,2612,583</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78,797</w:t>
            </w:r>
          </w:p>
        </w:tc>
        <w:tc>
          <w:tcPr>
            <w:tcW w:w="3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84,122</w:t>
            </w:r>
          </w:p>
        </w:tc>
        <w:tc>
          <w:tcPr>
            <w:tcW w:w="60" w:type="dxa"/>
            <w:vAlign w:val="bottom"/>
          </w:tcPr>
          <w:p>
            <w:pPr>
              <w:spacing w:after="0"/>
              <w:rPr>
                <w:sz w:val="14"/>
                <w:szCs w:val="14"/>
                <w:color w:val="auto"/>
              </w:rPr>
            </w:pPr>
          </w:p>
        </w:tc>
      </w:tr>
      <w:tr>
        <w:trPr>
          <w:trHeight w:val="185"/>
        </w:trPr>
        <w:tc>
          <w:tcPr>
            <w:tcW w:w="620" w:type="dxa"/>
            <w:vAlign w:val="bottom"/>
          </w:tcPr>
          <w:p>
            <w:pPr>
              <w:spacing w:after="0"/>
              <w:rPr>
                <w:sz w:val="16"/>
                <w:szCs w:val="16"/>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15,385</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2,488</w:t>
            </w:r>
          </w:p>
        </w:tc>
        <w:tc>
          <w:tcPr>
            <w:tcW w:w="60" w:type="dxa"/>
            <w:vAlign w:val="bottom"/>
          </w:tcPr>
          <w:p>
            <w:pPr>
              <w:spacing w:after="0"/>
              <w:rPr>
                <w:sz w:val="16"/>
                <w:szCs w:val="16"/>
                <w:color w:val="auto"/>
              </w:rPr>
            </w:pPr>
          </w:p>
        </w:tc>
      </w:tr>
      <w:tr>
        <w:trPr>
          <w:trHeight w:val="194"/>
        </w:trPr>
        <w:tc>
          <w:tcPr>
            <w:tcW w:w="620" w:type="dxa"/>
            <w:vAlign w:val="bottom"/>
          </w:tcPr>
          <w:p>
            <w:pPr>
              <w:spacing w:after="0"/>
              <w:rPr>
                <w:sz w:val="16"/>
                <w:szCs w:val="16"/>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9,392</w:t>
            </w:r>
          </w:p>
        </w:tc>
        <w:tc>
          <w:tcPr>
            <w:tcW w:w="34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94"/>
        </w:trPr>
        <w:tc>
          <w:tcPr>
            <w:tcW w:w="620" w:type="dxa"/>
            <w:vAlign w:val="bottom"/>
          </w:tcPr>
          <w:p>
            <w:pPr>
              <w:spacing w:after="0"/>
              <w:rPr>
                <w:sz w:val="16"/>
                <w:szCs w:val="16"/>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517</w:t>
            </w:r>
          </w:p>
        </w:tc>
        <w:tc>
          <w:tcPr>
            <w:tcW w:w="34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94"/>
        </w:trPr>
        <w:tc>
          <w:tcPr>
            <w:tcW w:w="620" w:type="dxa"/>
            <w:vAlign w:val="bottom"/>
          </w:tcPr>
          <w:p>
            <w:pPr>
              <w:spacing w:after="0"/>
              <w:rPr>
                <w:sz w:val="16"/>
                <w:szCs w:val="16"/>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723</w:t>
            </w:r>
          </w:p>
        </w:tc>
        <w:tc>
          <w:tcPr>
            <w:tcW w:w="34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94"/>
        </w:trPr>
        <w:tc>
          <w:tcPr>
            <w:tcW w:w="620" w:type="dxa"/>
            <w:vAlign w:val="bottom"/>
          </w:tcPr>
          <w:p>
            <w:pPr>
              <w:spacing w:after="0"/>
              <w:rPr>
                <w:sz w:val="16"/>
                <w:szCs w:val="16"/>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1,053</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4,080</w:t>
            </w:r>
          </w:p>
        </w:tc>
        <w:tc>
          <w:tcPr>
            <w:tcW w:w="60" w:type="dxa"/>
            <w:vAlign w:val="bottom"/>
          </w:tcPr>
          <w:p>
            <w:pPr>
              <w:spacing w:after="0"/>
              <w:rPr>
                <w:sz w:val="16"/>
                <w:szCs w:val="16"/>
                <w:color w:val="auto"/>
              </w:rPr>
            </w:pPr>
          </w:p>
        </w:tc>
      </w:tr>
      <w:tr>
        <w:trPr>
          <w:trHeight w:val="195"/>
        </w:trPr>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909</w:t>
            </w: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60" w:type="dxa"/>
            <w:vAlign w:val="bottom"/>
          </w:tcPr>
          <w:p>
            <w:pPr>
              <w:spacing w:after="0"/>
              <w:rPr>
                <w:sz w:val="16"/>
                <w:szCs w:val="16"/>
                <w:color w:val="auto"/>
              </w:rPr>
            </w:pPr>
          </w:p>
        </w:tc>
      </w:tr>
      <w:tr>
        <w:trPr>
          <w:trHeight w:val="164"/>
        </w:trPr>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106,776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90,896</w:t>
            </w:r>
          </w:p>
        </w:tc>
        <w:tc>
          <w:tcPr>
            <w:tcW w:w="60" w:type="dxa"/>
            <w:vAlign w:val="bottom"/>
          </w:tcPr>
          <w:p>
            <w:pPr>
              <w:spacing w:after="0"/>
              <w:rPr>
                <w:sz w:val="14"/>
                <w:szCs w:val="14"/>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11"/>
        </w:trPr>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8,082</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1,548</w:t>
            </w:r>
          </w:p>
        </w:tc>
        <w:tc>
          <w:tcPr>
            <w:tcW w:w="60" w:type="dxa"/>
            <w:vAlign w:val="bottom"/>
          </w:tcPr>
          <w:p>
            <w:pPr>
              <w:spacing w:after="0"/>
              <w:rPr>
                <w:sz w:val="24"/>
                <w:szCs w:val="24"/>
                <w:color w:val="auto"/>
              </w:rPr>
            </w:pPr>
          </w:p>
        </w:tc>
      </w:tr>
      <w:tr>
        <w:trPr>
          <w:trHeight w:val="195"/>
        </w:trPr>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4,030</w:t>
            </w: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1,446</w:t>
            </w:r>
          </w:p>
        </w:tc>
        <w:tc>
          <w:tcPr>
            <w:tcW w:w="60" w:type="dxa"/>
            <w:vAlign w:val="bottom"/>
          </w:tcPr>
          <w:p>
            <w:pPr>
              <w:spacing w:after="0"/>
              <w:rPr>
                <w:sz w:val="16"/>
                <w:szCs w:val="16"/>
                <w:color w:val="auto"/>
              </w:rPr>
            </w:pPr>
          </w:p>
        </w:tc>
      </w:tr>
      <w:tr>
        <w:trPr>
          <w:trHeight w:val="167"/>
        </w:trPr>
        <w:tc>
          <w:tcPr>
            <w:tcW w:w="6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12,112</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2,994</w:t>
            </w:r>
          </w:p>
        </w:tc>
        <w:tc>
          <w:tcPr>
            <w:tcW w:w="60" w:type="dxa"/>
            <w:vAlign w:val="bottom"/>
          </w:tcPr>
          <w:p>
            <w:pPr>
              <w:spacing w:after="0"/>
              <w:rPr>
                <w:sz w:val="14"/>
                <w:szCs w:val="14"/>
                <w:color w:val="auto"/>
              </w:rPr>
            </w:pPr>
          </w:p>
        </w:tc>
      </w:tr>
      <w:tr>
        <w:trPr>
          <w:trHeight w:val="190"/>
        </w:trPr>
        <w:tc>
          <w:tcPr>
            <w:tcW w:w="620" w:type="dxa"/>
            <w:vAlign w:val="bottom"/>
          </w:tcPr>
          <w:p>
            <w:pPr>
              <w:spacing w:after="0"/>
              <w:rPr>
                <w:sz w:val="16"/>
                <w:szCs w:val="16"/>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11,679</w:t>
            </w:r>
          </w:p>
        </w:tc>
        <w:tc>
          <w:tcPr>
            <w:tcW w:w="34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r>
      <w:tr>
        <w:trPr>
          <w:trHeight w:val="195"/>
        </w:trPr>
        <w:tc>
          <w:tcPr>
            <w:tcW w:w="620" w:type="dxa"/>
            <w:vAlign w:val="bottom"/>
          </w:tcPr>
          <w:p>
            <w:pPr>
              <w:spacing w:after="0"/>
              <w:rPr>
                <w:sz w:val="16"/>
                <w:szCs w:val="16"/>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9,636</w:t>
            </w:r>
          </w:p>
        </w:tc>
        <w:tc>
          <w:tcPr>
            <w:tcW w:w="34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r>
      <w:tr>
        <w:trPr>
          <w:trHeight w:val="164"/>
        </w:trPr>
        <w:tc>
          <w:tcPr>
            <w:tcW w:w="6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33,427</w:t>
            </w:r>
          </w:p>
        </w:tc>
        <w:tc>
          <w:tcPr>
            <w:tcW w:w="3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2,994</w:t>
            </w:r>
          </w:p>
        </w:tc>
        <w:tc>
          <w:tcPr>
            <w:tcW w:w="60" w:type="dxa"/>
            <w:vAlign w:val="bottom"/>
          </w:tcPr>
          <w:p>
            <w:pPr>
              <w:spacing w:after="0"/>
              <w:rPr>
                <w:sz w:val="14"/>
                <w:szCs w:val="14"/>
                <w:color w:val="auto"/>
              </w:rPr>
            </w:pPr>
          </w:p>
        </w:tc>
      </w:tr>
      <w:tr>
        <w:trPr>
          <w:trHeight w:val="691"/>
        </w:trPr>
        <w:tc>
          <w:tcPr>
            <w:tcW w:w="620" w:type="dxa"/>
            <w:vAlign w:val="bottom"/>
          </w:tcPr>
          <w:p>
            <w:pPr>
              <w:spacing w:after="0"/>
              <w:rPr>
                <w:sz w:val="24"/>
                <w:szCs w:val="24"/>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34,922</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34,922</w:t>
            </w:r>
          </w:p>
        </w:tc>
        <w:tc>
          <w:tcPr>
            <w:tcW w:w="60" w:type="dxa"/>
            <w:vAlign w:val="bottom"/>
          </w:tcPr>
          <w:p>
            <w:pPr>
              <w:spacing w:after="0"/>
              <w:rPr>
                <w:sz w:val="24"/>
                <w:szCs w:val="24"/>
                <w:color w:val="auto"/>
              </w:rPr>
            </w:pPr>
          </w:p>
        </w:tc>
      </w:tr>
      <w:tr>
        <w:trPr>
          <w:trHeight w:val="529"/>
        </w:trPr>
        <w:tc>
          <w:tcPr>
            <w:tcW w:w="620" w:type="dxa"/>
            <w:vAlign w:val="bottom"/>
          </w:tcPr>
          <w:p>
            <w:pPr>
              <w:spacing w:after="0"/>
              <w:rPr>
                <w:sz w:val="24"/>
                <w:szCs w:val="24"/>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144,839</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144,839</w:t>
            </w:r>
          </w:p>
        </w:tc>
        <w:tc>
          <w:tcPr>
            <w:tcW w:w="60" w:type="dxa"/>
            <w:vAlign w:val="bottom"/>
          </w:tcPr>
          <w:p>
            <w:pPr>
              <w:spacing w:after="0"/>
              <w:rPr>
                <w:sz w:val="24"/>
                <w:szCs w:val="24"/>
                <w:color w:val="auto"/>
              </w:rPr>
            </w:pPr>
          </w:p>
        </w:tc>
      </w:tr>
      <w:tr>
        <w:trPr>
          <w:trHeight w:val="723"/>
        </w:trPr>
        <w:tc>
          <w:tcPr>
            <w:tcW w:w="620" w:type="dxa"/>
            <w:vAlign w:val="bottom"/>
          </w:tcPr>
          <w:p>
            <w:pPr>
              <w:spacing w:after="0"/>
              <w:rPr>
                <w:sz w:val="24"/>
                <w:szCs w:val="24"/>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24"/>
                <w:szCs w:val="24"/>
                <w:color w:val="auto"/>
              </w:rPr>
            </w:pPr>
          </w:p>
        </w:tc>
      </w:tr>
      <w:tr>
        <w:trPr>
          <w:trHeight w:val="194"/>
        </w:trPr>
        <w:tc>
          <w:tcPr>
            <w:tcW w:w="620" w:type="dxa"/>
            <w:vAlign w:val="bottom"/>
          </w:tcPr>
          <w:p>
            <w:pPr>
              <w:spacing w:after="0"/>
              <w:rPr>
                <w:sz w:val="16"/>
                <w:szCs w:val="16"/>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217,831</w:t>
            </w:r>
          </w:p>
        </w:tc>
        <w:tc>
          <w:tcPr>
            <w:tcW w:w="3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216,909</w:t>
            </w:r>
          </w:p>
        </w:tc>
        <w:tc>
          <w:tcPr>
            <w:tcW w:w="60" w:type="dxa"/>
            <w:vAlign w:val="bottom"/>
          </w:tcPr>
          <w:p>
            <w:pPr>
              <w:spacing w:after="0"/>
              <w:rPr>
                <w:sz w:val="16"/>
                <w:szCs w:val="16"/>
                <w:color w:val="auto"/>
              </w:rPr>
            </w:pPr>
          </w:p>
        </w:tc>
      </w:tr>
      <w:tr>
        <w:trPr>
          <w:trHeight w:val="194"/>
        </w:trPr>
        <w:tc>
          <w:tcPr>
            <w:tcW w:w="620" w:type="dxa"/>
            <w:vAlign w:val="bottom"/>
          </w:tcPr>
          <w:p>
            <w:pPr>
              <w:spacing w:after="0"/>
              <w:rPr>
                <w:sz w:val="16"/>
                <w:szCs w:val="16"/>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(31,900)</w:t>
            </w:r>
          </w:p>
        </w:tc>
        <w:tc>
          <w:tcPr>
            <w:tcW w:w="3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(70,000)</w:t>
            </w:r>
          </w:p>
        </w:tc>
      </w:tr>
      <w:tr>
        <w:trPr>
          <w:trHeight w:val="194"/>
        </w:trPr>
        <w:tc>
          <w:tcPr>
            <w:tcW w:w="620" w:type="dxa"/>
            <w:vAlign w:val="bottom"/>
          </w:tcPr>
          <w:p>
            <w:pPr>
              <w:spacing w:after="0"/>
              <w:rPr>
                <w:sz w:val="16"/>
                <w:szCs w:val="16"/>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(292,342)</w:t>
            </w:r>
          </w:p>
        </w:tc>
        <w:tc>
          <w:tcPr>
            <w:tcW w:w="34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(238,767)</w:t>
            </w:r>
          </w:p>
        </w:tc>
      </w:tr>
    </w:tbl>
    <w:p>
      <w:pPr>
        <w:spacing w:after="0" w:line="22" w:lineRule="exact"/>
        <w:rPr>
          <w:sz w:val="20"/>
          <w:szCs w:val="20"/>
          <w:color w:val="auto"/>
        </w:rPr>
      </w:pPr>
    </w:p>
    <w:p>
      <w:pPr>
        <w:ind w:left="2340" w:hanging="1236"/>
        <w:spacing w:after="0"/>
        <w:tabs>
          <w:tab w:leader="none" w:pos="23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(3)</w:t>
      </w:r>
    </w:p>
    <w:p>
      <w:pPr>
        <w:spacing w:after="0" w:line="11"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b w:val="1"/>
          <w:bCs w:val="1"/>
          <w:color w:val="auto"/>
        </w:rPr>
        <w:t>(106,412)(91,859)</w:t>
      </w:r>
    </w:p>
    <w:p>
      <w:pPr>
        <w:spacing w:after="0" w:line="178" w:lineRule="exact"/>
        <w:rPr>
          <w:sz w:val="20"/>
          <w:szCs w:val="20"/>
          <w:color w:val="auto"/>
        </w:rPr>
      </w:pPr>
    </w:p>
    <w:p>
      <w:pPr>
        <w:ind w:left="500"/>
        <w:spacing w:after="0"/>
        <w:tabs>
          <w:tab w:leader="none" w:pos="700" w:val="left"/>
          <w:tab w:leader="none" w:pos="1700" w:val="left"/>
          <w:tab w:leader="none" w:pos="2000" w:val="left"/>
        </w:tabs>
        <w:rPr>
          <w:sz w:val="20"/>
          <w:szCs w:val="20"/>
          <w:color w:val="auto"/>
        </w:rPr>
      </w:pPr>
      <w:r>
        <w:rPr>
          <w:rFonts w:ascii="Arial" w:cs="Arial" w:eastAsia="Arial" w:hAnsi="Arial"/>
          <w:sz w:val="14"/>
          <w:szCs w:val="14"/>
          <w:b w:val="1"/>
          <w:bCs w:val="1"/>
          <w:color w:val="auto"/>
        </w:rPr>
        <w:t>$</w:t>
        <w:tab/>
        <w:t>106,776</w:t>
      </w:r>
      <w:r>
        <w:rPr>
          <w:sz w:val="20"/>
          <w:szCs w:val="20"/>
          <w:color w:val="auto"/>
        </w:rPr>
        <w:tab/>
      </w:r>
      <w:r>
        <w:rPr>
          <w:rFonts w:ascii="Arial" w:cs="Arial" w:eastAsia="Arial" w:hAnsi="Arial"/>
          <w:sz w:val="14"/>
          <w:szCs w:val="14"/>
          <w:b w:val="1"/>
          <w:bCs w:val="1"/>
          <w:color w:val="auto"/>
        </w:rPr>
        <w:t>$</w:t>
        <w:tab/>
        <w:t>90,896</w:t>
      </w:r>
    </w:p>
    <w:p>
      <w:pPr>
        <w:spacing w:after="0" w:line="251" w:lineRule="exact"/>
        <w:rPr>
          <w:sz w:val="20"/>
          <w:szCs w:val="20"/>
          <w:color w:val="auto"/>
        </w:rPr>
      </w:pPr>
    </w:p>
    <w:p>
      <w:pPr>
        <w:sectPr>
          <w:pgSz w:w="11900" w:h="16838" w:orient="portrait"/>
          <w:cols w:equalWidth="0" w:num="2">
            <w:col w:w="5840" w:space="0"/>
            <w:col w:w="3179"/>
          </w:cols>
          <w:pgMar w:left="1440" w:top="133" w:right="1440" w:bottom="1440" w:gutter="0" w:footer="0" w:header="0"/>
          <w:type w:val="continuous"/>
        </w:sectPr>
      </w:pPr>
    </w:p>
    <w:p>
      <w:pPr>
        <w:spacing w:after="0" w:line="135" w:lineRule="exact"/>
        <w:rPr>
          <w:sz w:val="20"/>
          <w:szCs w:val="20"/>
          <w:color w:val="auto"/>
        </w:rPr>
      </w:pPr>
    </w:p>
    <w:p>
      <w:pPr>
        <w:jc w:val="right"/>
        <w:ind w:right="4459"/>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type w:val="continuous"/>
        </w:sectPr>
      </w:pPr>
    </w:p>
    <w:bookmarkStart w:id="216" w:name="page217"/>
    <w:bookmarkEnd w:id="216"/>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220" w:right="2839"/>
        <w:spacing w:after="0" w:line="223" w:lineRule="auto"/>
        <w:rPr>
          <w:sz w:val="20"/>
          <w:szCs w:val="20"/>
          <w:color w:val="auto"/>
        </w:rPr>
      </w:pPr>
      <w:r>
        <w:rPr>
          <w:rFonts w:ascii="Arial" w:cs="Arial" w:eastAsia="Arial" w:hAnsi="Arial"/>
          <w:sz w:val="23"/>
          <w:szCs w:val="23"/>
          <w:b w:val="1"/>
          <w:bCs w:val="1"/>
          <w:color w:val="auto"/>
        </w:rPr>
        <w:t>Century Therapeutics, Inc. and Subsidiary Consolidated statements of operations and comprehensive loss</w:t>
      </w:r>
    </w:p>
    <w:p>
      <w:pPr>
        <w:spacing w:after="0" w:line="3"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96"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60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2"/>
          </w:tcPr>
          <w:p>
            <w:pPr>
              <w:jc w:val="right"/>
              <w:ind w:right="229"/>
              <w:spacing w:after="0"/>
              <w:rPr>
                <w:sz w:val="20"/>
                <w:szCs w:val="20"/>
                <w:color w:val="auto"/>
              </w:rPr>
            </w:pPr>
            <w:r>
              <w:rPr>
                <w:rFonts w:ascii="Arial" w:cs="Arial" w:eastAsia="Arial" w:hAnsi="Arial"/>
                <w:sz w:val="13"/>
                <w:szCs w:val="13"/>
                <w:b w:val="1"/>
                <w:bCs w:val="1"/>
                <w:color w:val="auto"/>
              </w:rPr>
              <w:t>Successor</w:t>
            </w:r>
          </w:p>
        </w:tc>
        <w:tc>
          <w:tcPr>
            <w:tcW w:w="820" w:type="dxa"/>
            <w:vAlign w:val="bottom"/>
            <w:tcBorders>
              <w:top w:val="single" w:sz="8" w:color="auto"/>
              <w:bottom w:val="single" w:sz="8" w:color="auto"/>
              <w:right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Predecessor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60" w:type="dxa"/>
            <w:vAlign w:val="bottom"/>
            <w:tcBorders>
              <w:right w:val="single" w:sz="8" w:color="auto"/>
            </w:tcBorders>
            <w:gridSpan w:val="2"/>
          </w:tcPr>
          <w:p>
            <w:pPr>
              <w:jc w:val="right"/>
              <w:ind w:right="9"/>
              <w:spacing w:after="0" w:line="137" w:lineRule="exact"/>
              <w:rPr>
                <w:sz w:val="20"/>
                <w:szCs w:val="20"/>
                <w:color w:val="auto"/>
              </w:rPr>
            </w:pPr>
            <w:r>
              <w:rPr>
                <w:rFonts w:ascii="Arial" w:cs="Arial" w:eastAsia="Arial" w:hAnsi="Arial"/>
                <w:sz w:val="13"/>
                <w:szCs w:val="13"/>
                <w:b w:val="1"/>
                <w:bCs w:val="1"/>
                <w:color w:val="auto"/>
              </w:rPr>
              <w:t>For the period June 21,</w:t>
            </w:r>
          </w:p>
        </w:tc>
        <w:tc>
          <w:tcPr>
            <w:tcW w:w="60" w:type="dxa"/>
            <w:vAlign w:val="bottom"/>
          </w:tcPr>
          <w:p>
            <w:pPr>
              <w:spacing w:after="0"/>
              <w:rPr>
                <w:sz w:val="11"/>
                <w:szCs w:val="11"/>
                <w:color w:val="auto"/>
              </w:rPr>
            </w:pPr>
          </w:p>
        </w:tc>
        <w:tc>
          <w:tcPr>
            <w:tcW w:w="1580" w:type="dxa"/>
            <w:vAlign w:val="bottom"/>
            <w:gridSpan w:val="2"/>
          </w:tcPr>
          <w:p>
            <w:pPr>
              <w:jc w:val="right"/>
              <w:spacing w:after="0" w:line="137" w:lineRule="exact"/>
              <w:rPr>
                <w:sz w:val="20"/>
                <w:szCs w:val="20"/>
                <w:color w:val="auto"/>
              </w:rPr>
            </w:pPr>
            <w:r>
              <w:rPr>
                <w:rFonts w:ascii="Arial" w:cs="Arial" w:eastAsia="Arial" w:hAnsi="Arial"/>
                <w:sz w:val="13"/>
                <w:szCs w:val="13"/>
                <w:b w:val="1"/>
                <w:bCs w:val="1"/>
                <w:color w:val="auto"/>
              </w:rPr>
              <w:t>For the period January</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900" w:type="dxa"/>
            <w:vAlign w:val="bottom"/>
            <w:tcBorders>
              <w:right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For the Year Ended 2019 through December</w:t>
            </w:r>
          </w:p>
        </w:tc>
        <w:tc>
          <w:tcPr>
            <w:tcW w:w="168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1, 2019 through June 20,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December 31, 2020</w:t>
            </w:r>
          </w:p>
        </w:tc>
        <w:tc>
          <w:tcPr>
            <w:tcW w:w="740" w:type="dxa"/>
            <w:vAlign w:val="bottom"/>
            <w:tcBorders>
              <w:bottom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31, 2019</w:t>
            </w: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620" w:type="dxa"/>
            <w:vAlign w:val="bottom"/>
            <w:gridSpan w:val="2"/>
          </w:tcPr>
          <w:p>
            <w:pPr>
              <w:spacing w:after="0"/>
              <w:rPr>
                <w:sz w:val="20"/>
                <w:szCs w:val="20"/>
                <w:color w:val="auto"/>
              </w:rPr>
            </w:pPr>
            <w:r>
              <w:rPr>
                <w:rFonts w:ascii="Arial" w:cs="Arial" w:eastAsia="Arial" w:hAnsi="Arial"/>
                <w:sz w:val="14"/>
                <w:szCs w:val="14"/>
                <w:color w:val="auto"/>
              </w:rPr>
              <w:t>Research and development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39,681</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10,107</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4,159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6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4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9,495</w:t>
            </w:r>
          </w:p>
        </w:tc>
        <w:tc>
          <w:tcPr>
            <w:tcW w:w="7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3,622</w:t>
            </w: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Pr>
          <w:p>
            <w:pPr>
              <w:spacing w:after="0"/>
              <w:rPr>
                <w:sz w:val="20"/>
                <w:szCs w:val="20"/>
                <w:color w:val="auto"/>
              </w:rPr>
            </w:pPr>
            <w:r>
              <w:rPr>
                <w:rFonts w:ascii="Arial" w:cs="Arial" w:eastAsia="Arial" w:hAnsi="Arial"/>
                <w:sz w:val="14"/>
                <w:szCs w:val="14"/>
                <w:color w:val="auto"/>
              </w:rPr>
              <w:t>Write off of in-process research and</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Pr>
          <w:p>
            <w:pPr>
              <w:ind w:left="120"/>
              <w:spacing w:after="0"/>
              <w:rPr>
                <w:sz w:val="20"/>
                <w:szCs w:val="20"/>
                <w:color w:val="auto"/>
              </w:rPr>
            </w:pPr>
            <w:r>
              <w:rPr>
                <w:rFonts w:ascii="Arial" w:cs="Arial" w:eastAsia="Arial" w:hAnsi="Arial"/>
                <w:sz w:val="14"/>
                <w:szCs w:val="14"/>
                <w:color w:val="auto"/>
              </w:rPr>
              <w:t>development asset</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4,722</w:t>
            </w:r>
          </w:p>
        </w:tc>
        <w:tc>
          <w:tcPr>
            <w:tcW w:w="740" w:type="dxa"/>
            <w:vAlign w:val="bottom"/>
          </w:tcPr>
          <w:p>
            <w:pPr>
              <w:spacing w:after="0"/>
              <w:rPr>
                <w:sz w:val="14"/>
                <w:szCs w:val="14"/>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225,946</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Total operating expenses</w:t>
            </w:r>
          </w:p>
        </w:tc>
        <w:tc>
          <w:tcPr>
            <w:tcW w:w="4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53,898</w:t>
            </w:r>
          </w:p>
        </w:tc>
        <w:tc>
          <w:tcPr>
            <w:tcW w:w="7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239,675</w:t>
            </w:r>
          </w:p>
        </w:tc>
        <w:tc>
          <w:tcPr>
            <w:tcW w:w="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tcPr>
          <w:p>
            <w:pPr>
              <w:spacing w:after="0"/>
              <w:rPr>
                <w:sz w:val="20"/>
                <w:szCs w:val="20"/>
                <w:color w:val="auto"/>
              </w:rPr>
            </w:pPr>
            <w:r>
              <w:rPr>
                <w:rFonts w:ascii="Arial" w:cs="Arial" w:eastAsia="Arial" w:hAnsi="Arial"/>
                <w:sz w:val="14"/>
                <w:szCs w:val="14"/>
                <w:b w:val="1"/>
                <w:bCs w:val="1"/>
                <w:color w:val="auto"/>
              </w:rPr>
              <w:t>Loss from operations</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(53,898)</w:t>
            </w:r>
          </w:p>
        </w:tc>
        <w:tc>
          <w:tcPr>
            <w:tcW w:w="740" w:type="dxa"/>
            <w:vAlign w:val="bottom"/>
          </w:tcPr>
          <w:p>
            <w:pPr>
              <w:spacing w:after="0"/>
              <w:rPr>
                <w:sz w:val="14"/>
                <w:szCs w:val="14"/>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(239,675)</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4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7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20" w:type="dxa"/>
            <w:vAlign w:val="bottom"/>
            <w:gridSpan w:val="2"/>
          </w:tcPr>
          <w:p>
            <w:pPr>
              <w:spacing w:after="0"/>
              <w:rPr>
                <w:sz w:val="20"/>
                <w:szCs w:val="20"/>
                <w:color w:val="auto"/>
              </w:rPr>
            </w:pPr>
            <w:r>
              <w:rPr>
                <w:rFonts w:ascii="Arial" w:cs="Arial" w:eastAsia="Arial" w:hAnsi="Arial"/>
                <w:sz w:val="14"/>
                <w:szCs w:val="14"/>
                <w:color w:val="auto"/>
              </w:rPr>
              <w:t>Other income, net</w:t>
            </w:r>
          </w:p>
        </w:tc>
        <w:tc>
          <w:tcPr>
            <w:tcW w:w="4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704</w:t>
            </w:r>
          </w:p>
        </w:tc>
        <w:tc>
          <w:tcPr>
            <w:tcW w:w="740" w:type="dxa"/>
            <w:vAlign w:val="bottom"/>
          </w:tcPr>
          <w:p>
            <w:pPr>
              <w:spacing w:after="0"/>
              <w:rPr>
                <w:sz w:val="16"/>
                <w:szCs w:val="16"/>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908</w:t>
            </w: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Net loss</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(53,575)</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(238,767)</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spacing w:after="0" w:line="153" w:lineRule="exact"/>
              <w:rPr>
                <w:sz w:val="20"/>
                <w:szCs w:val="20"/>
                <w:color w:val="auto"/>
              </w:rPr>
            </w:pPr>
            <w:r>
              <w:rPr>
                <w:rFonts w:ascii="Arial" w:cs="Arial" w:eastAsia="Arial" w:hAnsi="Arial"/>
                <w:sz w:val="14"/>
                <w:szCs w:val="14"/>
                <w:color w:val="auto"/>
              </w:rPr>
              <w:t>Net loss per common share</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2600" w:type="dxa"/>
            <w:vAlign w:val="bottom"/>
            <w:vMerge w:val="continue"/>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(2.85)</w:t>
            </w: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(12.68)</w:t>
            </w:r>
          </w:p>
        </w:tc>
        <w:tc>
          <w:tcPr>
            <w:tcW w:w="6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(0.40)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tcPr>
          <w:p>
            <w:pPr>
              <w:ind w:left="120"/>
              <w:spacing w:after="0"/>
              <w:rPr>
                <w:sz w:val="20"/>
                <w:szCs w:val="20"/>
                <w:color w:val="auto"/>
              </w:rPr>
            </w:pPr>
            <w:r>
              <w:rPr>
                <w:rFonts w:ascii="Arial" w:cs="Arial" w:eastAsia="Arial" w:hAnsi="Arial"/>
                <w:sz w:val="14"/>
                <w:szCs w:val="14"/>
                <w:color w:val="auto"/>
              </w:rPr>
              <w:t>Basic and Diluted</w:t>
            </w:r>
          </w:p>
        </w:tc>
        <w:tc>
          <w:tcPr>
            <w:tcW w:w="4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Borders>
              <w:right w:val="single" w:sz="8" w:color="CCEEFF"/>
            </w:tcBorders>
            <w:shd w:val="clear" w:color="auto" w:fill="CCEEFF"/>
          </w:tcPr>
          <w:p>
            <w:pPr>
              <w:spacing w:after="0" w:line="134" w:lineRule="exact"/>
              <w:rPr>
                <w:sz w:val="20"/>
                <w:szCs w:val="20"/>
                <w:color w:val="auto"/>
              </w:rPr>
            </w:pPr>
            <w:r>
              <w:rPr>
                <w:rFonts w:ascii="Arial" w:cs="Arial" w:eastAsia="Arial" w:hAnsi="Arial"/>
                <w:sz w:val="14"/>
                <w:szCs w:val="14"/>
                <w:color w:val="auto"/>
              </w:rPr>
              <w:t>Weighted average common shares</w:t>
            </w:r>
          </w:p>
        </w:tc>
        <w:tc>
          <w:tcPr>
            <w:tcW w:w="4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outstanding</w:t>
            </w:r>
          </w:p>
        </w:tc>
        <w:tc>
          <w:tcPr>
            <w:tcW w:w="4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18,825,136</w:t>
            </w:r>
          </w:p>
        </w:tc>
        <w:tc>
          <w:tcPr>
            <w:tcW w:w="740" w:type="dxa"/>
            <w:vAlign w:val="bottom"/>
            <w:shd w:val="clear" w:color="auto" w:fill="CCEEFF"/>
          </w:tcPr>
          <w:p>
            <w:pPr>
              <w:spacing w:after="0"/>
              <w:rPr>
                <w:sz w:val="14"/>
                <w:szCs w:val="14"/>
                <w:color w:val="auto"/>
              </w:rPr>
            </w:pP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18,825,136</w:t>
            </w: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15,029,240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 and Diluted</w:t>
            </w:r>
          </w:p>
        </w:tc>
        <w:tc>
          <w:tcPr>
            <w:tcW w:w="4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right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spacing w:after="0" w:line="160" w:lineRule="exact"/>
              <w:rPr>
                <w:sz w:val="20"/>
                <w:szCs w:val="20"/>
                <w:color w:val="auto"/>
              </w:rPr>
            </w:pPr>
            <w:r>
              <w:rPr>
                <w:rFonts w:ascii="Arial" w:cs="Arial" w:eastAsia="Arial" w:hAnsi="Arial"/>
                <w:sz w:val="14"/>
                <w:szCs w:val="14"/>
                <w:color w:val="auto"/>
              </w:rPr>
              <w:t>Other comprehensive loss</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260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600" w:type="dxa"/>
            <w:vAlign w:val="bottom"/>
            <w:tcBorders>
              <w:bottom w:val="single" w:sz="8" w:color="CCEEFF"/>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Net loss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(53,575)</w:t>
            </w: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(238,767)</w:t>
            </w: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Pr>
          <w:p>
            <w:pPr>
              <w:ind w:left="120"/>
              <w:spacing w:after="0"/>
              <w:rPr>
                <w:sz w:val="20"/>
                <w:szCs w:val="20"/>
                <w:color w:val="auto"/>
              </w:rPr>
            </w:pPr>
            <w:r>
              <w:rPr>
                <w:rFonts w:ascii="Arial" w:cs="Arial" w:eastAsia="Arial" w:hAnsi="Arial"/>
                <w:sz w:val="14"/>
                <w:szCs w:val="14"/>
                <w:color w:val="auto"/>
              </w:rPr>
              <w:t>Unrealized gain (loss) on short-term</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Pr>
          <w:p>
            <w:pPr>
              <w:ind w:left="280"/>
              <w:spacing w:after="0"/>
              <w:rPr>
                <w:sz w:val="20"/>
                <w:szCs w:val="20"/>
                <w:color w:val="auto"/>
              </w:rPr>
            </w:pPr>
            <w:r>
              <w:rPr>
                <w:rFonts w:ascii="Arial" w:cs="Arial" w:eastAsia="Arial" w:hAnsi="Arial"/>
                <w:sz w:val="14"/>
                <w:szCs w:val="14"/>
                <w:color w:val="auto"/>
              </w:rPr>
              <w:t>investments</w:t>
            </w:r>
          </w:p>
        </w:tc>
        <w:tc>
          <w:tcPr>
            <w:tcW w:w="4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740" w:type="dxa"/>
            <w:vAlign w:val="bottom"/>
          </w:tcPr>
          <w:p>
            <w:pPr>
              <w:spacing w:after="0"/>
              <w:rPr>
                <w:sz w:val="14"/>
                <w:szCs w:val="14"/>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Foreign currency translation</w:t>
            </w:r>
          </w:p>
        </w:tc>
        <w:tc>
          <w:tcPr>
            <w:tcW w:w="4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tcBorders>
              <w:bottom w:val="single" w:sz="8" w:color="CCEEFF"/>
              <w:right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adjustment</w:t>
            </w:r>
          </w:p>
        </w:tc>
        <w:tc>
          <w:tcPr>
            <w:tcW w:w="4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7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620" w:type="dxa"/>
            <w:vAlign w:val="bottom"/>
            <w:gridSpan w:val="2"/>
          </w:tcPr>
          <w:p>
            <w:pPr>
              <w:spacing w:after="0"/>
              <w:rPr>
                <w:sz w:val="20"/>
                <w:szCs w:val="20"/>
                <w:color w:val="auto"/>
              </w:rPr>
            </w:pPr>
            <w:r>
              <w:rPr>
                <w:rFonts w:ascii="Arial" w:cs="Arial" w:eastAsia="Arial" w:hAnsi="Arial"/>
                <w:sz w:val="14"/>
                <w:szCs w:val="14"/>
                <w:color w:val="auto"/>
              </w:rPr>
              <w:t>Comprehensive loss</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(53,575)</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(238,770)</w:t>
            </w: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(6,002)</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-1602740</wp:posOffset>
            </wp:positionV>
            <wp:extent cx="1657985" cy="69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65798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-2109470</wp:posOffset>
            </wp:positionV>
            <wp:extent cx="1657985"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6579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2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17" w:name="page218"/>
    <w:bookmarkEnd w:id="217"/>
    <w:p>
      <w:pPr>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80"/>
        <w:spacing w:after="0"/>
        <w:rPr>
          <w:sz w:val="20"/>
          <w:szCs w:val="20"/>
          <w:color w:val="auto"/>
        </w:rPr>
      </w:pPr>
      <w:r>
        <w:rPr>
          <w:rFonts w:ascii="Arial" w:cs="Arial" w:eastAsia="Arial" w:hAnsi="Arial"/>
          <w:sz w:val="23"/>
          <w:szCs w:val="23"/>
          <w:b w:val="1"/>
          <w:bCs w:val="1"/>
          <w:color w:val="auto"/>
        </w:rPr>
        <w:t>Century Therapeutics, Inc. and Subsidiary</w:t>
      </w:r>
    </w:p>
    <w:p>
      <w:pPr>
        <w:spacing w:after="0" w:line="1" w:lineRule="exact"/>
        <w:rPr>
          <w:sz w:val="20"/>
          <w:szCs w:val="20"/>
          <w:color w:val="auto"/>
        </w:rPr>
      </w:pPr>
    </w:p>
    <w:p>
      <w:pPr>
        <w:ind w:left="680" w:right="2440"/>
        <w:spacing w:after="0" w:line="215" w:lineRule="auto"/>
        <w:rPr>
          <w:sz w:val="20"/>
          <w:szCs w:val="20"/>
          <w:color w:val="auto"/>
        </w:rPr>
      </w:pPr>
      <w:r>
        <w:rPr>
          <w:rFonts w:ascii="Arial" w:cs="Arial" w:eastAsia="Arial" w:hAnsi="Arial"/>
          <w:sz w:val="23"/>
          <w:szCs w:val="23"/>
          <w:b w:val="1"/>
          <w:bCs w:val="1"/>
          <w:color w:val="auto"/>
        </w:rPr>
        <w:t>Consolidated statements of changes in convertible preferred stock and stockholders’ deficit</w:t>
      </w:r>
    </w:p>
    <w:p>
      <w:pPr>
        <w:spacing w:after="0" w:line="1" w:lineRule="exact"/>
        <w:rPr>
          <w:sz w:val="20"/>
          <w:szCs w:val="20"/>
          <w:color w:val="auto"/>
        </w:rPr>
      </w:pPr>
    </w:p>
    <w:p>
      <w:pPr>
        <w:ind w:left="680" w:right="3340"/>
        <w:spacing w:after="0" w:line="224" w:lineRule="auto"/>
        <w:rPr>
          <w:sz w:val="20"/>
          <w:szCs w:val="20"/>
          <w:color w:val="auto"/>
        </w:rPr>
      </w:pPr>
      <w:r>
        <w:rPr>
          <w:rFonts w:ascii="Arial" w:cs="Arial" w:eastAsia="Arial" w:hAnsi="Arial"/>
          <w:sz w:val="23"/>
          <w:szCs w:val="23"/>
          <w:b w:val="1"/>
          <w:bCs w:val="1"/>
          <w:color w:val="auto"/>
        </w:rPr>
        <w:t>For the year ended December 31, 2020 (Successor), the periods June 21, 2019 through December 31, 2019 (Successor) and January 1, 2019 through June 20, 2019 (Predecessor) (In thousands, except unit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67310</wp:posOffset>
            </wp:positionV>
            <wp:extent cx="6743700" cy="139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743700" cy="13970"/>
                    </a:xfrm>
                    <a:prstGeom prst="rect">
                      <a:avLst/>
                    </a:prstGeom>
                    <a:noFill/>
                  </pic:spPr>
                </pic:pic>
              </a:graphicData>
            </a:graphic>
          </wp:anchor>
        </w:drawing>
      </w:r>
    </w:p>
    <w:p>
      <w:pPr>
        <w:spacing w:after="0" w:line="138" w:lineRule="exact"/>
        <w:rPr>
          <w:sz w:val="20"/>
          <w:szCs w:val="20"/>
          <w:color w:val="auto"/>
        </w:rPr>
      </w:pPr>
    </w:p>
    <w:tbl>
      <w:tblPr>
        <w:tblLayout w:type="fixed"/>
        <w:tblInd w:w="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9"/>
                <w:szCs w:val="9"/>
                <w:b w:val="1"/>
                <w:bCs w:val="1"/>
                <w:color w:val="auto"/>
              </w:rPr>
              <w:t>Predecessor</w:t>
            </w:r>
          </w:p>
        </w:tc>
        <w:tc>
          <w:tcPr>
            <w:tcW w:w="5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right"/>
              <w:ind w:right="237"/>
              <w:spacing w:after="0"/>
              <w:rPr>
                <w:sz w:val="20"/>
                <w:szCs w:val="20"/>
                <w:color w:val="auto"/>
              </w:rPr>
            </w:pPr>
            <w:r>
              <w:rPr>
                <w:rFonts w:ascii="Arial" w:cs="Arial" w:eastAsia="Arial" w:hAnsi="Arial"/>
                <w:sz w:val="9"/>
                <w:szCs w:val="9"/>
                <w:b w:val="1"/>
                <w:bCs w:val="1"/>
                <w:color w:val="auto"/>
              </w:rPr>
              <w:t>Successor</w:t>
            </w:r>
          </w:p>
        </w:tc>
        <w:tc>
          <w:tcPr>
            <w:tcW w:w="32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gridSpan w:val="2"/>
          </w:tcPr>
          <w:p>
            <w:pPr>
              <w:jc w:val="right"/>
              <w:spacing w:after="0" w:line="64" w:lineRule="exact"/>
              <w:rPr>
                <w:sz w:val="20"/>
                <w:szCs w:val="20"/>
                <w:color w:val="auto"/>
              </w:rPr>
            </w:pPr>
            <w:r>
              <w:rPr>
                <w:rFonts w:ascii="Arial" w:cs="Arial" w:eastAsia="Arial" w:hAnsi="Arial"/>
                <w:sz w:val="6"/>
                <w:szCs w:val="6"/>
                <w:b w:val="1"/>
                <w:bCs w:val="1"/>
                <w:color w:val="auto"/>
              </w:rPr>
              <w:t>Series A</w:t>
            </w:r>
          </w:p>
        </w:tc>
        <w:tc>
          <w:tcPr>
            <w:tcW w:w="820" w:type="dxa"/>
            <w:vAlign w:val="bottom"/>
            <w:gridSpan w:val="2"/>
          </w:tcPr>
          <w:p>
            <w:pPr>
              <w:jc w:val="right"/>
              <w:spacing w:after="0" w:line="64" w:lineRule="exact"/>
              <w:rPr>
                <w:sz w:val="20"/>
                <w:szCs w:val="20"/>
                <w:color w:val="auto"/>
              </w:rPr>
            </w:pPr>
            <w:r>
              <w:rPr>
                <w:rFonts w:ascii="Arial" w:cs="Arial" w:eastAsia="Arial" w:hAnsi="Arial"/>
                <w:sz w:val="6"/>
                <w:szCs w:val="6"/>
                <w:b w:val="1"/>
                <w:bCs w:val="1"/>
                <w:color w:val="auto"/>
              </w:rPr>
              <w:t>Series B</w:t>
            </w: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vMerge w:val="restart"/>
          </w:tcPr>
          <w:p>
            <w:pPr>
              <w:jc w:val="right"/>
              <w:ind w:right="58"/>
              <w:spacing w:after="0"/>
              <w:rPr>
                <w:sz w:val="20"/>
                <w:szCs w:val="20"/>
                <w:color w:val="auto"/>
              </w:rPr>
            </w:pPr>
            <w:r>
              <w:rPr>
                <w:rFonts w:ascii="Arial" w:cs="Arial" w:eastAsia="Arial" w:hAnsi="Arial"/>
                <w:sz w:val="9"/>
                <w:szCs w:val="9"/>
                <w:b w:val="1"/>
                <w:bCs w:val="1"/>
                <w:color w:val="auto"/>
              </w:rPr>
              <w:t>Accumulated</w:t>
            </w: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gridSpan w:val="2"/>
          </w:tcPr>
          <w:p>
            <w:pPr>
              <w:jc w:val="right"/>
              <w:spacing w:after="0" w:line="87" w:lineRule="exact"/>
              <w:rPr>
                <w:sz w:val="20"/>
                <w:szCs w:val="20"/>
                <w:color w:val="auto"/>
              </w:rPr>
            </w:pPr>
            <w:r>
              <w:rPr>
                <w:rFonts w:ascii="Arial" w:cs="Arial" w:eastAsia="Arial" w:hAnsi="Arial"/>
                <w:sz w:val="9"/>
                <w:szCs w:val="9"/>
                <w:b w:val="1"/>
                <w:bCs w:val="1"/>
                <w:color w:val="auto"/>
              </w:rPr>
              <w:t>Convertible</w:t>
            </w:r>
          </w:p>
        </w:tc>
        <w:tc>
          <w:tcPr>
            <w:tcW w:w="820" w:type="dxa"/>
            <w:vAlign w:val="bottom"/>
            <w:gridSpan w:val="2"/>
          </w:tcPr>
          <w:p>
            <w:pPr>
              <w:jc w:val="right"/>
              <w:spacing w:after="0" w:line="87" w:lineRule="exact"/>
              <w:rPr>
                <w:sz w:val="20"/>
                <w:szCs w:val="20"/>
                <w:color w:val="auto"/>
              </w:rPr>
            </w:pPr>
            <w:r>
              <w:rPr>
                <w:rFonts w:ascii="Arial" w:cs="Arial" w:eastAsia="Arial" w:hAnsi="Arial"/>
                <w:sz w:val="9"/>
                <w:szCs w:val="9"/>
                <w:b w:val="1"/>
                <w:bCs w:val="1"/>
                <w:color w:val="auto"/>
              </w:rPr>
              <w:t>Convertible</w:t>
            </w: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Preferred Stock</w:t>
            </w:r>
          </w:p>
        </w:tc>
        <w:tc>
          <w:tcPr>
            <w:tcW w:w="82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Preferred Stock</w:t>
            </w:r>
          </w:p>
        </w:tc>
        <w:tc>
          <w:tcPr>
            <w:tcW w:w="82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Preferred Stock</w:t>
            </w:r>
          </w:p>
        </w:tc>
        <w:tc>
          <w:tcPr>
            <w:tcW w:w="880" w:type="dxa"/>
            <w:vAlign w:val="bottom"/>
            <w:gridSpan w:val="2"/>
            <w:vMerge w:val="restart"/>
          </w:tcPr>
          <w:p>
            <w:pPr>
              <w:jc w:val="right"/>
              <w:ind w:right="137"/>
              <w:spacing w:after="0"/>
              <w:rPr>
                <w:sz w:val="20"/>
                <w:szCs w:val="20"/>
                <w:color w:val="auto"/>
              </w:rPr>
            </w:pPr>
            <w:r>
              <w:rPr>
                <w:rFonts w:ascii="Arial" w:cs="Arial" w:eastAsia="Arial" w:hAnsi="Arial"/>
                <w:sz w:val="9"/>
                <w:szCs w:val="9"/>
                <w:b w:val="1"/>
                <w:bCs w:val="1"/>
                <w:color w:val="auto"/>
              </w:rPr>
              <w:t>Predecessor</w:t>
            </w:r>
          </w:p>
        </w:tc>
        <w:tc>
          <w:tcPr>
            <w:tcW w:w="540" w:type="dxa"/>
            <w:vAlign w:val="bottom"/>
          </w:tcPr>
          <w:p>
            <w:pPr>
              <w:spacing w:after="0"/>
              <w:rPr>
                <w:sz w:val="5"/>
                <w:szCs w:val="5"/>
                <w:color w:val="auto"/>
              </w:rPr>
            </w:pPr>
          </w:p>
        </w:tc>
        <w:tc>
          <w:tcPr>
            <w:tcW w:w="820" w:type="dxa"/>
            <w:vAlign w:val="bottom"/>
            <w:gridSpan w:val="2"/>
            <w:vMerge w:val="restart"/>
          </w:tcPr>
          <w:p>
            <w:pPr>
              <w:jc w:val="right"/>
              <w:ind w:right="217"/>
              <w:spacing w:after="0"/>
              <w:rPr>
                <w:sz w:val="20"/>
                <w:szCs w:val="20"/>
                <w:color w:val="auto"/>
              </w:rPr>
            </w:pPr>
            <w:r>
              <w:rPr>
                <w:rFonts w:ascii="Arial" w:cs="Arial" w:eastAsia="Arial" w:hAnsi="Arial"/>
                <w:sz w:val="9"/>
                <w:szCs w:val="9"/>
                <w:b w:val="1"/>
                <w:bCs w:val="1"/>
                <w:color w:val="auto"/>
              </w:rPr>
              <w:t>Successor</w:t>
            </w: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Predecessor</w:t>
            </w:r>
          </w:p>
        </w:tc>
        <w:tc>
          <w:tcPr>
            <w:tcW w:w="56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Successor</w:t>
            </w:r>
          </w:p>
        </w:tc>
        <w:tc>
          <w:tcPr>
            <w:tcW w:w="860" w:type="dxa"/>
            <w:vAlign w:val="bottom"/>
          </w:tcPr>
          <w:p>
            <w:pPr>
              <w:jc w:val="right"/>
              <w:ind w:right="58"/>
              <w:spacing w:after="0" w:line="65" w:lineRule="exact"/>
              <w:rPr>
                <w:sz w:val="20"/>
                <w:szCs w:val="20"/>
                <w:color w:val="auto"/>
              </w:rPr>
            </w:pPr>
            <w:r>
              <w:rPr>
                <w:rFonts w:ascii="Arial" w:cs="Arial" w:eastAsia="Arial" w:hAnsi="Arial"/>
                <w:sz w:val="6"/>
                <w:szCs w:val="6"/>
                <w:b w:val="1"/>
                <w:bCs w:val="1"/>
                <w:color w:val="auto"/>
              </w:rPr>
              <w:t>Other</w:t>
            </w: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820" w:type="dxa"/>
            <w:vAlign w:val="bottom"/>
            <w:tcBorders>
              <w:bottom w:val="single" w:sz="8" w:color="auto"/>
            </w:tcBorders>
            <w:gridSpan w:val="3"/>
            <w:vMerge w:val="continue"/>
          </w:tcPr>
          <w:p>
            <w:pPr>
              <w:spacing w:after="0"/>
              <w:rPr>
                <w:sz w:val="5"/>
                <w:szCs w:val="5"/>
                <w:color w:val="auto"/>
              </w:rPr>
            </w:pPr>
          </w:p>
        </w:tc>
        <w:tc>
          <w:tcPr>
            <w:tcW w:w="820" w:type="dxa"/>
            <w:vAlign w:val="bottom"/>
            <w:tcBorders>
              <w:bottom w:val="single" w:sz="8" w:color="auto"/>
            </w:tcBorders>
            <w:gridSpan w:val="2"/>
            <w:vMerge w:val="continue"/>
          </w:tcPr>
          <w:p>
            <w:pPr>
              <w:spacing w:after="0"/>
              <w:rPr>
                <w:sz w:val="5"/>
                <w:szCs w:val="5"/>
                <w:color w:val="auto"/>
              </w:rPr>
            </w:pPr>
          </w:p>
        </w:tc>
        <w:tc>
          <w:tcPr>
            <w:tcW w:w="820" w:type="dxa"/>
            <w:vAlign w:val="bottom"/>
            <w:tcBorders>
              <w:bottom w:val="single" w:sz="8" w:color="auto"/>
            </w:tcBorders>
            <w:gridSpan w:val="2"/>
            <w:vMerge w:val="continue"/>
          </w:tcPr>
          <w:p>
            <w:pPr>
              <w:spacing w:after="0"/>
              <w:rPr>
                <w:sz w:val="5"/>
                <w:szCs w:val="5"/>
                <w:color w:val="auto"/>
              </w:rPr>
            </w:pPr>
          </w:p>
        </w:tc>
        <w:tc>
          <w:tcPr>
            <w:tcW w:w="880" w:type="dxa"/>
            <w:vAlign w:val="bottom"/>
            <w:tcBorders>
              <w:bottom w:val="single" w:sz="8" w:color="auto"/>
            </w:tcBorders>
            <w:gridSpan w:val="2"/>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gridSpan w:val="2"/>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20" w:type="dxa"/>
            <w:vAlign w:val="bottom"/>
            <w:gridSpan w:val="2"/>
          </w:tcPr>
          <w:p>
            <w:pPr>
              <w:jc w:val="right"/>
              <w:ind w:right="37"/>
              <w:spacing w:after="0" w:line="65" w:lineRule="exact"/>
              <w:rPr>
                <w:sz w:val="20"/>
                <w:szCs w:val="20"/>
                <w:color w:val="auto"/>
              </w:rPr>
            </w:pPr>
            <w:r>
              <w:rPr>
                <w:rFonts w:ascii="Arial" w:cs="Arial" w:eastAsia="Arial" w:hAnsi="Arial"/>
                <w:sz w:val="6"/>
                <w:szCs w:val="6"/>
                <w:b w:val="1"/>
                <w:bCs w:val="1"/>
                <w:color w:val="auto"/>
              </w:rPr>
              <w:t>Additional</w:t>
            </w: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Borders>
              <w:bottom w:val="single" w:sz="8" w:color="auto"/>
            </w:tcBorders>
            <w:gridSpan w:val="2"/>
            <w:vMerge w:val="continue"/>
          </w:tcPr>
          <w:p>
            <w:pPr>
              <w:spacing w:after="0"/>
              <w:rPr>
                <w:sz w:val="5"/>
                <w:szCs w:val="5"/>
                <w:color w:val="auto"/>
              </w:rPr>
            </w:pPr>
          </w:p>
        </w:tc>
        <w:tc>
          <w:tcPr>
            <w:tcW w:w="560" w:type="dxa"/>
            <w:vAlign w:val="bottom"/>
            <w:tcBorders>
              <w:bottom w:val="single" w:sz="8" w:color="auto"/>
            </w:tcBorders>
            <w:gridSpan w:val="2"/>
            <w:vMerge w:val="continue"/>
          </w:tcPr>
          <w:p>
            <w:pPr>
              <w:spacing w:after="0"/>
              <w:rPr>
                <w:sz w:val="5"/>
                <w:szCs w:val="5"/>
                <w:color w:val="auto"/>
              </w:rPr>
            </w:pPr>
          </w:p>
        </w:tc>
        <w:tc>
          <w:tcPr>
            <w:tcW w:w="860" w:type="dxa"/>
            <w:vAlign w:val="bottom"/>
          </w:tcPr>
          <w:p>
            <w:pPr>
              <w:jc w:val="right"/>
              <w:ind w:right="58"/>
              <w:spacing w:after="0" w:line="65" w:lineRule="exact"/>
              <w:rPr>
                <w:sz w:val="20"/>
                <w:szCs w:val="20"/>
                <w:color w:val="auto"/>
              </w:rPr>
            </w:pPr>
            <w:r>
              <w:rPr>
                <w:rFonts w:ascii="Arial" w:cs="Arial" w:eastAsia="Arial" w:hAnsi="Arial"/>
                <w:sz w:val="6"/>
                <w:szCs w:val="6"/>
                <w:b w:val="1"/>
                <w:bCs w:val="1"/>
                <w:color w:val="auto"/>
              </w:rPr>
              <w:t>Comprehensive</w:t>
            </w:r>
          </w:p>
        </w:tc>
        <w:tc>
          <w:tcPr>
            <w:tcW w:w="140" w:type="dxa"/>
            <w:vAlign w:val="bottom"/>
          </w:tcPr>
          <w:p>
            <w:pPr>
              <w:spacing w:after="0"/>
              <w:rPr>
                <w:sz w:val="5"/>
                <w:szCs w:val="5"/>
                <w:color w:val="auto"/>
              </w:rPr>
            </w:pPr>
          </w:p>
        </w:tc>
        <w:tc>
          <w:tcPr>
            <w:tcW w:w="360" w:type="dxa"/>
            <w:vAlign w:val="bottom"/>
          </w:tcPr>
          <w:p>
            <w:pPr>
              <w:jc w:val="right"/>
              <w:spacing w:after="0" w:line="65" w:lineRule="exact"/>
              <w:rPr>
                <w:sz w:val="20"/>
                <w:szCs w:val="20"/>
                <w:color w:val="auto"/>
              </w:rPr>
            </w:pPr>
            <w:r>
              <w:rPr>
                <w:rFonts w:ascii="Arial" w:cs="Arial" w:eastAsia="Arial" w:hAnsi="Arial"/>
                <w:sz w:val="6"/>
                <w:szCs w:val="6"/>
                <w:b w:val="1"/>
                <w:bCs w:val="1"/>
                <w:color w:val="auto"/>
              </w:rPr>
              <w:t>Tota</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80" w:type="dxa"/>
            <w:vAlign w:val="bottom"/>
          </w:tcPr>
          <w:p>
            <w:pPr>
              <w:spacing w:after="0"/>
              <w:rPr>
                <w:sz w:val="7"/>
                <w:szCs w:val="7"/>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Shares Amount</w:t>
            </w:r>
          </w:p>
        </w:tc>
        <w:tc>
          <w:tcPr>
            <w:tcW w:w="82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Shares Amount</w:t>
            </w:r>
          </w:p>
        </w:tc>
        <w:tc>
          <w:tcPr>
            <w:tcW w:w="82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Shares Amount</w:t>
            </w:r>
          </w:p>
        </w:tc>
        <w:tc>
          <w:tcPr>
            <w:tcW w:w="480" w:type="dxa"/>
            <w:vAlign w:val="bottom"/>
          </w:tcPr>
          <w:p>
            <w:pPr>
              <w:jc w:val="right"/>
              <w:ind w:right="17"/>
              <w:spacing w:after="0" w:line="88" w:lineRule="exact"/>
              <w:rPr>
                <w:sz w:val="20"/>
                <w:szCs w:val="20"/>
                <w:color w:val="auto"/>
              </w:rPr>
            </w:pPr>
            <w:r>
              <w:rPr>
                <w:rFonts w:ascii="Arial" w:cs="Arial" w:eastAsia="Arial" w:hAnsi="Arial"/>
                <w:sz w:val="9"/>
                <w:szCs w:val="9"/>
                <w:b w:val="1"/>
                <w:bCs w:val="1"/>
                <w:color w:val="auto"/>
              </w:rPr>
              <w:t>Common</w:t>
            </w:r>
          </w:p>
        </w:tc>
        <w:tc>
          <w:tcPr>
            <w:tcW w:w="400" w:type="dxa"/>
            <w:vAlign w:val="bottom"/>
            <w:vMerge w:val="restart"/>
          </w:tcPr>
          <w:p>
            <w:pPr>
              <w:jc w:val="right"/>
              <w:spacing w:after="0"/>
              <w:rPr>
                <w:sz w:val="20"/>
                <w:szCs w:val="20"/>
                <w:color w:val="auto"/>
              </w:rPr>
            </w:pPr>
            <w:r>
              <w:rPr>
                <w:rFonts w:ascii="Arial" w:cs="Arial" w:eastAsia="Arial" w:hAnsi="Arial"/>
                <w:sz w:val="9"/>
                <w:szCs w:val="9"/>
                <w:b w:val="1"/>
                <w:bCs w:val="1"/>
                <w:color w:val="auto"/>
              </w:rPr>
              <w:t>Amount</w:t>
            </w:r>
          </w:p>
        </w:tc>
        <w:tc>
          <w:tcPr>
            <w:tcW w:w="540" w:type="dxa"/>
            <w:vAlign w:val="bottom"/>
          </w:tcPr>
          <w:p>
            <w:pPr>
              <w:ind w:left="40"/>
              <w:spacing w:after="0" w:line="88" w:lineRule="exact"/>
              <w:rPr>
                <w:sz w:val="20"/>
                <w:szCs w:val="20"/>
                <w:color w:val="auto"/>
              </w:rPr>
            </w:pPr>
            <w:r>
              <w:rPr>
                <w:rFonts w:ascii="Arial" w:cs="Arial" w:eastAsia="Arial" w:hAnsi="Arial"/>
                <w:sz w:val="9"/>
                <w:szCs w:val="9"/>
                <w:b w:val="1"/>
                <w:bCs w:val="1"/>
                <w:color w:val="auto"/>
              </w:rPr>
              <w:t>Common</w:t>
            </w:r>
          </w:p>
        </w:tc>
        <w:tc>
          <w:tcPr>
            <w:tcW w:w="360" w:type="dxa"/>
            <w:vAlign w:val="bottom"/>
            <w:vMerge w:val="restart"/>
          </w:tcPr>
          <w:p>
            <w:pPr>
              <w:jc w:val="right"/>
              <w:spacing w:after="0"/>
              <w:rPr>
                <w:sz w:val="20"/>
                <w:szCs w:val="20"/>
                <w:color w:val="auto"/>
              </w:rPr>
            </w:pPr>
            <w:r>
              <w:rPr>
                <w:rFonts w:ascii="Arial" w:cs="Arial" w:eastAsia="Arial" w:hAnsi="Arial"/>
                <w:sz w:val="9"/>
                <w:szCs w:val="9"/>
                <w:b w:val="1"/>
                <w:bCs w:val="1"/>
                <w:color w:val="auto"/>
                <w:w w:val="88"/>
              </w:rPr>
              <w:t>Amount</w:t>
            </w:r>
          </w:p>
        </w:tc>
        <w:tc>
          <w:tcPr>
            <w:tcW w:w="460" w:type="dxa"/>
            <w:vAlign w:val="bottom"/>
          </w:tcPr>
          <w:p>
            <w:pPr>
              <w:jc w:val="right"/>
              <w:ind w:right="17"/>
              <w:spacing w:after="0" w:line="88" w:lineRule="exact"/>
              <w:rPr>
                <w:sz w:val="20"/>
                <w:szCs w:val="20"/>
                <w:color w:val="auto"/>
              </w:rPr>
            </w:pPr>
            <w:r>
              <w:rPr>
                <w:rFonts w:ascii="Arial" w:cs="Arial" w:eastAsia="Arial" w:hAnsi="Arial"/>
                <w:sz w:val="9"/>
                <w:szCs w:val="9"/>
                <w:b w:val="1"/>
                <w:bCs w:val="1"/>
                <w:color w:val="auto"/>
                <w:w w:val="97"/>
              </w:rPr>
              <w:t>Common</w:t>
            </w:r>
          </w:p>
        </w:tc>
        <w:tc>
          <w:tcPr>
            <w:tcW w:w="3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Amount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gridSpan w:val="7"/>
          </w:tcPr>
          <w:p>
            <w:pPr>
              <w:jc w:val="right"/>
              <w:spacing w:after="0" w:line="88" w:lineRule="exact"/>
              <w:rPr>
                <w:sz w:val="20"/>
                <w:szCs w:val="20"/>
                <w:color w:val="auto"/>
              </w:rPr>
            </w:pPr>
            <w:r>
              <w:rPr>
                <w:rFonts w:ascii="Arial" w:cs="Arial" w:eastAsia="Arial" w:hAnsi="Arial"/>
                <w:sz w:val="9"/>
                <w:szCs w:val="9"/>
                <w:b w:val="1"/>
                <w:bCs w:val="1"/>
                <w:color w:val="auto"/>
              </w:rPr>
              <w:t>Paid-In Subscription Accumulated Accumulated</w:t>
            </w:r>
          </w:p>
        </w:tc>
        <w:tc>
          <w:tcPr>
            <w:tcW w:w="1360" w:type="dxa"/>
            <w:vAlign w:val="bottom"/>
            <w:gridSpan w:val="3"/>
          </w:tcPr>
          <w:p>
            <w:pPr>
              <w:jc w:val="right"/>
              <w:spacing w:after="0" w:line="88" w:lineRule="exact"/>
              <w:rPr>
                <w:sz w:val="20"/>
                <w:szCs w:val="20"/>
                <w:color w:val="auto"/>
              </w:rPr>
            </w:pPr>
            <w:r>
              <w:rPr>
                <w:rFonts w:ascii="Arial" w:cs="Arial" w:eastAsia="Arial" w:hAnsi="Arial"/>
                <w:sz w:val="9"/>
                <w:szCs w:val="9"/>
                <w:b w:val="1"/>
                <w:bCs w:val="1"/>
                <w:color w:val="auto"/>
              </w:rPr>
              <w:t>Income Stockholders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vMerge w:val="continue"/>
          </w:tcPr>
          <w:p>
            <w:pPr>
              <w:spacing w:after="0"/>
              <w:rPr>
                <w:sz w:val="10"/>
                <w:szCs w:val="10"/>
                <w:color w:val="auto"/>
              </w:rPr>
            </w:pPr>
          </w:p>
        </w:tc>
        <w:tc>
          <w:tcPr>
            <w:tcW w:w="820" w:type="dxa"/>
            <w:vAlign w:val="bottom"/>
            <w:tcBorders>
              <w:bottom w:val="single" w:sz="8" w:color="auto"/>
            </w:tcBorders>
            <w:gridSpan w:val="2"/>
            <w:vMerge w:val="continue"/>
          </w:tcPr>
          <w:p>
            <w:pPr>
              <w:spacing w:after="0"/>
              <w:rPr>
                <w:sz w:val="10"/>
                <w:szCs w:val="10"/>
                <w:color w:val="auto"/>
              </w:rPr>
            </w:pPr>
          </w:p>
        </w:tc>
        <w:tc>
          <w:tcPr>
            <w:tcW w:w="820" w:type="dxa"/>
            <w:vAlign w:val="bottom"/>
            <w:tcBorders>
              <w:bottom w:val="single" w:sz="8" w:color="auto"/>
            </w:tcBorders>
            <w:gridSpan w:val="2"/>
            <w:vMerge w:val="continue"/>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Stock</w:t>
            </w:r>
          </w:p>
        </w:tc>
        <w:tc>
          <w:tcPr>
            <w:tcW w:w="400" w:type="dxa"/>
            <w:vAlign w:val="bottom"/>
            <w:tcBorders>
              <w:bottom w:val="single" w:sz="8" w:color="auto"/>
            </w:tcBorders>
            <w:vMerge w:val="continue"/>
          </w:tcPr>
          <w:p>
            <w:pPr>
              <w:spacing w:after="0"/>
              <w:rPr>
                <w:sz w:val="10"/>
                <w:szCs w:val="10"/>
                <w:color w:val="auto"/>
              </w:rPr>
            </w:pP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9"/>
                <w:szCs w:val="9"/>
                <w:b w:val="1"/>
                <w:bCs w:val="1"/>
                <w:color w:val="auto"/>
              </w:rPr>
              <w:t>Units</w:t>
            </w:r>
          </w:p>
        </w:tc>
        <w:tc>
          <w:tcPr>
            <w:tcW w:w="36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Stock</w:t>
            </w:r>
          </w:p>
        </w:tc>
        <w:tc>
          <w:tcPr>
            <w:tcW w:w="38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7"/>
              <w:spacing w:after="0"/>
              <w:rPr>
                <w:sz w:val="20"/>
                <w:szCs w:val="20"/>
                <w:color w:val="auto"/>
              </w:rPr>
            </w:pPr>
            <w:r>
              <w:rPr>
                <w:rFonts w:ascii="Arial" w:cs="Arial" w:eastAsia="Arial" w:hAnsi="Arial"/>
                <w:sz w:val="9"/>
                <w:szCs w:val="9"/>
                <w:b w:val="1"/>
                <w:bCs w:val="1"/>
                <w:color w:val="auto"/>
              </w:rPr>
              <w:t>Capital</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Receivable</w:t>
            </w:r>
          </w:p>
        </w:tc>
        <w:tc>
          <w:tcPr>
            <w:tcW w:w="2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Deficit</w:t>
            </w: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Deficit</w:t>
            </w: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9"/>
                <w:szCs w:val="9"/>
                <w:b w:val="1"/>
                <w:bCs w:val="1"/>
                <w:color w:val="auto"/>
              </w:rPr>
              <w:t>(Loss)</w:t>
            </w: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(Defici</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Balance, December 31, 2018, Predecessor</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7"/>
              </w:rPr>
              <w:t>35,000,000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4"/>
              </w:rPr>
              <w:t>34,922</w:t>
            </w:r>
          </w:p>
        </w:tc>
        <w:tc>
          <w:tcPr>
            <w:tcW w:w="520" w:type="dxa"/>
            <w:vAlign w:val="bottom"/>
            <w:shd w:val="clear" w:color="auto" w:fill="CCEEFF"/>
          </w:tcPr>
          <w:p>
            <w:pPr>
              <w:ind w:left="360"/>
              <w:spacing w:after="0"/>
              <w:rPr>
                <w:sz w:val="20"/>
                <w:szCs w:val="20"/>
                <w:color w:val="auto"/>
              </w:rPr>
            </w:pPr>
            <w:r>
              <w:rPr>
                <w:rFonts w:ascii="Arial" w:cs="Arial" w:eastAsia="Arial" w:hAnsi="Arial"/>
                <w:sz w:val="9"/>
                <w:szCs w:val="9"/>
                <w:b w:val="1"/>
                <w:bCs w:val="1"/>
                <w:color w:val="auto"/>
                <w:w w:val="84"/>
              </w:rPr>
              <w:t>— $</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b w:val="1"/>
                <w:bCs w:val="1"/>
                <w:color w:val="auto"/>
                <w:w w:val="72"/>
              </w:rPr>
              <w:t>—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 15,000,000</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9"/>
                <w:szCs w:val="9"/>
                <w:b w:val="1"/>
                <w:bCs w:val="1"/>
                <w:color w:val="auto"/>
              </w:rPr>
              <w:t>$ 2</w:t>
            </w:r>
          </w:p>
        </w:tc>
        <w:tc>
          <w:tcPr>
            <w:tcW w:w="540" w:type="dxa"/>
            <w:vAlign w:val="bottom"/>
            <w:shd w:val="clear" w:color="auto" w:fill="CCEEFF"/>
          </w:tcPr>
          <w:p>
            <w:pPr>
              <w:ind w:left="380"/>
              <w:spacing w:after="0"/>
              <w:rPr>
                <w:sz w:val="20"/>
                <w:szCs w:val="20"/>
                <w:color w:val="auto"/>
              </w:rPr>
            </w:pPr>
            <w:r>
              <w:rPr>
                <w:rFonts w:ascii="Arial" w:cs="Arial" w:eastAsia="Arial" w:hAnsi="Arial"/>
                <w:sz w:val="9"/>
                <w:szCs w:val="9"/>
                <w:b w:val="1"/>
                <w:bCs w:val="1"/>
                <w:color w:val="auto"/>
                <w:w w:val="84"/>
              </w:rPr>
              <w:t>— $</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b w:val="1"/>
                <w:bCs w:val="1"/>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9"/>
                <w:szCs w:val="9"/>
                <w:b w:val="1"/>
                <w:bCs w:val="1"/>
                <w:color w:val="auto"/>
              </w:rPr>
              <w:t>153</w:t>
            </w: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shd w:val="clear" w:color="auto" w:fill="CCEEFF"/>
          </w:tcPr>
          <w:p>
            <w:pPr>
              <w:jc w:val="right"/>
              <w:ind w:right="77"/>
              <w:spacing w:after="0"/>
              <w:rPr>
                <w:sz w:val="20"/>
                <w:szCs w:val="20"/>
                <w:color w:val="auto"/>
              </w:rPr>
            </w:pPr>
            <w:r>
              <w:rPr>
                <w:rFonts w:ascii="Arial" w:cs="Arial" w:eastAsia="Arial" w:hAnsi="Arial"/>
                <w:sz w:val="9"/>
                <w:szCs w:val="9"/>
                <w:b w:val="1"/>
                <w:bCs w:val="1"/>
                <w:color w:val="auto"/>
                <w:w w:val="91"/>
              </w:rPr>
              <w:t>(1,894)</w:t>
            </w: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860" w:type="dxa"/>
            <w:vAlign w:val="bottom"/>
            <w:shd w:val="clear" w:color="auto" w:fill="CCEEFF"/>
          </w:tcPr>
          <w:p>
            <w:pPr>
              <w:jc w:val="right"/>
              <w:ind w:right="238"/>
              <w:spacing w:after="0"/>
              <w:rPr>
                <w:sz w:val="20"/>
                <w:szCs w:val="20"/>
                <w:color w:val="auto"/>
              </w:rPr>
            </w:pPr>
            <w:r>
              <w:rPr>
                <w:rFonts w:ascii="Arial" w:cs="Arial" w:eastAsia="Arial" w:hAnsi="Arial"/>
                <w:sz w:val="9"/>
                <w:szCs w:val="9"/>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(1,739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880" w:type="dxa"/>
            <w:vAlign w:val="bottom"/>
          </w:tcPr>
          <w:p>
            <w:pPr>
              <w:spacing w:after="0"/>
              <w:rPr>
                <w:sz w:val="20"/>
                <w:szCs w:val="20"/>
                <w:color w:val="auto"/>
              </w:rPr>
            </w:pPr>
            <w:r>
              <w:rPr>
                <w:rFonts w:ascii="Arial" w:cs="Arial" w:eastAsia="Arial" w:hAnsi="Arial"/>
                <w:sz w:val="9"/>
                <w:szCs w:val="9"/>
                <w:color w:val="auto"/>
              </w:rPr>
              <w:t>Issuance of common stock</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ind w:left="360"/>
              <w:spacing w:after="0"/>
              <w:rPr>
                <w:sz w:val="20"/>
                <w:szCs w:val="20"/>
                <w:color w:val="auto"/>
              </w:rPr>
            </w:pPr>
            <w:r>
              <w:rPr>
                <w:rFonts w:ascii="Arial" w:cs="Arial" w:eastAsia="Arial" w:hAnsi="Arial"/>
                <w:sz w:val="9"/>
                <w:szCs w:val="9"/>
                <w:color w:val="auto"/>
              </w:rPr>
              <w:t>—</w:t>
            </w: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tcPr>
          <w:p>
            <w:pPr>
              <w:ind w:left="360"/>
              <w:spacing w:after="0"/>
              <w:rPr>
                <w:sz w:val="20"/>
                <w:szCs w:val="20"/>
                <w:color w:val="auto"/>
              </w:rPr>
            </w:pPr>
            <w:r>
              <w:rPr>
                <w:rFonts w:ascii="Arial" w:cs="Arial" w:eastAsia="Arial" w:hAnsi="Arial"/>
                <w:sz w:val="9"/>
                <w:szCs w:val="9"/>
                <w:color w:val="auto"/>
              </w:rPr>
              <w:t>—</w:t>
            </w:r>
          </w:p>
        </w:tc>
        <w:tc>
          <w:tcPr>
            <w:tcW w:w="3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58,479</w:t>
            </w:r>
          </w:p>
        </w:tc>
        <w:tc>
          <w:tcPr>
            <w:tcW w:w="40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tcPr>
          <w:p>
            <w:pPr>
              <w:ind w:left="380"/>
              <w:spacing w:after="0"/>
              <w:rPr>
                <w:sz w:val="20"/>
                <w:szCs w:val="20"/>
                <w:color w:val="auto"/>
              </w:rPr>
            </w:pPr>
            <w:r>
              <w:rPr>
                <w:rFonts w:ascii="Arial" w:cs="Arial" w:eastAsia="Arial" w:hAnsi="Arial"/>
                <w:sz w:val="9"/>
                <w:szCs w:val="9"/>
                <w:color w:val="auto"/>
              </w:rPr>
              <w:t>—</w:t>
            </w: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0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400" w:type="dxa"/>
            <w:vAlign w:val="bottom"/>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9"/>
                <w:szCs w:val="9"/>
                <w:color w:val="auto"/>
              </w:rPr>
              <w:t>Stock based compensation expense</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38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14</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Borders>
              <w:bottom w:val="single" w:sz="8" w:color="CCEEFF"/>
            </w:tcBorders>
          </w:tcPr>
          <w:p>
            <w:pPr>
              <w:spacing w:after="0"/>
              <w:rPr>
                <w:sz w:val="20"/>
                <w:szCs w:val="20"/>
                <w:color w:val="auto"/>
              </w:rPr>
            </w:pPr>
            <w:r>
              <w:rPr>
                <w:rFonts w:ascii="Arial" w:cs="Arial" w:eastAsia="Arial" w:hAnsi="Arial"/>
                <w:sz w:val="9"/>
                <w:szCs w:val="9"/>
                <w:color w:val="auto"/>
              </w:rPr>
              <w:t>Net loss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9"/>
                <w:szCs w:val="9"/>
                <w:b w:val="1"/>
                <w:bCs w:val="1"/>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500" w:type="dxa"/>
            <w:vAlign w:val="bottom"/>
            <w:tcBorders>
              <w:bottom w:val="single" w:sz="8" w:color="auto"/>
            </w:tcBorders>
          </w:tcPr>
          <w:p>
            <w:pPr>
              <w:ind w:left="360"/>
              <w:spacing w:after="0"/>
              <w:rPr>
                <w:sz w:val="20"/>
                <w:szCs w:val="20"/>
                <w:color w:val="auto"/>
              </w:rPr>
            </w:pPr>
            <w:r>
              <w:rPr>
                <w:rFonts w:ascii="Arial" w:cs="Arial" w:eastAsia="Arial" w:hAnsi="Arial"/>
                <w:sz w:val="9"/>
                <w:szCs w:val="9"/>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auto"/>
            </w:tcBorders>
          </w:tcPr>
          <w:p>
            <w:pPr>
              <w:jc w:val="right"/>
              <w:ind w:right="57"/>
              <w:spacing w:after="0"/>
              <w:rPr>
                <w:sz w:val="20"/>
                <w:szCs w:val="20"/>
                <w:color w:val="auto"/>
              </w:rPr>
            </w:pPr>
            <w:r>
              <w:rPr>
                <w:rFonts w:ascii="Arial" w:cs="Arial" w:eastAsia="Arial" w:hAnsi="Arial"/>
                <w:sz w:val="9"/>
                <w:szCs w:val="9"/>
                <w:b w:val="1"/>
                <w:bCs w:val="1"/>
                <w:color w:val="auto"/>
              </w:rPr>
              <w:t>—</w:t>
            </w: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9"/>
                <w:szCs w:val="9"/>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b w:val="1"/>
                <w:bCs w:val="1"/>
                <w:color w:val="auto"/>
              </w:rPr>
              <w:t>—</w:t>
            </w: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b w:val="1"/>
                <w:bCs w:val="1"/>
                <w:color w:val="auto"/>
              </w:rPr>
              <w:t>—</w:t>
            </w:r>
          </w:p>
        </w:tc>
        <w:tc>
          <w:tcPr>
            <w:tcW w:w="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b w:val="1"/>
                <w:bCs w:val="1"/>
                <w:color w:val="auto"/>
              </w:rPr>
              <w:t>—</w:t>
            </w: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77"/>
              <w:spacing w:after="0"/>
              <w:rPr>
                <w:sz w:val="20"/>
                <w:szCs w:val="20"/>
                <w:color w:val="auto"/>
              </w:rPr>
            </w:pPr>
            <w:r>
              <w:rPr>
                <w:rFonts w:ascii="Arial" w:cs="Arial" w:eastAsia="Arial" w:hAnsi="Arial"/>
                <w:sz w:val="9"/>
                <w:szCs w:val="9"/>
                <w:color w:val="auto"/>
                <w:w w:val="91"/>
              </w:rPr>
              <w:t>(6,002)</w:t>
            </w: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60" w:type="dxa"/>
            <w:vAlign w:val="bottom"/>
            <w:tcBorders>
              <w:bottom w:val="single" w:sz="8" w:color="auto"/>
            </w:tcBorders>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(6,002</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880" w:type="dxa"/>
            <w:vAlign w:val="bottom"/>
            <w:tcBorders>
              <w:bottom w:val="single" w:sz="8" w:color="CCEEFF"/>
            </w:tcBorders>
            <w:shd w:val="clear" w:color="auto" w:fill="CCEEFF"/>
          </w:tcPr>
          <w:p>
            <w:pPr>
              <w:spacing w:after="0" w:line="94" w:lineRule="exact"/>
              <w:rPr>
                <w:sz w:val="20"/>
                <w:szCs w:val="20"/>
                <w:color w:val="auto"/>
              </w:rPr>
            </w:pPr>
            <w:r>
              <w:rPr>
                <w:rFonts w:ascii="Arial" w:cs="Arial" w:eastAsia="Arial" w:hAnsi="Arial"/>
                <w:sz w:val="9"/>
                <w:szCs w:val="9"/>
                <w:b w:val="1"/>
                <w:bCs w:val="1"/>
                <w:color w:val="auto"/>
              </w:rPr>
              <w:t>Balance, June 20, 2019, Predecessor</w:t>
            </w:r>
          </w:p>
        </w:tc>
        <w:tc>
          <w:tcPr>
            <w:tcW w:w="46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w w:val="97"/>
              </w:rPr>
              <w:t>35,000,000</w:t>
            </w:r>
          </w:p>
        </w:tc>
        <w:tc>
          <w:tcPr>
            <w:tcW w:w="8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w w:val="78"/>
              </w:rPr>
              <w:t>$</w:t>
            </w:r>
          </w:p>
        </w:tc>
        <w:tc>
          <w:tcPr>
            <w:tcW w:w="28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w w:val="94"/>
              </w:rPr>
              <w:t>34,922</w:t>
            </w:r>
          </w:p>
        </w:tc>
        <w:tc>
          <w:tcPr>
            <w:tcW w:w="520" w:type="dxa"/>
            <w:vAlign w:val="bottom"/>
            <w:tcBorders>
              <w:bottom w:val="single" w:sz="8" w:color="auto"/>
            </w:tcBorders>
            <w:shd w:val="clear" w:color="auto" w:fill="CCEEFF"/>
          </w:tcPr>
          <w:p>
            <w:pPr>
              <w:ind w:left="360"/>
              <w:spacing w:after="0" w:line="99" w:lineRule="exact"/>
              <w:rPr>
                <w:sz w:val="20"/>
                <w:szCs w:val="20"/>
                <w:color w:val="auto"/>
              </w:rPr>
            </w:pPr>
            <w:r>
              <w:rPr>
                <w:rFonts w:ascii="Arial" w:cs="Arial" w:eastAsia="Arial" w:hAnsi="Arial"/>
                <w:sz w:val="9"/>
                <w:szCs w:val="9"/>
                <w:b w:val="1"/>
                <w:bCs w:val="1"/>
                <w:color w:val="auto"/>
                <w:w w:val="84"/>
              </w:rPr>
              <w:t>— $</w:t>
            </w:r>
          </w:p>
        </w:tc>
        <w:tc>
          <w:tcPr>
            <w:tcW w:w="30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500" w:type="dxa"/>
            <w:vAlign w:val="bottom"/>
            <w:tcBorders>
              <w:bottom w:val="single" w:sz="8" w:color="auto"/>
            </w:tcBorders>
            <w:shd w:val="clear" w:color="auto" w:fill="CCEEFF"/>
          </w:tcPr>
          <w:p>
            <w:pPr>
              <w:ind w:left="360"/>
              <w:spacing w:after="0" w:line="99" w:lineRule="exact"/>
              <w:rPr>
                <w:sz w:val="20"/>
                <w:szCs w:val="20"/>
                <w:color w:val="auto"/>
              </w:rPr>
            </w:pPr>
            <w:r>
              <w:rPr>
                <w:rFonts w:ascii="Arial" w:cs="Arial" w:eastAsia="Arial" w:hAnsi="Arial"/>
                <w:sz w:val="9"/>
                <w:szCs w:val="9"/>
                <w:b w:val="1"/>
                <w:bCs w:val="1"/>
                <w:color w:val="auto"/>
                <w:w w:val="72"/>
              </w:rPr>
              <w:t>— $</w:t>
            </w:r>
          </w:p>
        </w:tc>
        <w:tc>
          <w:tcPr>
            <w:tcW w:w="800" w:type="dxa"/>
            <w:vAlign w:val="bottom"/>
            <w:tcBorders>
              <w:bottom w:val="single" w:sz="8" w:color="auto"/>
            </w:tcBorders>
            <w:gridSpan w:val="2"/>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 15,058,479</w:t>
            </w:r>
          </w:p>
        </w:tc>
        <w:tc>
          <w:tcPr>
            <w:tcW w:w="400" w:type="dxa"/>
            <w:vAlign w:val="bottom"/>
            <w:tcBorders>
              <w:bottom w:val="single" w:sz="8" w:color="auto"/>
            </w:tcBorders>
            <w:shd w:val="clear" w:color="auto" w:fill="CCEEFF"/>
          </w:tcPr>
          <w:p>
            <w:pPr>
              <w:jc w:val="right"/>
              <w:ind w:right="57"/>
              <w:spacing w:after="0" w:line="99" w:lineRule="exact"/>
              <w:rPr>
                <w:sz w:val="20"/>
                <w:szCs w:val="20"/>
                <w:color w:val="auto"/>
              </w:rPr>
            </w:pPr>
            <w:r>
              <w:rPr>
                <w:rFonts w:ascii="Arial" w:cs="Arial" w:eastAsia="Arial" w:hAnsi="Arial"/>
                <w:sz w:val="9"/>
                <w:szCs w:val="9"/>
                <w:b w:val="1"/>
                <w:bCs w:val="1"/>
                <w:color w:val="auto"/>
              </w:rPr>
              <w:t>$ 2</w:t>
            </w:r>
          </w:p>
        </w:tc>
        <w:tc>
          <w:tcPr>
            <w:tcW w:w="540" w:type="dxa"/>
            <w:vAlign w:val="bottom"/>
            <w:tcBorders>
              <w:bottom w:val="single" w:sz="8" w:color="auto"/>
            </w:tcBorders>
            <w:shd w:val="clear" w:color="auto" w:fill="CCEEFF"/>
          </w:tcPr>
          <w:p>
            <w:pPr>
              <w:ind w:left="380"/>
              <w:spacing w:after="0" w:line="99" w:lineRule="exact"/>
              <w:rPr>
                <w:sz w:val="20"/>
                <w:szCs w:val="20"/>
                <w:color w:val="auto"/>
              </w:rPr>
            </w:pPr>
            <w:r>
              <w:rPr>
                <w:rFonts w:ascii="Arial" w:cs="Arial" w:eastAsia="Arial" w:hAnsi="Arial"/>
                <w:sz w:val="9"/>
                <w:szCs w:val="9"/>
                <w:b w:val="1"/>
                <w:bCs w:val="1"/>
                <w:color w:val="auto"/>
                <w:w w:val="84"/>
              </w:rPr>
              <w:t>— $</w:t>
            </w:r>
          </w:p>
        </w:tc>
        <w:tc>
          <w:tcPr>
            <w:tcW w:w="36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6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380" w:type="dxa"/>
            <w:vAlign w:val="bottom"/>
            <w:tcBorders>
              <w:bottom w:val="single" w:sz="8" w:color="auto"/>
            </w:tcBorders>
            <w:shd w:val="clear" w:color="auto" w:fill="CCEEFF"/>
          </w:tcPr>
          <w:p>
            <w:pPr>
              <w:jc w:val="right"/>
              <w:ind w:right="37"/>
              <w:spacing w:after="0" w:line="99" w:lineRule="exact"/>
              <w:rPr>
                <w:sz w:val="20"/>
                <w:szCs w:val="20"/>
                <w:color w:val="auto"/>
              </w:rPr>
            </w:pPr>
            <w:r>
              <w:rPr>
                <w:rFonts w:ascii="Arial" w:cs="Arial" w:eastAsia="Arial" w:hAnsi="Arial"/>
                <w:sz w:val="9"/>
                <w:szCs w:val="9"/>
                <w:b w:val="1"/>
                <w:bCs w:val="1"/>
                <w:color w:val="auto"/>
              </w:rPr>
              <w:t>$—</w:t>
            </w:r>
          </w:p>
        </w:tc>
        <w:tc>
          <w:tcPr>
            <w:tcW w:w="120" w:type="dxa"/>
            <w:vAlign w:val="bottom"/>
            <w:tcBorders>
              <w:bottom w:val="single" w:sz="8" w:color="auto"/>
            </w:tcBorders>
            <w:gridSpan w:val="2"/>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20" w:type="dxa"/>
            <w:vAlign w:val="bottom"/>
            <w:tcBorders>
              <w:bottom w:val="single" w:sz="8" w:color="auto"/>
            </w:tcBorders>
            <w:shd w:val="clear" w:color="auto" w:fill="CCEEFF"/>
          </w:tcPr>
          <w:p>
            <w:pPr>
              <w:jc w:val="right"/>
              <w:ind w:right="37"/>
              <w:spacing w:after="0" w:line="99" w:lineRule="exact"/>
              <w:rPr>
                <w:sz w:val="20"/>
                <w:szCs w:val="20"/>
                <w:color w:val="auto"/>
              </w:rPr>
            </w:pPr>
            <w:r>
              <w:rPr>
                <w:rFonts w:ascii="Arial" w:cs="Arial" w:eastAsia="Arial" w:hAnsi="Arial"/>
                <w:sz w:val="9"/>
                <w:szCs w:val="9"/>
                <w:b w:val="1"/>
                <w:bCs w:val="1"/>
                <w:color w:val="auto"/>
              </w:rPr>
              <w:t>167</w:t>
            </w:r>
          </w:p>
        </w:tc>
        <w:tc>
          <w:tcPr>
            <w:tcW w:w="1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auto"/>
            </w:tcBorders>
            <w:shd w:val="clear" w:color="auto" w:fill="CCEEFF"/>
          </w:tcPr>
          <w:p>
            <w:pPr>
              <w:jc w:val="right"/>
              <w:ind w:right="37"/>
              <w:spacing w:after="0" w:line="99" w:lineRule="exact"/>
              <w:rPr>
                <w:sz w:val="20"/>
                <w:szCs w:val="20"/>
                <w:color w:val="auto"/>
              </w:rPr>
            </w:pPr>
            <w:r>
              <w:rPr>
                <w:rFonts w:ascii="Arial" w:cs="Arial" w:eastAsia="Arial" w:hAnsi="Arial"/>
                <w:sz w:val="9"/>
                <w:szCs w:val="9"/>
                <w:b w:val="1"/>
                <w:bCs w:val="1"/>
                <w:color w:val="auto"/>
              </w:rPr>
              <w:t>—</w:t>
            </w:r>
          </w:p>
        </w:tc>
        <w:tc>
          <w:tcPr>
            <w:tcW w:w="2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auto"/>
            </w:tcBorders>
            <w:shd w:val="clear" w:color="auto" w:fill="CCEEFF"/>
          </w:tcPr>
          <w:p>
            <w:pPr>
              <w:jc w:val="right"/>
              <w:ind w:right="77"/>
              <w:spacing w:after="0" w:line="99" w:lineRule="exact"/>
              <w:rPr>
                <w:sz w:val="20"/>
                <w:szCs w:val="20"/>
                <w:color w:val="auto"/>
              </w:rPr>
            </w:pPr>
            <w:r>
              <w:rPr>
                <w:rFonts w:ascii="Arial" w:cs="Arial" w:eastAsia="Arial" w:hAnsi="Arial"/>
                <w:sz w:val="9"/>
                <w:szCs w:val="9"/>
                <w:b w:val="1"/>
                <w:bCs w:val="1"/>
                <w:color w:val="auto"/>
                <w:w w:val="91"/>
              </w:rPr>
              <w:t>(7,896)</w:t>
            </w:r>
          </w:p>
        </w:tc>
        <w:tc>
          <w:tcPr>
            <w:tcW w:w="1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42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860" w:type="dxa"/>
            <w:vAlign w:val="bottom"/>
            <w:tcBorders>
              <w:bottom w:val="single" w:sz="8" w:color="auto"/>
            </w:tcBorders>
            <w:shd w:val="clear" w:color="auto" w:fill="CCEEFF"/>
          </w:tcPr>
          <w:p>
            <w:pPr>
              <w:jc w:val="right"/>
              <w:ind w:right="238"/>
              <w:spacing w:after="0" w:line="99" w:lineRule="exact"/>
              <w:rPr>
                <w:sz w:val="20"/>
                <w:szCs w:val="20"/>
                <w:color w:val="auto"/>
              </w:rPr>
            </w:pPr>
            <w:r>
              <w:rPr>
                <w:rFonts w:ascii="Arial" w:cs="Arial" w:eastAsia="Arial" w:hAnsi="Arial"/>
                <w:sz w:val="9"/>
                <w:szCs w:val="9"/>
                <w:b w:val="1"/>
                <w:bCs w:val="1"/>
                <w:color w:val="auto"/>
              </w:rPr>
              <w:t>$—</w:t>
            </w:r>
          </w:p>
        </w:tc>
        <w:tc>
          <w:tcPr>
            <w:tcW w:w="14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w:t>
            </w:r>
          </w:p>
        </w:tc>
        <w:tc>
          <w:tcPr>
            <w:tcW w:w="360" w:type="dxa"/>
            <w:vAlign w:val="bottom"/>
            <w:tcBorders>
              <w:bottom w:val="single" w:sz="8" w:color="auto"/>
            </w:tcBorders>
            <w:shd w:val="clear" w:color="auto" w:fill="CCEEFF"/>
          </w:tcPr>
          <w:p>
            <w:pPr>
              <w:jc w:val="right"/>
              <w:spacing w:after="0" w:line="99" w:lineRule="exact"/>
              <w:rPr>
                <w:sz w:val="20"/>
                <w:szCs w:val="20"/>
                <w:color w:val="auto"/>
              </w:rPr>
            </w:pPr>
            <w:r>
              <w:rPr>
                <w:rFonts w:ascii="Arial" w:cs="Arial" w:eastAsia="Arial" w:hAnsi="Arial"/>
                <w:sz w:val="9"/>
                <w:szCs w:val="9"/>
                <w:b w:val="1"/>
                <w:bCs w:val="1"/>
                <w:color w:val="auto"/>
              </w:rPr>
              <w:t>(7,727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80" w:type="dxa"/>
            <w:vAlign w:val="bottom"/>
          </w:tcPr>
          <w:p>
            <w:pPr>
              <w:spacing w:after="0"/>
              <w:rPr>
                <w:sz w:val="20"/>
                <w:szCs w:val="20"/>
                <w:color w:val="auto"/>
              </w:rPr>
            </w:pPr>
            <w:r>
              <w:rPr>
                <w:rFonts w:ascii="Arial" w:cs="Arial" w:eastAsia="Arial" w:hAnsi="Arial"/>
                <w:sz w:val="9"/>
                <w:szCs w:val="9"/>
                <w:b w:val="1"/>
                <w:bCs w:val="1"/>
                <w:color w:val="auto"/>
              </w:rPr>
              <w:t>Balance, June 21, 2019, Successor</w:t>
            </w:r>
          </w:p>
        </w:tc>
        <w:tc>
          <w:tcPr>
            <w:tcW w:w="540" w:type="dxa"/>
            <w:vAlign w:val="bottom"/>
            <w:gridSpan w:val="2"/>
          </w:tcPr>
          <w:p>
            <w:pPr>
              <w:jc w:val="right"/>
              <w:spacing w:after="0"/>
              <w:rPr>
                <w:sz w:val="20"/>
                <w:szCs w:val="20"/>
                <w:color w:val="auto"/>
              </w:rPr>
            </w:pPr>
            <w:r>
              <w:rPr>
                <w:rFonts w:ascii="Arial" w:cs="Arial" w:eastAsia="Arial" w:hAnsi="Arial"/>
                <w:sz w:val="9"/>
                <w:szCs w:val="9"/>
                <w:b w:val="1"/>
                <w:bCs w:val="1"/>
                <w:color w:val="auto"/>
              </w:rPr>
              <w:t>— $</w:t>
            </w:r>
          </w:p>
        </w:tc>
        <w:tc>
          <w:tcPr>
            <w:tcW w:w="28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520" w:type="dxa"/>
            <w:vAlign w:val="bottom"/>
          </w:tcPr>
          <w:p>
            <w:pPr>
              <w:ind w:left="360"/>
              <w:spacing w:after="0"/>
              <w:rPr>
                <w:sz w:val="20"/>
                <w:szCs w:val="20"/>
                <w:color w:val="auto"/>
              </w:rPr>
            </w:pPr>
            <w:r>
              <w:rPr>
                <w:rFonts w:ascii="Arial" w:cs="Arial" w:eastAsia="Arial" w:hAnsi="Arial"/>
                <w:sz w:val="9"/>
                <w:szCs w:val="9"/>
                <w:b w:val="1"/>
                <w:bCs w:val="1"/>
                <w:color w:val="auto"/>
                <w:w w:val="84"/>
              </w:rPr>
              <w:t>— $</w:t>
            </w:r>
          </w:p>
        </w:tc>
        <w:tc>
          <w:tcPr>
            <w:tcW w:w="30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500" w:type="dxa"/>
            <w:vAlign w:val="bottom"/>
          </w:tcPr>
          <w:p>
            <w:pPr>
              <w:ind w:left="360"/>
              <w:spacing w:after="0"/>
              <w:rPr>
                <w:sz w:val="20"/>
                <w:szCs w:val="20"/>
                <w:color w:val="auto"/>
              </w:rPr>
            </w:pPr>
            <w:r>
              <w:rPr>
                <w:rFonts w:ascii="Arial" w:cs="Arial" w:eastAsia="Arial" w:hAnsi="Arial"/>
                <w:sz w:val="9"/>
                <w:szCs w:val="9"/>
                <w:b w:val="1"/>
                <w:bCs w:val="1"/>
                <w:color w:val="auto"/>
                <w:w w:val="72"/>
              </w:rPr>
              <w:t>— $</w:t>
            </w: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8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tcPr>
          <w:p>
            <w:pPr>
              <w:jc w:val="right"/>
              <w:ind w:right="57"/>
              <w:spacing w:after="0"/>
              <w:rPr>
                <w:sz w:val="20"/>
                <w:szCs w:val="20"/>
                <w:color w:val="auto"/>
              </w:rPr>
            </w:pPr>
            <w:r>
              <w:rPr>
                <w:rFonts w:ascii="Arial" w:cs="Arial" w:eastAsia="Arial" w:hAnsi="Arial"/>
                <w:sz w:val="9"/>
                <w:szCs w:val="9"/>
                <w:b w:val="1"/>
                <w:bCs w:val="1"/>
                <w:color w:val="auto"/>
              </w:rPr>
              <w:t>$—</w:t>
            </w:r>
          </w:p>
        </w:tc>
        <w:tc>
          <w:tcPr>
            <w:tcW w:w="540" w:type="dxa"/>
            <w:vAlign w:val="bottom"/>
          </w:tcPr>
          <w:p>
            <w:pPr>
              <w:ind w:left="380"/>
              <w:spacing w:after="0"/>
              <w:rPr>
                <w:sz w:val="20"/>
                <w:szCs w:val="20"/>
                <w:color w:val="auto"/>
              </w:rPr>
            </w:pPr>
            <w:r>
              <w:rPr>
                <w:rFonts w:ascii="Arial" w:cs="Arial" w:eastAsia="Arial" w:hAnsi="Arial"/>
                <w:sz w:val="9"/>
                <w:szCs w:val="9"/>
                <w:b w:val="1"/>
                <w:bCs w:val="1"/>
                <w:color w:val="auto"/>
                <w:w w:val="84"/>
              </w:rPr>
              <w:t>— $</w:t>
            </w: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6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380" w:type="dxa"/>
            <w:vAlign w:val="bottom"/>
          </w:tcPr>
          <w:p>
            <w:pPr>
              <w:jc w:val="right"/>
              <w:ind w:right="37"/>
              <w:spacing w:after="0"/>
              <w:rPr>
                <w:sz w:val="20"/>
                <w:szCs w:val="20"/>
                <w:color w:val="auto"/>
              </w:rPr>
            </w:pPr>
            <w:r>
              <w:rPr>
                <w:rFonts w:ascii="Arial" w:cs="Arial" w:eastAsia="Arial" w:hAnsi="Arial"/>
                <w:sz w:val="9"/>
                <w:szCs w:val="9"/>
                <w:b w:val="1"/>
                <w:b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9"/>
                <w:szCs w:val="9"/>
                <w:b w:val="1"/>
                <w:bCs w:val="1"/>
                <w:color w:val="auto"/>
              </w:rPr>
              <w:t>$</w:t>
            </w:r>
          </w:p>
        </w:tc>
        <w:tc>
          <w:tcPr>
            <w:tcW w:w="420" w:type="dxa"/>
            <w:vAlign w:val="bottom"/>
          </w:tcPr>
          <w:p>
            <w:pPr>
              <w:jc w:val="right"/>
              <w:ind w:right="37"/>
              <w:spacing w:after="0"/>
              <w:rPr>
                <w:sz w:val="20"/>
                <w:szCs w:val="20"/>
                <w:color w:val="auto"/>
              </w:rPr>
            </w:pPr>
            <w:r>
              <w:rPr>
                <w:rFonts w:ascii="Arial" w:cs="Arial" w:eastAsia="Arial" w:hAnsi="Arial"/>
                <w:sz w:val="9"/>
                <w:szCs w:val="9"/>
                <w:b w:val="1"/>
                <w:bCs w:val="1"/>
                <w:color w:val="auto"/>
              </w:rPr>
              <w:t>—</w:t>
            </w:r>
          </w:p>
        </w:tc>
        <w:tc>
          <w:tcPr>
            <w:tcW w:w="14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tcPr>
          <w:p>
            <w:pPr>
              <w:jc w:val="right"/>
              <w:ind w:right="37"/>
              <w:spacing w:after="0"/>
              <w:rPr>
                <w:sz w:val="20"/>
                <w:szCs w:val="20"/>
                <w:color w:val="auto"/>
              </w:rPr>
            </w:pPr>
            <w:r>
              <w:rPr>
                <w:rFonts w:ascii="Arial" w:cs="Arial" w:eastAsia="Arial" w:hAnsi="Arial"/>
                <w:sz w:val="9"/>
                <w:szCs w:val="9"/>
                <w:b w:val="1"/>
                <w:bCs w:val="1"/>
                <w:color w:val="auto"/>
              </w:rPr>
              <w:t>—</w:t>
            </w:r>
          </w:p>
        </w:tc>
        <w:tc>
          <w:tcPr>
            <w:tcW w:w="24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tcPr>
          <w:p>
            <w:pPr>
              <w:jc w:val="right"/>
              <w:ind w:right="97"/>
              <w:spacing w:after="0"/>
              <w:rPr>
                <w:sz w:val="20"/>
                <w:szCs w:val="20"/>
                <w:color w:val="auto"/>
              </w:rPr>
            </w:pPr>
            <w:r>
              <w:rPr>
                <w:rFonts w:ascii="Arial" w:cs="Arial" w:eastAsia="Arial" w:hAnsi="Arial"/>
                <w:sz w:val="9"/>
                <w:szCs w:val="9"/>
                <w:b w:val="1"/>
                <w:bCs w:val="1"/>
                <w:color w:val="auto"/>
              </w:rPr>
              <w:t>—</w:t>
            </w:r>
          </w:p>
        </w:tc>
        <w:tc>
          <w:tcPr>
            <w:tcW w:w="14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2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860" w:type="dxa"/>
            <w:vAlign w:val="bottom"/>
          </w:tcPr>
          <w:p>
            <w:pPr>
              <w:jc w:val="right"/>
              <w:ind w:right="238"/>
              <w:spacing w:after="0"/>
              <w:rPr>
                <w:sz w:val="20"/>
                <w:szCs w:val="20"/>
                <w:color w:val="auto"/>
              </w:rPr>
            </w:pPr>
            <w:r>
              <w:rPr>
                <w:rFonts w:ascii="Arial" w:cs="Arial" w:eastAsia="Arial" w:hAnsi="Arial"/>
                <w:sz w:val="9"/>
                <w:szCs w:val="9"/>
                <w:b w:val="1"/>
                <w:bCs w:val="1"/>
                <w:color w:val="auto"/>
              </w:rPr>
              <w:t>$—</w:t>
            </w:r>
          </w:p>
        </w:tc>
        <w:tc>
          <w:tcPr>
            <w:tcW w:w="14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Issuance of common units for cash, net of</w:t>
            </w: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9"/>
                <w:szCs w:val="9"/>
                <w:b w:val="1"/>
                <w:bCs w:val="1"/>
                <w:color w:val="auto"/>
              </w:rPr>
              <w:t>74,839</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9"/>
                <w:szCs w:val="9"/>
                <w:color w:val="auto"/>
              </w:rPr>
              <w:t>equity issuance costs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9"/>
                <w:szCs w:val="9"/>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w w:val="97"/>
              </w:rPr>
              <w:t>26,143,790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98"/>
              </w:rPr>
              <w:t>144,839</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(70,000)</w:t>
            </w:r>
          </w:p>
        </w:tc>
        <w:tc>
          <w:tcPr>
            <w:tcW w:w="24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60" w:type="dxa"/>
            <w:vAlign w:val="bottom"/>
            <w:tcBorders>
              <w:bottom w:val="single" w:sz="8" w:color="CCEEFF"/>
            </w:tcBorders>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880" w:type="dxa"/>
            <w:vAlign w:val="bottom"/>
          </w:tcPr>
          <w:p>
            <w:pPr>
              <w:spacing w:after="0" w:line="73" w:lineRule="exact"/>
              <w:rPr>
                <w:sz w:val="20"/>
                <w:szCs w:val="20"/>
                <w:color w:val="auto"/>
              </w:rPr>
            </w:pPr>
            <w:r>
              <w:rPr>
                <w:rFonts w:ascii="Arial" w:cs="Arial" w:eastAsia="Arial" w:hAnsi="Arial"/>
                <w:sz w:val="8"/>
                <w:szCs w:val="8"/>
                <w:color w:val="auto"/>
              </w:rPr>
              <w:t>Issuance of common units for acquired assets,</w:t>
            </w: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vMerge w:val="restart"/>
          </w:tcPr>
          <w:p>
            <w:pPr>
              <w:jc w:val="right"/>
              <w:spacing w:after="0"/>
              <w:rPr>
                <w:sz w:val="20"/>
                <w:szCs w:val="20"/>
                <w:color w:val="auto"/>
              </w:rPr>
            </w:pPr>
            <w:r>
              <w:rPr>
                <w:rFonts w:ascii="Arial" w:cs="Arial" w:eastAsia="Arial" w:hAnsi="Arial"/>
                <w:sz w:val="9"/>
                <w:szCs w:val="9"/>
                <w:b w:val="1"/>
                <w:bCs w:val="1"/>
                <w:color w:val="auto"/>
              </w:rPr>
              <w:t>251,700</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880" w:type="dxa"/>
            <w:vAlign w:val="bottom"/>
          </w:tcPr>
          <w:p>
            <w:pPr>
              <w:ind w:left="60"/>
              <w:spacing w:after="0"/>
              <w:rPr>
                <w:sz w:val="20"/>
                <w:szCs w:val="20"/>
                <w:color w:val="auto"/>
              </w:rPr>
            </w:pPr>
            <w:r>
              <w:rPr>
                <w:rFonts w:ascii="Arial" w:cs="Arial" w:eastAsia="Arial" w:hAnsi="Arial"/>
                <w:sz w:val="9"/>
                <w:szCs w:val="9"/>
                <w:color w:val="auto"/>
              </w:rPr>
              <w:t>net of equity issuance costs</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ind w:left="360"/>
              <w:spacing w:after="0"/>
              <w:rPr>
                <w:sz w:val="20"/>
                <w:szCs w:val="20"/>
                <w:color w:val="auto"/>
              </w:rPr>
            </w:pPr>
            <w:r>
              <w:rPr>
                <w:rFonts w:ascii="Arial" w:cs="Arial" w:eastAsia="Arial" w:hAnsi="Arial"/>
                <w:sz w:val="9"/>
                <w:szCs w:val="9"/>
                <w:color w:val="auto"/>
              </w:rPr>
              <w:t>—</w:t>
            </w: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tcPr>
          <w:p>
            <w:pPr>
              <w:ind w:left="360"/>
              <w:spacing w:after="0"/>
              <w:rPr>
                <w:sz w:val="20"/>
                <w:szCs w:val="20"/>
                <w:color w:val="auto"/>
              </w:rPr>
            </w:pPr>
            <w:r>
              <w:rPr>
                <w:rFonts w:ascii="Arial" w:cs="Arial" w:eastAsia="Arial" w:hAnsi="Arial"/>
                <w:sz w:val="9"/>
                <w:szCs w:val="9"/>
                <w:color w:val="auto"/>
              </w:rPr>
              <w:t>—</w:t>
            </w:r>
          </w:p>
        </w:tc>
        <w:tc>
          <w:tcPr>
            <w:tcW w:w="3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tcPr>
          <w:p>
            <w:pPr>
              <w:jc w:val="right"/>
              <w:ind w:right="37"/>
              <w:spacing w:after="0"/>
              <w:rPr>
                <w:sz w:val="20"/>
                <w:szCs w:val="20"/>
                <w:color w:val="auto"/>
              </w:rPr>
            </w:pPr>
            <w:r>
              <w:rPr>
                <w:rFonts w:ascii="Arial" w:cs="Arial" w:eastAsia="Arial" w:hAnsi="Arial"/>
                <w:sz w:val="9"/>
                <w:szCs w:val="9"/>
                <w:color w:val="auto"/>
                <w:w w:val="97"/>
              </w:rPr>
              <w:t>67,226,891</w:t>
            </w:r>
          </w:p>
        </w:tc>
        <w:tc>
          <w:tcPr>
            <w:tcW w:w="360" w:type="dxa"/>
            <w:vAlign w:val="bottom"/>
          </w:tcPr>
          <w:p>
            <w:pPr>
              <w:jc w:val="right"/>
              <w:spacing w:after="0"/>
              <w:rPr>
                <w:sz w:val="20"/>
                <w:szCs w:val="20"/>
                <w:color w:val="auto"/>
              </w:rPr>
            </w:pPr>
            <w:r>
              <w:rPr>
                <w:rFonts w:ascii="Arial" w:cs="Arial" w:eastAsia="Arial" w:hAnsi="Arial"/>
                <w:sz w:val="9"/>
                <w:szCs w:val="9"/>
                <w:color w:val="auto"/>
                <w:w w:val="98"/>
              </w:rPr>
              <w:t>251,700</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0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400" w:type="dxa"/>
            <w:vAlign w:val="bottom"/>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9"/>
                <w:szCs w:val="9"/>
                <w:color w:val="auto"/>
              </w:rPr>
              <w:t>Cancellation of LLC Units (Note 2)</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95"/>
              </w:rPr>
              <w:t>(93,370,681) (396,539)</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95"/>
              </w:rPr>
              <w:t>(396,539</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880" w:type="dxa"/>
            <w:vAlign w:val="bottom"/>
          </w:tcPr>
          <w:p>
            <w:pPr>
              <w:spacing w:after="0"/>
              <w:rPr>
                <w:sz w:val="20"/>
                <w:szCs w:val="20"/>
                <w:color w:val="auto"/>
              </w:rPr>
            </w:pPr>
            <w:r>
              <w:rPr>
                <w:rFonts w:ascii="Arial" w:cs="Arial" w:eastAsia="Arial" w:hAnsi="Arial"/>
                <w:sz w:val="9"/>
                <w:szCs w:val="9"/>
                <w:color w:val="auto"/>
              </w:rPr>
              <w:t>Capital restructuring (Note 2)</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ind w:left="20"/>
              <w:spacing w:after="0"/>
              <w:rPr>
                <w:sz w:val="20"/>
                <w:szCs w:val="20"/>
                <w:color w:val="auto"/>
              </w:rPr>
            </w:pPr>
            <w:r>
              <w:rPr>
                <w:rFonts w:ascii="Arial" w:cs="Arial" w:eastAsia="Arial" w:hAnsi="Arial"/>
                <w:sz w:val="9"/>
                <w:szCs w:val="9"/>
                <w:color w:val="auto"/>
              </w:rPr>
              <w:t>35,000,000</w:t>
            </w:r>
          </w:p>
        </w:tc>
        <w:tc>
          <w:tcPr>
            <w:tcW w:w="300" w:type="dxa"/>
            <w:vAlign w:val="bottom"/>
          </w:tcPr>
          <w:p>
            <w:pPr>
              <w:jc w:val="right"/>
              <w:spacing w:after="0"/>
              <w:rPr>
                <w:sz w:val="20"/>
                <w:szCs w:val="20"/>
                <w:color w:val="auto"/>
              </w:rPr>
            </w:pPr>
            <w:r>
              <w:rPr>
                <w:rFonts w:ascii="Arial" w:cs="Arial" w:eastAsia="Arial" w:hAnsi="Arial"/>
                <w:sz w:val="9"/>
                <w:szCs w:val="9"/>
                <w:color w:val="auto"/>
                <w:w w:val="94"/>
              </w:rPr>
              <w:t>34,922</w:t>
            </w:r>
          </w:p>
        </w:tc>
        <w:tc>
          <w:tcPr>
            <w:tcW w:w="500" w:type="dxa"/>
            <w:vAlign w:val="bottom"/>
          </w:tcPr>
          <w:p>
            <w:pPr>
              <w:spacing w:after="0"/>
              <w:rPr>
                <w:sz w:val="20"/>
                <w:szCs w:val="20"/>
                <w:color w:val="auto"/>
              </w:rPr>
            </w:pPr>
            <w:r>
              <w:rPr>
                <w:rFonts w:ascii="Arial" w:cs="Arial" w:eastAsia="Arial" w:hAnsi="Arial"/>
                <w:sz w:val="9"/>
                <w:szCs w:val="9"/>
                <w:color w:val="auto"/>
              </w:rPr>
              <w:t>26,143,790</w:t>
            </w:r>
          </w:p>
        </w:tc>
        <w:tc>
          <w:tcPr>
            <w:tcW w:w="320" w:type="dxa"/>
            <w:vAlign w:val="bottom"/>
          </w:tcPr>
          <w:p>
            <w:pPr>
              <w:jc w:val="right"/>
              <w:spacing w:after="0"/>
              <w:rPr>
                <w:sz w:val="20"/>
                <w:szCs w:val="20"/>
                <w:color w:val="auto"/>
              </w:rPr>
            </w:pPr>
            <w:r>
              <w:rPr>
                <w:rFonts w:ascii="Arial" w:cs="Arial" w:eastAsia="Arial" w:hAnsi="Arial"/>
                <w:sz w:val="9"/>
                <w:szCs w:val="9"/>
                <w:color w:val="auto"/>
                <w:w w:val="92"/>
              </w:rPr>
              <w:t>144,839</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tcPr>
          <w:p>
            <w:pPr>
              <w:ind w:left="380"/>
              <w:spacing w:after="0"/>
              <w:rPr>
                <w:sz w:val="20"/>
                <w:szCs w:val="20"/>
                <w:color w:val="auto"/>
              </w:rPr>
            </w:pPr>
            <w:r>
              <w:rPr>
                <w:rFonts w:ascii="Arial" w:cs="Arial" w:eastAsia="Arial" w:hAnsi="Arial"/>
                <w:sz w:val="9"/>
                <w:szCs w:val="9"/>
                <w:color w:val="auto"/>
              </w:rPr>
              <w:t>—</w:t>
            </w:r>
          </w:p>
        </w:tc>
        <w:tc>
          <w:tcPr>
            <w:tcW w:w="820" w:type="dxa"/>
            <w:vAlign w:val="bottom"/>
            <w:gridSpan w:val="2"/>
          </w:tcPr>
          <w:p>
            <w:pPr>
              <w:jc w:val="right"/>
              <w:spacing w:after="0"/>
              <w:rPr>
                <w:sz w:val="20"/>
                <w:szCs w:val="20"/>
                <w:color w:val="auto"/>
              </w:rPr>
            </w:pPr>
            <w:r>
              <w:rPr>
                <w:rFonts w:ascii="Arial" w:cs="Arial" w:eastAsia="Arial" w:hAnsi="Arial"/>
                <w:sz w:val="9"/>
                <w:szCs w:val="9"/>
                <w:color w:val="auto"/>
              </w:rPr>
              <w:t>— 18,825,136</w:t>
            </w:r>
          </w:p>
        </w:tc>
        <w:tc>
          <w:tcPr>
            <w:tcW w:w="380" w:type="dxa"/>
            <w:vAlign w:val="bottom"/>
          </w:tcPr>
          <w:p>
            <w:pPr>
              <w:jc w:val="right"/>
              <w:ind w:right="37"/>
              <w:spacing w:after="0"/>
              <w:rPr>
                <w:sz w:val="20"/>
                <w:szCs w:val="20"/>
                <w:color w:val="auto"/>
              </w:rPr>
            </w:pPr>
            <w:r>
              <w:rPr>
                <w:rFonts w:ascii="Arial" w:cs="Arial" w:eastAsia="Arial" w:hAnsi="Arial"/>
                <w:sz w:val="9"/>
                <w:szCs w:val="9"/>
                <w:color w:val="auto"/>
              </w:rPr>
              <w:t>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37"/>
              <w:spacing w:after="0"/>
              <w:rPr>
                <w:sz w:val="20"/>
                <w:szCs w:val="20"/>
                <w:color w:val="auto"/>
              </w:rPr>
            </w:pPr>
            <w:r>
              <w:rPr>
                <w:rFonts w:ascii="Arial" w:cs="Arial" w:eastAsia="Arial" w:hAnsi="Arial"/>
                <w:sz w:val="9"/>
                <w:szCs w:val="9"/>
                <w:color w:val="auto"/>
                <w:w w:val="98"/>
              </w:rPr>
              <w:t>216,776</w:t>
            </w:r>
          </w:p>
        </w:tc>
        <w:tc>
          <w:tcPr>
            <w:tcW w:w="140" w:type="dxa"/>
            <w:vAlign w:val="bottom"/>
          </w:tcPr>
          <w:p>
            <w:pPr>
              <w:spacing w:after="0"/>
              <w:rPr>
                <w:sz w:val="9"/>
                <w:szCs w:val="9"/>
                <w:color w:val="auto"/>
              </w:rPr>
            </w:pPr>
          </w:p>
        </w:tc>
        <w:tc>
          <w:tcPr>
            <w:tcW w:w="40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400" w:type="dxa"/>
            <w:vAlign w:val="bottom"/>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rPr>
              <w:t>216,778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9"/>
                <w:szCs w:val="9"/>
                <w:color w:val="auto"/>
              </w:rPr>
              <w:t>Unrealized loss on short-term investments</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38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218"/>
              <w:spacing w:after="0"/>
              <w:rPr>
                <w:sz w:val="20"/>
                <w:szCs w:val="20"/>
                <w:color w:val="auto"/>
              </w:rPr>
            </w:pPr>
            <w:r>
              <w:rPr>
                <w:rFonts w:ascii="Arial" w:cs="Arial" w:eastAsia="Arial" w:hAnsi="Arial"/>
                <w:sz w:val="9"/>
                <w:szCs w:val="9"/>
                <w:color w:val="auto"/>
              </w:rPr>
              <w:t>(3)</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880" w:type="dxa"/>
            <w:vAlign w:val="bottom"/>
          </w:tcPr>
          <w:p>
            <w:pPr>
              <w:spacing w:after="0"/>
              <w:rPr>
                <w:sz w:val="20"/>
                <w:szCs w:val="20"/>
                <w:color w:val="auto"/>
              </w:rPr>
            </w:pPr>
            <w:r>
              <w:rPr>
                <w:rFonts w:ascii="Arial" w:cs="Arial" w:eastAsia="Arial" w:hAnsi="Arial"/>
                <w:sz w:val="9"/>
                <w:szCs w:val="9"/>
                <w:color w:val="auto"/>
              </w:rPr>
              <w:t>Stock based compensation</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ind w:left="360"/>
              <w:spacing w:after="0"/>
              <w:rPr>
                <w:sz w:val="20"/>
                <w:szCs w:val="20"/>
                <w:color w:val="auto"/>
              </w:rPr>
            </w:pPr>
            <w:r>
              <w:rPr>
                <w:rFonts w:ascii="Arial" w:cs="Arial" w:eastAsia="Arial" w:hAnsi="Arial"/>
                <w:sz w:val="9"/>
                <w:szCs w:val="9"/>
                <w:color w:val="auto"/>
              </w:rPr>
              <w:t>—</w:t>
            </w: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tcPr>
          <w:p>
            <w:pPr>
              <w:ind w:left="360"/>
              <w:spacing w:after="0"/>
              <w:rPr>
                <w:sz w:val="20"/>
                <w:szCs w:val="20"/>
                <w:color w:val="auto"/>
              </w:rPr>
            </w:pPr>
            <w:r>
              <w:rPr>
                <w:rFonts w:ascii="Arial" w:cs="Arial" w:eastAsia="Arial" w:hAnsi="Arial"/>
                <w:sz w:val="9"/>
                <w:szCs w:val="9"/>
                <w:color w:val="auto"/>
              </w:rPr>
              <w:t>—</w:t>
            </w:r>
          </w:p>
        </w:tc>
        <w:tc>
          <w:tcPr>
            <w:tcW w:w="3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tcPr>
          <w:p>
            <w:pPr>
              <w:ind w:left="380"/>
              <w:spacing w:after="0"/>
              <w:rPr>
                <w:sz w:val="20"/>
                <w:szCs w:val="20"/>
                <w:color w:val="auto"/>
              </w:rPr>
            </w:pPr>
            <w:r>
              <w:rPr>
                <w:rFonts w:ascii="Arial" w:cs="Arial" w:eastAsia="Arial" w:hAnsi="Arial"/>
                <w:sz w:val="9"/>
                <w:szCs w:val="9"/>
                <w:color w:val="auto"/>
              </w:rPr>
              <w:t>—</w:t>
            </w: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37"/>
              <w:spacing w:after="0"/>
              <w:rPr>
                <w:sz w:val="20"/>
                <w:szCs w:val="20"/>
                <w:color w:val="auto"/>
              </w:rPr>
            </w:pPr>
            <w:r>
              <w:rPr>
                <w:rFonts w:ascii="Arial" w:cs="Arial" w:eastAsia="Arial" w:hAnsi="Arial"/>
                <w:sz w:val="9"/>
                <w:szCs w:val="9"/>
                <w:color w:val="auto"/>
              </w:rPr>
              <w:t>133</w:t>
            </w:r>
          </w:p>
        </w:tc>
        <w:tc>
          <w:tcPr>
            <w:tcW w:w="140" w:type="dxa"/>
            <w:vAlign w:val="bottom"/>
          </w:tcPr>
          <w:p>
            <w:pPr>
              <w:spacing w:after="0"/>
              <w:rPr>
                <w:sz w:val="9"/>
                <w:szCs w:val="9"/>
                <w:color w:val="auto"/>
              </w:rPr>
            </w:pPr>
          </w:p>
        </w:tc>
        <w:tc>
          <w:tcPr>
            <w:tcW w:w="40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400" w:type="dxa"/>
            <w:vAlign w:val="bottom"/>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rPr>
              <w:t>133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9"/>
                <w:szCs w:val="9"/>
                <w:color w:val="auto"/>
              </w:rPr>
              <w:t>Net loss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9"/>
                <w:szCs w:val="9"/>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9"/>
                <w:szCs w:val="9"/>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98"/>
              </w:rPr>
              <w:t>(238,767)</w:t>
            </w:r>
          </w:p>
        </w:tc>
        <w:tc>
          <w:tcPr>
            <w:tcW w:w="86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95"/>
              </w:rPr>
              <w:t>(238,767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80" w:type="dxa"/>
            <w:vAlign w:val="bottom"/>
          </w:tcPr>
          <w:p>
            <w:pPr>
              <w:spacing w:after="0"/>
              <w:rPr>
                <w:sz w:val="20"/>
                <w:szCs w:val="20"/>
                <w:color w:val="auto"/>
              </w:rPr>
            </w:pPr>
            <w:r>
              <w:rPr>
                <w:rFonts w:ascii="Arial" w:cs="Arial" w:eastAsia="Arial" w:hAnsi="Arial"/>
                <w:sz w:val="9"/>
                <w:szCs w:val="9"/>
                <w:b w:val="1"/>
                <w:bCs w:val="1"/>
                <w:color w:val="auto"/>
              </w:rPr>
              <w:t>Balance, December 31, 2019</w:t>
            </w:r>
          </w:p>
        </w:tc>
        <w:tc>
          <w:tcPr>
            <w:tcW w:w="46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35,000,000</w:t>
            </w:r>
          </w:p>
        </w:tc>
        <w:tc>
          <w:tcPr>
            <w:tcW w:w="300" w:type="dxa"/>
            <w:vAlign w:val="bottom"/>
          </w:tcPr>
          <w:p>
            <w:pPr>
              <w:jc w:val="right"/>
              <w:spacing w:after="0"/>
              <w:rPr>
                <w:sz w:val="20"/>
                <w:szCs w:val="20"/>
                <w:color w:val="auto"/>
              </w:rPr>
            </w:pPr>
            <w:r>
              <w:rPr>
                <w:rFonts w:ascii="Arial" w:cs="Arial" w:eastAsia="Arial" w:hAnsi="Arial"/>
                <w:sz w:val="9"/>
                <w:szCs w:val="9"/>
                <w:b w:val="1"/>
                <w:bCs w:val="1"/>
                <w:color w:val="auto"/>
                <w:w w:val="94"/>
              </w:rPr>
              <w:t>34,922</w:t>
            </w:r>
          </w:p>
        </w:tc>
        <w:tc>
          <w:tcPr>
            <w:tcW w:w="500" w:type="dxa"/>
            <w:vAlign w:val="bottom"/>
          </w:tcPr>
          <w:p>
            <w:pPr>
              <w:spacing w:after="0"/>
              <w:rPr>
                <w:sz w:val="20"/>
                <w:szCs w:val="20"/>
                <w:color w:val="auto"/>
              </w:rPr>
            </w:pPr>
            <w:r>
              <w:rPr>
                <w:rFonts w:ascii="Arial" w:cs="Arial" w:eastAsia="Arial" w:hAnsi="Arial"/>
                <w:sz w:val="9"/>
                <w:szCs w:val="9"/>
                <w:b w:val="1"/>
                <w:bCs w:val="1"/>
                <w:color w:val="auto"/>
              </w:rPr>
              <w:t>26,143,790</w:t>
            </w: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w w:val="92"/>
              </w:rPr>
              <w:t>144,839</w:t>
            </w:r>
          </w:p>
        </w:tc>
        <w:tc>
          <w:tcPr>
            <w:tcW w:w="48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tcPr>
          <w:p>
            <w:pPr>
              <w:jc w:val="right"/>
              <w:ind w:right="57"/>
              <w:spacing w:after="0"/>
              <w:rPr>
                <w:sz w:val="20"/>
                <w:szCs w:val="20"/>
                <w:color w:val="auto"/>
              </w:rPr>
            </w:pPr>
            <w:r>
              <w:rPr>
                <w:rFonts w:ascii="Arial" w:cs="Arial" w:eastAsia="Arial" w:hAnsi="Arial"/>
                <w:sz w:val="9"/>
                <w:szCs w:val="9"/>
                <w:b w:val="1"/>
                <w:bCs w:val="1"/>
                <w:color w:val="auto"/>
              </w:rPr>
              <w:t>—</w:t>
            </w:r>
          </w:p>
        </w:tc>
        <w:tc>
          <w:tcPr>
            <w:tcW w:w="540" w:type="dxa"/>
            <w:vAlign w:val="bottom"/>
          </w:tcPr>
          <w:p>
            <w:pPr>
              <w:ind w:left="380"/>
              <w:spacing w:after="0"/>
              <w:rPr>
                <w:sz w:val="20"/>
                <w:szCs w:val="20"/>
                <w:color w:val="auto"/>
              </w:rPr>
            </w:pPr>
            <w:r>
              <w:rPr>
                <w:rFonts w:ascii="Arial" w:cs="Arial" w:eastAsia="Arial" w:hAnsi="Arial"/>
                <w:sz w:val="9"/>
                <w:szCs w:val="9"/>
                <w:b w:val="1"/>
                <w:bCs w:val="1"/>
                <w:color w:val="auto"/>
              </w:rPr>
              <w:t>—</w:t>
            </w:r>
          </w:p>
        </w:tc>
        <w:tc>
          <w:tcPr>
            <w:tcW w:w="820" w:type="dxa"/>
            <w:vAlign w:val="bottom"/>
            <w:gridSpan w:val="2"/>
          </w:tcPr>
          <w:p>
            <w:pPr>
              <w:jc w:val="right"/>
              <w:spacing w:after="0"/>
              <w:rPr>
                <w:sz w:val="20"/>
                <w:szCs w:val="20"/>
                <w:color w:val="auto"/>
              </w:rPr>
            </w:pPr>
            <w:r>
              <w:rPr>
                <w:rFonts w:ascii="Arial" w:cs="Arial" w:eastAsia="Arial" w:hAnsi="Arial"/>
                <w:sz w:val="9"/>
                <w:szCs w:val="9"/>
                <w:b w:val="1"/>
                <w:bCs w:val="1"/>
                <w:color w:val="auto"/>
              </w:rPr>
              <w:t>— 18,825,136</w:t>
            </w:r>
          </w:p>
        </w:tc>
        <w:tc>
          <w:tcPr>
            <w:tcW w:w="380" w:type="dxa"/>
            <w:vAlign w:val="bottom"/>
          </w:tcPr>
          <w:p>
            <w:pPr>
              <w:jc w:val="right"/>
              <w:ind w:right="37"/>
              <w:spacing w:after="0"/>
              <w:rPr>
                <w:sz w:val="20"/>
                <w:szCs w:val="20"/>
                <w:color w:val="auto"/>
              </w:rPr>
            </w:pPr>
            <w:r>
              <w:rPr>
                <w:rFonts w:ascii="Arial" w:cs="Arial" w:eastAsia="Arial" w:hAnsi="Arial"/>
                <w:sz w:val="9"/>
                <w:szCs w:val="9"/>
                <w:b w:val="1"/>
                <w:bCs w:val="1"/>
                <w:color w:val="auto"/>
              </w:rPr>
              <w:t>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37"/>
              <w:spacing w:after="0"/>
              <w:rPr>
                <w:sz w:val="20"/>
                <w:szCs w:val="20"/>
                <w:color w:val="auto"/>
              </w:rPr>
            </w:pPr>
            <w:r>
              <w:rPr>
                <w:rFonts w:ascii="Arial" w:cs="Arial" w:eastAsia="Arial" w:hAnsi="Arial"/>
                <w:sz w:val="9"/>
                <w:szCs w:val="9"/>
                <w:b w:val="1"/>
                <w:bCs w:val="1"/>
                <w:color w:val="auto"/>
                <w:w w:val="98"/>
              </w:rPr>
              <w:t>216,909</w:t>
            </w:r>
          </w:p>
        </w:tc>
        <w:tc>
          <w:tcPr>
            <w:tcW w:w="14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Arial" w:cs="Arial" w:eastAsia="Arial" w:hAnsi="Arial"/>
                <w:sz w:val="9"/>
                <w:szCs w:val="9"/>
                <w:b w:val="1"/>
                <w:bCs w:val="1"/>
                <w:color w:val="auto"/>
              </w:rPr>
              <w:t>(70,000)</w:t>
            </w:r>
          </w:p>
        </w:tc>
        <w:tc>
          <w:tcPr>
            <w:tcW w:w="240" w:type="dxa"/>
            <w:vAlign w:val="bottom"/>
          </w:tcPr>
          <w:p>
            <w:pPr>
              <w:spacing w:after="0"/>
              <w:rPr>
                <w:sz w:val="9"/>
                <w:szCs w:val="9"/>
                <w:color w:val="auto"/>
              </w:rPr>
            </w:pPr>
          </w:p>
        </w:tc>
        <w:tc>
          <w:tcPr>
            <w:tcW w:w="400" w:type="dxa"/>
            <w:vAlign w:val="bottom"/>
          </w:tcPr>
          <w:p>
            <w:pPr>
              <w:jc w:val="right"/>
              <w:ind w:right="97"/>
              <w:spacing w:after="0"/>
              <w:rPr>
                <w:sz w:val="20"/>
                <w:szCs w:val="20"/>
                <w:color w:val="auto"/>
              </w:rPr>
            </w:pPr>
            <w:r>
              <w:rPr>
                <w:rFonts w:ascii="Arial" w:cs="Arial" w:eastAsia="Arial" w:hAnsi="Arial"/>
                <w:sz w:val="9"/>
                <w:szCs w:val="9"/>
                <w:b w:val="1"/>
                <w:bCs w:val="1"/>
                <w:color w:val="auto"/>
              </w:rPr>
              <w:t>—</w:t>
            </w: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b w:val="1"/>
                <w:bCs w:val="1"/>
                <w:color w:val="auto"/>
                <w:w w:val="98"/>
              </w:rPr>
              <w:t>(238,767)</w:t>
            </w:r>
          </w:p>
        </w:tc>
        <w:tc>
          <w:tcPr>
            <w:tcW w:w="860" w:type="dxa"/>
            <w:vAlign w:val="bottom"/>
          </w:tcPr>
          <w:p>
            <w:pPr>
              <w:jc w:val="right"/>
              <w:ind w:right="218"/>
              <w:spacing w:after="0"/>
              <w:rPr>
                <w:sz w:val="20"/>
                <w:szCs w:val="20"/>
                <w:color w:val="auto"/>
              </w:rPr>
            </w:pPr>
            <w:r>
              <w:rPr>
                <w:rFonts w:ascii="Arial" w:cs="Arial" w:eastAsia="Arial" w:hAnsi="Arial"/>
                <w:sz w:val="9"/>
                <w:szCs w:val="9"/>
                <w:b w:val="1"/>
                <w:bCs w:val="1"/>
                <w:color w:val="auto"/>
              </w:rPr>
              <w:t>(3)</w:t>
            </w:r>
          </w:p>
        </w:tc>
        <w:tc>
          <w:tcPr>
            <w:tcW w:w="1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rPr>
              <w:t>(91,859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9"/>
                <w:szCs w:val="9"/>
                <w:color w:val="auto"/>
              </w:rPr>
              <w:t>Receipt of subscription receivable</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38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38,100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38,100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880" w:type="dxa"/>
            <w:vAlign w:val="bottom"/>
          </w:tcPr>
          <w:p>
            <w:pPr>
              <w:spacing w:after="0"/>
              <w:rPr>
                <w:sz w:val="20"/>
                <w:szCs w:val="20"/>
                <w:color w:val="auto"/>
              </w:rPr>
            </w:pPr>
            <w:r>
              <w:rPr>
                <w:rFonts w:ascii="Arial" w:cs="Arial" w:eastAsia="Arial" w:hAnsi="Arial"/>
                <w:sz w:val="9"/>
                <w:szCs w:val="9"/>
                <w:color w:val="auto"/>
              </w:rPr>
              <w:t>Unrealized gain on short-term investments</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ind w:left="360"/>
              <w:spacing w:after="0"/>
              <w:rPr>
                <w:sz w:val="20"/>
                <w:szCs w:val="20"/>
                <w:color w:val="auto"/>
              </w:rPr>
            </w:pPr>
            <w:r>
              <w:rPr>
                <w:rFonts w:ascii="Arial" w:cs="Arial" w:eastAsia="Arial" w:hAnsi="Arial"/>
                <w:sz w:val="9"/>
                <w:szCs w:val="9"/>
                <w:color w:val="auto"/>
              </w:rPr>
              <w:t>—</w:t>
            </w: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tcPr>
          <w:p>
            <w:pPr>
              <w:ind w:left="360"/>
              <w:spacing w:after="0"/>
              <w:rPr>
                <w:sz w:val="20"/>
                <w:szCs w:val="20"/>
                <w:color w:val="auto"/>
              </w:rPr>
            </w:pPr>
            <w:r>
              <w:rPr>
                <w:rFonts w:ascii="Arial" w:cs="Arial" w:eastAsia="Arial" w:hAnsi="Arial"/>
                <w:sz w:val="9"/>
                <w:szCs w:val="9"/>
                <w:color w:val="auto"/>
              </w:rPr>
              <w:t>—</w:t>
            </w:r>
          </w:p>
        </w:tc>
        <w:tc>
          <w:tcPr>
            <w:tcW w:w="3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tcPr>
          <w:p>
            <w:pPr>
              <w:ind w:left="380"/>
              <w:spacing w:after="0"/>
              <w:rPr>
                <w:sz w:val="20"/>
                <w:szCs w:val="20"/>
                <w:color w:val="auto"/>
              </w:rPr>
            </w:pPr>
            <w:r>
              <w:rPr>
                <w:rFonts w:ascii="Arial" w:cs="Arial" w:eastAsia="Arial" w:hAnsi="Arial"/>
                <w:sz w:val="9"/>
                <w:szCs w:val="9"/>
                <w:color w:val="auto"/>
              </w:rPr>
              <w:t>—</w:t>
            </w: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0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400" w:type="dxa"/>
            <w:vAlign w:val="bottom"/>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38"/>
              <w:spacing w:after="0"/>
              <w:rPr>
                <w:sz w:val="20"/>
                <w:szCs w:val="20"/>
                <w:color w:val="auto"/>
              </w:rPr>
            </w:pPr>
            <w:r>
              <w:rPr>
                <w:rFonts w:ascii="Arial" w:cs="Arial" w:eastAsia="Arial" w:hAnsi="Arial"/>
                <w:sz w:val="9"/>
                <w:szCs w:val="9"/>
                <w:color w:val="auto"/>
              </w:rPr>
              <w:t>8</w:t>
            </w:r>
          </w:p>
        </w:tc>
        <w:tc>
          <w:tcPr>
            <w:tcW w:w="1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rPr>
              <w:t>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9"/>
                <w:szCs w:val="9"/>
                <w:color w:val="auto"/>
              </w:rPr>
              <w:t>Warrants on long term debt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38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46</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46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880" w:type="dxa"/>
            <w:vAlign w:val="bottom"/>
          </w:tcPr>
          <w:p>
            <w:pPr>
              <w:spacing w:after="0"/>
              <w:rPr>
                <w:sz w:val="20"/>
                <w:szCs w:val="20"/>
                <w:color w:val="auto"/>
              </w:rPr>
            </w:pPr>
            <w:r>
              <w:rPr>
                <w:rFonts w:ascii="Arial" w:cs="Arial" w:eastAsia="Arial" w:hAnsi="Arial"/>
                <w:sz w:val="9"/>
                <w:szCs w:val="9"/>
                <w:color w:val="auto"/>
              </w:rPr>
              <w:t>Foreign currency translation</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Arial" w:cs="Arial" w:eastAsia="Arial" w:hAnsi="Arial"/>
                <w:sz w:val="9"/>
                <w:szCs w:val="9"/>
                <w:color w:val="auto"/>
              </w:rPr>
              <w:t>—</w:t>
            </w:r>
          </w:p>
        </w:tc>
        <w:tc>
          <w:tcPr>
            <w:tcW w:w="520" w:type="dxa"/>
            <w:vAlign w:val="bottom"/>
          </w:tcPr>
          <w:p>
            <w:pPr>
              <w:ind w:left="360"/>
              <w:spacing w:after="0"/>
              <w:rPr>
                <w:sz w:val="20"/>
                <w:szCs w:val="20"/>
                <w:color w:val="auto"/>
              </w:rPr>
            </w:pPr>
            <w:r>
              <w:rPr>
                <w:rFonts w:ascii="Arial" w:cs="Arial" w:eastAsia="Arial" w:hAnsi="Arial"/>
                <w:sz w:val="9"/>
                <w:szCs w:val="9"/>
                <w:color w:val="auto"/>
              </w:rPr>
              <w:t>—</w:t>
            </w:r>
          </w:p>
        </w:tc>
        <w:tc>
          <w:tcPr>
            <w:tcW w:w="30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tcPr>
          <w:p>
            <w:pPr>
              <w:ind w:left="360"/>
              <w:spacing w:after="0"/>
              <w:rPr>
                <w:sz w:val="20"/>
                <w:szCs w:val="20"/>
                <w:color w:val="auto"/>
              </w:rPr>
            </w:pPr>
            <w:r>
              <w:rPr>
                <w:rFonts w:ascii="Arial" w:cs="Arial" w:eastAsia="Arial" w:hAnsi="Arial"/>
                <w:sz w:val="9"/>
                <w:szCs w:val="9"/>
                <w:color w:val="auto"/>
              </w:rPr>
              <w:t>—</w:t>
            </w:r>
          </w:p>
        </w:tc>
        <w:tc>
          <w:tcPr>
            <w:tcW w:w="320" w:type="dxa"/>
            <w:vAlign w:val="bottom"/>
          </w:tcPr>
          <w:p>
            <w:pPr>
              <w:jc w:val="right"/>
              <w:spacing w:after="0"/>
              <w:rPr>
                <w:sz w:val="20"/>
                <w:szCs w:val="20"/>
                <w:color w:val="auto"/>
              </w:rPr>
            </w:pPr>
            <w:r>
              <w:rPr>
                <w:rFonts w:ascii="Arial" w:cs="Arial" w:eastAsia="Arial" w:hAnsi="Arial"/>
                <w:sz w:val="9"/>
                <w:szCs w:val="9"/>
                <w:color w:val="auto"/>
              </w:rPr>
              <w:t>—</w:t>
            </w:r>
          </w:p>
        </w:tc>
        <w:tc>
          <w:tcPr>
            <w:tcW w:w="480" w:type="dxa"/>
            <w:vAlign w:val="bottom"/>
          </w:tcPr>
          <w:p>
            <w:pPr>
              <w:jc w:val="right"/>
              <w:spacing w:after="0"/>
              <w:rPr>
                <w:sz w:val="20"/>
                <w:szCs w:val="20"/>
                <w:color w:val="auto"/>
              </w:rPr>
            </w:pPr>
            <w:r>
              <w:rPr>
                <w:rFonts w:ascii="Arial" w:cs="Arial" w:eastAsia="Arial" w:hAnsi="Arial"/>
                <w:sz w:val="9"/>
                <w:szCs w:val="9"/>
                <w:color w:val="auto"/>
              </w:rPr>
              <w:t>—</w:t>
            </w:r>
          </w:p>
        </w:tc>
        <w:tc>
          <w:tcPr>
            <w:tcW w:w="400" w:type="dxa"/>
            <w:vAlign w:val="bottom"/>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tcPr>
          <w:p>
            <w:pPr>
              <w:ind w:left="380"/>
              <w:spacing w:after="0"/>
              <w:rPr>
                <w:sz w:val="20"/>
                <w:szCs w:val="20"/>
                <w:color w:val="auto"/>
              </w:rPr>
            </w:pPr>
            <w:r>
              <w:rPr>
                <w:rFonts w:ascii="Arial" w:cs="Arial" w:eastAsia="Arial" w:hAnsi="Arial"/>
                <w:sz w:val="9"/>
                <w:szCs w:val="9"/>
                <w:color w:val="auto"/>
              </w:rPr>
              <w:t>—</w:t>
            </w: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460" w:type="dxa"/>
            <w:vAlign w:val="bottom"/>
          </w:tcPr>
          <w:p>
            <w:pPr>
              <w:jc w:val="right"/>
              <w:spacing w:after="0"/>
              <w:rPr>
                <w:sz w:val="20"/>
                <w:szCs w:val="20"/>
                <w:color w:val="auto"/>
              </w:rPr>
            </w:pPr>
            <w:r>
              <w:rPr>
                <w:rFonts w:ascii="Arial" w:cs="Arial" w:eastAsia="Arial" w:hAnsi="Arial"/>
                <w:sz w:val="9"/>
                <w:szCs w:val="9"/>
                <w:color w:val="auto"/>
              </w:rPr>
              <w:t>—</w:t>
            </w:r>
          </w:p>
        </w:tc>
        <w:tc>
          <w:tcPr>
            <w:tcW w:w="38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00" w:type="dxa"/>
            <w:vAlign w:val="bottom"/>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400" w:type="dxa"/>
            <w:vAlign w:val="bottom"/>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18"/>
              <w:spacing w:after="0"/>
              <w:rPr>
                <w:sz w:val="20"/>
                <w:szCs w:val="20"/>
                <w:color w:val="auto"/>
              </w:rPr>
            </w:pPr>
            <w:r>
              <w:rPr>
                <w:rFonts w:ascii="Arial" w:cs="Arial" w:eastAsia="Arial" w:hAnsi="Arial"/>
                <w:sz w:val="9"/>
                <w:szCs w:val="9"/>
                <w:color w:val="auto"/>
              </w:rPr>
              <w:t>(8)</w:t>
            </w:r>
          </w:p>
        </w:tc>
        <w:tc>
          <w:tcPr>
            <w:tcW w:w="1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b w:val="1"/>
                <w:bCs w:val="1"/>
                <w:color w:val="auto"/>
              </w:rPr>
              <w:t>(8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9"/>
                <w:szCs w:val="9"/>
                <w:color w:val="auto"/>
              </w:rPr>
              <w:t>Stock based compensation</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2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ind w:left="38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876</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876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Borders>
              <w:bottom w:val="single" w:sz="8" w:color="CCEEFF"/>
            </w:tcBorders>
          </w:tcPr>
          <w:p>
            <w:pPr>
              <w:spacing w:after="0"/>
              <w:rPr>
                <w:sz w:val="20"/>
                <w:szCs w:val="20"/>
                <w:color w:val="auto"/>
              </w:rPr>
            </w:pPr>
            <w:r>
              <w:rPr>
                <w:rFonts w:ascii="Arial" w:cs="Arial" w:eastAsia="Arial" w:hAnsi="Arial"/>
                <w:sz w:val="9"/>
                <w:szCs w:val="9"/>
                <w:color w:val="auto"/>
              </w:rPr>
              <w:t>Net loss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auto"/>
            </w:tcBorders>
          </w:tcPr>
          <w:p>
            <w:pPr>
              <w:ind w:left="360"/>
              <w:spacing w:after="0"/>
              <w:rPr>
                <w:sz w:val="20"/>
                <w:szCs w:val="20"/>
                <w:color w:val="auto"/>
              </w:rPr>
            </w:pPr>
            <w:r>
              <w:rPr>
                <w:rFonts w:ascii="Arial" w:cs="Arial" w:eastAsia="Arial" w:hAnsi="Arial"/>
                <w:sz w:val="9"/>
                <w:szCs w:val="9"/>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auto"/>
            </w:tcBorders>
          </w:tcPr>
          <w:p>
            <w:pPr>
              <w:ind w:left="360"/>
              <w:spacing w:after="0"/>
              <w:rPr>
                <w:sz w:val="20"/>
                <w:szCs w:val="20"/>
                <w:color w:val="auto"/>
              </w:rPr>
            </w:pPr>
            <w:r>
              <w:rPr>
                <w:rFonts w:ascii="Arial" w:cs="Arial" w:eastAsia="Arial" w:hAnsi="Arial"/>
                <w:sz w:val="9"/>
                <w:szCs w:val="9"/>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00" w:type="dxa"/>
            <w:vAlign w:val="bottom"/>
            <w:tcBorders>
              <w:bottom w:val="single" w:sz="8" w:color="auto"/>
            </w:tcBorders>
          </w:tcPr>
          <w:p>
            <w:pPr>
              <w:jc w:val="right"/>
              <w:ind w:right="57"/>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9"/>
                <w:szCs w:val="9"/>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color w:val="auto"/>
              </w:rPr>
              <w:t>—</w:t>
            </w: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9"/>
                <w:szCs w:val="9"/>
                <w:color w:val="auto"/>
              </w:rPr>
              <w:t>—</w:t>
            </w:r>
          </w:p>
        </w:tc>
        <w:tc>
          <w:tcPr>
            <w:tcW w:w="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97"/>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(53,575)</w:t>
            </w:r>
          </w:p>
        </w:tc>
        <w:tc>
          <w:tcPr>
            <w:tcW w:w="860" w:type="dxa"/>
            <w:vAlign w:val="bottom"/>
            <w:tcBorders>
              <w:bottom w:val="single" w:sz="8" w:color="auto"/>
            </w:tcBorders>
          </w:tcPr>
          <w:p>
            <w:pPr>
              <w:jc w:val="right"/>
              <w:ind w:right="238"/>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(53,575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80" w:type="dxa"/>
            <w:vAlign w:val="bottom"/>
            <w:tcBorders>
              <w:bottom w:val="single" w:sz="8" w:color="CCEEFF"/>
            </w:tcBorders>
            <w:shd w:val="clear" w:color="auto" w:fill="CCEEFF"/>
          </w:tcPr>
          <w:p>
            <w:pPr>
              <w:spacing w:after="0" w:line="94" w:lineRule="exact"/>
              <w:rPr>
                <w:sz w:val="20"/>
                <w:szCs w:val="20"/>
                <w:color w:val="auto"/>
              </w:rPr>
            </w:pPr>
            <w:r>
              <w:rPr>
                <w:rFonts w:ascii="Arial" w:cs="Arial" w:eastAsia="Arial" w:hAnsi="Arial"/>
                <w:sz w:val="9"/>
                <w:szCs w:val="9"/>
                <w:b w:val="1"/>
                <w:bCs w:val="1"/>
                <w:color w:val="auto"/>
              </w:rPr>
              <w:t>Balance, December 31, 2020, Successor</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 $</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b w:val="1"/>
                <w:bCs w:val="1"/>
                <w:color w:val="auto"/>
                <w:w w:val="91"/>
              </w:rPr>
              <w:t>35,000,000 $</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9"/>
                <w:szCs w:val="9"/>
                <w:b w:val="1"/>
                <w:bCs w:val="1"/>
                <w:color w:val="auto"/>
                <w:w w:val="94"/>
              </w:rPr>
              <w:t>34,922 26,143,790 $</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92"/>
              </w:rPr>
              <w:t>144,839</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9"/>
                <w:szCs w:val="9"/>
                <w:b w:val="1"/>
                <w:bCs w:val="1"/>
                <w:color w:val="auto"/>
              </w:rPr>
              <w:t>$—</w:t>
            </w:r>
          </w:p>
        </w:tc>
        <w:tc>
          <w:tcPr>
            <w:tcW w:w="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9"/>
                <w:szCs w:val="9"/>
                <w:b w:val="1"/>
                <w:bCs w:val="1"/>
                <w:color w:val="auto"/>
                <w:w w:val="84"/>
              </w:rPr>
              <w:t>— $</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 18,825,136</w:t>
            </w:r>
          </w:p>
        </w:tc>
        <w:tc>
          <w:tcPr>
            <w:tcW w:w="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b w:val="1"/>
                <w:bCs w:val="1"/>
                <w:color w:val="auto"/>
              </w:rPr>
              <w:t>$ 2</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9"/>
                <w:szCs w:val="9"/>
                <w:b w:val="1"/>
                <w:bCs w:val="1"/>
                <w:color w:val="auto"/>
                <w:w w:val="98"/>
              </w:rPr>
              <w:t>217,831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(31,900)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9"/>
                <w:szCs w:val="9"/>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98"/>
              </w:rPr>
              <w:t>(292,342)</w:t>
            </w:r>
          </w:p>
        </w:tc>
        <w:tc>
          <w:tcPr>
            <w:tcW w:w="860" w:type="dxa"/>
            <w:vAlign w:val="bottom"/>
            <w:tcBorders>
              <w:bottom w:val="single" w:sz="8" w:color="CCEEFF"/>
            </w:tcBorders>
            <w:shd w:val="clear" w:color="auto" w:fill="CCEEFF"/>
          </w:tcPr>
          <w:p>
            <w:pPr>
              <w:jc w:val="right"/>
              <w:ind w:right="218"/>
              <w:spacing w:after="0"/>
              <w:rPr>
                <w:sz w:val="20"/>
                <w:szCs w:val="20"/>
                <w:color w:val="auto"/>
              </w:rPr>
            </w:pPr>
            <w:r>
              <w:rPr>
                <w:rFonts w:ascii="Arial" w:cs="Arial" w:eastAsia="Arial" w:hAnsi="Arial"/>
                <w:sz w:val="9"/>
                <w:szCs w:val="9"/>
                <w:b w:val="1"/>
                <w:bCs w:val="1"/>
                <w:color w:val="auto"/>
              </w:rPr>
              <w:t>$(3)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b w:val="1"/>
                <w:bCs w:val="1"/>
                <w:color w:val="auto"/>
                <w:w w:val="95"/>
              </w:rPr>
              <w:t>(106,412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-115570</wp:posOffset>
            </wp:positionV>
            <wp:extent cx="121285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12850" cy="6985"/>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-1520190</wp:posOffset>
            </wp:positionV>
            <wp:extent cx="121285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12850" cy="698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68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22225</wp:posOffset>
            </wp:positionV>
            <wp:extent cx="7116445" cy="393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16445" cy="39370"/>
                    </a:xfrm>
                    <a:prstGeom prst="rect">
                      <a:avLst/>
                    </a:prstGeom>
                    <a:noFill/>
                  </pic:spPr>
                </pic:pic>
              </a:graphicData>
            </a:graphic>
          </wp:anchor>
        </w:drawing>
      </w:r>
    </w:p>
    <w:p>
      <w:pPr>
        <w:sectPr>
          <w:pgSz w:w="11900" w:h="16838" w:orient="portrait"/>
          <w:cols w:equalWidth="0" w:num="1">
            <w:col w:w="11300"/>
          </w:cols>
          <w:pgMar w:left="360" w:top="133" w:right="239" w:bottom="1440" w:gutter="0" w:footer="0" w:header="0"/>
        </w:sectPr>
      </w:pPr>
    </w:p>
    <w:bookmarkStart w:id="218" w:name="page219"/>
    <w:bookmarkEnd w:id="218"/>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right="2959"/>
        <w:spacing w:after="0" w:line="235" w:lineRule="auto"/>
        <w:rPr>
          <w:sz w:val="20"/>
          <w:szCs w:val="20"/>
          <w:color w:val="auto"/>
        </w:rPr>
      </w:pPr>
      <w:r>
        <w:rPr>
          <w:rFonts w:ascii="Arial" w:cs="Arial" w:eastAsia="Arial" w:hAnsi="Arial"/>
          <w:sz w:val="23"/>
          <w:szCs w:val="23"/>
          <w:b w:val="1"/>
          <w:bCs w:val="1"/>
          <w:color w:val="auto"/>
        </w:rPr>
        <w:t>Century Therapeutics, Inc. and Subsidiary Consolidated statements of cash flows (In thousands)</w:t>
      </w:r>
    </w:p>
    <w:p>
      <w:pPr>
        <w:spacing w:after="0" w:line="87" w:lineRule="exact"/>
        <w:rPr>
          <w:sz w:val="20"/>
          <w:szCs w:val="20"/>
          <w:color w:val="auto"/>
        </w:rPr>
      </w:pPr>
    </w:p>
    <w:tbl>
      <w:tblPr>
        <w:tblLayout w:type="fixed"/>
        <w:tblInd w:w="1220" w:type="dxa"/>
        <w:tblCellMar>
          <w:top w:w="0" w:type="dxa"/>
          <w:left w:w="0" w:type="dxa"/>
          <w:bottom w:w="0" w:type="dxa"/>
          <w:right w:w="0" w:type="dxa"/>
        </w:tblCellMar>
      </w:tblPr>
      <w:tr>
        <w:trPr>
          <w:trHeight w:val="194"/>
        </w:trPr>
        <w:tc>
          <w:tcPr>
            <w:tcW w:w="33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gridSpan w:val="2"/>
          </w:tcPr>
          <w:p>
            <w:pPr>
              <w:jc w:val="right"/>
              <w:ind w:right="435"/>
              <w:spacing w:after="0"/>
              <w:rPr>
                <w:sz w:val="20"/>
                <w:szCs w:val="20"/>
                <w:color w:val="auto"/>
              </w:rPr>
            </w:pPr>
            <w:r>
              <w:rPr>
                <w:rFonts w:ascii="Arial" w:cs="Arial" w:eastAsia="Arial" w:hAnsi="Arial"/>
                <w:sz w:val="13"/>
                <w:szCs w:val="13"/>
                <w:b w:val="1"/>
                <w:bCs w:val="1"/>
                <w:color w:val="auto"/>
              </w:rPr>
              <w:t>Successor</w:t>
            </w:r>
          </w:p>
        </w:tc>
        <w:tc>
          <w:tcPr>
            <w:tcW w:w="600" w:type="dxa"/>
            <w:vAlign w:val="bottom"/>
            <w:tcBorders>
              <w:top w:val="single" w:sz="8" w:color="auto"/>
              <w:bottom w:val="single" w:sz="8" w:color="auto"/>
              <w:right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Predecessor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60" w:type="dxa"/>
            <w:vAlign w:val="bottom"/>
            <w:tcBorders>
              <w:right w:val="single" w:sz="8" w:color="auto"/>
            </w:tcBorders>
            <w:gridSpan w:val="3"/>
          </w:tcPr>
          <w:p>
            <w:pPr>
              <w:jc w:val="right"/>
              <w:ind w:right="15"/>
              <w:spacing w:after="0" w:line="128" w:lineRule="exact"/>
              <w:rPr>
                <w:sz w:val="20"/>
                <w:szCs w:val="20"/>
                <w:color w:val="auto"/>
              </w:rPr>
            </w:pPr>
            <w:r>
              <w:rPr>
                <w:rFonts w:ascii="Arial" w:cs="Arial" w:eastAsia="Arial" w:hAnsi="Arial"/>
                <w:sz w:val="13"/>
                <w:szCs w:val="13"/>
                <w:b w:val="1"/>
                <w:bCs w:val="1"/>
                <w:color w:val="auto"/>
              </w:rPr>
              <w:t>For the period June 21,</w:t>
            </w:r>
          </w:p>
        </w:tc>
        <w:tc>
          <w:tcPr>
            <w:tcW w:w="140" w:type="dxa"/>
            <w:vAlign w:val="bottom"/>
          </w:tcPr>
          <w:p>
            <w:pPr>
              <w:spacing w:after="0"/>
              <w:rPr>
                <w:sz w:val="11"/>
                <w:szCs w:val="11"/>
                <w:color w:val="auto"/>
              </w:rPr>
            </w:pPr>
          </w:p>
        </w:tc>
        <w:tc>
          <w:tcPr>
            <w:tcW w:w="1080" w:type="dxa"/>
            <w:vAlign w:val="bottom"/>
            <w:gridSpan w:val="2"/>
          </w:tcPr>
          <w:p>
            <w:pPr>
              <w:jc w:val="right"/>
              <w:spacing w:after="0" w:line="128" w:lineRule="exact"/>
              <w:rPr>
                <w:sz w:val="20"/>
                <w:szCs w:val="20"/>
                <w:color w:val="auto"/>
              </w:rPr>
            </w:pPr>
            <w:r>
              <w:rPr>
                <w:rFonts w:ascii="Arial" w:cs="Arial" w:eastAsia="Arial" w:hAnsi="Arial"/>
                <w:sz w:val="13"/>
                <w:szCs w:val="13"/>
                <w:b w:val="1"/>
                <w:bCs w:val="1"/>
                <w:color w:val="auto"/>
              </w:rPr>
              <w:t>For the period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300" w:type="dxa"/>
            <w:vAlign w:val="bottom"/>
          </w:tcPr>
          <w:p>
            <w:pPr>
              <w:spacing w:after="0"/>
              <w:rPr>
                <w:sz w:val="13"/>
                <w:szCs w:val="13"/>
                <w:color w:val="auto"/>
              </w:rPr>
            </w:pPr>
          </w:p>
        </w:tc>
        <w:tc>
          <w:tcPr>
            <w:tcW w:w="1360" w:type="dxa"/>
            <w:vAlign w:val="bottom"/>
            <w:gridSpan w:val="3"/>
          </w:tcPr>
          <w:p>
            <w:pPr>
              <w:jc w:val="right"/>
              <w:ind w:right="55"/>
              <w:spacing w:after="0"/>
              <w:rPr>
                <w:sz w:val="20"/>
                <w:szCs w:val="20"/>
                <w:color w:val="auto"/>
              </w:rPr>
            </w:pPr>
            <w:r>
              <w:rPr>
                <w:rFonts w:ascii="Arial" w:cs="Arial" w:eastAsia="Arial" w:hAnsi="Arial"/>
                <w:sz w:val="13"/>
                <w:szCs w:val="13"/>
                <w:b w:val="1"/>
                <w:bCs w:val="1"/>
                <w:color w:val="auto"/>
              </w:rPr>
              <w:t>For the year ended</w:t>
            </w:r>
          </w:p>
        </w:tc>
        <w:tc>
          <w:tcPr>
            <w:tcW w:w="1500" w:type="dxa"/>
            <w:vAlign w:val="bottom"/>
            <w:tcBorders>
              <w:right w:val="single" w:sz="8" w:color="auto"/>
            </w:tcBorders>
            <w:gridSpan w:val="2"/>
          </w:tcPr>
          <w:p>
            <w:pPr>
              <w:jc w:val="right"/>
              <w:ind w:right="15"/>
              <w:spacing w:after="0"/>
              <w:rPr>
                <w:sz w:val="20"/>
                <w:szCs w:val="20"/>
                <w:color w:val="auto"/>
              </w:rPr>
            </w:pPr>
            <w:r>
              <w:rPr>
                <w:rFonts w:ascii="Arial" w:cs="Arial" w:eastAsia="Arial" w:hAnsi="Arial"/>
                <w:sz w:val="13"/>
                <w:szCs w:val="13"/>
                <w:b w:val="1"/>
                <w:bCs w:val="1"/>
                <w:color w:val="auto"/>
              </w:rPr>
              <w:t>2019 to December 31,</w:t>
            </w:r>
          </w:p>
        </w:tc>
        <w:tc>
          <w:tcPr>
            <w:tcW w:w="126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January 1, 2019 to</w:t>
            </w: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2"/>
          </w:tcPr>
          <w:p>
            <w:pPr>
              <w:jc w:val="right"/>
              <w:ind w:right="15"/>
              <w:spacing w:after="0"/>
              <w:rPr>
                <w:sz w:val="20"/>
                <w:szCs w:val="20"/>
                <w:color w:val="auto"/>
              </w:rPr>
            </w:pPr>
            <w:r>
              <w:rPr>
                <w:rFonts w:ascii="Arial" w:cs="Arial" w:eastAsia="Arial" w:hAnsi="Arial"/>
                <w:sz w:val="13"/>
                <w:szCs w:val="13"/>
                <w:b w:val="1"/>
                <w:bCs w:val="1"/>
                <w:color w:val="auto"/>
              </w:rPr>
              <w:t>December 31, 2020</w:t>
            </w:r>
          </w:p>
        </w:tc>
        <w:tc>
          <w:tcPr>
            <w:tcW w:w="900" w:type="dxa"/>
            <w:vAlign w:val="bottom"/>
          </w:tcPr>
          <w:p>
            <w:pPr>
              <w:spacing w:after="0"/>
              <w:rPr>
                <w:sz w:val="14"/>
                <w:szCs w:val="14"/>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4"/>
                <w:szCs w:val="14"/>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June 20, 2019</w:t>
            </w:r>
          </w:p>
        </w:tc>
        <w:tc>
          <w:tcPr>
            <w:tcW w:w="0" w:type="dxa"/>
            <w:vAlign w:val="bottom"/>
          </w:tcPr>
          <w:p>
            <w:pPr>
              <w:spacing w:after="0"/>
              <w:rPr>
                <w:sz w:val="1"/>
                <w:szCs w:val="1"/>
                <w:color w:val="auto"/>
              </w:rPr>
            </w:pPr>
          </w:p>
        </w:tc>
      </w:tr>
      <w:tr>
        <w:trPr>
          <w:trHeight w:val="131"/>
        </w:trPr>
        <w:tc>
          <w:tcPr>
            <w:tcW w:w="330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Cash flows from operating activities</w:t>
            </w:r>
          </w:p>
        </w:tc>
        <w:tc>
          <w:tcPr>
            <w:tcW w:w="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right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00" w:type="dxa"/>
            <w:vAlign w:val="bottom"/>
          </w:tcPr>
          <w:p>
            <w:pPr>
              <w:ind w:left="140"/>
              <w:spacing w:after="0" w:line="129" w:lineRule="exact"/>
              <w:rPr>
                <w:sz w:val="20"/>
                <w:szCs w:val="20"/>
                <w:color w:val="auto"/>
              </w:rPr>
            </w:pPr>
            <w:r>
              <w:rPr>
                <w:rFonts w:ascii="Arial" w:cs="Arial" w:eastAsia="Arial" w:hAnsi="Arial"/>
                <w:sz w:val="13"/>
                <w:szCs w:val="13"/>
                <w:color w:val="auto"/>
              </w:rPr>
              <w:t>Net loss</w:t>
            </w:r>
          </w:p>
        </w:tc>
        <w:tc>
          <w:tcPr>
            <w:tcW w:w="80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(53,575)</w:t>
            </w:r>
          </w:p>
        </w:tc>
        <w:tc>
          <w:tcPr>
            <w:tcW w:w="900" w:type="dxa"/>
            <w:vAlign w:val="bottom"/>
          </w:tcPr>
          <w:p>
            <w:pPr>
              <w:jc w:val="right"/>
              <w:ind w:right="15"/>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3"/>
                <w:szCs w:val="13"/>
                <w:color w:val="auto"/>
              </w:rPr>
              <w:t>(238,767)</w:t>
            </w: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29" w:lineRule="exact"/>
              <w:rPr>
                <w:sz w:val="20"/>
                <w:szCs w:val="20"/>
                <w:color w:val="auto"/>
              </w:rPr>
            </w:pPr>
            <w:r>
              <w:rPr>
                <w:rFonts w:ascii="Arial" w:cs="Arial" w:eastAsia="Arial" w:hAnsi="Arial"/>
                <w:sz w:val="13"/>
                <w:szCs w:val="13"/>
                <w:color w:val="auto"/>
              </w:rPr>
              <w:t>(6,002)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300" w:type="dxa"/>
            <w:vAlign w:val="bottom"/>
            <w:shd w:val="clear" w:color="auto" w:fill="CCEEFF"/>
          </w:tcPr>
          <w:p>
            <w:pPr>
              <w:ind w:left="140"/>
              <w:spacing w:after="0" w:line="137" w:lineRule="exact"/>
              <w:rPr>
                <w:sz w:val="20"/>
                <w:szCs w:val="20"/>
                <w:color w:val="auto"/>
              </w:rPr>
            </w:pPr>
            <w:r>
              <w:rPr>
                <w:rFonts w:ascii="Arial" w:cs="Arial" w:eastAsia="Arial" w:hAnsi="Arial"/>
                <w:sz w:val="13"/>
                <w:szCs w:val="13"/>
                <w:b w:val="1"/>
                <w:bCs w:val="1"/>
                <w:color w:val="auto"/>
              </w:rPr>
              <w:t>Adjustments to reconcile net loss to net cash</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300" w:type="dxa"/>
            <w:vAlign w:val="bottom"/>
            <w:shd w:val="clear" w:color="auto" w:fill="CCEEFF"/>
          </w:tcPr>
          <w:p>
            <w:pPr>
              <w:ind w:left="260"/>
              <w:spacing w:after="0"/>
              <w:rPr>
                <w:sz w:val="20"/>
                <w:szCs w:val="20"/>
                <w:color w:val="auto"/>
              </w:rPr>
            </w:pPr>
            <w:r>
              <w:rPr>
                <w:rFonts w:ascii="Arial" w:cs="Arial" w:eastAsia="Arial" w:hAnsi="Arial"/>
                <w:sz w:val="13"/>
                <w:szCs w:val="13"/>
                <w:b w:val="1"/>
                <w:bCs w:val="1"/>
                <w:color w:val="auto"/>
              </w:rPr>
              <w:t>used in operating activities: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260"/>
              <w:spacing w:after="0"/>
              <w:rPr>
                <w:sz w:val="20"/>
                <w:szCs w:val="20"/>
                <w:color w:val="auto"/>
              </w:rPr>
            </w:pPr>
            <w:r>
              <w:rPr>
                <w:rFonts w:ascii="Arial" w:cs="Arial" w:eastAsia="Arial" w:hAnsi="Arial"/>
                <w:sz w:val="13"/>
                <w:szCs w:val="13"/>
                <w:color w:val="auto"/>
              </w:rPr>
              <w:t>Write off of in-process research and development</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300" w:type="dxa"/>
            <w:vAlign w:val="bottom"/>
          </w:tcPr>
          <w:p>
            <w:pPr>
              <w:ind w:left="400"/>
              <w:spacing w:after="0"/>
              <w:rPr>
                <w:sz w:val="20"/>
                <w:szCs w:val="20"/>
                <w:color w:val="auto"/>
              </w:rPr>
            </w:pPr>
            <w:r>
              <w:rPr>
                <w:rFonts w:ascii="Arial" w:cs="Arial" w:eastAsia="Arial" w:hAnsi="Arial"/>
                <w:sz w:val="13"/>
                <w:szCs w:val="13"/>
                <w:color w:val="auto"/>
              </w:rPr>
              <w:t>asset</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5"/>
              <w:spacing w:after="0"/>
              <w:rPr>
                <w:sz w:val="20"/>
                <w:szCs w:val="20"/>
                <w:color w:val="auto"/>
              </w:rPr>
            </w:pPr>
            <w:r>
              <w:rPr>
                <w:rFonts w:ascii="Arial" w:cs="Arial" w:eastAsia="Arial" w:hAnsi="Arial"/>
                <w:sz w:val="13"/>
                <w:szCs w:val="13"/>
                <w:color w:val="auto"/>
              </w:rPr>
              <w:t>4,722</w:t>
            </w:r>
          </w:p>
        </w:tc>
        <w:tc>
          <w:tcPr>
            <w:tcW w:w="90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225,946</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33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Depreciation</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1,402</w:t>
            </w:r>
          </w:p>
        </w:tc>
        <w:tc>
          <w:tcPr>
            <w:tcW w:w="90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00" w:type="dxa"/>
            <w:vAlign w:val="bottom"/>
          </w:tcPr>
          <w:p>
            <w:pPr>
              <w:ind w:left="260"/>
              <w:spacing w:after="0"/>
              <w:rPr>
                <w:sz w:val="20"/>
                <w:szCs w:val="20"/>
                <w:color w:val="auto"/>
              </w:rPr>
            </w:pPr>
            <w:r>
              <w:rPr>
                <w:rFonts w:ascii="Arial" w:cs="Arial" w:eastAsia="Arial" w:hAnsi="Arial"/>
                <w:sz w:val="13"/>
                <w:szCs w:val="13"/>
                <w:color w:val="auto"/>
              </w:rPr>
              <w:t>Amortization of deferred financing cost</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5"/>
              <w:spacing w:after="0"/>
              <w:rPr>
                <w:sz w:val="20"/>
                <w:szCs w:val="20"/>
                <w:color w:val="auto"/>
              </w:rPr>
            </w:pPr>
            <w:r>
              <w:rPr>
                <w:rFonts w:ascii="Arial" w:cs="Arial" w:eastAsia="Arial" w:hAnsi="Arial"/>
                <w:sz w:val="13"/>
                <w:szCs w:val="13"/>
                <w:color w:val="auto"/>
              </w:rPr>
              <w:t>92</w:t>
            </w:r>
          </w:p>
        </w:tc>
        <w:tc>
          <w:tcPr>
            <w:tcW w:w="90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Non-cash operating lease expense</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352</w:t>
            </w:r>
          </w:p>
        </w:tc>
        <w:tc>
          <w:tcPr>
            <w:tcW w:w="90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00" w:type="dxa"/>
            <w:vAlign w:val="bottom"/>
          </w:tcPr>
          <w:p>
            <w:pPr>
              <w:ind w:left="260"/>
              <w:spacing w:after="0"/>
              <w:rPr>
                <w:sz w:val="20"/>
                <w:szCs w:val="20"/>
                <w:color w:val="auto"/>
              </w:rPr>
            </w:pPr>
            <w:r>
              <w:rPr>
                <w:rFonts w:ascii="Arial" w:cs="Arial" w:eastAsia="Arial" w:hAnsi="Arial"/>
                <w:sz w:val="13"/>
                <w:szCs w:val="13"/>
                <w:color w:val="auto"/>
              </w:rPr>
              <w:t>Stock based compensation</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5"/>
              <w:spacing w:after="0"/>
              <w:rPr>
                <w:sz w:val="20"/>
                <w:szCs w:val="20"/>
                <w:color w:val="auto"/>
              </w:rPr>
            </w:pPr>
            <w:r>
              <w:rPr>
                <w:rFonts w:ascii="Arial" w:cs="Arial" w:eastAsia="Arial" w:hAnsi="Arial"/>
                <w:sz w:val="13"/>
                <w:szCs w:val="13"/>
                <w:color w:val="auto"/>
              </w:rPr>
              <w:t>876</w:t>
            </w:r>
          </w:p>
        </w:tc>
        <w:tc>
          <w:tcPr>
            <w:tcW w:w="90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0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Change in operating assets and liabilities:</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00" w:type="dxa"/>
            <w:vAlign w:val="bottom"/>
          </w:tcPr>
          <w:p>
            <w:pPr>
              <w:ind w:left="260"/>
              <w:spacing w:after="0"/>
              <w:rPr>
                <w:sz w:val="20"/>
                <w:szCs w:val="20"/>
                <w:color w:val="auto"/>
              </w:rPr>
            </w:pPr>
            <w:r>
              <w:rPr>
                <w:rFonts w:ascii="Arial" w:cs="Arial" w:eastAsia="Arial" w:hAnsi="Arial"/>
                <w:sz w:val="13"/>
                <w:szCs w:val="13"/>
                <w:color w:val="auto"/>
              </w:rPr>
              <w:t>Escrow deposit</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(1,506)</w:t>
            </w:r>
          </w:p>
        </w:tc>
        <w:tc>
          <w:tcPr>
            <w:tcW w:w="90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Prepaid expenses and other assets</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90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(969)</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00" w:type="dxa"/>
            <w:vAlign w:val="bottom"/>
          </w:tcPr>
          <w:p>
            <w:pPr>
              <w:ind w:left="260"/>
              <w:spacing w:after="0"/>
              <w:rPr>
                <w:sz w:val="20"/>
                <w:szCs w:val="20"/>
                <w:color w:val="auto"/>
              </w:rPr>
            </w:pPr>
            <w:r>
              <w:rPr>
                <w:rFonts w:ascii="Arial" w:cs="Arial" w:eastAsia="Arial" w:hAnsi="Arial"/>
                <w:sz w:val="13"/>
                <w:szCs w:val="13"/>
                <w:color w:val="auto"/>
              </w:rPr>
              <w:t>Operating lease liability</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5"/>
              <w:spacing w:after="0"/>
              <w:rPr>
                <w:sz w:val="20"/>
                <w:szCs w:val="20"/>
                <w:color w:val="auto"/>
              </w:rPr>
            </w:pPr>
            <w:r>
              <w:rPr>
                <w:rFonts w:ascii="Arial" w:cs="Arial" w:eastAsia="Arial" w:hAnsi="Arial"/>
                <w:sz w:val="13"/>
                <w:szCs w:val="13"/>
                <w:color w:val="auto"/>
              </w:rPr>
              <w:t>2,175</w:t>
            </w:r>
          </w:p>
        </w:tc>
        <w:tc>
          <w:tcPr>
            <w:tcW w:w="90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payable</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2,062</w:t>
            </w:r>
          </w:p>
        </w:tc>
        <w:tc>
          <w:tcPr>
            <w:tcW w:w="90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1,548</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300" w:type="dxa"/>
            <w:vAlign w:val="bottom"/>
            <w:tcBorders>
              <w:bottom w:val="single" w:sz="8" w:color="CCEEFF"/>
            </w:tcBorders>
          </w:tcPr>
          <w:p>
            <w:pPr>
              <w:ind w:left="260"/>
              <w:spacing w:after="0" w:line="141" w:lineRule="exact"/>
              <w:rPr>
                <w:sz w:val="20"/>
                <w:szCs w:val="20"/>
                <w:color w:val="auto"/>
              </w:rPr>
            </w:pPr>
            <w:r>
              <w:rPr>
                <w:rFonts w:ascii="Arial" w:cs="Arial" w:eastAsia="Arial" w:hAnsi="Arial"/>
                <w:sz w:val="13"/>
                <w:szCs w:val="13"/>
                <w:color w:val="auto"/>
              </w:rPr>
              <w:t>Accrued expenses and other liabilities</w:t>
            </w:r>
          </w:p>
        </w:tc>
        <w:tc>
          <w:tcPr>
            <w:tcW w:w="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
              <w:spacing w:after="0" w:line="141" w:lineRule="exact"/>
              <w:rPr>
                <w:sz w:val="20"/>
                <w:szCs w:val="20"/>
                <w:color w:val="auto"/>
              </w:rPr>
            </w:pPr>
            <w:r>
              <w:rPr>
                <w:rFonts w:ascii="Arial" w:cs="Arial" w:eastAsia="Arial" w:hAnsi="Arial"/>
                <w:sz w:val="13"/>
                <w:szCs w:val="13"/>
                <w:color w:val="auto"/>
              </w:rPr>
              <w:t>2,334</w:t>
            </w:r>
          </w:p>
        </w:tc>
        <w:tc>
          <w:tcPr>
            <w:tcW w:w="90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162</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1,001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300" w:type="dxa"/>
            <w:vAlign w:val="bottom"/>
            <w:tcBorders>
              <w:bottom w:val="single" w:sz="8" w:color="CCEEFF"/>
            </w:tcBorders>
            <w:shd w:val="clear" w:color="auto" w:fill="CCEEFF"/>
          </w:tcPr>
          <w:p>
            <w:pPr>
              <w:ind w:left="400"/>
              <w:spacing w:after="0" w:line="131" w:lineRule="exact"/>
              <w:rPr>
                <w:sz w:val="20"/>
                <w:szCs w:val="20"/>
                <w:color w:val="auto"/>
              </w:rPr>
            </w:pPr>
            <w:r>
              <w:rPr>
                <w:rFonts w:ascii="Arial" w:cs="Arial" w:eastAsia="Arial" w:hAnsi="Arial"/>
                <w:sz w:val="13"/>
                <w:szCs w:val="13"/>
                <w:b w:val="1"/>
                <w:bCs w:val="1"/>
                <w:color w:val="auto"/>
              </w:rPr>
              <w:t>Net cash used in operating activities</w:t>
            </w:r>
          </w:p>
        </w:tc>
        <w:tc>
          <w:tcPr>
            <w:tcW w:w="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(41,269)</w:t>
            </w:r>
          </w:p>
        </w:tc>
        <w:tc>
          <w:tcPr>
            <w:tcW w:w="9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(11,768)</w:t>
            </w:r>
          </w:p>
        </w:tc>
        <w:tc>
          <w:tcPr>
            <w:tcW w:w="1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(4,400)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300" w:type="dxa"/>
            <w:vAlign w:val="bottom"/>
          </w:tcPr>
          <w:p>
            <w:pPr>
              <w:spacing w:after="0" w:line="111" w:lineRule="exact"/>
              <w:rPr>
                <w:sz w:val="20"/>
                <w:szCs w:val="20"/>
                <w:color w:val="auto"/>
              </w:rPr>
            </w:pPr>
            <w:r>
              <w:rPr>
                <w:rFonts w:ascii="Arial" w:cs="Arial" w:eastAsia="Arial" w:hAnsi="Arial"/>
                <w:sz w:val="12"/>
                <w:szCs w:val="12"/>
                <w:b w:val="1"/>
                <w:bCs w:val="1"/>
                <w:color w:val="auto"/>
              </w:rPr>
              <w:t>Cash flows from investing activities</w:t>
            </w: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30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Acquisition of property and equipment</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(9,825)</w:t>
            </w:r>
          </w:p>
        </w:tc>
        <w:tc>
          <w:tcPr>
            <w:tcW w:w="90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(1,633)</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140"/>
              <w:spacing w:after="0"/>
              <w:rPr>
                <w:sz w:val="20"/>
                <w:szCs w:val="20"/>
                <w:color w:val="auto"/>
              </w:rPr>
            </w:pPr>
            <w:r>
              <w:rPr>
                <w:rFonts w:ascii="Arial" w:cs="Arial" w:eastAsia="Arial" w:hAnsi="Arial"/>
                <w:sz w:val="13"/>
                <w:szCs w:val="13"/>
                <w:color w:val="auto"/>
              </w:rPr>
              <w:t>Payments for purchase of fixed maturity securities,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300" w:type="dxa"/>
            <w:vAlign w:val="bottom"/>
          </w:tcPr>
          <w:p>
            <w:pPr>
              <w:ind w:left="260"/>
              <w:spacing w:after="0"/>
              <w:rPr>
                <w:sz w:val="20"/>
                <w:szCs w:val="20"/>
                <w:color w:val="auto"/>
              </w:rPr>
            </w:pPr>
            <w:r>
              <w:rPr>
                <w:rFonts w:ascii="Arial" w:cs="Arial" w:eastAsia="Arial" w:hAnsi="Arial"/>
                <w:sz w:val="13"/>
                <w:szCs w:val="13"/>
                <w:color w:val="auto"/>
              </w:rPr>
              <w:t>available for sale</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(49,860)</w:t>
            </w:r>
          </w:p>
        </w:tc>
        <w:tc>
          <w:tcPr>
            <w:tcW w:w="90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(41,540)</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330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Asset acquisition, net of cash acquired</w:t>
            </w: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(4,722)</w:t>
            </w:r>
          </w:p>
        </w:tc>
        <w:tc>
          <w:tcPr>
            <w:tcW w:w="900" w:type="dxa"/>
            <w:vAlign w:val="bottom"/>
            <w:shd w:val="clear" w:color="auto" w:fill="CCEEFF"/>
          </w:tcPr>
          <w:p>
            <w:pPr>
              <w:spacing w:after="0"/>
              <w:rPr>
                <w:sz w:val="11"/>
                <w:szCs w:val="11"/>
                <w:color w:val="auto"/>
              </w:rPr>
            </w:pPr>
          </w:p>
        </w:tc>
        <w:tc>
          <w:tcPr>
            <w:tcW w:w="600" w:type="dxa"/>
            <w:vAlign w:val="bottom"/>
            <w:tcBorders>
              <w:right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24,166</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300" w:type="dxa"/>
            <w:vAlign w:val="bottom"/>
          </w:tcPr>
          <w:p>
            <w:pPr>
              <w:ind w:left="140"/>
              <w:spacing w:after="0"/>
              <w:rPr>
                <w:sz w:val="20"/>
                <w:szCs w:val="20"/>
                <w:color w:val="auto"/>
              </w:rPr>
            </w:pPr>
            <w:r>
              <w:rPr>
                <w:rFonts w:ascii="Arial" w:cs="Arial" w:eastAsia="Arial" w:hAnsi="Arial"/>
                <w:sz w:val="13"/>
                <w:szCs w:val="13"/>
                <w:color w:val="auto"/>
              </w:rPr>
              <w:t>Sale of fixed maturity securities, available for sale</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jc w:val="right"/>
              <w:ind w:right="15"/>
              <w:spacing w:after="0"/>
              <w:rPr>
                <w:sz w:val="20"/>
                <w:szCs w:val="20"/>
                <w:color w:val="auto"/>
              </w:rPr>
            </w:pPr>
            <w:r>
              <w:rPr>
                <w:rFonts w:ascii="Arial" w:cs="Arial" w:eastAsia="Arial" w:hAnsi="Arial"/>
                <w:sz w:val="13"/>
                <w:szCs w:val="13"/>
                <w:color w:val="auto"/>
              </w:rPr>
              <w:t>41,650</w:t>
            </w:r>
          </w:p>
        </w:tc>
        <w:tc>
          <w:tcPr>
            <w:tcW w:w="900" w:type="dxa"/>
            <w:vAlign w:val="bottom"/>
          </w:tcPr>
          <w:p>
            <w:pPr>
              <w:spacing w:after="0"/>
              <w:rPr>
                <w:sz w:val="13"/>
                <w:szCs w:val="13"/>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3300" w:type="dxa"/>
            <w:vAlign w:val="bottom"/>
            <w:tcBorders>
              <w:top w:val="single" w:sz="8" w:color="CCEEFF"/>
              <w:bottom w:val="single" w:sz="8" w:color="CCEEFF"/>
            </w:tcBorders>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Net cash used in investing activities</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(22,757)</w:t>
            </w: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600" w:type="dxa"/>
            <w:vAlign w:val="bottom"/>
            <w:tcBorders>
              <w:top w:val="single" w:sz="8" w:color="auto"/>
              <w:bottom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(19,007)</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(827)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300" w:type="dxa"/>
            <w:vAlign w:val="bottom"/>
          </w:tcPr>
          <w:p>
            <w:pPr>
              <w:spacing w:after="0" w:line="111" w:lineRule="exact"/>
              <w:rPr>
                <w:sz w:val="20"/>
                <w:szCs w:val="20"/>
                <w:color w:val="auto"/>
              </w:rPr>
            </w:pPr>
            <w:r>
              <w:rPr>
                <w:rFonts w:ascii="Arial" w:cs="Arial" w:eastAsia="Arial" w:hAnsi="Arial"/>
                <w:sz w:val="12"/>
                <w:szCs w:val="12"/>
                <w:b w:val="1"/>
                <w:bCs w:val="1"/>
                <w:color w:val="auto"/>
              </w:rPr>
              <w:t>Cash flows from financing activities</w:t>
            </w: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300" w:type="dxa"/>
            <w:vAlign w:val="bottom"/>
            <w:shd w:val="clear" w:color="auto" w:fill="CCEEFF"/>
          </w:tcPr>
          <w:p>
            <w:pPr>
              <w:ind w:left="140"/>
              <w:spacing w:after="0" w:line="141" w:lineRule="exact"/>
              <w:rPr>
                <w:sz w:val="20"/>
                <w:szCs w:val="20"/>
                <w:color w:val="auto"/>
              </w:rPr>
            </w:pPr>
            <w:r>
              <w:rPr>
                <w:rFonts w:ascii="Arial" w:cs="Arial" w:eastAsia="Arial" w:hAnsi="Arial"/>
                <w:sz w:val="13"/>
                <w:szCs w:val="13"/>
                <w:color w:val="auto"/>
              </w:rPr>
              <w:t>Proceeds from long-term debt and warrants, net</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5"/>
              <w:spacing w:after="0" w:line="141" w:lineRule="exact"/>
              <w:rPr>
                <w:sz w:val="20"/>
                <w:szCs w:val="20"/>
                <w:color w:val="auto"/>
              </w:rPr>
            </w:pPr>
            <w:r>
              <w:rPr>
                <w:rFonts w:ascii="Arial" w:cs="Arial" w:eastAsia="Arial" w:hAnsi="Arial"/>
                <w:sz w:val="13"/>
                <w:szCs w:val="13"/>
                <w:color w:val="auto"/>
              </w:rPr>
              <w:t>9,734</w:t>
            </w:r>
          </w:p>
        </w:tc>
        <w:tc>
          <w:tcPr>
            <w:tcW w:w="90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300" w:type="dxa"/>
            <w:vAlign w:val="bottom"/>
          </w:tcPr>
          <w:p>
            <w:pPr>
              <w:ind w:left="140"/>
              <w:spacing w:after="0" w:line="141" w:lineRule="exact"/>
              <w:rPr>
                <w:sz w:val="20"/>
                <w:szCs w:val="20"/>
                <w:color w:val="auto"/>
              </w:rPr>
            </w:pPr>
            <w:r>
              <w:rPr>
                <w:rFonts w:ascii="Arial" w:cs="Arial" w:eastAsia="Arial" w:hAnsi="Arial"/>
                <w:sz w:val="13"/>
                <w:szCs w:val="13"/>
                <w:color w:val="auto"/>
              </w:rPr>
              <w:t>Payments of deferred financing cost</w:t>
            </w: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Arial" w:cs="Arial" w:eastAsia="Arial" w:hAnsi="Arial"/>
                <w:sz w:val="13"/>
                <w:szCs w:val="13"/>
                <w:color w:val="auto"/>
              </w:rPr>
              <w:t>(144)</w:t>
            </w:r>
          </w:p>
        </w:tc>
        <w:tc>
          <w:tcPr>
            <w:tcW w:w="90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300" w:type="dxa"/>
            <w:vAlign w:val="bottom"/>
            <w:shd w:val="clear" w:color="auto" w:fill="CCEEFF"/>
          </w:tcPr>
          <w:p>
            <w:pPr>
              <w:ind w:left="140"/>
              <w:spacing w:after="0" w:line="141" w:lineRule="exact"/>
              <w:rPr>
                <w:sz w:val="20"/>
                <w:szCs w:val="20"/>
                <w:color w:val="auto"/>
              </w:rPr>
            </w:pPr>
            <w:r>
              <w:rPr>
                <w:rFonts w:ascii="Arial" w:cs="Arial" w:eastAsia="Arial" w:hAnsi="Arial"/>
                <w:sz w:val="13"/>
                <w:szCs w:val="13"/>
                <w:color w:val="auto"/>
              </w:rPr>
              <w:t>Proceeds from subscription receivable</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5"/>
              <w:spacing w:after="0" w:line="141" w:lineRule="exact"/>
              <w:rPr>
                <w:sz w:val="20"/>
                <w:szCs w:val="20"/>
                <w:color w:val="auto"/>
              </w:rPr>
            </w:pPr>
            <w:r>
              <w:rPr>
                <w:rFonts w:ascii="Arial" w:cs="Arial" w:eastAsia="Arial" w:hAnsi="Arial"/>
                <w:sz w:val="13"/>
                <w:szCs w:val="13"/>
                <w:color w:val="auto"/>
              </w:rPr>
              <w:t>38,100</w:t>
            </w:r>
          </w:p>
        </w:tc>
        <w:tc>
          <w:tcPr>
            <w:tcW w:w="90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300" w:type="dxa"/>
            <w:vAlign w:val="bottom"/>
            <w:tcBorders>
              <w:bottom w:val="single" w:sz="8" w:color="CCEEFF"/>
            </w:tcBorders>
          </w:tcPr>
          <w:p>
            <w:pPr>
              <w:ind w:left="140"/>
              <w:spacing w:after="0" w:line="141" w:lineRule="exact"/>
              <w:rPr>
                <w:sz w:val="20"/>
                <w:szCs w:val="20"/>
                <w:color w:val="auto"/>
              </w:rPr>
            </w:pPr>
            <w:r>
              <w:rPr>
                <w:rFonts w:ascii="Arial" w:cs="Arial" w:eastAsia="Arial" w:hAnsi="Arial"/>
                <w:sz w:val="13"/>
                <w:szCs w:val="13"/>
                <w:color w:val="auto"/>
              </w:rPr>
              <w:t>Proceeds from issuance of common units</w:t>
            </w:r>
          </w:p>
        </w:tc>
        <w:tc>
          <w:tcPr>
            <w:tcW w:w="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
              <w:spacing w:after="0" w:line="141"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spacing w:after="0"/>
              <w:rPr>
                <w:sz w:val="12"/>
                <w:szCs w:val="12"/>
                <w:color w:val="auto"/>
              </w:rPr>
            </w:pPr>
          </w:p>
        </w:tc>
        <w:tc>
          <w:tcPr>
            <w:tcW w:w="600" w:type="dxa"/>
            <w:vAlign w:val="bottom"/>
            <w:tcBorders>
              <w:bottom w:val="single" w:sz="8" w:color="auto"/>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74,839</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300" w:type="dxa"/>
            <w:vAlign w:val="bottom"/>
            <w:tcBorders>
              <w:bottom w:val="single" w:sz="8" w:color="CCEEFF"/>
            </w:tcBorders>
            <w:shd w:val="clear" w:color="auto" w:fill="CCEEFF"/>
          </w:tcPr>
          <w:p>
            <w:pPr>
              <w:ind w:left="140"/>
              <w:spacing w:after="0" w:line="131" w:lineRule="exact"/>
              <w:rPr>
                <w:sz w:val="20"/>
                <w:szCs w:val="20"/>
                <w:color w:val="auto"/>
              </w:rPr>
            </w:pPr>
            <w:r>
              <w:rPr>
                <w:rFonts w:ascii="Arial" w:cs="Arial" w:eastAsia="Arial" w:hAnsi="Arial"/>
                <w:sz w:val="13"/>
                <w:szCs w:val="13"/>
                <w:b w:val="1"/>
                <w:bCs w:val="1"/>
                <w:color w:val="auto"/>
              </w:rPr>
              <w:t>Net cash provided by financing activities</w:t>
            </w:r>
          </w:p>
        </w:tc>
        <w:tc>
          <w:tcPr>
            <w:tcW w:w="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ind w:right="15"/>
              <w:spacing w:after="0" w:line="131" w:lineRule="exact"/>
              <w:rPr>
                <w:sz w:val="20"/>
                <w:szCs w:val="20"/>
                <w:color w:val="auto"/>
              </w:rPr>
            </w:pPr>
            <w:r>
              <w:rPr>
                <w:rFonts w:ascii="Arial" w:cs="Arial" w:eastAsia="Arial" w:hAnsi="Arial"/>
                <w:sz w:val="13"/>
                <w:szCs w:val="13"/>
                <w:b w:val="1"/>
                <w:bCs w:val="1"/>
                <w:color w:val="auto"/>
              </w:rPr>
              <w:t>47,690</w:t>
            </w:r>
          </w:p>
        </w:tc>
        <w:tc>
          <w:tcPr>
            <w:tcW w:w="9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74,839</w:t>
            </w: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300" w:type="dxa"/>
            <w:vAlign w:val="bottom"/>
          </w:tcPr>
          <w:p>
            <w:pPr>
              <w:ind w:left="400"/>
              <w:spacing w:after="0" w:line="128" w:lineRule="exact"/>
              <w:rPr>
                <w:sz w:val="20"/>
                <w:szCs w:val="20"/>
                <w:color w:val="auto"/>
              </w:rPr>
            </w:pPr>
            <w:r>
              <w:rPr>
                <w:rFonts w:ascii="Arial" w:cs="Arial" w:eastAsia="Arial" w:hAnsi="Arial"/>
                <w:sz w:val="13"/>
                <w:szCs w:val="13"/>
                <w:b w:val="1"/>
                <w:bCs w:val="1"/>
                <w:color w:val="auto"/>
              </w:rPr>
              <w:t>Net (decrease) increase in cash, cash</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300" w:type="dxa"/>
            <w:vAlign w:val="bottom"/>
          </w:tcPr>
          <w:p>
            <w:pPr>
              <w:ind w:left="520"/>
              <w:spacing w:after="0"/>
              <w:rPr>
                <w:sz w:val="20"/>
                <w:szCs w:val="20"/>
                <w:color w:val="auto"/>
              </w:rPr>
            </w:pPr>
            <w:r>
              <w:rPr>
                <w:rFonts w:ascii="Arial" w:cs="Arial" w:eastAsia="Arial" w:hAnsi="Arial"/>
                <w:sz w:val="13"/>
                <w:szCs w:val="13"/>
                <w:b w:val="1"/>
                <w:bCs w:val="1"/>
                <w:color w:val="auto"/>
              </w:rPr>
              <w:t>equivalents, and restricted cash</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(16,336)</w:t>
            </w:r>
          </w:p>
        </w:tc>
        <w:tc>
          <w:tcPr>
            <w:tcW w:w="900" w:type="dxa"/>
            <w:vAlign w:val="bottom"/>
          </w:tcPr>
          <w:p>
            <w:pPr>
              <w:spacing w:after="0"/>
              <w:rPr>
                <w:sz w:val="14"/>
                <w:szCs w:val="14"/>
                <w:color w:val="auto"/>
              </w:rPr>
            </w:pP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44,064</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b w:val="1"/>
                <w:bCs w:val="1"/>
                <w:color w:val="auto"/>
              </w:rPr>
              <w:t>(5,227)</w:t>
            </w:r>
          </w:p>
        </w:tc>
        <w:tc>
          <w:tcPr>
            <w:tcW w:w="0" w:type="dxa"/>
            <w:vAlign w:val="bottom"/>
          </w:tcPr>
          <w:p>
            <w:pPr>
              <w:spacing w:after="0"/>
              <w:rPr>
                <w:sz w:val="1"/>
                <w:szCs w:val="1"/>
                <w:color w:val="auto"/>
              </w:rPr>
            </w:pPr>
          </w:p>
        </w:tc>
      </w:tr>
      <w:tr>
        <w:trPr>
          <w:trHeight w:val="153"/>
        </w:trPr>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Cash, cash equivalents and restricted cash, beginning</w:t>
            </w: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44,064</w:t>
            </w:r>
          </w:p>
        </w:tc>
        <w:tc>
          <w:tcPr>
            <w:tcW w:w="900" w:type="dxa"/>
            <w:vAlign w:val="bottom"/>
            <w:shd w:val="clear" w:color="auto" w:fill="CCEEFF"/>
          </w:tcPr>
          <w:p>
            <w:pPr>
              <w:spacing w:after="0"/>
              <w:rPr>
                <w:sz w:val="13"/>
                <w:szCs w:val="13"/>
                <w:color w:val="auto"/>
              </w:rPr>
            </w:pPr>
          </w:p>
        </w:tc>
        <w:tc>
          <w:tcPr>
            <w:tcW w:w="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31,424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300" w:type="dxa"/>
            <w:vAlign w:val="bottom"/>
            <w:tcBorders>
              <w:bottom w:val="single" w:sz="8" w:color="CCEEFF"/>
            </w:tcBorders>
            <w:shd w:val="clear" w:color="auto" w:fill="CCEEFF"/>
          </w:tcPr>
          <w:p>
            <w:pPr>
              <w:ind w:left="140"/>
              <w:spacing w:after="0" w:line="139" w:lineRule="exact"/>
              <w:rPr>
                <w:sz w:val="20"/>
                <w:szCs w:val="20"/>
                <w:color w:val="auto"/>
              </w:rPr>
            </w:pPr>
            <w:r>
              <w:rPr>
                <w:rFonts w:ascii="Arial" w:cs="Arial" w:eastAsia="Arial" w:hAnsi="Arial"/>
                <w:sz w:val="13"/>
                <w:szCs w:val="13"/>
                <w:color w:val="auto"/>
              </w:rPr>
              <w:t>of period</w:t>
            </w:r>
          </w:p>
        </w:tc>
        <w:tc>
          <w:tcPr>
            <w:tcW w:w="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right w:val="single" w:sz="8" w:color="auto"/>
            </w:tcBorders>
            <w:vMerge w:val="continue"/>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300" w:type="dxa"/>
            <w:vAlign w:val="bottom"/>
          </w:tcPr>
          <w:p>
            <w:pPr>
              <w:spacing w:after="0" w:line="128" w:lineRule="exact"/>
              <w:rPr>
                <w:sz w:val="20"/>
                <w:szCs w:val="20"/>
                <w:color w:val="auto"/>
              </w:rPr>
            </w:pPr>
            <w:r>
              <w:rPr>
                <w:rFonts w:ascii="Arial" w:cs="Arial" w:eastAsia="Arial" w:hAnsi="Arial"/>
                <w:sz w:val="13"/>
                <w:szCs w:val="13"/>
                <w:b w:val="1"/>
                <w:bCs w:val="1"/>
                <w:color w:val="auto"/>
              </w:rPr>
              <w:t>Cash, cash equivalents and restricted cash, end of</w:t>
            </w: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tcPr>
          <w:p>
            <w:pPr>
              <w:jc w:val="right"/>
              <w:ind w:right="15"/>
              <w:spacing w:after="0"/>
              <w:rPr>
                <w:sz w:val="20"/>
                <w:szCs w:val="20"/>
                <w:color w:val="auto"/>
              </w:rPr>
            </w:pPr>
            <w:r>
              <w:rPr>
                <w:rFonts w:ascii="Arial" w:cs="Arial" w:eastAsia="Arial" w:hAnsi="Arial"/>
                <w:sz w:val="13"/>
                <w:szCs w:val="13"/>
                <w:b w:val="1"/>
                <w:bCs w:val="1"/>
                <w:color w:val="auto"/>
              </w:rPr>
              <w:t>27,728</w:t>
            </w:r>
          </w:p>
        </w:tc>
        <w:tc>
          <w:tcPr>
            <w:tcW w:w="900" w:type="dxa"/>
            <w:vAlign w:val="bottom"/>
            <w:vMerge w:val="restart"/>
          </w:tcPr>
          <w:p>
            <w:pPr>
              <w:jc w:val="right"/>
              <w:ind w:right="15"/>
              <w:spacing w:after="0"/>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44,064</w:t>
            </w:r>
          </w:p>
        </w:tc>
        <w:tc>
          <w:tcPr>
            <w:tcW w:w="1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26,197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300" w:type="dxa"/>
            <w:vAlign w:val="bottom"/>
          </w:tcPr>
          <w:p>
            <w:pPr>
              <w:ind w:left="140"/>
              <w:spacing w:after="0" w:line="113" w:lineRule="exact"/>
              <w:rPr>
                <w:sz w:val="20"/>
                <w:szCs w:val="20"/>
                <w:color w:val="auto"/>
              </w:rPr>
            </w:pPr>
            <w:r>
              <w:rPr>
                <w:rFonts w:ascii="Arial" w:cs="Arial" w:eastAsia="Arial" w:hAnsi="Arial"/>
                <w:sz w:val="13"/>
                <w:szCs w:val="13"/>
                <w:b w:val="1"/>
                <w:bCs w:val="1"/>
                <w:color w:val="auto"/>
              </w:rPr>
              <w:t>period</w:t>
            </w:r>
          </w:p>
        </w:tc>
        <w:tc>
          <w:tcPr>
            <w:tcW w:w="8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600" w:type="dxa"/>
            <w:vAlign w:val="bottom"/>
            <w:tcBorders>
              <w:right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300" w:type="dxa"/>
            <w:vAlign w:val="bottom"/>
            <w:shd w:val="clear" w:color="auto" w:fill="CCEEFF"/>
          </w:tcPr>
          <w:p>
            <w:pPr>
              <w:spacing w:after="0" w:line="99" w:lineRule="exact"/>
              <w:rPr>
                <w:sz w:val="20"/>
                <w:szCs w:val="20"/>
                <w:color w:val="auto"/>
              </w:rPr>
            </w:pPr>
            <w:r>
              <w:rPr>
                <w:rFonts w:ascii="Arial" w:cs="Arial" w:eastAsia="Arial" w:hAnsi="Arial"/>
                <w:sz w:val="11"/>
                <w:szCs w:val="11"/>
                <w:b w:val="1"/>
                <w:bCs w:val="1"/>
                <w:color w:val="auto"/>
              </w:rPr>
              <w:t>Supplemental disclosure of cash and non-cash</w:t>
            </w:r>
          </w:p>
        </w:tc>
        <w:tc>
          <w:tcPr>
            <w:tcW w:w="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00" w:type="dxa"/>
            <w:vAlign w:val="bottom"/>
            <w:tcBorders>
              <w:righ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330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operating activities: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300" w:type="dxa"/>
            <w:vAlign w:val="bottom"/>
          </w:tcPr>
          <w:p>
            <w:pPr>
              <w:ind w:left="140"/>
              <w:spacing w:after="0" w:line="121" w:lineRule="exact"/>
              <w:rPr>
                <w:sz w:val="20"/>
                <w:szCs w:val="20"/>
                <w:color w:val="auto"/>
              </w:rPr>
            </w:pPr>
            <w:r>
              <w:rPr>
                <w:rFonts w:ascii="Arial" w:cs="Arial" w:eastAsia="Arial" w:hAnsi="Arial"/>
                <w:sz w:val="13"/>
                <w:szCs w:val="13"/>
                <w:color w:val="auto"/>
              </w:rPr>
              <w:t>Cash paid for interest</w:t>
            </w:r>
          </w:p>
        </w:tc>
        <w:tc>
          <w:tcPr>
            <w:tcW w:w="800" w:type="dxa"/>
            <w:vAlign w:val="bottom"/>
            <w:gridSpan w:val="2"/>
          </w:tcPr>
          <w:p>
            <w:pPr>
              <w:jc w:val="right"/>
              <w:spacing w:after="0" w:line="121" w:lineRule="exact"/>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15"/>
              <w:spacing w:after="0" w:line="121" w:lineRule="exact"/>
              <w:rPr>
                <w:sz w:val="20"/>
                <w:szCs w:val="20"/>
                <w:color w:val="auto"/>
              </w:rPr>
            </w:pPr>
            <w:r>
              <w:rPr>
                <w:rFonts w:ascii="Arial" w:cs="Arial" w:eastAsia="Arial" w:hAnsi="Arial"/>
                <w:sz w:val="13"/>
                <w:szCs w:val="13"/>
                <w:b w:val="1"/>
                <w:bCs w:val="1"/>
                <w:color w:val="auto"/>
              </w:rPr>
              <w:t>207</w:t>
            </w:r>
          </w:p>
        </w:tc>
        <w:tc>
          <w:tcPr>
            <w:tcW w:w="900" w:type="dxa"/>
            <w:vAlign w:val="bottom"/>
          </w:tcPr>
          <w:p>
            <w:pPr>
              <w:jc w:val="right"/>
              <w:ind w:right="15"/>
              <w:spacing w:after="0" w:line="121" w:lineRule="exact"/>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tcPr>
          <w:p>
            <w:pPr>
              <w:jc w:val="right"/>
              <w:spacing w:after="0" w:line="121"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b w:val="1"/>
                <w:bCs w:val="1"/>
                <w:color w:val="auto"/>
              </w:rPr>
              <w:t>$</w:t>
            </w:r>
          </w:p>
        </w:tc>
        <w:tc>
          <w:tcPr>
            <w:tcW w:w="440" w:type="dxa"/>
            <w:vAlign w:val="bottom"/>
          </w:tcPr>
          <w:p>
            <w:pPr>
              <w:jc w:val="right"/>
              <w:spacing w:after="0" w:line="121"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300" w:type="dxa"/>
            <w:vAlign w:val="bottom"/>
            <w:shd w:val="clear" w:color="auto" w:fill="CCEEFF"/>
          </w:tcPr>
          <w:p>
            <w:pPr>
              <w:spacing w:after="0" w:line="99" w:lineRule="exact"/>
              <w:rPr>
                <w:sz w:val="20"/>
                <w:szCs w:val="20"/>
                <w:color w:val="auto"/>
              </w:rPr>
            </w:pPr>
            <w:r>
              <w:rPr>
                <w:rFonts w:ascii="Arial" w:cs="Arial" w:eastAsia="Arial" w:hAnsi="Arial"/>
                <w:sz w:val="11"/>
                <w:szCs w:val="11"/>
                <w:b w:val="1"/>
                <w:bCs w:val="1"/>
                <w:color w:val="auto"/>
              </w:rPr>
              <w:t>Supplemental disclosure of non-cash investing</w:t>
            </w:r>
          </w:p>
        </w:tc>
        <w:tc>
          <w:tcPr>
            <w:tcW w:w="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00" w:type="dxa"/>
            <w:vAlign w:val="bottom"/>
            <w:tcBorders>
              <w:righ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330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and financing activities:</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300" w:type="dxa"/>
            <w:vAlign w:val="bottom"/>
          </w:tcPr>
          <w:p>
            <w:pPr>
              <w:ind w:left="140"/>
              <w:spacing w:after="0"/>
              <w:rPr>
                <w:sz w:val="20"/>
                <w:szCs w:val="20"/>
                <w:color w:val="auto"/>
              </w:rPr>
            </w:pPr>
            <w:r>
              <w:rPr>
                <w:rFonts w:ascii="Arial" w:cs="Arial" w:eastAsia="Arial" w:hAnsi="Arial"/>
                <w:sz w:val="13"/>
                <w:szCs w:val="13"/>
                <w:color w:val="auto"/>
              </w:rPr>
              <w:t>Issuance of common units in exchange for asset</w:t>
            </w: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tcPr>
          <w:p>
            <w:pPr>
              <w:jc w:val="right"/>
              <w:ind w:right="15"/>
              <w:spacing w:after="0"/>
              <w:rPr>
                <w:sz w:val="20"/>
                <w:szCs w:val="20"/>
                <w:color w:val="auto"/>
              </w:rPr>
            </w:pPr>
            <w:r>
              <w:rPr>
                <w:rFonts w:ascii="Arial" w:cs="Arial" w:eastAsia="Arial" w:hAnsi="Arial"/>
                <w:sz w:val="13"/>
                <w:szCs w:val="13"/>
                <w:b w:val="1"/>
                <w:bCs w:val="1"/>
                <w:color w:val="auto"/>
              </w:rPr>
              <w:t>—</w:t>
            </w:r>
          </w:p>
        </w:tc>
        <w:tc>
          <w:tcPr>
            <w:tcW w:w="900" w:type="dxa"/>
            <w:vAlign w:val="bottom"/>
            <w:vMerge w:val="restart"/>
          </w:tcPr>
          <w:p>
            <w:pPr>
              <w:jc w:val="right"/>
              <w:ind w:right="15"/>
              <w:spacing w:after="0"/>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251,700</w:t>
            </w: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17"/>
        </w:trPr>
        <w:tc>
          <w:tcPr>
            <w:tcW w:w="3300" w:type="dxa"/>
            <w:vAlign w:val="bottom"/>
          </w:tcPr>
          <w:p>
            <w:pPr>
              <w:ind w:left="260"/>
              <w:spacing w:after="0" w:line="97" w:lineRule="exact"/>
              <w:rPr>
                <w:sz w:val="20"/>
                <w:szCs w:val="20"/>
                <w:color w:val="auto"/>
              </w:rPr>
            </w:pPr>
            <w:r>
              <w:rPr>
                <w:rFonts w:ascii="Arial" w:cs="Arial" w:eastAsia="Arial" w:hAnsi="Arial"/>
                <w:sz w:val="11"/>
                <w:szCs w:val="11"/>
                <w:color w:val="auto"/>
              </w:rPr>
              <w:t>acquisition</w:t>
            </w:r>
          </w:p>
        </w:tc>
        <w:tc>
          <w:tcPr>
            <w:tcW w:w="80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600" w:type="dxa"/>
            <w:vAlign w:val="bottom"/>
            <w:tcBorders>
              <w:right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300" w:type="dxa"/>
            <w:vAlign w:val="bottom"/>
            <w:shd w:val="clear" w:color="auto" w:fill="CCEEFF"/>
          </w:tcPr>
          <w:p>
            <w:pPr>
              <w:ind w:left="140"/>
              <w:spacing w:after="0" w:line="114" w:lineRule="exact"/>
              <w:rPr>
                <w:sz w:val="20"/>
                <w:szCs w:val="20"/>
                <w:color w:val="auto"/>
              </w:rPr>
            </w:pPr>
            <w:r>
              <w:rPr>
                <w:rFonts w:ascii="Arial" w:cs="Arial" w:eastAsia="Arial" w:hAnsi="Arial"/>
                <w:sz w:val="13"/>
                <w:szCs w:val="13"/>
                <w:color w:val="auto"/>
              </w:rPr>
              <w:t>Purchase of property and equipment, accrued and</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b w:val="1"/>
                <w:bCs w:val="1"/>
                <w:color w:val="auto"/>
              </w:rPr>
              <w:t>4,472</w:t>
            </w:r>
          </w:p>
        </w:tc>
        <w:tc>
          <w:tcPr>
            <w:tcW w:w="9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unpaid</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560" w:type="dxa"/>
            <w:vAlign w:val="bottom"/>
            <w:tcBorders>
              <w:bottom w:val="single" w:sz="8" w:color="CCEEFF"/>
            </w:tcBorders>
            <w:vMerge w:val="continue"/>
            <w:shd w:val="clear" w:color="auto" w:fill="CCEEFF"/>
          </w:tcPr>
          <w:p>
            <w:pPr>
              <w:spacing w:after="0"/>
              <w:rPr>
                <w:sz w:val="16"/>
                <w:szCs w:val="16"/>
                <w:color w:val="auto"/>
              </w:rPr>
            </w:pP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60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-1588770</wp:posOffset>
            </wp:positionV>
            <wp:extent cx="2110105"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1010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-2136775</wp:posOffset>
            </wp:positionV>
            <wp:extent cx="2110105"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1010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-2781300</wp:posOffset>
            </wp:positionV>
            <wp:extent cx="2110105"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10105" cy="6985"/>
                    </a:xfrm>
                    <a:prstGeom prst="rect">
                      <a:avLst/>
                    </a:prstGeom>
                    <a:noFill/>
                  </pic:spPr>
                </pic:pic>
              </a:graphicData>
            </a:graphic>
          </wp:anchor>
        </w:drawing>
      </w:r>
    </w:p>
    <w:p>
      <w:pPr>
        <w:spacing w:after="0" w:line="218" w:lineRule="exact"/>
        <w:rPr>
          <w:sz w:val="20"/>
          <w:szCs w:val="20"/>
          <w:color w:val="auto"/>
        </w:rPr>
      </w:pPr>
    </w:p>
    <w:p>
      <w:pPr>
        <w:ind w:left="122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19" w:name="page220"/>
    <w:bookmarkEnd w:id="219"/>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right="2439"/>
        <w:spacing w:after="0" w:line="223" w:lineRule="auto"/>
        <w:rPr>
          <w:sz w:val="20"/>
          <w:szCs w:val="20"/>
          <w:color w:val="auto"/>
        </w:rPr>
      </w:pPr>
      <w:r>
        <w:rPr>
          <w:rFonts w:ascii="Arial" w:cs="Arial" w:eastAsia="Arial" w:hAnsi="Arial"/>
          <w:sz w:val="23"/>
          <w:szCs w:val="23"/>
          <w:b w:val="1"/>
          <w:bCs w:val="1"/>
          <w:color w:val="auto"/>
        </w:rPr>
        <w:t>Century Therapeutics, Inc. and Subsidiary Notes to the consolidated financial statements December 31, 2020 and 2019</w:t>
      </w:r>
    </w:p>
    <w:p>
      <w:pPr>
        <w:spacing w:after="0" w:line="3" w:lineRule="exact"/>
        <w:rPr>
          <w:sz w:val="20"/>
          <w:szCs w:val="20"/>
          <w:color w:val="auto"/>
        </w:rPr>
      </w:pPr>
    </w:p>
    <w:p>
      <w:pPr>
        <w:ind w:left="1220" w:right="2359"/>
        <w:spacing w:after="0" w:line="233" w:lineRule="auto"/>
        <w:rPr>
          <w:sz w:val="20"/>
          <w:szCs w:val="20"/>
          <w:color w:val="auto"/>
        </w:rPr>
      </w:pPr>
      <w:r>
        <w:rPr>
          <w:rFonts w:ascii="Arial" w:cs="Arial" w:eastAsia="Arial" w:hAnsi="Arial"/>
          <w:sz w:val="23"/>
          <w:szCs w:val="23"/>
          <w:b w:val="1"/>
          <w:bCs w:val="1"/>
          <w:color w:val="auto"/>
        </w:rPr>
        <w:t>(In thousands, except unit, share and per share amounts)</w:t>
      </w:r>
    </w:p>
    <w:p>
      <w:pPr>
        <w:spacing w:after="0" w:line="12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1—Organization and description of the business</w:t>
      </w:r>
    </w:p>
    <w:p>
      <w:pPr>
        <w:spacing w:after="0" w:line="122" w:lineRule="exact"/>
        <w:rPr>
          <w:sz w:val="20"/>
          <w:szCs w:val="20"/>
          <w:color w:val="auto"/>
        </w:rPr>
      </w:pPr>
    </w:p>
    <w:p>
      <w:pPr>
        <w:jc w:val="both"/>
        <w:ind w:left="1220" w:right="1499"/>
        <w:spacing w:after="0" w:line="265" w:lineRule="auto"/>
        <w:rPr>
          <w:sz w:val="20"/>
          <w:szCs w:val="20"/>
          <w:color w:val="auto"/>
        </w:rPr>
      </w:pPr>
      <w:r>
        <w:rPr>
          <w:rFonts w:ascii="Arial" w:cs="Arial" w:eastAsia="Arial" w:hAnsi="Arial"/>
          <w:sz w:val="14"/>
          <w:szCs w:val="14"/>
          <w:color w:val="auto"/>
        </w:rPr>
        <w:t>Century Therapeutics, Inc. (“Prior Century” or “Predecessor”), was incorporated in the state of Delaware on March 5, 2018. Since inception, Prior Century has devoted substantially all of its time and efforts to performing research and development activities and raising capital.</w:t>
      </w:r>
    </w:p>
    <w:p>
      <w:pPr>
        <w:spacing w:after="0" w:line="103"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On June 5, 2019, Century Therapeutics, LLC (the “Company” or “Successor”) was formed by Prior Century and entered into an LLC Agreement (“Agreement”). On June 21, 2019, Prior Century, through the execution of a commitment agreement and other transaction documents (altogether the “Commitment Agreement”) with Bayer Health, LLC (“Bayer”), financed the creation of the Company and amended the Agreement to account for the provisions in the Commitment Agreement that outlined the rights, obligations, and capital contributions of both Bayer and Prior Century in accordance with the newly executed and amended Agreement and related Commitment Agreement (the “Transaction”). The Transaction resulted in Prior Century contributing substantially all of its assets, liabilities, and operations in exchange for a retained 72% equity interest in the Company. Subsequent to June 21, 2019, Prior Century has no significant operations and accounts for its interest in the Company under the equity method of accounting.</w:t>
      </w:r>
    </w:p>
    <w:p>
      <w:pPr>
        <w:spacing w:after="0" w:line="279" w:lineRule="exact"/>
        <w:rPr>
          <w:sz w:val="20"/>
          <w:szCs w:val="20"/>
          <w:color w:val="auto"/>
        </w:rPr>
      </w:pPr>
    </w:p>
    <w:p>
      <w:pPr>
        <w:ind w:left="1220" w:right="1519"/>
        <w:spacing w:after="0" w:line="260" w:lineRule="auto"/>
        <w:rPr>
          <w:sz w:val="20"/>
          <w:szCs w:val="20"/>
          <w:color w:val="auto"/>
        </w:rPr>
      </w:pPr>
      <w:r>
        <w:rPr>
          <w:rFonts w:ascii="Arial" w:cs="Arial" w:eastAsia="Arial" w:hAnsi="Arial"/>
          <w:sz w:val="14"/>
          <w:szCs w:val="14"/>
          <w:color w:val="auto"/>
        </w:rPr>
        <w:t>As discussed in Note 17, Subsequent Events, 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w:t>
      </w:r>
    </w:p>
    <w:p>
      <w:pPr>
        <w:spacing w:after="0" w:line="97" w:lineRule="exact"/>
        <w:rPr>
          <w:sz w:val="20"/>
          <w:szCs w:val="20"/>
          <w:color w:val="auto"/>
        </w:rPr>
      </w:pPr>
    </w:p>
    <w:p>
      <w:pPr>
        <w:ind w:left="1220" w:right="1519"/>
        <w:spacing w:after="0" w:line="274" w:lineRule="auto"/>
        <w:rPr>
          <w:sz w:val="20"/>
          <w:szCs w:val="20"/>
          <w:color w:val="auto"/>
        </w:rPr>
      </w:pPr>
      <w:r>
        <w:rPr>
          <w:rFonts w:ascii="Arial" w:cs="Arial" w:eastAsia="Arial" w:hAnsi="Arial"/>
          <w:sz w:val="14"/>
          <w:szCs w:val="14"/>
          <w:color w:val="auto"/>
        </w:rPr>
        <w:t>In June 2020, the Company formed Century Therapeutics Canada ULC (“Century Canada”), a wholly owned subsidiary, to acquire the assets of Empirica Therapeutics, Inc. (“Empirica”).</w:t>
      </w:r>
    </w:p>
    <w:p>
      <w:pPr>
        <w:spacing w:after="0" w:line="96" w:lineRule="exact"/>
        <w:rPr>
          <w:sz w:val="20"/>
          <w:szCs w:val="20"/>
          <w:color w:val="auto"/>
        </w:rPr>
      </w:pPr>
    </w:p>
    <w:p>
      <w:pPr>
        <w:ind w:left="1220" w:right="1299"/>
        <w:spacing w:after="0" w:line="262" w:lineRule="auto"/>
        <w:rPr>
          <w:sz w:val="20"/>
          <w:szCs w:val="20"/>
          <w:color w:val="auto"/>
        </w:rPr>
      </w:pPr>
      <w:r>
        <w:rPr>
          <w:rFonts w:ascii="Arial" w:cs="Arial" w:eastAsia="Arial" w:hAnsi="Arial"/>
          <w:sz w:val="14"/>
          <w:szCs w:val="14"/>
          <w:color w:val="auto"/>
        </w:rPr>
        <w:t>The Company’s headquarters are located in Philadelphia, Pennsylvania. Prior to the conversion of the Company from an LLC to a Delaware corporation noted above, the Company’s capital structure was comprised of common limited liability membership interests, issued in the form of a single class of common units, with no stated limit to a members’ liability or a finite life to the Company.</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36" w:lineRule="exact"/>
        <w:rPr>
          <w:sz w:val="20"/>
          <w:szCs w:val="20"/>
          <w:color w:val="auto"/>
        </w:rPr>
      </w:pPr>
    </w:p>
    <w:p>
      <w:pPr>
        <w:ind w:left="1220" w:right="1779"/>
        <w:spacing w:after="0" w:line="265" w:lineRule="auto"/>
        <w:rPr>
          <w:sz w:val="20"/>
          <w:szCs w:val="20"/>
          <w:color w:val="auto"/>
        </w:rPr>
      </w:pPr>
      <w:r>
        <w:rPr>
          <w:rFonts w:ascii="Arial" w:cs="Arial" w:eastAsia="Arial" w:hAnsi="Arial"/>
          <w:sz w:val="14"/>
          <w:szCs w:val="14"/>
          <w:color w:val="auto"/>
        </w:rPr>
        <w:t>The consolidated financial statements include the consolidated financial position and consolidated results of operations of the Company and Century Canada. All intercompany balances and transactions have been eliminated in consolidation.</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Going concern and liquidity</w:t>
      </w:r>
    </w:p>
    <w:p>
      <w:pPr>
        <w:spacing w:after="0" w:line="125"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pharmaceutical industry. These risks include, but are not limited to, the uncertainty of availability of additional financing and the uncertainty of achieving future profitability.</w:t>
      </w:r>
    </w:p>
    <w:p>
      <w:pPr>
        <w:spacing w:after="0" w:line="106" w:lineRule="exact"/>
        <w:rPr>
          <w:sz w:val="20"/>
          <w:szCs w:val="20"/>
          <w:color w:val="auto"/>
        </w:rPr>
      </w:pPr>
    </w:p>
    <w:p>
      <w:pPr>
        <w:ind w:left="1220" w:right="1259"/>
        <w:spacing w:after="0" w:line="261" w:lineRule="auto"/>
        <w:rPr>
          <w:sz w:val="20"/>
          <w:szCs w:val="20"/>
          <w:color w:val="auto"/>
        </w:rPr>
      </w:pPr>
      <w:r>
        <w:rPr>
          <w:rFonts w:ascii="Arial" w:cs="Arial" w:eastAsia="Arial" w:hAnsi="Arial"/>
          <w:sz w:val="14"/>
          <w:szCs w:val="14"/>
          <w:color w:val="auto"/>
        </w:rPr>
        <w:t>Since inception, both the Company and Prior Century have incurred net losses and negative cash flows from operations. During the Successor year ended December 31, 2020, the Company incurred a net loss of $53,575 and used $41,269 of cash for operations. During the Successor period June 21, 2019 through December 31, 2019, the Company incurred a net loss of $238,767 and used $11,768 of cash for operations. During the Predecessor</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20" w:name="page221"/>
    <w:bookmarkEnd w:id="220"/>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period January 1, 2019 through June 20, 2019, Prior Century incurred a net loss of $6,002 and used $4,400 of cash for operations. Management expects to incur additional losses in the future to fund its operations and conduct product research and development and recognizes the need to raise additional capital to fully implement its business plan. As further described in Note 3, the Company obtained a cash capital commitment from Bayer totaling $215,000, from which net proceeds of $74,839 were received in June 2019, $38,100 were received in November 2020 and $31,900 were received in January 2021. Bayer has no continuing obligation to invest any additional amounts under its commitment, which terminated on February 25, 2021. As further described in Note 9, the Company entered into a Loan Agreement pursuant to which it received net proceeds of $9,734 in September 2020. As described in Note 16, in February 2021 the Company issued shares of Series C Preferred Stock (“Series C preferred”) resulting in gross proceeds of $160,000. The Company believes it has adequate cash and financial resources to operate for at-least the next 12 months from the date of issuance of these consolidated financial statements.</w:t>
      </w:r>
    </w:p>
    <w:p>
      <w:pPr>
        <w:spacing w:after="0" w:line="200" w:lineRule="exact"/>
        <w:rPr>
          <w:sz w:val="20"/>
          <w:szCs w:val="20"/>
          <w:color w:val="auto"/>
        </w:rPr>
      </w:pPr>
    </w:p>
    <w:p>
      <w:pPr>
        <w:spacing w:after="0" w:line="286" w:lineRule="exact"/>
        <w:rPr>
          <w:sz w:val="20"/>
          <w:szCs w:val="20"/>
          <w:color w:val="auto"/>
        </w:rPr>
      </w:pPr>
    </w:p>
    <w:p>
      <w:pPr>
        <w:ind w:left="1220" w:right="2199"/>
        <w:spacing w:after="0" w:line="267" w:lineRule="auto"/>
        <w:rPr>
          <w:sz w:val="20"/>
          <w:szCs w:val="20"/>
          <w:color w:val="auto"/>
        </w:rPr>
      </w:pPr>
      <w:r>
        <w:rPr>
          <w:rFonts w:ascii="Arial" w:cs="Arial" w:eastAsia="Arial" w:hAnsi="Arial"/>
          <w:sz w:val="17"/>
          <w:szCs w:val="17"/>
          <w:b w:val="1"/>
          <w:bCs w:val="1"/>
          <w:color w:val="auto"/>
        </w:rPr>
        <w:t>Note 2—Summary of significant accounting policies and basis of presentation</w:t>
      </w:r>
    </w:p>
    <w:p>
      <w:pPr>
        <w:spacing w:after="0" w:line="10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25" w:lineRule="exact"/>
        <w:rPr>
          <w:sz w:val="20"/>
          <w:szCs w:val="20"/>
          <w:color w:val="auto"/>
        </w:rPr>
      </w:pPr>
    </w:p>
    <w:p>
      <w:pPr>
        <w:ind w:left="1220" w:right="1299"/>
        <w:spacing w:after="0" w:line="262" w:lineRule="auto"/>
        <w:rPr>
          <w:sz w:val="20"/>
          <w:szCs w:val="20"/>
          <w:color w:val="auto"/>
        </w:rPr>
      </w:pPr>
      <w:r>
        <w:rPr>
          <w:rFonts w:ascii="Arial" w:cs="Arial" w:eastAsia="Arial" w:hAnsi="Arial"/>
          <w:sz w:val="14"/>
          <w:szCs w:val="14"/>
          <w:color w:val="auto"/>
        </w:rPr>
        <w:t>The accompanying consolidated financial statements have been prepared in conformity with accounting principles generally accepted in the United States of America (“US GAAP”), which contemplate the continued existence of the Company. Since commencing principal activities, the Company has been engaged primarily in research and development activities and raising capital.</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Merger and capital restructuring</w:t>
      </w:r>
    </w:p>
    <w:p>
      <w:pPr>
        <w:spacing w:after="0" w:line="136"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Upon the conversion of the LLC to a corporation and the merger of the newly converted corporation with Prior Century, the existing capital structure of the LLC was restructured with no consideration transferred. In accordance with ASC 505-10-S99-4, such a restructuring requires retroactive effect within the balance sheets presented as the restructuring was affected after the balance sheet date but prior to the effective date of the registration statement. As such, the Company retroactively adjusted its consolidated balance sheets to cancel the existing LLC units and give effect to their conversion into capital stock of the Company as if those effects happened at the beginning of the successor period, June 21, 2019. See Note 10 for further information on the Company’s capital restructuring.</w:t>
      </w:r>
    </w:p>
    <w:p>
      <w:pPr>
        <w:spacing w:after="0" w:line="31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Segment information</w:t>
      </w:r>
    </w:p>
    <w:p>
      <w:pPr>
        <w:spacing w:after="0" w:line="136" w:lineRule="exact"/>
        <w:rPr>
          <w:sz w:val="20"/>
          <w:szCs w:val="20"/>
          <w:color w:val="auto"/>
        </w:rPr>
      </w:pPr>
    </w:p>
    <w:p>
      <w:pPr>
        <w:ind w:left="1220" w:right="1439"/>
        <w:spacing w:after="0" w:line="262" w:lineRule="auto"/>
        <w:rPr>
          <w:sz w:val="20"/>
          <w:szCs w:val="20"/>
          <w:color w:val="auto"/>
        </w:rPr>
      </w:pPr>
      <w:r>
        <w:rPr>
          <w:rFonts w:ascii="Arial" w:cs="Arial" w:eastAsia="Arial" w:hAnsi="Arial"/>
          <w:sz w:val="14"/>
          <w:szCs w:val="14"/>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25" w:lineRule="exact"/>
        <w:rPr>
          <w:sz w:val="20"/>
          <w:szCs w:val="20"/>
          <w:color w:val="auto"/>
        </w:rPr>
      </w:pPr>
    </w:p>
    <w:p>
      <w:pPr>
        <w:ind w:left="1220" w:right="1319"/>
        <w:spacing w:after="0" w:line="259" w:lineRule="auto"/>
        <w:rPr>
          <w:sz w:val="20"/>
          <w:szCs w:val="20"/>
          <w:color w:val="auto"/>
        </w:rPr>
      </w:pPr>
      <w:r>
        <w:rPr>
          <w:rFonts w:ascii="Arial" w:cs="Arial" w:eastAsia="Arial" w:hAnsi="Arial"/>
          <w:sz w:val="14"/>
          <w:szCs w:val="14"/>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and the estimation of the incremental borrowing rate for operating leases. If actual results differ from the Company’s estimates, or to the extent these estimates are adjusted in future periods, the Company’s results of operations could either benefit from, or be adversely affected by, any such change in estimate.</w:t>
      </w:r>
    </w:p>
    <w:p>
      <w:pPr>
        <w:spacing w:after="0" w:line="31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Concentration of credit risk and other risks and uncertainties</w:t>
      </w:r>
    </w:p>
    <w:p>
      <w:pPr>
        <w:spacing w:after="0" w:line="136" w:lineRule="exact"/>
        <w:rPr>
          <w:sz w:val="20"/>
          <w:szCs w:val="20"/>
          <w:color w:val="auto"/>
        </w:rPr>
      </w:pPr>
    </w:p>
    <w:p>
      <w:pPr>
        <w:ind w:left="1220" w:right="1319"/>
        <w:spacing w:after="0" w:line="262" w:lineRule="auto"/>
        <w:rPr>
          <w:sz w:val="20"/>
          <w:szCs w:val="20"/>
          <w:color w:val="auto"/>
        </w:rPr>
      </w:pPr>
      <w:r>
        <w:rPr>
          <w:rFonts w:ascii="Arial" w:cs="Arial" w:eastAsia="Arial" w:hAnsi="Arial"/>
          <w:sz w:val="14"/>
          <w:szCs w:val="14"/>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21" w:name="page222"/>
    <w:bookmarkEnd w:id="221"/>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220" w:right="1239"/>
        <w:spacing w:after="0" w:line="281" w:lineRule="auto"/>
        <w:rPr>
          <w:sz w:val="20"/>
          <w:szCs w:val="20"/>
          <w:color w:val="auto"/>
        </w:rPr>
      </w:pPr>
      <w:r>
        <w:rPr>
          <w:rFonts w:ascii="Arial" w:cs="Arial" w:eastAsia="Arial" w:hAnsi="Arial"/>
          <w:sz w:val="14"/>
          <w:szCs w:val="14"/>
          <w:color w:val="auto"/>
        </w:rPr>
        <w:t>limited number of financial institutions. At times, such deposits may be in excess of insured limits. As of December 31, 2020 and 2019, the Company has not experienced any losses on its deposits of cash and cash equivalents.</w:t>
      </w:r>
    </w:p>
    <w:p>
      <w:pPr>
        <w:spacing w:after="0" w:line="93" w:lineRule="exact"/>
        <w:rPr>
          <w:sz w:val="20"/>
          <w:szCs w:val="20"/>
          <w:color w:val="auto"/>
        </w:rPr>
      </w:pPr>
    </w:p>
    <w:p>
      <w:pPr>
        <w:ind w:left="1220" w:right="1319"/>
        <w:spacing w:after="0" w:line="278" w:lineRule="auto"/>
        <w:rPr>
          <w:sz w:val="20"/>
          <w:szCs w:val="20"/>
          <w:color w:val="auto"/>
        </w:rPr>
      </w:pPr>
      <w:r>
        <w:rPr>
          <w:rFonts w:ascii="Arial" w:cs="Arial" w:eastAsia="Arial" w:hAnsi="Arial"/>
          <w:sz w:val="14"/>
          <w:szCs w:val="14"/>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287" w:lineRule="exact"/>
        <w:rPr>
          <w:sz w:val="20"/>
          <w:szCs w:val="20"/>
          <w:color w:val="auto"/>
        </w:rPr>
      </w:pPr>
    </w:p>
    <w:p>
      <w:pPr>
        <w:ind w:left="1220" w:right="1319"/>
        <w:spacing w:after="0" w:line="277" w:lineRule="auto"/>
        <w:rPr>
          <w:sz w:val="20"/>
          <w:szCs w:val="20"/>
          <w:color w:val="auto"/>
        </w:rPr>
      </w:pPr>
      <w:r>
        <w:rPr>
          <w:rFonts w:ascii="Arial" w:cs="Arial" w:eastAsia="Arial" w:hAnsi="Arial"/>
          <w:sz w:val="14"/>
          <w:szCs w:val="14"/>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107" w:lineRule="exact"/>
        <w:rPr>
          <w:sz w:val="20"/>
          <w:szCs w:val="20"/>
          <w:color w:val="auto"/>
        </w:rPr>
      </w:pPr>
    </w:p>
    <w:p>
      <w:pPr>
        <w:ind w:left="1220" w:right="1319"/>
        <w:spacing w:after="0" w:line="276" w:lineRule="auto"/>
        <w:rPr>
          <w:sz w:val="20"/>
          <w:szCs w:val="20"/>
          <w:color w:val="auto"/>
        </w:rPr>
      </w:pPr>
      <w:r>
        <w:rPr>
          <w:rFonts w:ascii="Arial" w:cs="Arial" w:eastAsia="Arial" w:hAnsi="Arial"/>
          <w:sz w:val="14"/>
          <w:szCs w:val="14"/>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30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Deferred financing costs</w:t>
      </w:r>
    </w:p>
    <w:p>
      <w:pPr>
        <w:spacing w:after="0" w:line="136" w:lineRule="exact"/>
        <w:rPr>
          <w:sz w:val="20"/>
          <w:szCs w:val="20"/>
          <w:color w:val="auto"/>
        </w:rPr>
      </w:pPr>
    </w:p>
    <w:p>
      <w:pPr>
        <w:ind w:left="1220" w:right="1279"/>
        <w:spacing w:after="0" w:line="277" w:lineRule="auto"/>
        <w:rPr>
          <w:sz w:val="20"/>
          <w:szCs w:val="20"/>
          <w:color w:val="auto"/>
        </w:rPr>
      </w:pPr>
      <w:r>
        <w:rPr>
          <w:rFonts w:ascii="Arial" w:cs="Arial" w:eastAsia="Arial" w:hAnsi="Arial"/>
          <w:sz w:val="14"/>
          <w:szCs w:val="14"/>
          <w:color w:val="auto"/>
        </w:rPr>
        <w:t>Deferred financing costs represent costs incurred in connection with the issuance of debt instruments and equity financings. Deferred financing costs related to the issuance of debt are amortized over the term of the financing instrument using the effective interest method and are presented in the consolidated balance sheets as an offset against the related debt. Offering costs from equity financings are netted against the gross proceeds received from the equity financings.</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46"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10" w:lineRule="exact"/>
        <w:rPr>
          <w:sz w:val="20"/>
          <w:szCs w:val="20"/>
          <w:color w:val="auto"/>
        </w:rPr>
      </w:pPr>
    </w:p>
    <w:p>
      <w:pPr>
        <w:ind w:left="1920" w:right="1539" w:hanging="690"/>
        <w:spacing w:after="0" w:line="290" w:lineRule="auto"/>
        <w:tabs>
          <w:tab w:leader="none" w:pos="1900" w:val="left"/>
        </w:tabs>
        <w:rPr>
          <w:sz w:val="20"/>
          <w:szCs w:val="20"/>
          <w:color w:val="auto"/>
        </w:rPr>
      </w:pPr>
      <w:r>
        <w:rPr>
          <w:rFonts w:ascii="Arial" w:cs="Arial" w:eastAsia="Arial" w:hAnsi="Arial"/>
          <w:sz w:val="14"/>
          <w:szCs w:val="14"/>
          <w:color w:val="auto"/>
        </w:rPr>
        <w:t>Level 1</w:t>
        <w:tab/>
        <w:t>Inputs that reflect unadjusted quoted prices in active markets for identical assets or liabilities that the Company has the ability to access at the measurement date;</w:t>
      </w:r>
    </w:p>
    <w:p>
      <w:pPr>
        <w:spacing w:after="0" w:line="86" w:lineRule="exact"/>
        <w:rPr>
          <w:sz w:val="20"/>
          <w:szCs w:val="20"/>
          <w:color w:val="auto"/>
        </w:rPr>
      </w:pPr>
    </w:p>
    <w:p>
      <w:pPr>
        <w:ind w:left="1920" w:right="1459" w:hanging="690"/>
        <w:spacing w:after="0" w:line="290" w:lineRule="auto"/>
        <w:tabs>
          <w:tab w:leader="none" w:pos="1900" w:val="left"/>
        </w:tabs>
        <w:rPr>
          <w:sz w:val="20"/>
          <w:szCs w:val="20"/>
          <w:color w:val="auto"/>
        </w:rPr>
      </w:pPr>
      <w:r>
        <w:rPr>
          <w:rFonts w:ascii="Arial" w:cs="Arial" w:eastAsia="Arial" w:hAnsi="Arial"/>
          <w:sz w:val="14"/>
          <w:szCs w:val="14"/>
          <w:color w:val="auto"/>
        </w:rPr>
        <w:t>Level 2</w:t>
        <w:tab/>
        <w:t>Inputs other than quoted prices that are observable for the asset or liability either directly or indirectly, including inputs in markets that are not considered to be active;</w:t>
      </w:r>
    </w:p>
    <w:p>
      <w:pPr>
        <w:spacing w:after="0" w:line="96" w:lineRule="exact"/>
        <w:rPr>
          <w:sz w:val="20"/>
          <w:szCs w:val="20"/>
          <w:color w:val="auto"/>
        </w:rPr>
      </w:pPr>
    </w:p>
    <w:p>
      <w:pPr>
        <w:ind w:left="1920" w:right="1619" w:hanging="690"/>
        <w:spacing w:after="0" w:line="290" w:lineRule="auto"/>
        <w:tabs>
          <w:tab w:leader="none" w:pos="1900" w:val="left"/>
        </w:tabs>
        <w:rPr>
          <w:sz w:val="20"/>
          <w:szCs w:val="20"/>
          <w:color w:val="auto"/>
        </w:rPr>
      </w:pPr>
      <w:r>
        <w:rPr>
          <w:rFonts w:ascii="Arial" w:cs="Arial" w:eastAsia="Arial" w:hAnsi="Arial"/>
          <w:sz w:val="14"/>
          <w:szCs w:val="14"/>
          <w:color w:val="auto"/>
        </w:rPr>
        <w:t>Level 3</w:t>
        <w:tab/>
        <w:t>Inputs are unobservable in which there is little or no market data available, which require the reporting entity to develop its own assumptions that are unobservable.</w:t>
      </w:r>
    </w:p>
    <w:p>
      <w:pPr>
        <w:spacing w:after="0" w:line="96" w:lineRule="exact"/>
        <w:rPr>
          <w:sz w:val="20"/>
          <w:szCs w:val="20"/>
          <w:color w:val="auto"/>
        </w:rPr>
      </w:pPr>
    </w:p>
    <w:p>
      <w:pPr>
        <w:ind w:left="1220" w:right="1299"/>
        <w:spacing w:after="0" w:line="278" w:lineRule="auto"/>
        <w:rPr>
          <w:sz w:val="20"/>
          <w:szCs w:val="20"/>
          <w:color w:val="auto"/>
        </w:rPr>
      </w:pPr>
      <w:r>
        <w:rPr>
          <w:rFonts w:ascii="Arial" w:cs="Arial" w:eastAsia="Arial" w:hAnsi="Arial"/>
          <w:sz w:val="14"/>
          <w:szCs w:val="14"/>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22" w:name="page223"/>
    <w:bookmarkEnd w:id="222"/>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36" w:lineRule="exact"/>
        <w:rPr>
          <w:sz w:val="20"/>
          <w:szCs w:val="20"/>
          <w:color w:val="auto"/>
        </w:rPr>
      </w:pPr>
    </w:p>
    <w:p>
      <w:pPr>
        <w:jc w:val="both"/>
        <w:ind w:left="1220" w:right="1559"/>
        <w:spacing w:after="0" w:line="290" w:lineRule="auto"/>
        <w:rPr>
          <w:sz w:val="20"/>
          <w:szCs w:val="20"/>
          <w:color w:val="auto"/>
        </w:rPr>
      </w:pPr>
      <w:r>
        <w:rPr>
          <w:rFonts w:ascii="Arial" w:cs="Arial" w:eastAsia="Arial" w:hAnsi="Arial"/>
          <w:sz w:val="14"/>
          <w:szCs w:val="14"/>
          <w:color w:val="auto"/>
        </w:rPr>
        <w:t>Management considers all highly liquid investments with an insignificant interest rate risk and original maturities of three months or less to be cash equivalents.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Restricted cash</w:t>
      </w:r>
    </w:p>
    <w:p>
      <w:pPr>
        <w:spacing w:after="0" w:line="146" w:lineRule="exact"/>
        <w:rPr>
          <w:sz w:val="20"/>
          <w:szCs w:val="20"/>
          <w:color w:val="auto"/>
        </w:rPr>
      </w:pPr>
    </w:p>
    <w:p>
      <w:pPr>
        <w:jc w:val="both"/>
        <w:ind w:left="1220" w:right="1559"/>
        <w:spacing w:after="0" w:line="281" w:lineRule="auto"/>
        <w:rPr>
          <w:sz w:val="20"/>
          <w:szCs w:val="20"/>
          <w:color w:val="auto"/>
        </w:rPr>
      </w:pPr>
      <w:r>
        <w:rPr>
          <w:rFonts w:ascii="Arial" w:cs="Arial" w:eastAsia="Arial" w:hAnsi="Arial"/>
          <w:sz w:val="14"/>
          <w:szCs w:val="14"/>
          <w:color w:val="auto"/>
        </w:rPr>
        <w:t>As of December 31, 2020, the Company has $517 in cash on deposit to secure certain lease commitments. Restricted cash is recorded separately in the Company’s consolidated balance sheets.</w:t>
      </w:r>
    </w:p>
    <w:p>
      <w:pPr>
        <w:spacing w:after="0" w:line="103" w:lineRule="exact"/>
        <w:rPr>
          <w:sz w:val="20"/>
          <w:szCs w:val="20"/>
          <w:color w:val="auto"/>
        </w:rPr>
      </w:pPr>
    </w:p>
    <w:p>
      <w:pPr>
        <w:ind w:left="1220" w:right="1339"/>
        <w:spacing w:after="0" w:line="281" w:lineRule="auto"/>
        <w:rPr>
          <w:sz w:val="20"/>
          <w:szCs w:val="20"/>
          <w:color w:val="auto"/>
        </w:rPr>
      </w:pPr>
      <w:r>
        <w:rPr>
          <w:rFonts w:ascii="Arial" w:cs="Arial" w:eastAsia="Arial" w:hAnsi="Arial"/>
          <w:sz w:val="14"/>
          <w:szCs w:val="14"/>
          <w:color w:val="auto"/>
        </w:rPr>
        <w:t>The following provides a reconciliation of the Company’s cash, cash equivalents, and restricted cash as reported in the consolidated balance sheets to the amounts reported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80010</wp:posOffset>
            </wp:positionV>
            <wp:extent cx="4165600" cy="139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34" w:lineRule="exact"/>
        <w:rPr>
          <w:sz w:val="20"/>
          <w:szCs w:val="20"/>
          <w:color w:val="auto"/>
        </w:rPr>
      </w:pPr>
    </w:p>
    <w:p>
      <w:pPr>
        <w:ind w:left="6140"/>
        <w:spacing w:after="0"/>
        <w:rPr>
          <w:sz w:val="20"/>
          <w:szCs w:val="20"/>
          <w:color w:val="auto"/>
        </w:rPr>
      </w:pPr>
      <w:r>
        <w:rPr>
          <w:rFonts w:ascii="Arial" w:cs="Arial" w:eastAsia="Arial" w:hAnsi="Arial"/>
          <w:sz w:val="13"/>
          <w:szCs w:val="13"/>
          <w:b w:val="1"/>
          <w:bCs w:val="1"/>
          <w:color w:val="auto"/>
        </w:rPr>
        <w:t>Successor</w:t>
      </w:r>
    </w:p>
    <w:p>
      <w:pPr>
        <w:spacing w:after="0" w:line="22"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3880" w:type="dxa"/>
            <w:vAlign w:val="bottom"/>
            <w:tcBorders>
              <w:top w:val="single" w:sz="8" w:color="auto"/>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December 31, 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December 31, 2019</w:t>
            </w:r>
          </w:p>
        </w:tc>
      </w:tr>
      <w:tr>
        <w:trPr>
          <w:trHeight w:val="166"/>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$ 27,211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$ 44,064</w:t>
            </w:r>
          </w:p>
        </w:tc>
      </w:tr>
      <w:tr>
        <w:trPr>
          <w:trHeight w:val="182"/>
        </w:trPr>
        <w:tc>
          <w:tcPr>
            <w:tcW w:w="3880" w:type="dxa"/>
            <w:vAlign w:val="bottom"/>
          </w:tcPr>
          <w:p>
            <w:pPr>
              <w:spacing w:after="0"/>
              <w:rPr>
                <w:sz w:val="20"/>
                <w:szCs w:val="20"/>
                <w:color w:val="auto"/>
              </w:rPr>
            </w:pPr>
            <w:r>
              <w:rPr>
                <w:rFonts w:ascii="Arial" w:cs="Arial" w:eastAsia="Arial" w:hAnsi="Arial"/>
                <w:sz w:val="14"/>
                <w:szCs w:val="14"/>
                <w:color w:val="auto"/>
              </w:rPr>
              <w:t>Restricted cash</w:t>
            </w: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517</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3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cash equivalents, and restricted cash</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$ 27,728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$ 44,064</w:t>
            </w:r>
          </w:p>
        </w:tc>
      </w:tr>
      <w:tr>
        <w:trPr>
          <w:trHeight w:val="20"/>
        </w:trPr>
        <w:tc>
          <w:tcPr>
            <w:tcW w:w="38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-403860</wp:posOffset>
            </wp:positionV>
            <wp:extent cx="2459990"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459990" cy="6985"/>
                    </a:xfrm>
                    <a:prstGeom prst="rect">
                      <a:avLst/>
                    </a:prstGeom>
                    <a:noFill/>
                  </pic:spPr>
                </pic:pic>
              </a:graphicData>
            </a:graphic>
          </wp:anchor>
        </w:drawing>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Fixed maturity securities</w:t>
      </w:r>
    </w:p>
    <w:p>
      <w:pPr>
        <w:spacing w:after="0" w:line="136"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Property and equipment, net</w:t>
      </w:r>
    </w:p>
    <w:p>
      <w:pPr>
        <w:spacing w:after="0" w:line="146" w:lineRule="exact"/>
        <w:rPr>
          <w:sz w:val="20"/>
          <w:szCs w:val="20"/>
          <w:color w:val="auto"/>
        </w:rPr>
      </w:pPr>
    </w:p>
    <w:p>
      <w:pPr>
        <w:jc w:val="both"/>
        <w:ind w:left="1220" w:right="1479"/>
        <w:spacing w:after="0" w:line="283" w:lineRule="auto"/>
        <w:rPr>
          <w:sz w:val="20"/>
          <w:szCs w:val="20"/>
          <w:color w:val="auto"/>
        </w:rPr>
      </w:pPr>
      <w:r>
        <w:rPr>
          <w:rFonts w:ascii="Arial" w:cs="Arial" w:eastAsia="Arial" w:hAnsi="Arial"/>
          <w:sz w:val="14"/>
          <w:szCs w:val="14"/>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w:t>
      </w:r>
    </w:p>
    <w:p>
      <w:pPr>
        <w:spacing w:after="0" w:line="283" w:lineRule="exact"/>
        <w:rPr>
          <w:sz w:val="20"/>
          <w:szCs w:val="20"/>
          <w:color w:val="auto"/>
        </w:rPr>
      </w:pPr>
    </w:p>
    <w:p>
      <w:pPr>
        <w:ind w:left="1220" w:right="1339"/>
        <w:spacing w:after="0" w:line="278" w:lineRule="auto"/>
        <w:rPr>
          <w:sz w:val="20"/>
          <w:szCs w:val="20"/>
          <w:color w:val="auto"/>
        </w:rPr>
      </w:pPr>
      <w:r>
        <w:rPr>
          <w:rFonts w:ascii="Arial" w:cs="Arial" w:eastAsia="Arial" w:hAnsi="Arial"/>
          <w:sz w:val="14"/>
          <w:szCs w:val="14"/>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6" w:lineRule="exact"/>
        <w:rPr>
          <w:sz w:val="20"/>
          <w:szCs w:val="20"/>
          <w:color w:val="auto"/>
        </w:rPr>
      </w:pPr>
    </w:p>
    <w:p>
      <w:pPr>
        <w:ind w:left="1220" w:right="1639"/>
        <w:spacing w:after="0" w:line="277" w:lineRule="auto"/>
        <w:rPr>
          <w:sz w:val="20"/>
          <w:szCs w:val="20"/>
          <w:color w:val="auto"/>
        </w:rPr>
      </w:pPr>
      <w:r>
        <w:rPr>
          <w:rFonts w:ascii="Arial" w:cs="Arial" w:eastAsia="Arial" w:hAnsi="Arial"/>
          <w:sz w:val="14"/>
          <w:szCs w:val="14"/>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and the cost of services provided by outside contractors. All costs associated with research and development are expensed as incurred.</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46" w:lineRule="exact"/>
        <w:rPr>
          <w:sz w:val="20"/>
          <w:szCs w:val="20"/>
          <w:color w:val="auto"/>
        </w:rPr>
      </w:pPr>
    </w:p>
    <w:p>
      <w:pPr>
        <w:ind w:left="1220" w:right="1239"/>
        <w:spacing w:after="0" w:line="277" w:lineRule="auto"/>
        <w:rPr>
          <w:sz w:val="20"/>
          <w:szCs w:val="20"/>
          <w:color w:val="auto"/>
        </w:rPr>
      </w:pPr>
      <w:r>
        <w:rPr>
          <w:rFonts w:ascii="Arial" w:cs="Arial" w:eastAsia="Arial" w:hAnsi="Arial"/>
          <w:sz w:val="14"/>
          <w:szCs w:val="14"/>
          <w:color w:val="auto"/>
        </w:rPr>
        <w:t>Employees and members of the board of managers of the Company have received stock options and restricted stock of Prior Century. The Company recognizes the cost of the stock-based compensation incurred by Prior Century on its behalf as its employees and board members vest in the awards. Prior Century accounts for stock-based compensation arrangements in accordance with provisions of Accounting Standards Codification (“ASC”) 718,</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23" w:name="page224"/>
    <w:bookmarkEnd w:id="223"/>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Prior Century uses the Black-Scholes option-pricing model (“Black Scholes”) to determine the fair value of options granted. Prior Century’s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268" w:lineRule="exact"/>
        <w:rPr>
          <w:sz w:val="20"/>
          <w:szCs w:val="20"/>
          <w:color w:val="auto"/>
        </w:rPr>
      </w:pPr>
    </w:p>
    <w:p>
      <w:pPr>
        <w:ind w:left="1220" w:right="1239"/>
        <w:spacing w:after="0" w:line="257" w:lineRule="auto"/>
        <w:rPr>
          <w:sz w:val="20"/>
          <w:szCs w:val="20"/>
          <w:color w:val="auto"/>
        </w:rPr>
      </w:pPr>
      <w:r>
        <w:rPr>
          <w:rFonts w:ascii="Arial" w:cs="Arial" w:eastAsia="Arial" w:hAnsi="Arial"/>
          <w:sz w:val="14"/>
          <w:szCs w:val="14"/>
          <w:color w:val="auto"/>
        </w:rPr>
        <w:t>Black-Scholes requires inputs based on certain subjective assumptions, including (i) the expected stock price volatility, (ii) the expected term of the award, (iii) the risk-free interest rate and</w:t>
      </w:r>
    </w:p>
    <w:p>
      <w:pPr>
        <w:ind w:left="1220" w:right="1279" w:firstLine="4"/>
        <w:spacing w:after="0" w:line="258" w:lineRule="auto"/>
        <w:tabs>
          <w:tab w:leader="none" w:pos="1478" w:val="left"/>
        </w:tabs>
        <w:numPr>
          <w:ilvl w:val="0"/>
          <w:numId w:val="126"/>
        </w:numPr>
        <w:rPr>
          <w:rFonts w:ascii="Arial" w:cs="Arial" w:eastAsia="Arial" w:hAnsi="Arial"/>
          <w:sz w:val="14"/>
          <w:szCs w:val="14"/>
          <w:color w:val="auto"/>
        </w:rPr>
      </w:pPr>
      <w:r>
        <w:rPr>
          <w:rFonts w:ascii="Arial" w:cs="Arial" w:eastAsia="Arial" w:hAnsi="Arial"/>
          <w:sz w:val="14"/>
          <w:szCs w:val="14"/>
          <w:color w:val="auto"/>
        </w:rPr>
        <w:t>expected dividends. Due to the lack of a public market for Prior Century’s common stock and lack of company-specific historical and implied volatility data, Prior Century has based its computation of expected volatility on the historical volatility of a representative group of public companies with similar characteristics to Prior Century, including stage of product development and life science industry focus. The historical volatility is calculated based on a period of time commensurate with expected term assumption. Prior Century uses the simplified method to calculate the expected term for options granted to employees and board members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Prior Century has never paid dividends and has no current plans to pay any dividends on its common stock. Forfeitures are recognized as they occur.</w:t>
      </w:r>
    </w:p>
    <w:p>
      <w:pPr>
        <w:spacing w:after="0" w:line="286" w:lineRule="exact"/>
        <w:rPr>
          <w:sz w:val="20"/>
          <w:szCs w:val="20"/>
          <w:color w:val="auto"/>
        </w:rPr>
      </w:pPr>
    </w:p>
    <w:p>
      <w:pPr>
        <w:ind w:left="1220" w:right="1359"/>
        <w:spacing w:after="0" w:line="258" w:lineRule="auto"/>
        <w:rPr>
          <w:sz w:val="20"/>
          <w:szCs w:val="20"/>
          <w:color w:val="auto"/>
        </w:rPr>
      </w:pPr>
      <w:r>
        <w:rPr>
          <w:rFonts w:ascii="Arial" w:cs="Arial" w:eastAsia="Arial" w:hAnsi="Arial"/>
          <w:sz w:val="14"/>
          <w:szCs w:val="14"/>
          <w:color w:val="auto"/>
        </w:rPr>
        <w:t>Due to the absence of an active market for Prior Century’s common stock, Prior Century utilized methodologies in accordance with the framework of the American Institute of Certified Public Accountants Technical Practice Aid, Valuation of Privately-Held Company Equity Securities Issued as Compensation, to estimate the fair value of its common stock. In determining the exercise prices for options granted, Prior Century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common stock, the effect of the rights and preferences of the preferred shareholders, and the prospects of a liquidity event. Among other factors are Prior Century’s financial position and historical financial performance, the status of technological developments within Prior Century’s research, the composition and ability of the current research and management team, an evaluation or benchmark of Prior Century’s competition, and the current business climate in the marketplace. Significant changes to the key assumptions underlying the factors used could result in different fair values of common stock at each valuation date.</w:t>
      </w:r>
    </w:p>
    <w:p>
      <w:pPr>
        <w:spacing w:after="0" w:line="312"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Warrants</w:t>
      </w:r>
    </w:p>
    <w:p>
      <w:pPr>
        <w:spacing w:after="0" w:line="136"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 xml:space="preserve">The Company has issued warrants that have been recognized as equity, and the fair value is recorded into additional paid-in capital in the accompanying consolidated balance sheets. Warrants are accounted for in accordance with applicable accounting guidance provided in ASC Topic 815, </w:t>
      </w:r>
      <w:r>
        <w:rPr>
          <w:rFonts w:ascii="Arial" w:cs="Arial" w:eastAsia="Arial" w:hAnsi="Arial"/>
          <w:sz w:val="14"/>
          <w:szCs w:val="14"/>
          <w:i w:val="1"/>
          <w:iCs w:val="1"/>
          <w:color w:val="auto"/>
        </w:rPr>
        <w:t>Derivatives and Hedging—Contracts in Entity’s Own Equity</w:t>
      </w:r>
      <w:r>
        <w:rPr>
          <w:rFonts w:ascii="Arial" w:cs="Arial" w:eastAsia="Arial" w:hAnsi="Arial"/>
          <w:sz w:val="14"/>
          <w:szCs w:val="14"/>
          <w:color w:val="auto"/>
        </w:rPr>
        <w:t>, as either derivative liabilities or as equity instruments depending on the specific terms of the warrant agreement. The Company’s warrants issued in connection with its long-term debt are equity classified on the accompanying consolidated balance sheets. Equity classified warrants are accounted for at fair value on the issuance date, using Black Scholes, with no changes in fair value recognized after the issuance date.</w:t>
      </w:r>
    </w:p>
    <w:p>
      <w:pPr>
        <w:spacing w:after="0" w:line="31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Non-cumulative convertible preferred stock</w:t>
      </w:r>
    </w:p>
    <w:p>
      <w:pPr>
        <w:spacing w:after="0" w:line="125" w:lineRule="exact"/>
        <w:rPr>
          <w:sz w:val="20"/>
          <w:szCs w:val="20"/>
          <w:color w:val="auto"/>
        </w:rPr>
      </w:pPr>
    </w:p>
    <w:p>
      <w:pPr>
        <w:ind w:left="1220" w:right="1319"/>
        <w:spacing w:after="0" w:line="261" w:lineRule="auto"/>
        <w:rPr>
          <w:sz w:val="20"/>
          <w:szCs w:val="20"/>
          <w:color w:val="auto"/>
        </w:rPr>
      </w:pPr>
      <w:r>
        <w:rPr>
          <w:rFonts w:ascii="Arial" w:cs="Arial" w:eastAsia="Arial" w:hAnsi="Arial"/>
          <w:sz w:val="14"/>
          <w:szCs w:val="14"/>
          <w:color w:val="auto"/>
        </w:rPr>
        <w:t>The Company’s non-cumulative convertible preferred stock is classified outside of stockholders’ deficit because the shares contain deemed liquidation rights that are a contingent redemption feature not solely within the control of the Company. The Company’s policy is not to accrete the carrying value and related issuance costs of the non-cumulative convertible preferred stock to its redemption value until it is probable that the security will become redeemable.</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24" w:name="page225"/>
    <w:bookmarkEnd w:id="224"/>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Net loss per common share</w:t>
      </w:r>
    </w:p>
    <w:p>
      <w:pPr>
        <w:spacing w:after="0" w:line="125" w:lineRule="exact"/>
        <w:rPr>
          <w:sz w:val="20"/>
          <w:szCs w:val="20"/>
          <w:color w:val="auto"/>
        </w:rPr>
      </w:pPr>
    </w:p>
    <w:p>
      <w:pPr>
        <w:ind w:left="1220" w:right="1259"/>
        <w:spacing w:after="0" w:line="262" w:lineRule="auto"/>
        <w:rPr>
          <w:sz w:val="20"/>
          <w:szCs w:val="20"/>
          <w:color w:val="auto"/>
        </w:rPr>
      </w:pPr>
      <w:r>
        <w:rPr>
          <w:rFonts w:ascii="Arial" w:cs="Arial" w:eastAsia="Arial" w:hAnsi="Arial"/>
          <w:sz w:val="14"/>
          <w:szCs w:val="14"/>
          <w:color w:val="auto"/>
        </w:rPr>
        <w:t>Our basic and diluted net loss per common share is calculated by dividing the net loss by the weighted average number of shares of common shares outstanding during the periods presented. Stock options, restricted stock, stock purchase warrants and preferred stock are included in the diluted earnings per share calculations, unless the effects are anti-dilutive.</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283" w:lineRule="exact"/>
        <w:rPr>
          <w:sz w:val="20"/>
          <w:szCs w:val="20"/>
          <w:color w:val="auto"/>
        </w:rPr>
      </w:pPr>
    </w:p>
    <w:p>
      <w:pPr>
        <w:ind w:left="1220" w:right="1259"/>
        <w:spacing w:after="0" w:line="262" w:lineRule="auto"/>
        <w:rPr>
          <w:sz w:val="20"/>
          <w:szCs w:val="20"/>
          <w:color w:val="auto"/>
        </w:rPr>
      </w:pPr>
      <w:r>
        <w:rPr>
          <w:rFonts w:ascii="Arial" w:cs="Arial" w:eastAsia="Arial" w:hAnsi="Arial"/>
          <w:sz w:val="14"/>
          <w:szCs w:val="14"/>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Income taxes</w:t>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Company was organized as a limited liability company until February 25, 2021, which is</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considered a passthrough entity for federal and state income tax purposes. As such, any taxable</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income or loss realized by the Company is allocated to the Members’ in accordance with their</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respective membership interest and reported on their individual tax returns. Therefore, no</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provisions or liability for income taxes is necessary in the accompanying consolidated financial</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statements. Prior Century was a C-Corporation in the predecessor period and had losses of</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$6,002 and a full valuation allowance as realization of the related tax benefits was not more likely</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than not.</w:t>
      </w:r>
    </w:p>
    <w:p>
      <w:pPr>
        <w:spacing w:after="0" w:line="130"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The Company records uncertain tax positions as liabilities in accordance with ASC 740 and adjusts these liabilities when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 As of December 31, 2020 and 2019, the Company has not recorded any uncertain tax positions in its consolidated financial statements.</w:t>
      </w:r>
    </w:p>
    <w:p>
      <w:pPr>
        <w:spacing w:after="0" w:line="279" w:lineRule="exact"/>
        <w:rPr>
          <w:sz w:val="20"/>
          <w:szCs w:val="20"/>
          <w:color w:val="auto"/>
        </w:rPr>
      </w:pPr>
    </w:p>
    <w:p>
      <w:pPr>
        <w:ind w:left="1220" w:right="1319"/>
        <w:spacing w:after="0" w:line="265" w:lineRule="auto"/>
        <w:rPr>
          <w:sz w:val="20"/>
          <w:szCs w:val="20"/>
          <w:color w:val="auto"/>
        </w:rPr>
      </w:pPr>
      <w:r>
        <w:rPr>
          <w:rFonts w:ascii="Arial" w:cs="Arial" w:eastAsia="Arial" w:hAnsi="Arial"/>
          <w:sz w:val="14"/>
          <w:szCs w:val="14"/>
          <w:color w:val="auto"/>
        </w:rPr>
        <w:t>The Company recognizes interest and penalties related to unrecognized tax benefits on the income tax expense line in the accompanying statement of operations. As of December 31, 2020 and 2019, no accrued interest or penalties are recorded in the consolidated balance sheets.</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54"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Recently Adopted Accounting Pronouncements</w:t>
      </w:r>
    </w:p>
    <w:p>
      <w:pPr>
        <w:spacing w:after="0" w:line="134"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In March 2020, the Financial Accounting Standards Board (“FASB”) issued ASU 2020-03, “Codification Improvements to Financial Instruments” (“ASU 2020-03”). ASU 2020-03 improves and clarifies various financial instruments topics. ASU 2020-03 includes seven different issues that describe the areas of improvement and the related amendments to U.S. GAAP, intended to make the standards easier to understand and apply by eliminating inconsistencies and providing clarifications. The Company adopted ASU 2020-03, effective January 1, 2020, which did not have a material effect on the Company’s consolidated financial statements.</w:t>
      </w:r>
    </w:p>
    <w:p>
      <w:pPr>
        <w:spacing w:after="0" w:line="95" w:lineRule="exact"/>
        <w:rPr>
          <w:sz w:val="20"/>
          <w:szCs w:val="20"/>
          <w:color w:val="auto"/>
        </w:rPr>
      </w:pPr>
    </w:p>
    <w:p>
      <w:pPr>
        <w:jc w:val="both"/>
        <w:ind w:left="1220" w:right="1599"/>
        <w:spacing w:after="0" w:line="265" w:lineRule="auto"/>
        <w:rPr>
          <w:sz w:val="20"/>
          <w:szCs w:val="20"/>
          <w:color w:val="auto"/>
        </w:rPr>
      </w:pPr>
      <w:r>
        <w:rPr>
          <w:rFonts w:ascii="Arial" w:cs="Arial" w:eastAsia="Arial" w:hAnsi="Arial"/>
          <w:sz w:val="14"/>
          <w:szCs w:val="14"/>
          <w:color w:val="auto"/>
        </w:rPr>
        <w:t>In February 2016, the FASB issued ASU 2016-02 Leases (ASC 842). In July 2018, the FASB issued ASU No. 2018-10, “Codification Improvements to Topic 842, Leases” (ASU 2018-10), which provides narrow</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25" w:name="page226"/>
    <w:bookmarkEnd w:id="225"/>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339"/>
        <w:spacing w:after="0" w:line="291" w:lineRule="auto"/>
        <w:rPr>
          <w:sz w:val="20"/>
          <w:szCs w:val="20"/>
          <w:color w:val="auto"/>
        </w:rPr>
      </w:pPr>
      <w:r>
        <w:rPr>
          <w:rFonts w:ascii="Arial" w:cs="Arial" w:eastAsia="Arial" w:hAnsi="Arial"/>
          <w:sz w:val="14"/>
          <w:szCs w:val="14"/>
          <w:color w:val="auto"/>
        </w:rPr>
        <w:t>amendments to clarify how to apply certain aspects of the new lease standard, and ASU No. 2018-11, “Leases (Topic 842)—Targeted Improvements” (ASU 2018-11), which addressed implementation issues related to the new lease standard. These and certain other lease-related ASUs have generally been codified in ASC 842. ASC 842 supersedes the lease accounting requirements in Topic 840, Leases. ASC 842 establishes a right-of-use model that requires a lessee to record a right-of-use (“ROU”) asset and a lease liability on the balance sheet for all leases. Under ASC 842, leases are classified as either finance or operating, with classification affecting the pattern of expense recognition in the income statement. The standard also requires disclosures to help investors and other financial statement users better understand the amount, timing and uncertainty of cash flows arising from leases. The Company adopted ASC 842 on January 1, 2020 using the modified retrospective transition method. Prior period results continue to be presented under ASC 840 based on the accounting standards originally in effect for such periods.</w:t>
      </w:r>
    </w:p>
    <w:p>
      <w:pPr>
        <w:spacing w:after="0" w:line="290" w:lineRule="exact"/>
        <w:rPr>
          <w:sz w:val="20"/>
          <w:szCs w:val="20"/>
          <w:color w:val="auto"/>
        </w:rPr>
      </w:pPr>
    </w:p>
    <w:p>
      <w:pPr>
        <w:ind w:left="1220" w:right="1259"/>
        <w:spacing w:after="0" w:line="289" w:lineRule="auto"/>
        <w:rPr>
          <w:sz w:val="20"/>
          <w:szCs w:val="20"/>
          <w:color w:val="auto"/>
        </w:rPr>
      </w:pPr>
      <w:r>
        <w:rPr>
          <w:rFonts w:ascii="Arial" w:cs="Arial" w:eastAsia="Arial" w:hAnsi="Arial"/>
          <w:sz w:val="14"/>
          <w:szCs w:val="14"/>
          <w:color w:val="auto"/>
        </w:rPr>
        <w:t>The Company has elected certain practical expedients permitted under the transition guidance within ASC 842 to leases that commenced before January 1, 2020, including the package of practical expedients. The election of the package of practical expedients resulted in the Company not reassessing prior conclusions under ASC 840 related to lease identification, lease classification and initial direct costs for expired and existing leases prior to January 1, 2020. The Company also elected the practical expedient to not record short-term leases on its consolidated balance sheet and to combine lease and non-lease components into a single lease component when measuring its leases. The adoption of ASU 2016-02 did not have a significant impact on the Company’s consolidated results of operations or cash flows. Upon adoption, the Company did not recognize a ROU asset and lease liability as no leases with an original term greater than</w:t>
      </w:r>
    </w:p>
    <w:p>
      <w:pPr>
        <w:spacing w:after="0" w:line="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12 months commenced prior to January 1, 2020. For the Successor period ended December 31,</w:t>
      </w:r>
    </w:p>
    <w:p>
      <w:pPr>
        <w:spacing w:after="0" w:line="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2020, the initial ROU asset and lease liability recognized was $9,735.</w:t>
      </w:r>
    </w:p>
    <w:p>
      <w:pPr>
        <w:spacing w:after="0" w:line="170"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Recent Accounting Pronouncements</w:t>
      </w:r>
    </w:p>
    <w:p>
      <w:pPr>
        <w:spacing w:after="0" w:line="144" w:lineRule="exact"/>
        <w:rPr>
          <w:sz w:val="20"/>
          <w:szCs w:val="20"/>
          <w:color w:val="auto"/>
        </w:rPr>
      </w:pPr>
    </w:p>
    <w:p>
      <w:pPr>
        <w:ind w:left="1220" w:right="1319"/>
        <w:spacing w:after="0" w:line="293" w:lineRule="auto"/>
        <w:rPr>
          <w:sz w:val="20"/>
          <w:szCs w:val="20"/>
          <w:color w:val="auto"/>
        </w:rPr>
      </w:pPr>
      <w:r>
        <w:rPr>
          <w:rFonts w:ascii="Arial" w:cs="Arial" w:eastAsia="Arial" w:hAnsi="Arial"/>
          <w:sz w:val="14"/>
          <w:szCs w:val="14"/>
          <w:color w:val="auto"/>
        </w:rPr>
        <w:t>In August 2018, the FASB issued ASU 2018-13, Fair Value Measurement (Topic 820): Disclosure Framework—Changes to the Disclosure Requirements for Fair Value Measurement (“ASU 2018-13”), which eliminates, adds, and modifies certain disclosure requirements for fair value measurements. ASU 2018-13 is effective for the Company for fiscal years beginning after December 15, 2020, and earlier adoption is permitted. The Company adopted ASU 2018-13, effective January 1, 2021, which did not have a material effect on the Company’s consolidated financial statements.</w:t>
      </w:r>
    </w:p>
    <w:p>
      <w:pPr>
        <w:spacing w:after="0" w:line="299" w:lineRule="exact"/>
        <w:rPr>
          <w:sz w:val="20"/>
          <w:szCs w:val="20"/>
          <w:color w:val="auto"/>
        </w:rPr>
      </w:pPr>
    </w:p>
    <w:p>
      <w:pPr>
        <w:ind w:left="1220" w:right="1239"/>
        <w:spacing w:after="0" w:line="291" w:lineRule="auto"/>
        <w:rPr>
          <w:sz w:val="20"/>
          <w:szCs w:val="20"/>
          <w:color w:val="auto"/>
        </w:rPr>
      </w:pPr>
      <w:r>
        <w:rPr>
          <w:rFonts w:ascii="Arial" w:cs="Arial" w:eastAsia="Arial" w:hAnsi="Arial"/>
          <w:sz w:val="14"/>
          <w:szCs w:val="14"/>
          <w:color w:val="auto"/>
        </w:rPr>
        <w:t>In August 2020, the FASB issued ASU 2020-06, Debt—Debt with Conversion and Other Options (Subtopic 470-20) and Derivatives and Hedging—Contracts in Entity’s Own Equity (Subtopic 815-40): Accounting for Convertible Instruments and Contracts in an Entity’s Own Equity, which simplifies the accounting for convertible debt instruments and convertible preferred stock by reducing the number of accounting models and the number of embedded conversion features that could be recognized separately from the primary contract. The update also requires the application of the if-converted method to calculate the impact of convertible instruments on diluted earnings per share. The new guidance is effective for annual periods beginning after December 15, 2023, including interim periods within those fiscal years. Early adoption is permitted, but no earlier than fiscal years beginning after December 15, 2020. This update can be adopted on either a fully retrospective or a modified retrospective basis. The Company is currently evaluating the impact the adoption of ASU 2020-06 will have on the consolidated financial statements.</w:t>
      </w:r>
    </w:p>
    <w:p>
      <w:pPr>
        <w:spacing w:after="0" w:line="290" w:lineRule="exact"/>
        <w:rPr>
          <w:sz w:val="20"/>
          <w:szCs w:val="20"/>
          <w:color w:val="auto"/>
        </w:rPr>
      </w:pPr>
    </w:p>
    <w:p>
      <w:pPr>
        <w:ind w:left="1220" w:right="1259"/>
        <w:spacing w:after="0" w:line="292" w:lineRule="auto"/>
        <w:rPr>
          <w:sz w:val="20"/>
          <w:szCs w:val="20"/>
          <w:color w:val="auto"/>
        </w:rPr>
      </w:pPr>
      <w:r>
        <w:rPr>
          <w:rFonts w:ascii="Arial" w:cs="Arial" w:eastAsia="Arial" w:hAnsi="Arial"/>
          <w:sz w:val="14"/>
          <w:szCs w:val="14"/>
          <w:color w:val="auto"/>
        </w:rPr>
        <w:t>In October 2020, the FASB issued ASU No. 2020-08, Codification Improvements to Subtopic 310-20, Receivables—Nonrefundable Fees and Other Costs (“ASU 2020-08”), and ASU No. 2020-10, Codification Improvements (“ASU 2020-10”). ASU 2020-08 and ASU 2020-10 provide changes to clarify or improve existing guidance. This guidance is effective for fiscal years beginning after December 15, 2021, including interim periods within those fiscal years. Early adoption is not permitted. The Company is currently evaluating the impact that ASU 2020-08 and ASU 2020-10 will have on our consolidated financial statements and disclosures.</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26" w:name="page227"/>
    <w:bookmarkEnd w:id="226"/>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3—Initial capitalization</w:t>
      </w:r>
    </w:p>
    <w:p>
      <w:pPr>
        <w:spacing w:after="0" w:line="122" w:lineRule="exact"/>
        <w:rPr>
          <w:sz w:val="20"/>
          <w:szCs w:val="20"/>
          <w:color w:val="auto"/>
        </w:rPr>
      </w:pPr>
    </w:p>
    <w:p>
      <w:pPr>
        <w:ind w:left="1220" w:right="1459"/>
        <w:spacing w:after="0" w:line="265" w:lineRule="auto"/>
        <w:rPr>
          <w:sz w:val="20"/>
          <w:szCs w:val="20"/>
          <w:color w:val="auto"/>
        </w:rPr>
      </w:pPr>
      <w:r>
        <w:rPr>
          <w:rFonts w:ascii="Arial" w:cs="Arial" w:eastAsia="Arial" w:hAnsi="Arial"/>
          <w:sz w:val="14"/>
          <w:szCs w:val="14"/>
          <w:color w:val="auto"/>
        </w:rPr>
        <w:t>On June 21, 2019, Prior Century and Bayer entered into a Commitment Agreement to initially capitalize the Company. The Commitment Agreement called for capital contributions from Prior Century and Bayer as follows:</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Century Capital Contributions</w:t>
      </w:r>
    </w:p>
    <w:p>
      <w:pPr>
        <w:spacing w:after="0" w:line="136" w:lineRule="exact"/>
        <w:rPr>
          <w:sz w:val="20"/>
          <w:szCs w:val="20"/>
          <w:color w:val="auto"/>
        </w:rPr>
      </w:pPr>
    </w:p>
    <w:p>
      <w:pPr>
        <w:ind w:left="1220" w:right="1759"/>
        <w:spacing w:after="0" w:line="265" w:lineRule="auto"/>
        <w:rPr>
          <w:sz w:val="20"/>
          <w:szCs w:val="20"/>
          <w:color w:val="auto"/>
        </w:rPr>
      </w:pPr>
      <w:r>
        <w:rPr>
          <w:rFonts w:ascii="Arial" w:cs="Arial" w:eastAsia="Arial" w:hAnsi="Arial"/>
          <w:sz w:val="14"/>
          <w:szCs w:val="14"/>
          <w:color w:val="auto"/>
        </w:rPr>
        <w:t>In exchange for issuing 67,226,891 common units to Prior Century, the Company acquired substantially all of Prior Century’s assets, assumed all of its liabilities and assumed the operations of Prior Century.</w:t>
      </w:r>
    </w:p>
    <w:p>
      <w:pPr>
        <w:spacing w:after="0" w:line="103" w:lineRule="exact"/>
        <w:rPr>
          <w:sz w:val="20"/>
          <w:szCs w:val="20"/>
          <w:color w:val="auto"/>
        </w:rPr>
      </w:pPr>
    </w:p>
    <w:p>
      <w:pPr>
        <w:ind w:left="1220" w:right="1399"/>
        <w:spacing w:after="0" w:line="260" w:lineRule="auto"/>
        <w:rPr>
          <w:sz w:val="20"/>
          <w:szCs w:val="20"/>
          <w:color w:val="auto"/>
        </w:rPr>
      </w:pPr>
      <w:r>
        <w:rPr>
          <w:rFonts w:ascii="Arial" w:cs="Arial" w:eastAsia="Arial" w:hAnsi="Arial"/>
          <w:sz w:val="14"/>
          <w:szCs w:val="14"/>
          <w:color w:val="auto"/>
        </w:rPr>
        <w:t>The Company evaluated the acquisition under the guidance within ASU 2017-01, “Clarifying the Definition of a Business</w:t>
      </w:r>
      <w:r>
        <w:rPr>
          <w:rFonts w:ascii="Arial" w:cs="Arial" w:eastAsia="Arial" w:hAnsi="Arial"/>
          <w:sz w:val="14"/>
          <w:szCs w:val="14"/>
          <w:i w:val="1"/>
          <w:iCs w:val="1"/>
          <w:color w:val="auto"/>
        </w:rPr>
        <w:t>”</w:t>
      </w:r>
      <w:r>
        <w:rPr>
          <w:rFonts w:ascii="Arial" w:cs="Arial" w:eastAsia="Arial" w:hAnsi="Arial"/>
          <w:sz w:val="14"/>
          <w:szCs w:val="14"/>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assets acquired were concentrated in an in-process research and development (“IPR&amp;D”) asset. In an asset acquisition, the total transaction cost is allocated between the acquired identified tangible and intangible assets based on relative fair value.</w:t>
      </w:r>
    </w:p>
    <w:p>
      <w:pPr>
        <w:spacing w:after="0" w:line="95" w:lineRule="exact"/>
        <w:rPr>
          <w:sz w:val="20"/>
          <w:szCs w:val="20"/>
          <w:color w:val="auto"/>
        </w:rPr>
      </w:pPr>
    </w:p>
    <w:p>
      <w:pPr>
        <w:ind w:left="1220" w:right="1359"/>
        <w:spacing w:after="0" w:line="262" w:lineRule="auto"/>
        <w:rPr>
          <w:sz w:val="20"/>
          <w:szCs w:val="20"/>
          <w:color w:val="auto"/>
        </w:rPr>
      </w:pPr>
      <w:r>
        <w:rPr>
          <w:rFonts w:ascii="Arial" w:cs="Arial" w:eastAsia="Arial" w:hAnsi="Arial"/>
          <w:sz w:val="14"/>
          <w:szCs w:val="14"/>
          <w:color w:val="auto"/>
        </w:rPr>
        <w:t>Total transaction costs for the assets acquired were $252,107, which was the fair value of the equity interests issued to Prior Century, with no additional capitalizable transaction costs. Equity issuance costs related to Prior Century were $407, which were recorded as a reduction to members’ equity. The relative fair value allocation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95250</wp:posOffset>
            </wp:positionV>
            <wp:extent cx="4165600" cy="139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59"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5200" w:type="dxa"/>
            <w:vAlign w:val="bottom"/>
          </w:tcPr>
          <w:p>
            <w:pPr>
              <w:spacing w:after="0"/>
              <w:rPr>
                <w:sz w:val="15"/>
                <w:szCs w:val="15"/>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As of June 21, 2019</w:t>
            </w:r>
          </w:p>
        </w:tc>
      </w:tr>
      <w:tr>
        <w:trPr>
          <w:trHeight w:val="173"/>
        </w:trPr>
        <w:tc>
          <w:tcPr>
            <w:tcW w:w="5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25,163</w:t>
            </w:r>
          </w:p>
        </w:tc>
        <w:tc>
          <w:tcPr>
            <w:tcW w:w="60" w:type="dxa"/>
            <w:vAlign w:val="bottom"/>
          </w:tcPr>
          <w:p>
            <w:pPr>
              <w:spacing w:after="0"/>
              <w:rPr>
                <w:sz w:val="15"/>
                <w:szCs w:val="15"/>
                <w:color w:val="auto"/>
              </w:rPr>
            </w:pPr>
          </w:p>
        </w:tc>
      </w:tr>
      <w:tr>
        <w:trPr>
          <w:trHeight w:val="182"/>
        </w:trPr>
        <w:tc>
          <w:tcPr>
            <w:tcW w:w="5200" w:type="dxa"/>
            <w:vAlign w:val="bottom"/>
          </w:tcPr>
          <w:p>
            <w:pPr>
              <w:spacing w:after="0"/>
              <w:rPr>
                <w:sz w:val="20"/>
                <w:szCs w:val="20"/>
                <w:color w:val="auto"/>
              </w:rPr>
            </w:pPr>
            <w:r>
              <w:rPr>
                <w:rFonts w:ascii="Arial" w:cs="Arial" w:eastAsia="Arial" w:hAnsi="Arial"/>
                <w:sz w:val="14"/>
                <w:szCs w:val="14"/>
                <w:color w:val="auto"/>
              </w:rPr>
              <w:t>IPR&amp;D</w:t>
            </w:r>
          </w:p>
        </w:tc>
        <w:tc>
          <w:tcPr>
            <w:tcW w:w="8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225,946</w:t>
            </w:r>
          </w:p>
        </w:tc>
        <w:tc>
          <w:tcPr>
            <w:tcW w:w="60" w:type="dxa"/>
            <w:vAlign w:val="bottom"/>
          </w:tcPr>
          <w:p>
            <w:pPr>
              <w:spacing w:after="0"/>
              <w:rPr>
                <w:sz w:val="15"/>
                <w:szCs w:val="15"/>
                <w:color w:val="auto"/>
              </w:rPr>
            </w:pPr>
          </w:p>
        </w:tc>
      </w:tr>
      <w:tr>
        <w:trPr>
          <w:trHeight w:val="23"/>
        </w:trPr>
        <w:tc>
          <w:tcPr>
            <w:tcW w:w="5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Property and equipment</w:t>
            </w:r>
          </w:p>
        </w:tc>
        <w:tc>
          <w:tcPr>
            <w:tcW w:w="8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60" w:type="dxa"/>
            <w:vAlign w:val="bottom"/>
          </w:tcPr>
          <w:p>
            <w:pPr>
              <w:spacing w:after="0"/>
              <w:rPr>
                <w:sz w:val="16"/>
                <w:szCs w:val="16"/>
                <w:color w:val="auto"/>
              </w:rPr>
            </w:pPr>
          </w:p>
        </w:tc>
      </w:tr>
      <w:tr>
        <w:trPr>
          <w:trHeight w:val="182"/>
        </w:trPr>
        <w:tc>
          <w:tcPr>
            <w:tcW w:w="5200" w:type="dxa"/>
            <w:vAlign w:val="bottom"/>
          </w:tcPr>
          <w:p>
            <w:pPr>
              <w:spacing w:after="0"/>
              <w:rPr>
                <w:sz w:val="20"/>
                <w:szCs w:val="20"/>
                <w:color w:val="auto"/>
              </w:rPr>
            </w:pPr>
            <w:r>
              <w:rPr>
                <w:rFonts w:ascii="Arial" w:cs="Arial" w:eastAsia="Arial" w:hAnsi="Arial"/>
                <w:sz w:val="14"/>
                <w:szCs w:val="14"/>
                <w:color w:val="auto"/>
              </w:rPr>
              <w:t>Other current assets</w:t>
            </w:r>
          </w:p>
        </w:tc>
        <w:tc>
          <w:tcPr>
            <w:tcW w:w="8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578</w:t>
            </w:r>
          </w:p>
        </w:tc>
        <w:tc>
          <w:tcPr>
            <w:tcW w:w="60" w:type="dxa"/>
            <w:vAlign w:val="bottom"/>
          </w:tcPr>
          <w:p>
            <w:pPr>
              <w:spacing w:after="0"/>
              <w:rPr>
                <w:sz w:val="15"/>
                <w:szCs w:val="15"/>
                <w:color w:val="auto"/>
              </w:rPr>
            </w:pPr>
          </w:p>
        </w:tc>
      </w:tr>
      <w:tr>
        <w:trPr>
          <w:trHeight w:val="23"/>
        </w:trPr>
        <w:tc>
          <w:tcPr>
            <w:tcW w:w="5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non-current assets</w:t>
            </w:r>
          </w:p>
        </w:tc>
        <w:tc>
          <w:tcPr>
            <w:tcW w:w="8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60" w:type="dxa"/>
            <w:vAlign w:val="bottom"/>
          </w:tcPr>
          <w:p>
            <w:pPr>
              <w:spacing w:after="0"/>
              <w:rPr>
                <w:sz w:val="16"/>
                <w:szCs w:val="16"/>
                <w:color w:val="auto"/>
              </w:rPr>
            </w:pPr>
          </w:p>
        </w:tc>
      </w:tr>
      <w:tr>
        <w:trPr>
          <w:trHeight w:val="185"/>
        </w:trPr>
        <w:tc>
          <w:tcPr>
            <w:tcW w:w="5200" w:type="dxa"/>
            <w:vAlign w:val="bottom"/>
          </w:tcPr>
          <w:p>
            <w:pPr>
              <w:spacing w:after="0"/>
              <w:rPr>
                <w:sz w:val="20"/>
                <w:szCs w:val="20"/>
                <w:color w:val="auto"/>
              </w:rPr>
            </w:pPr>
            <w:r>
              <w:rPr>
                <w:rFonts w:ascii="Arial" w:cs="Arial" w:eastAsia="Arial" w:hAnsi="Arial"/>
                <w:sz w:val="14"/>
                <w:szCs w:val="14"/>
                <w:color w:val="auto"/>
              </w:rPr>
              <w:t>Current liabilities</w:t>
            </w:r>
          </w:p>
        </w:tc>
        <w:tc>
          <w:tcPr>
            <w:tcW w:w="80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(1,283)</w:t>
            </w:r>
          </w:p>
        </w:tc>
      </w:tr>
      <w:tr>
        <w:trPr>
          <w:trHeight w:val="198"/>
        </w:trPr>
        <w:tc>
          <w:tcPr>
            <w:tcW w:w="520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252,107</w:t>
            </w: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-143510</wp:posOffset>
            </wp:positionV>
            <wp:extent cx="3302635"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02635" cy="6985"/>
                    </a:xfrm>
                    <a:prstGeom prst="rect">
                      <a:avLst/>
                    </a:prstGeom>
                    <a:noFill/>
                  </pic:spPr>
                </pic:pic>
              </a:graphicData>
            </a:graphic>
          </wp:anchor>
        </w:drawing>
      </w:r>
    </w:p>
    <w:p>
      <w:pPr>
        <w:spacing w:after="0" w:line="87"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Under the asset acquisition model, an entity that acquires IPR&amp;D assets follows the guidance in ASC 730, which requires that both tangible and intangible identifiable research and development assets with no alternative future use be initially allocated a portion of the consideration transferred and then charged to expense at the acquisition date. The IPR&amp;D asset acquired was Prior Century’s comprehensive allogeneic cell therapy platform. As the IPR&amp;D asset has no alternative future use to the Company, the Company charged $225,946 to expense within its consolidated statements of operations.</w:t>
      </w:r>
    </w:p>
    <w:p>
      <w:pPr>
        <w:spacing w:after="0" w:line="270"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The valuation of the equity interests issued to Prior Century was based on an assessment of the total purchase consideration implied by the transaction between Bayer and the Company at the formation of the Company for Bayer’s 28% equity interest. In determining the implied fair value of the Company, the Company first determined whether Bayer received anything incremental to its 28% equity interest in the Company and considered that Bayer received a disproportionate tax benefit given their allocation of 100 percent of the tax losses of the Company until Bayer’s tax basis in the Company is equal to their ownership interest in the equity of the Company, per the terms of the LLC operating agreement. Given this benefit, the Company estimated the fair value of these additional tax savings over the expected period Bayer would receive this disproportionate benefit. After adjusting for the tax benefits Bayer receives, an implied fair value for the Company was estimated at the date the Company was formed which was used to value the equity interests issued to Prior Century.</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Bayer Capital Contributions</w:t>
      </w:r>
    </w:p>
    <w:p>
      <w:pPr>
        <w:spacing w:after="0" w:line="136" w:lineRule="exact"/>
        <w:rPr>
          <w:sz w:val="20"/>
          <w:szCs w:val="20"/>
          <w:color w:val="auto"/>
        </w:rPr>
      </w:pPr>
    </w:p>
    <w:p>
      <w:pPr>
        <w:ind w:left="1220" w:right="1359"/>
        <w:spacing w:after="0" w:line="262" w:lineRule="auto"/>
        <w:rPr>
          <w:sz w:val="20"/>
          <w:szCs w:val="20"/>
          <w:color w:val="auto"/>
        </w:rPr>
      </w:pPr>
      <w:r>
        <w:rPr>
          <w:rFonts w:ascii="Arial" w:cs="Arial" w:eastAsia="Arial" w:hAnsi="Arial"/>
          <w:sz w:val="14"/>
          <w:szCs w:val="14"/>
          <w:color w:val="auto"/>
        </w:rPr>
        <w:t>In accordance with the Commitment Agreement, Bayer agreed to provide an aggregate cash capital contribution of $215,000. The Bayer cash commitment is split into capital contributions of $145,000 (“Tranche 1”) and $70,000 (“Tranche 2”). The funding of Tranche 2 is dependent on certain contingent events and, as a result, is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27" w:name="page228"/>
    <w:bookmarkEnd w:id="227"/>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659"/>
        <w:spacing w:after="0" w:line="306" w:lineRule="auto"/>
        <w:rPr>
          <w:sz w:val="20"/>
          <w:szCs w:val="20"/>
          <w:color w:val="auto"/>
        </w:rPr>
      </w:pPr>
      <w:r>
        <w:rPr>
          <w:rFonts w:ascii="Arial" w:cs="Arial" w:eastAsia="Arial" w:hAnsi="Arial"/>
          <w:sz w:val="14"/>
          <w:szCs w:val="14"/>
          <w:color w:val="auto"/>
        </w:rPr>
        <w:t>not recorded as a subscription receivable as of December 31, 2020 or 2019. Tranche 2 was eliminated in connection with the Series C preferred financing. See Note 17.</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Bayer Rights</w:t>
      </w:r>
    </w:p>
    <w:p>
      <w:pPr>
        <w:spacing w:after="0" w:line="136" w:lineRule="exact"/>
        <w:rPr>
          <w:sz w:val="20"/>
          <w:szCs w:val="20"/>
          <w:color w:val="auto"/>
        </w:rPr>
      </w:pPr>
    </w:p>
    <w:p>
      <w:pPr>
        <w:jc w:val="both"/>
        <w:ind w:left="1220" w:right="1259"/>
        <w:spacing w:after="0" w:line="297" w:lineRule="auto"/>
        <w:rPr>
          <w:sz w:val="20"/>
          <w:szCs w:val="20"/>
          <w:color w:val="auto"/>
        </w:rPr>
      </w:pPr>
      <w:r>
        <w:rPr>
          <w:rFonts w:ascii="Arial" w:cs="Arial" w:eastAsia="Arial" w:hAnsi="Arial"/>
          <w:sz w:val="14"/>
          <w:szCs w:val="14"/>
          <w:color w:val="auto"/>
        </w:rPr>
        <w:t>In connection with the Commitment Agreement, Bayer was granted approval and veto rights over certain decisions related to the operations of the Company through its manager representation on the Company’s Board of Managers. Prior Century holds similar rights.</w:t>
      </w:r>
    </w:p>
    <w:p>
      <w:pPr>
        <w:spacing w:after="0" w:line="104" w:lineRule="exact"/>
        <w:rPr>
          <w:sz w:val="20"/>
          <w:szCs w:val="20"/>
          <w:color w:val="auto"/>
        </w:rPr>
      </w:pPr>
    </w:p>
    <w:p>
      <w:pPr>
        <w:ind w:left="1220" w:right="1239"/>
        <w:spacing w:after="0" w:line="290" w:lineRule="auto"/>
        <w:rPr>
          <w:sz w:val="20"/>
          <w:szCs w:val="20"/>
          <w:color w:val="auto"/>
        </w:rPr>
      </w:pPr>
      <w:r>
        <w:rPr>
          <w:rFonts w:ascii="Arial" w:cs="Arial" w:eastAsia="Arial" w:hAnsi="Arial"/>
          <w:sz w:val="14"/>
          <w:szCs w:val="14"/>
          <w:color w:val="auto"/>
        </w:rPr>
        <w:t>Management determined that Prior Century did not retain control of the Company as Prior Century did not have the power to direct the activities of the Company that would most significantly impact its economic performance as a result of the rights provided to Bayer. These rights included, but weren’t limited to, (1) approval rights over the Company’s initial business plan and budget, including the need for the Company to obtain consent from both Bayer and Prior Century to alter the budget prospectively by more than 20 percent. This had the effect of requiring both Bayer and Prior Century to approve the Company’s research and development plan, as the allocation of funds to the research and development plan are determined within the Company’s operating budget. This also included the decision-making around the FCDI collaboration agreement (Note 16) within the research plan; (2) approval rights over hiring and termination decisions of the Company’s Chief Executive Officer, which required consent from both Bayer and Prior Century; and (3) approval rights over equity and debt capital raising decisions. In the event of a disagreement over these decisions, independent mediation is required, providing no tie-breaking authority to Bayer or Prior Century. For the foregoing reasons, Prior Century determined it did not retain control of the Company.</w:t>
      </w:r>
    </w:p>
    <w:p>
      <w:pPr>
        <w:spacing w:after="0" w:line="308" w:lineRule="exact"/>
        <w:rPr>
          <w:sz w:val="20"/>
          <w:szCs w:val="20"/>
          <w:color w:val="auto"/>
        </w:rPr>
      </w:pPr>
    </w:p>
    <w:p>
      <w:pPr>
        <w:ind w:left="1220" w:right="1299"/>
        <w:spacing w:after="0" w:line="295" w:lineRule="auto"/>
        <w:rPr>
          <w:sz w:val="20"/>
          <w:szCs w:val="20"/>
          <w:color w:val="auto"/>
        </w:rPr>
      </w:pPr>
      <w:r>
        <w:rPr>
          <w:rFonts w:ascii="Arial" w:cs="Arial" w:eastAsia="Arial" w:hAnsi="Arial"/>
          <w:sz w:val="14"/>
          <w:szCs w:val="14"/>
          <w:color w:val="auto"/>
        </w:rPr>
        <w:t>Tranche 1 was funded in exchange for 26,143,790 common units, with $75,000 paid at closing and the remaining $70,000 due upon the Company meeting certain development milestones or in 3 years.</w:t>
      </w:r>
    </w:p>
    <w:p>
      <w:pPr>
        <w:spacing w:after="0" w:line="26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During 2019, the Company received $74,839 from Tranche 1, net of equity issuance costs of</w:t>
      </w:r>
    </w:p>
    <w:p>
      <w:pPr>
        <w:spacing w:after="0" w:line="33" w:lineRule="exact"/>
        <w:rPr>
          <w:sz w:val="20"/>
          <w:szCs w:val="20"/>
          <w:color w:val="auto"/>
        </w:rPr>
      </w:pPr>
    </w:p>
    <w:p>
      <w:pPr>
        <w:ind w:left="1220" w:right="1339"/>
        <w:spacing w:after="0" w:line="306" w:lineRule="auto"/>
        <w:rPr>
          <w:sz w:val="20"/>
          <w:szCs w:val="20"/>
          <w:color w:val="auto"/>
        </w:rPr>
      </w:pPr>
      <w:r>
        <w:rPr>
          <w:rFonts w:ascii="Arial" w:cs="Arial" w:eastAsia="Arial" w:hAnsi="Arial"/>
          <w:sz w:val="14"/>
          <w:szCs w:val="14"/>
          <w:color w:val="auto"/>
        </w:rPr>
        <w:t>$161. The Company accounts for the $70,000 as a subscription receivable, which is recorded as contra-equity within its consolidated statements of members’ equity until received from Bayer.</w:t>
      </w:r>
    </w:p>
    <w:p>
      <w:pPr>
        <w:spacing w:after="0" w:line="97"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On June 18, 2020, the Company, Prior Century and Bayer executed an amendment to the Commitment Agreement to modify the terms for the Company to receive the remaining Tranche 1 subscription receivable of $70,000. In November 2020, the Company received proceeds of $38,100 of the Tranche 1 subscription receivable. The remaining $31,900 was received in January 2021. The Commitment Agreement terminated in connection with the Series C Preferred financing, and Bayer has no obligation to invest any additional amounts.</w:t>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Bayer Option Agreement</w:t>
      </w:r>
    </w:p>
    <w:p>
      <w:pPr>
        <w:spacing w:after="0" w:line="146" w:lineRule="exact"/>
        <w:rPr>
          <w:sz w:val="20"/>
          <w:szCs w:val="20"/>
          <w:color w:val="auto"/>
        </w:rPr>
      </w:pPr>
    </w:p>
    <w:p>
      <w:pPr>
        <w:ind w:left="1220" w:right="1439"/>
        <w:spacing w:after="0" w:line="281" w:lineRule="auto"/>
        <w:rPr>
          <w:sz w:val="20"/>
          <w:szCs w:val="20"/>
          <w:color w:val="auto"/>
        </w:rPr>
      </w:pPr>
      <w:r>
        <w:rPr>
          <w:rFonts w:ascii="Arial" w:cs="Arial" w:eastAsia="Arial" w:hAnsi="Arial"/>
          <w:sz w:val="14"/>
          <w:szCs w:val="14"/>
          <w:color w:val="auto"/>
        </w:rPr>
        <w:t>As a condition of the Tranche 1 closing, Bayer and Prior Century were required to enter into an Option Agreement, pursuant to which Bayer was provided the right of first refusal to acquire certain products researched and developed by the Company.</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4—Asset purchase by Century Therapeutics Canada ULC</w:t>
      </w:r>
    </w:p>
    <w:p>
      <w:pPr>
        <w:spacing w:after="0" w:line="133" w:lineRule="exact"/>
        <w:rPr>
          <w:sz w:val="20"/>
          <w:szCs w:val="20"/>
          <w:color w:val="auto"/>
        </w:rPr>
      </w:pPr>
    </w:p>
    <w:p>
      <w:pPr>
        <w:ind w:left="1220" w:right="1319"/>
        <w:spacing w:after="0" w:line="275" w:lineRule="auto"/>
        <w:rPr>
          <w:sz w:val="20"/>
          <w:szCs w:val="20"/>
          <w:color w:val="auto"/>
        </w:rPr>
      </w:pPr>
      <w:r>
        <w:rPr>
          <w:rFonts w:ascii="Arial" w:cs="Arial" w:eastAsia="Arial" w:hAnsi="Arial"/>
          <w:sz w:val="14"/>
          <w:szCs w:val="14"/>
          <w:color w:val="auto"/>
        </w:rPr>
        <w:t>On June 9, 2020, Century Canada and the Company entered into an agreement with Empirica, a company focused on the development of adoptive immunotherapies against aggressive and treatment-resistant forms of cancers, including glioblastoma and brain metastasis. Under the terms of the Empirica Agreement, the Company acquired an IPR&amp;D asset. Cash of $4,519 was paid at closing and transaction expenses totaled $203. The Company also deposited $1,506 in escrow (the “Escrow Deposit”). Release of the Escrow Deposit is subject to the terms of a promissory note, which provides for the funds to be released in equal annual installments over a three-year period related to continuing services by certain Empirica shareholders who are employed by the Company. As of December 31, 2020, accrued compensation expense on the promissory note was $282, which is presented within accrued expenses and other liabilities on the consolidated balance sheets.</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28" w:name="page229"/>
    <w:bookmarkEnd w:id="228"/>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Total consideration of the asset acquisition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103505</wp:posOffset>
            </wp:positionV>
            <wp:extent cx="4165600" cy="139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72"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5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June 9, 2020</w:t>
            </w:r>
          </w:p>
        </w:tc>
      </w:tr>
      <w:tr>
        <w:trPr>
          <w:trHeight w:val="173"/>
        </w:trPr>
        <w:tc>
          <w:tcPr>
            <w:tcW w:w="20" w:type="dxa"/>
            <w:vAlign w:val="bottom"/>
          </w:tcPr>
          <w:p>
            <w:pPr>
              <w:spacing w:after="0"/>
              <w:rPr>
                <w:sz w:val="15"/>
                <w:szCs w:val="15"/>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to Sellers at close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4,516</w:t>
            </w:r>
          </w:p>
        </w:tc>
      </w:tr>
      <w:tr>
        <w:trPr>
          <w:trHeight w:val="182"/>
        </w:trPr>
        <w:tc>
          <w:tcPr>
            <w:tcW w:w="5660" w:type="dxa"/>
            <w:vAlign w:val="bottom"/>
            <w:gridSpan w:val="2"/>
          </w:tcPr>
          <w:p>
            <w:pPr>
              <w:spacing w:after="0"/>
              <w:rPr>
                <w:sz w:val="20"/>
                <w:szCs w:val="20"/>
                <w:color w:val="auto"/>
              </w:rPr>
            </w:pPr>
            <w:r>
              <w:rPr>
                <w:rFonts w:ascii="Arial" w:cs="Arial" w:eastAsia="Arial" w:hAnsi="Arial"/>
                <w:sz w:val="14"/>
                <w:szCs w:val="14"/>
                <w:color w:val="auto"/>
              </w:rPr>
              <w:t>Seller expenses paid by the Company</w:t>
            </w:r>
          </w:p>
        </w:tc>
        <w:tc>
          <w:tcPr>
            <w:tcW w:w="5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3"/>
        </w:trPr>
        <w:tc>
          <w:tcPr>
            <w:tcW w:w="5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Buyer transaction expenses</w:t>
            </w:r>
          </w:p>
        </w:tc>
        <w:tc>
          <w:tcPr>
            <w:tcW w:w="5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175"/>
        </w:trPr>
        <w:tc>
          <w:tcPr>
            <w:tcW w:w="20" w:type="dxa"/>
            <w:vAlign w:val="bottom"/>
          </w:tcPr>
          <w:p>
            <w:pPr>
              <w:spacing w:after="0"/>
              <w:rPr>
                <w:sz w:val="15"/>
                <w:szCs w:val="15"/>
                <w:color w:val="auto"/>
              </w:rPr>
            </w:pPr>
          </w:p>
        </w:tc>
        <w:tc>
          <w:tcPr>
            <w:tcW w:w="56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consideration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4,722</w:t>
            </w:r>
          </w:p>
        </w:tc>
      </w:tr>
      <w:tr>
        <w:trPr>
          <w:trHeight w:val="181"/>
        </w:trPr>
        <w:tc>
          <w:tcPr>
            <w:tcW w:w="20" w:type="dxa"/>
            <w:vAlign w:val="bottom"/>
          </w:tcPr>
          <w:p>
            <w:pPr>
              <w:spacing w:after="0"/>
              <w:rPr>
                <w:sz w:val="15"/>
                <w:szCs w:val="15"/>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IPR&amp;D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4,722</w:t>
            </w:r>
          </w:p>
        </w:tc>
      </w:tr>
      <w:tr>
        <w:trPr>
          <w:trHeight w:val="20"/>
        </w:trPr>
        <w:tc>
          <w:tcPr>
            <w:tcW w:w="20" w:type="dxa"/>
            <w:vAlign w:val="bottom"/>
          </w:tcPr>
          <w:p>
            <w:pPr>
              <w:spacing w:after="0" w:line="20" w:lineRule="exact"/>
              <w:rPr>
                <w:sz w:val="1"/>
                <w:szCs w:val="1"/>
                <w:color w:val="auto"/>
              </w:rPr>
            </w:pPr>
          </w:p>
        </w:tc>
        <w:tc>
          <w:tcPr>
            <w:tcW w:w="5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-143510</wp:posOffset>
            </wp:positionV>
            <wp:extent cx="3590290"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590290" cy="6985"/>
                    </a:xfrm>
                    <a:prstGeom prst="rect">
                      <a:avLst/>
                    </a:prstGeom>
                    <a:noFill/>
                  </pic:spPr>
                </pic:pic>
              </a:graphicData>
            </a:graphic>
          </wp:anchor>
        </w:drawing>
      </w:r>
    </w:p>
    <w:p>
      <w:pPr>
        <w:spacing w:after="0" w:line="76" w:lineRule="exact"/>
        <w:rPr>
          <w:sz w:val="20"/>
          <w:szCs w:val="20"/>
          <w:color w:val="auto"/>
        </w:rPr>
      </w:pPr>
    </w:p>
    <w:p>
      <w:pPr>
        <w:ind w:left="1220" w:right="1399"/>
        <w:spacing w:after="0" w:line="261" w:lineRule="auto"/>
        <w:rPr>
          <w:sz w:val="20"/>
          <w:szCs w:val="20"/>
          <w:color w:val="auto"/>
        </w:rPr>
      </w:pPr>
      <w:r>
        <w:rPr>
          <w:rFonts w:ascii="Arial" w:cs="Arial" w:eastAsia="Arial" w:hAnsi="Arial"/>
          <w:sz w:val="14"/>
          <w:szCs w:val="14"/>
          <w:color w:val="auto"/>
        </w:rPr>
        <w:t>The Company evaluated the acquisition under the guidance within ASU 2017-01, “Clarifying the Definition of a Business</w:t>
      </w:r>
      <w:r>
        <w:rPr>
          <w:rFonts w:ascii="Arial" w:cs="Arial" w:eastAsia="Arial" w:hAnsi="Arial"/>
          <w:sz w:val="14"/>
          <w:szCs w:val="14"/>
          <w:i w:val="1"/>
          <w:iCs w:val="1"/>
          <w:color w:val="auto"/>
        </w:rPr>
        <w:t>”</w:t>
      </w:r>
      <w:r>
        <w:rPr>
          <w:rFonts w:ascii="Arial" w:cs="Arial" w:eastAsia="Arial" w:hAnsi="Arial"/>
          <w:sz w:val="14"/>
          <w:szCs w:val="14"/>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 acquired was concentrated in an IPR&amp;D asset.</w:t>
      </w:r>
    </w:p>
    <w:p>
      <w:pPr>
        <w:spacing w:after="0" w:line="106" w:lineRule="exact"/>
        <w:rPr>
          <w:sz w:val="20"/>
          <w:szCs w:val="20"/>
          <w:color w:val="auto"/>
        </w:rPr>
      </w:pPr>
    </w:p>
    <w:p>
      <w:pPr>
        <w:ind w:left="1220" w:right="1639"/>
        <w:spacing w:after="0" w:line="274" w:lineRule="auto"/>
        <w:rPr>
          <w:sz w:val="20"/>
          <w:szCs w:val="20"/>
          <w:color w:val="auto"/>
        </w:rPr>
      </w:pPr>
      <w:r>
        <w:rPr>
          <w:rFonts w:ascii="Arial" w:cs="Arial" w:eastAsia="Arial" w:hAnsi="Arial"/>
          <w:sz w:val="14"/>
          <w:szCs w:val="14"/>
          <w:color w:val="auto"/>
        </w:rPr>
        <w:t>As the IPR&amp;D asset has no alternative future use, the Company charged $4,722 to expense within its consolidated statements of operations for the year ended December 31. 2020.</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5—Financial instruments and fair value measurements</w:t>
      </w:r>
    </w:p>
    <w:p>
      <w:pPr>
        <w:spacing w:after="0" w:line="10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sets forth the Company’s assets that were measured at fair value as of</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December 31, 2020,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1</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2</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$24,284</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$24,284</w:t>
            </w: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U.S. Treasury</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9,525</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9,525</w:t>
            </w:r>
          </w:p>
        </w:tc>
      </w:tr>
      <w:tr>
        <w:trPr>
          <w:trHeight w:val="23"/>
        </w:trPr>
        <w:tc>
          <w:tcPr>
            <w:tcW w:w="38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40,070</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40,070</w:t>
            </w:r>
          </w:p>
        </w:tc>
      </w:tr>
      <w:tr>
        <w:trPr>
          <w:trHeight w:val="169"/>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Total</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$33,809</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$40,070</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$73,879</w:t>
            </w:r>
          </w:p>
        </w:tc>
      </w:tr>
      <w:tr>
        <w:trPr>
          <w:trHeight w:val="33"/>
        </w:trPr>
        <w:tc>
          <w:tcPr>
            <w:tcW w:w="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8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sets forth the Company’s assets that were measured at fair value as of</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December 31, 2019,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8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1</w:t>
            </w:r>
          </w:p>
        </w:tc>
        <w:tc>
          <w:tcPr>
            <w:tcW w:w="7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3"/>
                <w:szCs w:val="13"/>
                <w:b w:val="1"/>
                <w:bCs w:val="1"/>
                <w:color w:val="auto"/>
              </w:rPr>
              <w:t>Level 2</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$42,010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$42,010</w:t>
            </w: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U.S. Treasury</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7,612</w:t>
            </w:r>
          </w:p>
        </w:tc>
        <w:tc>
          <w:tcPr>
            <w:tcW w:w="18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7,612</w:t>
            </w:r>
          </w:p>
        </w:tc>
      </w:tr>
      <w:tr>
        <w:trPr>
          <w:trHeight w:val="23"/>
        </w:trPr>
        <w:tc>
          <w:tcPr>
            <w:tcW w:w="38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7"/>
              </w:rPr>
              <w:t>33,943</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33,943</w:t>
            </w:r>
          </w:p>
        </w:tc>
      </w:tr>
      <w:tr>
        <w:trPr>
          <w:trHeight w:val="169"/>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Total</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$49,622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w w:val="97"/>
              </w:rPr>
              <w:t>33,943</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$83,565</w:t>
            </w:r>
          </w:p>
        </w:tc>
      </w:tr>
      <w:tr>
        <w:trPr>
          <w:trHeight w:val="33"/>
        </w:trPr>
        <w:tc>
          <w:tcPr>
            <w:tcW w:w="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96" w:lineRule="exact"/>
        <w:rPr>
          <w:sz w:val="20"/>
          <w:szCs w:val="20"/>
          <w:color w:val="auto"/>
        </w:rPr>
      </w:pPr>
    </w:p>
    <w:p>
      <w:pPr>
        <w:jc w:val="both"/>
        <w:ind w:left="1220" w:right="1379"/>
        <w:spacing w:after="0" w:line="265" w:lineRule="auto"/>
        <w:rPr>
          <w:sz w:val="20"/>
          <w:szCs w:val="20"/>
          <w:color w:val="auto"/>
        </w:rPr>
      </w:pPr>
      <w:r>
        <w:rPr>
          <w:rFonts w:ascii="Arial" w:cs="Arial" w:eastAsia="Arial" w:hAnsi="Arial"/>
          <w:sz w:val="14"/>
          <w:szCs w:val="14"/>
          <w:color w:val="auto"/>
        </w:rPr>
        <w:t>There were no transfers between levels during the period ended December 31, 2020 and 2019. The Company uses the services of its investment manager, which uses widely accepted models for assumptions in valuing securities with inputs from major third-party data providers.</w:t>
      </w:r>
    </w:p>
    <w:p>
      <w:pPr>
        <w:spacing w:after="0" w:line="93" w:lineRule="exact"/>
        <w:rPr>
          <w:sz w:val="20"/>
          <w:szCs w:val="20"/>
          <w:color w:val="auto"/>
        </w:rPr>
      </w:pPr>
    </w:p>
    <w:p>
      <w:pPr>
        <w:ind w:left="1220" w:right="1519"/>
        <w:spacing w:after="0" w:line="274" w:lineRule="auto"/>
        <w:rPr>
          <w:sz w:val="20"/>
          <w:szCs w:val="20"/>
          <w:color w:val="auto"/>
        </w:rPr>
      </w:pPr>
      <w:r>
        <w:rPr>
          <w:rFonts w:ascii="Arial" w:cs="Arial" w:eastAsia="Arial" w:hAnsi="Arial"/>
          <w:sz w:val="14"/>
          <w:szCs w:val="14"/>
          <w:color w:val="auto"/>
        </w:rPr>
        <w:t>The Company classifies all of its investments in fixed maturity debt securities as available-for-sale and, accordingly, are carried at estimated fair value.</w:t>
      </w:r>
    </w:p>
    <w:p>
      <w:pPr>
        <w:spacing w:after="0" w:line="96" w:lineRule="exact"/>
        <w:rPr>
          <w:sz w:val="20"/>
          <w:szCs w:val="20"/>
          <w:color w:val="auto"/>
        </w:rPr>
      </w:pPr>
    </w:p>
    <w:p>
      <w:pPr>
        <w:ind w:left="1220" w:right="1579"/>
        <w:spacing w:after="0" w:line="274" w:lineRule="auto"/>
        <w:rPr>
          <w:sz w:val="20"/>
          <w:szCs w:val="20"/>
          <w:color w:val="auto"/>
        </w:rPr>
      </w:pPr>
      <w:r>
        <w:rPr>
          <w:rFonts w:ascii="Arial" w:cs="Arial" w:eastAsia="Arial" w:hAnsi="Arial"/>
          <w:sz w:val="14"/>
          <w:szCs w:val="14"/>
          <w:color w:val="auto"/>
        </w:rPr>
        <w:t>The amortized cost, gross unrealized gains and losses, and fair value of investments in fixed maturity securities are as follows as of December 31, 2020:</w:t>
      </w:r>
    </w:p>
    <w:p>
      <w:pPr>
        <w:spacing w:after="0" w:line="120"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1000" w:type="dxa"/>
            <w:vAlign w:val="bottom"/>
          </w:tcPr>
          <w:p>
            <w:pPr>
              <w:spacing w:after="0"/>
              <w:rPr>
                <w:sz w:val="13"/>
                <w:szCs w:val="13"/>
                <w:color w:val="auto"/>
              </w:rPr>
            </w:pPr>
          </w:p>
        </w:tc>
        <w:tc>
          <w:tcPr>
            <w:tcW w:w="20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3"/>
                <w:szCs w:val="13"/>
                <w:b w:val="1"/>
                <w:bCs w:val="1"/>
                <w:color w:val="auto"/>
              </w:rPr>
              <w:t>Gross</w:t>
            </w:r>
          </w:p>
        </w:tc>
        <w:tc>
          <w:tcPr>
            <w:tcW w:w="920" w:type="dxa"/>
            <w:vAlign w:val="bottom"/>
            <w:tcBorders>
              <w:top w:val="single" w:sz="8" w:color="auto"/>
            </w:tcBorders>
          </w:tcPr>
          <w:p>
            <w:pPr>
              <w:jc w:val="right"/>
              <w:ind w:right="92"/>
              <w:spacing w:after="0"/>
              <w:rPr>
                <w:sz w:val="20"/>
                <w:szCs w:val="20"/>
                <w:color w:val="auto"/>
              </w:rPr>
            </w:pPr>
            <w:r>
              <w:rPr>
                <w:rFonts w:ascii="Arial" w:cs="Arial" w:eastAsia="Arial" w:hAnsi="Arial"/>
                <w:sz w:val="13"/>
                <w:szCs w:val="13"/>
                <w:b w:val="1"/>
                <w:bCs w:val="1"/>
                <w:color w:val="auto"/>
              </w:rPr>
              <w:t>Gross</w:t>
            </w:r>
          </w:p>
        </w:tc>
        <w:tc>
          <w:tcPr>
            <w:tcW w:w="2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2"/>
          </w:tcPr>
          <w:p>
            <w:pPr>
              <w:jc w:val="right"/>
              <w:ind w:right="48"/>
              <w:spacing w:after="0"/>
              <w:rPr>
                <w:sz w:val="20"/>
                <w:szCs w:val="20"/>
                <w:color w:val="auto"/>
              </w:rPr>
            </w:pPr>
            <w:r>
              <w:rPr>
                <w:rFonts w:ascii="Arial" w:cs="Arial" w:eastAsia="Arial" w:hAnsi="Arial"/>
                <w:sz w:val="13"/>
                <w:szCs w:val="13"/>
                <w:b w:val="1"/>
                <w:bCs w:val="1"/>
                <w:color w:val="auto"/>
              </w:rPr>
              <w:t>Unrealized</w:t>
            </w:r>
          </w:p>
        </w:tc>
        <w:tc>
          <w:tcPr>
            <w:tcW w:w="920" w:type="dxa"/>
            <w:vAlign w:val="bottom"/>
          </w:tcPr>
          <w:p>
            <w:pPr>
              <w:jc w:val="right"/>
              <w:ind w:right="92"/>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8"/>
        </w:trPr>
        <w:tc>
          <w:tcPr>
            <w:tcW w:w="1000" w:type="dxa"/>
            <w:vAlign w:val="bottom"/>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Gains</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c>
          <w:tcPr>
            <w:tcW w:w="100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4"/>
                <w:szCs w:val="14"/>
                <w:color w:val="auto"/>
              </w:rPr>
              <w:t>U.S. Treasury</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9,518</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9,525</w:t>
            </w:r>
          </w:p>
        </w:tc>
        <w:tc>
          <w:tcPr>
            <w:tcW w:w="1000" w:type="dxa"/>
            <w:vAlign w:val="bottom"/>
          </w:tcPr>
          <w:p>
            <w:pPr>
              <w:spacing w:after="0"/>
              <w:rPr>
                <w:sz w:val="15"/>
                <w:szCs w:val="15"/>
                <w:color w:val="auto"/>
              </w:rPr>
            </w:pPr>
          </w:p>
        </w:tc>
      </w:tr>
      <w:tr>
        <w:trPr>
          <w:trHeight w:val="172"/>
        </w:trPr>
        <w:tc>
          <w:tcPr>
            <w:tcW w:w="100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Corporate bonds</w:t>
            </w:r>
          </w:p>
        </w:tc>
        <w:tc>
          <w:tcPr>
            <w:tcW w:w="144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40,069</w:t>
            </w:r>
          </w:p>
        </w:tc>
        <w:tc>
          <w:tcPr>
            <w:tcW w:w="6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8</w:t>
            </w: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40,070</w:t>
            </w:r>
          </w:p>
        </w:tc>
        <w:tc>
          <w:tcPr>
            <w:tcW w:w="1000" w:type="dxa"/>
            <w:vAlign w:val="bottom"/>
          </w:tcPr>
          <w:p>
            <w:pPr>
              <w:spacing w:after="0"/>
              <w:rPr>
                <w:sz w:val="14"/>
                <w:szCs w:val="14"/>
                <w:color w:val="auto"/>
              </w:rPr>
            </w:pPr>
          </w:p>
        </w:tc>
      </w:tr>
      <w:tr>
        <w:trPr>
          <w:trHeight w:val="210"/>
        </w:trPr>
        <w:tc>
          <w:tcPr>
            <w:tcW w:w="1000" w:type="dxa"/>
            <w:vAlign w:val="bottom"/>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49,587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49,595</w:t>
            </w:r>
          </w:p>
        </w:tc>
        <w:tc>
          <w:tcPr>
            <w:tcW w:w="1000" w:type="dxa"/>
            <w:vAlign w:val="bottom"/>
          </w:tcPr>
          <w:p>
            <w:pPr>
              <w:spacing w:after="0"/>
              <w:rPr>
                <w:sz w:val="17"/>
                <w:szCs w:val="17"/>
                <w:color w:val="auto"/>
              </w:rPr>
            </w:pPr>
          </w:p>
        </w:tc>
      </w:tr>
      <w:tr>
        <w:trPr>
          <w:trHeight w:val="508"/>
        </w:trPr>
        <w:tc>
          <w:tcPr>
            <w:tcW w:w="100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F-16</w:t>
            </w:r>
          </w:p>
        </w:tc>
        <w:tc>
          <w:tcPr>
            <w:tcW w:w="5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r>
        <w:trPr>
          <w:trHeight w:val="316"/>
        </w:trPr>
        <w:tc>
          <w:tcPr>
            <w:tcW w:w="10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5556885</wp:posOffset>
            </wp:positionH>
            <wp:positionV relativeFrom="paragraph">
              <wp:posOffset>-26035</wp:posOffset>
            </wp:positionV>
            <wp:extent cx="32385" cy="393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-26035</wp:posOffset>
            </wp:positionV>
            <wp:extent cx="32385" cy="393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29" w:name="page230"/>
    <w:bookmarkEnd w:id="229"/>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579"/>
        <w:spacing w:after="0" w:line="274" w:lineRule="auto"/>
        <w:rPr>
          <w:sz w:val="20"/>
          <w:szCs w:val="20"/>
          <w:color w:val="auto"/>
        </w:rPr>
      </w:pPr>
      <w:r>
        <w:rPr>
          <w:rFonts w:ascii="Arial" w:cs="Arial" w:eastAsia="Arial" w:hAnsi="Arial"/>
          <w:sz w:val="14"/>
          <w:szCs w:val="14"/>
          <w:color w:val="auto"/>
        </w:rPr>
        <w:t>The amortized cost, gross unrealized gains and losses, and fair value of investments in fixed maturity securities are as follows as of December 31, 2019:</w:t>
      </w:r>
    </w:p>
    <w:p>
      <w:pPr>
        <w:spacing w:after="0" w:line="109"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0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3"/>
                <w:szCs w:val="13"/>
                <w:b w:val="1"/>
                <w:bCs w:val="1"/>
                <w:color w:val="auto"/>
              </w:rPr>
              <w:t>Gross</w:t>
            </w:r>
          </w:p>
        </w:tc>
        <w:tc>
          <w:tcPr>
            <w:tcW w:w="920" w:type="dxa"/>
            <w:vAlign w:val="bottom"/>
            <w:tcBorders>
              <w:top w:val="single" w:sz="8" w:color="auto"/>
            </w:tcBorders>
          </w:tcPr>
          <w:p>
            <w:pPr>
              <w:jc w:val="right"/>
              <w:ind w:right="92"/>
              <w:spacing w:after="0"/>
              <w:rPr>
                <w:sz w:val="20"/>
                <w:szCs w:val="20"/>
                <w:color w:val="auto"/>
              </w:rPr>
            </w:pPr>
            <w:r>
              <w:rPr>
                <w:rFonts w:ascii="Arial" w:cs="Arial" w:eastAsia="Arial" w:hAnsi="Arial"/>
                <w:sz w:val="13"/>
                <w:szCs w:val="13"/>
                <w:b w:val="1"/>
                <w:bCs w:val="1"/>
                <w:color w:val="auto"/>
              </w:rPr>
              <w:t>Gross</w:t>
            </w: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r>
      <w:tr>
        <w:trPr>
          <w:trHeight w:val="151"/>
        </w:trPr>
        <w:tc>
          <w:tcPr>
            <w:tcW w:w="20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2"/>
          </w:tcPr>
          <w:p>
            <w:pPr>
              <w:jc w:val="right"/>
              <w:ind w:right="48"/>
              <w:spacing w:after="0"/>
              <w:rPr>
                <w:sz w:val="20"/>
                <w:szCs w:val="20"/>
                <w:color w:val="auto"/>
              </w:rPr>
            </w:pPr>
            <w:r>
              <w:rPr>
                <w:rFonts w:ascii="Arial" w:cs="Arial" w:eastAsia="Arial" w:hAnsi="Arial"/>
                <w:sz w:val="13"/>
                <w:szCs w:val="13"/>
                <w:b w:val="1"/>
                <w:bCs w:val="1"/>
                <w:color w:val="auto"/>
              </w:rPr>
              <w:t>Unrealized</w:t>
            </w:r>
          </w:p>
        </w:tc>
        <w:tc>
          <w:tcPr>
            <w:tcW w:w="920" w:type="dxa"/>
            <w:vAlign w:val="bottom"/>
          </w:tcPr>
          <w:p>
            <w:pPr>
              <w:jc w:val="right"/>
              <w:ind w:right="92"/>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79"/>
        </w:trPr>
        <w:tc>
          <w:tcPr>
            <w:tcW w:w="20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gridSpan w:val="2"/>
          </w:tcPr>
          <w:p>
            <w:pPr>
              <w:jc w:val="center"/>
              <w:ind w:left="272"/>
              <w:spacing w:after="0"/>
              <w:rPr>
                <w:sz w:val="20"/>
                <w:szCs w:val="20"/>
                <w:color w:val="auto"/>
              </w:rPr>
            </w:pPr>
            <w:r>
              <w:rPr>
                <w:rFonts w:ascii="Arial" w:cs="Arial" w:eastAsia="Arial" w:hAnsi="Arial"/>
                <w:sz w:val="13"/>
                <w:szCs w:val="13"/>
                <w:b w:val="1"/>
                <w:bCs w:val="1"/>
                <w:color w:val="auto"/>
              </w:rPr>
              <w:t>Gains</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r>
      <w:tr>
        <w:trPr>
          <w:trHeight w:val="173"/>
        </w:trPr>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U.S. Treasury</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7,612</w:t>
            </w:r>
          </w:p>
        </w:tc>
        <w:tc>
          <w:tcPr>
            <w:tcW w:w="680" w:type="dxa"/>
            <w:vAlign w:val="bottom"/>
            <w:tcBorders>
              <w:bottom w:val="single" w:sz="8" w:color="CCEEFF"/>
            </w:tcBorders>
            <w:shd w:val="clear" w:color="auto" w:fill="CCEEFF"/>
          </w:tcPr>
          <w:p>
            <w:pPr>
              <w:jc w:val="center"/>
              <w:ind w:left="45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7,612</w:t>
            </w:r>
          </w:p>
        </w:tc>
      </w:tr>
      <w:tr>
        <w:trPr>
          <w:trHeight w:val="182"/>
        </w:trPr>
        <w:tc>
          <w:tcPr>
            <w:tcW w:w="2060" w:type="dxa"/>
            <w:vAlign w:val="bottom"/>
          </w:tcPr>
          <w:p>
            <w:pPr>
              <w:spacing w:after="0"/>
              <w:rPr>
                <w:sz w:val="20"/>
                <w:szCs w:val="20"/>
                <w:color w:val="auto"/>
              </w:rPr>
            </w:pPr>
            <w:r>
              <w:rPr>
                <w:rFonts w:ascii="Arial" w:cs="Arial" w:eastAsia="Arial" w:hAnsi="Arial"/>
                <w:sz w:val="14"/>
                <w:szCs w:val="14"/>
                <w:color w:val="auto"/>
              </w:rPr>
              <w:t>Corporate bonds</w:t>
            </w:r>
          </w:p>
        </w:tc>
        <w:tc>
          <w:tcPr>
            <w:tcW w:w="144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33,946</w:t>
            </w:r>
          </w:p>
        </w:tc>
        <w:tc>
          <w:tcPr>
            <w:tcW w:w="6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3</w:t>
            </w: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33,943</w:t>
            </w:r>
          </w:p>
        </w:tc>
      </w:tr>
      <w:tr>
        <w:trPr>
          <w:trHeight w:val="23"/>
        </w:trPr>
        <w:tc>
          <w:tcPr>
            <w:tcW w:w="2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41,558</w:t>
            </w:r>
          </w:p>
        </w:tc>
        <w:tc>
          <w:tcPr>
            <w:tcW w:w="680" w:type="dxa"/>
            <w:vAlign w:val="bottom"/>
            <w:tcBorders>
              <w:bottom w:val="single" w:sz="8" w:color="CCEEFF"/>
            </w:tcBorders>
            <w:shd w:val="clear" w:color="auto" w:fill="CCEEFF"/>
          </w:tcPr>
          <w:p>
            <w:pPr>
              <w:jc w:val="center"/>
              <w:ind w:left="45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41,555</w:t>
            </w:r>
          </w:p>
        </w:tc>
      </w:tr>
      <w:tr>
        <w:trPr>
          <w:trHeight w:val="20"/>
        </w:trPr>
        <w:tc>
          <w:tcPr>
            <w:tcW w:w="20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118"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provides the maturities of our fixed maturity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44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3"/>
                <w:szCs w:val="13"/>
                <w:b w:val="1"/>
                <w:bCs w:val="1"/>
                <w:color w:val="auto"/>
              </w:rPr>
              <w:t>Successor</w:t>
            </w:r>
          </w:p>
        </w:tc>
        <w:tc>
          <w:tcPr>
            <w:tcW w:w="500" w:type="dxa"/>
            <w:vAlign w:val="bottom"/>
            <w:tcBorders>
              <w:bottom w:val="single" w:sz="8" w:color="auto"/>
            </w:tcBorders>
          </w:tcPr>
          <w:p>
            <w:pPr>
              <w:spacing w:after="0"/>
              <w:rPr>
                <w:sz w:val="15"/>
                <w:szCs w:val="15"/>
                <w:color w:val="auto"/>
              </w:rPr>
            </w:pPr>
          </w:p>
        </w:tc>
      </w:tr>
      <w:tr>
        <w:trPr>
          <w:trHeight w:val="135"/>
        </w:trPr>
        <w:tc>
          <w:tcPr>
            <w:tcW w:w="4460" w:type="dxa"/>
            <w:vAlign w:val="bottom"/>
          </w:tcPr>
          <w:p>
            <w:pPr>
              <w:spacing w:after="0"/>
              <w:rPr>
                <w:sz w:val="11"/>
                <w:szCs w:val="11"/>
                <w:color w:val="auto"/>
              </w:rPr>
            </w:pPr>
          </w:p>
        </w:tc>
        <w:tc>
          <w:tcPr>
            <w:tcW w:w="1100" w:type="dxa"/>
            <w:vAlign w:val="bottom"/>
            <w:gridSpan w:val="2"/>
          </w:tcPr>
          <w:p>
            <w:pPr>
              <w:jc w:val="right"/>
              <w:ind w:right="71"/>
              <w:spacing w:after="0" w:line="136" w:lineRule="exact"/>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right"/>
              <w:spacing w:after="0" w:line="136" w:lineRule="exact"/>
              <w:rPr>
                <w:sz w:val="20"/>
                <w:szCs w:val="20"/>
                <w:color w:val="auto"/>
              </w:rPr>
            </w:pPr>
            <w:r>
              <w:rPr>
                <w:rFonts w:ascii="Arial" w:cs="Arial" w:eastAsia="Arial" w:hAnsi="Arial"/>
                <w:sz w:val="13"/>
                <w:szCs w:val="13"/>
                <w:b w:val="1"/>
                <w:bCs w:val="1"/>
                <w:color w:val="auto"/>
              </w:rPr>
              <w:t>December 31,</w:t>
            </w:r>
          </w:p>
        </w:tc>
      </w:tr>
      <w:tr>
        <w:trPr>
          <w:trHeight w:val="179"/>
        </w:trPr>
        <w:tc>
          <w:tcPr>
            <w:tcW w:w="44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r>
      <w:tr>
        <w:trPr>
          <w:trHeight w:val="173"/>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than one year</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48,542</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37,475</w:t>
            </w:r>
          </w:p>
        </w:tc>
      </w:tr>
      <w:tr>
        <w:trPr>
          <w:trHeight w:val="182"/>
        </w:trPr>
        <w:tc>
          <w:tcPr>
            <w:tcW w:w="4460" w:type="dxa"/>
            <w:vAlign w:val="bottom"/>
          </w:tcPr>
          <w:p>
            <w:pPr>
              <w:spacing w:after="0"/>
              <w:rPr>
                <w:sz w:val="20"/>
                <w:szCs w:val="20"/>
                <w:color w:val="auto"/>
              </w:rPr>
            </w:pPr>
            <w:r>
              <w:rPr>
                <w:rFonts w:ascii="Arial" w:cs="Arial" w:eastAsia="Arial" w:hAnsi="Arial"/>
                <w:sz w:val="14"/>
                <w:szCs w:val="14"/>
                <w:color w:val="auto"/>
              </w:rPr>
              <w:t>One to five years</w:t>
            </w:r>
          </w:p>
        </w:tc>
        <w:tc>
          <w:tcPr>
            <w:tcW w:w="500" w:type="dxa"/>
            <w:vAlign w:val="bottom"/>
          </w:tcPr>
          <w:p>
            <w:pPr>
              <w:spacing w:after="0"/>
              <w:rPr>
                <w:sz w:val="15"/>
                <w:szCs w:val="15"/>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1,053</w:t>
            </w:r>
          </w:p>
        </w:tc>
        <w:tc>
          <w:tcPr>
            <w:tcW w:w="5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4,080</w:t>
            </w:r>
          </w:p>
        </w:tc>
      </w:tr>
      <w:tr>
        <w:trPr>
          <w:trHeight w:val="23"/>
        </w:trPr>
        <w:tc>
          <w:tcPr>
            <w:tcW w:w="4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44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49,595</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41,555</w:t>
            </w:r>
          </w:p>
        </w:tc>
      </w:tr>
      <w:tr>
        <w:trPr>
          <w:trHeight w:val="20"/>
        </w:trPr>
        <w:tc>
          <w:tcPr>
            <w:tcW w:w="4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96" w:lineRule="exact"/>
        <w:rPr>
          <w:sz w:val="20"/>
          <w:szCs w:val="20"/>
          <w:color w:val="auto"/>
        </w:rPr>
      </w:pPr>
    </w:p>
    <w:p>
      <w:pPr>
        <w:ind w:left="1220" w:right="1259"/>
        <w:spacing w:after="0" w:line="262" w:lineRule="auto"/>
        <w:rPr>
          <w:sz w:val="20"/>
          <w:szCs w:val="20"/>
          <w:color w:val="auto"/>
        </w:rPr>
      </w:pPr>
      <w:r>
        <w:rPr>
          <w:rFonts w:ascii="Arial" w:cs="Arial" w:eastAsia="Arial" w:hAnsi="Arial"/>
          <w:sz w:val="14"/>
          <w:szCs w:val="14"/>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6—Prepaid expenses and other current assets</w:t>
      </w:r>
    </w:p>
    <w:p>
      <w:pPr>
        <w:spacing w:after="0" w:line="14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is a summary of 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103505</wp:posOffset>
            </wp:positionV>
            <wp:extent cx="4165600" cy="139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72"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Successor</w:t>
            </w:r>
          </w:p>
        </w:tc>
        <w:tc>
          <w:tcPr>
            <w:tcW w:w="40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08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rPr>
              <w:t>December 31,</w:t>
            </w:r>
          </w:p>
        </w:tc>
      </w:tr>
      <w:tr>
        <w:trPr>
          <w:trHeight w:val="179"/>
        </w:trPr>
        <w:tc>
          <w:tcPr>
            <w:tcW w:w="20" w:type="dxa"/>
            <w:vAlign w:val="bottom"/>
          </w:tcPr>
          <w:p>
            <w:pPr>
              <w:spacing w:after="0"/>
              <w:rPr>
                <w:sz w:val="15"/>
                <w:szCs w:val="15"/>
                <w:color w:val="auto"/>
              </w:rPr>
            </w:pPr>
          </w:p>
        </w:tc>
        <w:tc>
          <w:tcPr>
            <w:tcW w:w="44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r>
      <w:tr>
        <w:trPr>
          <w:trHeight w:val="173"/>
        </w:trPr>
        <w:tc>
          <w:tcPr>
            <w:tcW w:w="20" w:type="dxa"/>
            <w:vAlign w:val="bottom"/>
          </w:tcPr>
          <w:p>
            <w:pPr>
              <w:spacing w:after="0"/>
              <w:rPr>
                <w:sz w:val="15"/>
                <w:szCs w:val="15"/>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60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97</w:t>
            </w:r>
          </w:p>
        </w:tc>
        <w:tc>
          <w:tcPr>
            <w:tcW w:w="60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2,140</w:t>
            </w:r>
          </w:p>
        </w:tc>
      </w:tr>
      <w:tr>
        <w:trPr>
          <w:trHeight w:val="182"/>
        </w:trPr>
        <w:tc>
          <w:tcPr>
            <w:tcW w:w="4480" w:type="dxa"/>
            <w:vAlign w:val="bottom"/>
            <w:gridSpan w:val="2"/>
          </w:tcPr>
          <w:p>
            <w:pPr>
              <w:spacing w:after="0"/>
              <w:rPr>
                <w:sz w:val="20"/>
                <w:szCs w:val="20"/>
                <w:color w:val="auto"/>
              </w:rPr>
            </w:pPr>
            <w:r>
              <w:rPr>
                <w:rFonts w:ascii="Arial" w:cs="Arial" w:eastAsia="Arial" w:hAnsi="Arial"/>
                <w:sz w:val="14"/>
                <w:szCs w:val="14"/>
                <w:color w:val="auto"/>
              </w:rPr>
              <w:t>Software licenses and other</w:t>
            </w:r>
          </w:p>
        </w:tc>
        <w:tc>
          <w:tcPr>
            <w:tcW w:w="60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760</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196</w:t>
            </w:r>
          </w:p>
        </w:tc>
      </w:tr>
      <w:tr>
        <w:trPr>
          <w:trHeight w:val="23"/>
        </w:trPr>
        <w:tc>
          <w:tcPr>
            <w:tcW w:w="4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Miscellaneous receivables</w:t>
            </w:r>
          </w:p>
        </w:tc>
        <w:tc>
          <w:tcPr>
            <w:tcW w:w="6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908</w:t>
            </w:r>
          </w:p>
        </w:tc>
        <w:tc>
          <w:tcPr>
            <w:tcW w:w="6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w:t>
            </w:r>
          </w:p>
        </w:tc>
      </w:tr>
      <w:tr>
        <w:trPr>
          <w:trHeight w:val="182"/>
        </w:trPr>
        <w:tc>
          <w:tcPr>
            <w:tcW w:w="4480" w:type="dxa"/>
            <w:vAlign w:val="bottom"/>
            <w:gridSpan w:val="2"/>
          </w:tcPr>
          <w:p>
            <w:pPr>
              <w:spacing w:after="0"/>
              <w:rPr>
                <w:sz w:val="20"/>
                <w:szCs w:val="20"/>
                <w:color w:val="auto"/>
              </w:rPr>
            </w:pPr>
            <w:r>
              <w:rPr>
                <w:rFonts w:ascii="Arial" w:cs="Arial" w:eastAsia="Arial" w:hAnsi="Arial"/>
                <w:sz w:val="14"/>
                <w:szCs w:val="14"/>
                <w:color w:val="auto"/>
              </w:rPr>
              <w:t>Warranties</w:t>
            </w:r>
          </w:p>
        </w:tc>
        <w:tc>
          <w:tcPr>
            <w:tcW w:w="60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240</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4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6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256</w:t>
            </w:r>
          </w:p>
        </w:tc>
        <w:tc>
          <w:tcPr>
            <w:tcW w:w="6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r>
      <w:tr>
        <w:trPr>
          <w:trHeight w:val="169"/>
        </w:trPr>
        <w:tc>
          <w:tcPr>
            <w:tcW w:w="2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Total prepaid expenses and other current assets</w:t>
            </w:r>
          </w:p>
        </w:tc>
        <w:tc>
          <w:tcPr>
            <w:tcW w:w="600" w:type="dxa"/>
            <w:vAlign w:val="bottom"/>
          </w:tcPr>
          <w:p>
            <w:pPr>
              <w:jc w:val="center"/>
              <w:ind w:left="33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2,261</w:t>
            </w:r>
          </w:p>
        </w:tc>
        <w:tc>
          <w:tcPr>
            <w:tcW w:w="600" w:type="dxa"/>
            <w:vAlign w:val="bottom"/>
          </w:tcPr>
          <w:p>
            <w:pPr>
              <w:jc w:val="center"/>
              <w:ind w:left="33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2,583</w:t>
            </w:r>
          </w:p>
        </w:tc>
      </w:tr>
      <w:tr>
        <w:trPr>
          <w:trHeight w:val="33"/>
        </w:trPr>
        <w:tc>
          <w:tcPr>
            <w:tcW w:w="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bl>
    <w:p>
      <w:pPr>
        <w:spacing w:after="0" w:line="13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7—Property and equipment, net</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is a summary of 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220" w:type="dxa"/>
        <w:tblCellMar>
          <w:top w:w="0" w:type="dxa"/>
          <w:left w:w="0" w:type="dxa"/>
          <w:bottom w:w="0" w:type="dxa"/>
          <w:right w:w="0" w:type="dxa"/>
        </w:tblCellMar>
      </w:tblPr>
      <w:tr>
        <w:trPr>
          <w:trHeight w:val="179"/>
        </w:trPr>
        <w:tc>
          <w:tcPr>
            <w:tcW w:w="10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8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3"/>
                <w:szCs w:val="13"/>
                <w:b w:val="1"/>
                <w:bCs w:val="1"/>
                <w:color w:val="auto"/>
              </w:rPr>
              <w:t>Successor</w:t>
            </w:r>
          </w:p>
        </w:tc>
        <w:tc>
          <w:tcPr>
            <w:tcW w:w="1000" w:type="dxa"/>
            <w:vAlign w:val="bottom"/>
          </w:tcPr>
          <w:p>
            <w:pPr>
              <w:spacing w:after="0"/>
              <w:rPr>
                <w:sz w:val="15"/>
                <w:szCs w:val="15"/>
                <w:color w:val="auto"/>
              </w:rPr>
            </w:pPr>
          </w:p>
        </w:tc>
      </w:tr>
      <w:tr>
        <w:trPr>
          <w:trHeight w:val="135"/>
        </w:trPr>
        <w:tc>
          <w:tcPr>
            <w:tcW w:w="10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80" w:type="dxa"/>
            <w:vAlign w:val="bottom"/>
          </w:tcPr>
          <w:p>
            <w:pPr>
              <w:jc w:val="right"/>
              <w:ind w:right="53"/>
              <w:spacing w:after="0" w:line="136" w:lineRule="exact"/>
              <w:rPr>
                <w:sz w:val="20"/>
                <w:szCs w:val="20"/>
                <w:color w:val="auto"/>
              </w:rPr>
            </w:pPr>
            <w:r>
              <w:rPr>
                <w:rFonts w:ascii="Arial" w:cs="Arial" w:eastAsia="Arial" w:hAnsi="Arial"/>
                <w:sz w:val="13"/>
                <w:szCs w:val="13"/>
                <w:b w:val="1"/>
                <w:bCs w:val="1"/>
                <w:color w:val="auto"/>
              </w:rPr>
              <w:t>December 31,</w:t>
            </w:r>
          </w:p>
        </w:tc>
        <w:tc>
          <w:tcPr>
            <w:tcW w:w="100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December 31,</w:t>
            </w:r>
          </w:p>
        </w:tc>
        <w:tc>
          <w:tcPr>
            <w:tcW w:w="1000" w:type="dxa"/>
            <w:vAlign w:val="bottom"/>
          </w:tcPr>
          <w:p>
            <w:pPr>
              <w:spacing w:after="0"/>
              <w:rPr>
                <w:sz w:val="11"/>
                <w:szCs w:val="11"/>
                <w:color w:val="auto"/>
              </w:rPr>
            </w:pPr>
          </w:p>
        </w:tc>
      </w:tr>
      <w:tr>
        <w:trPr>
          <w:trHeight w:val="178"/>
        </w:trPr>
        <w:tc>
          <w:tcPr>
            <w:tcW w:w="1000" w:type="dxa"/>
            <w:vAlign w:val="bottom"/>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3"/>
                <w:szCs w:val="13"/>
                <w:b w:val="1"/>
                <w:bCs w:val="1"/>
                <w:color w:val="auto"/>
              </w:rPr>
              <w:t>2020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100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Lab equipment</w:t>
            </w:r>
          </w:p>
        </w:tc>
        <w:tc>
          <w:tcPr>
            <w:tcW w:w="2840" w:type="dxa"/>
            <w:vAlign w:val="bottom"/>
            <w:gridSpan w:val="2"/>
            <w:shd w:val="clear" w:color="auto" w:fill="CCEEFF"/>
          </w:tcPr>
          <w:p>
            <w:pPr>
              <w:jc w:val="right"/>
              <w:ind w:right="13"/>
              <w:spacing w:after="0"/>
              <w:rPr>
                <w:sz w:val="20"/>
                <w:szCs w:val="20"/>
                <w:color w:val="auto"/>
              </w:rPr>
            </w:pPr>
            <w:r>
              <w:rPr>
                <w:rFonts w:ascii="Arial" w:cs="Arial" w:eastAsia="Arial" w:hAnsi="Arial"/>
                <w:sz w:val="14"/>
                <w:szCs w:val="14"/>
                <w:color w:val="auto"/>
              </w:rPr>
              <w:t>$   8,941</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2,633</w:t>
            </w:r>
          </w:p>
        </w:tc>
        <w:tc>
          <w:tcPr>
            <w:tcW w:w="1000" w:type="dxa"/>
            <w:vAlign w:val="bottom"/>
          </w:tcPr>
          <w:p>
            <w:pPr>
              <w:spacing w:after="0"/>
              <w:rPr>
                <w:sz w:val="15"/>
                <w:szCs w:val="15"/>
                <w:color w:val="auto"/>
              </w:rPr>
            </w:pPr>
          </w:p>
        </w:tc>
      </w:tr>
      <w:tr>
        <w:trPr>
          <w:trHeight w:val="172"/>
        </w:trPr>
        <w:tc>
          <w:tcPr>
            <w:tcW w:w="100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Arial" w:cs="Arial" w:eastAsia="Arial" w:hAnsi="Arial"/>
                <w:sz w:val="14"/>
                <w:szCs w:val="14"/>
                <w:color w:val="auto"/>
              </w:rPr>
              <w:t>Leasehold improvements</w:t>
            </w:r>
          </w:p>
        </w:tc>
        <w:tc>
          <w:tcPr>
            <w:tcW w:w="2840" w:type="dxa"/>
            <w:vAlign w:val="bottom"/>
            <w:gridSpan w:val="2"/>
          </w:tcPr>
          <w:p>
            <w:pPr>
              <w:jc w:val="right"/>
              <w:ind w:right="13"/>
              <w:spacing w:after="0"/>
              <w:rPr>
                <w:sz w:val="20"/>
                <w:szCs w:val="20"/>
                <w:color w:val="auto"/>
              </w:rPr>
            </w:pPr>
            <w:r>
              <w:rPr>
                <w:rFonts w:ascii="Arial" w:cs="Arial" w:eastAsia="Arial" w:hAnsi="Arial"/>
                <w:sz w:val="14"/>
                <w:szCs w:val="14"/>
                <w:color w:val="auto"/>
              </w:rPr>
              <w:t>1,964</w:t>
            </w:r>
          </w:p>
        </w:tc>
        <w:tc>
          <w:tcPr>
            <w:tcW w:w="1000" w:type="dxa"/>
            <w:vAlign w:val="bottom"/>
          </w:tcPr>
          <w:p>
            <w:pPr>
              <w:jc w:val="right"/>
              <w:spacing w:after="0"/>
              <w:rPr>
                <w:sz w:val="20"/>
                <w:szCs w:val="20"/>
                <w:color w:val="auto"/>
              </w:rPr>
            </w:pPr>
            <w:r>
              <w:rPr>
                <w:rFonts w:ascii="Arial" w:cs="Arial" w:eastAsia="Arial" w:hAnsi="Arial"/>
                <w:sz w:val="14"/>
                <w:szCs w:val="14"/>
                <w:color w:val="auto"/>
              </w:rPr>
              <w:t>34</w:t>
            </w:r>
          </w:p>
        </w:tc>
        <w:tc>
          <w:tcPr>
            <w:tcW w:w="1000" w:type="dxa"/>
            <w:vAlign w:val="bottom"/>
          </w:tcPr>
          <w:p>
            <w:pPr>
              <w:spacing w:after="0"/>
              <w:rPr>
                <w:sz w:val="14"/>
                <w:szCs w:val="14"/>
                <w:color w:val="auto"/>
              </w:rPr>
            </w:pPr>
          </w:p>
        </w:tc>
      </w:tr>
      <w:tr>
        <w:trPr>
          <w:trHeight w:val="195"/>
        </w:trPr>
        <w:tc>
          <w:tcPr>
            <w:tcW w:w="1000" w:type="dxa"/>
            <w:vAlign w:val="bottom"/>
          </w:tcPr>
          <w:p>
            <w:pPr>
              <w:spacing w:after="0"/>
              <w:rPr>
                <w:sz w:val="16"/>
                <w:szCs w:val="16"/>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Construction in progress</w:t>
            </w:r>
          </w:p>
        </w:tc>
        <w:tc>
          <w:tcPr>
            <w:tcW w:w="2840" w:type="dxa"/>
            <w:vAlign w:val="bottom"/>
            <w:gridSpan w:val="2"/>
            <w:shd w:val="clear" w:color="auto" w:fill="CCEEFF"/>
          </w:tcPr>
          <w:p>
            <w:pPr>
              <w:jc w:val="right"/>
              <w:ind w:right="13"/>
              <w:spacing w:after="0"/>
              <w:rPr>
                <w:sz w:val="20"/>
                <w:szCs w:val="20"/>
                <w:color w:val="auto"/>
              </w:rPr>
            </w:pPr>
            <w:r>
              <w:rPr>
                <w:rFonts w:ascii="Arial" w:cs="Arial" w:eastAsia="Arial" w:hAnsi="Arial"/>
                <w:sz w:val="14"/>
                <w:szCs w:val="14"/>
                <w:color w:val="auto"/>
              </w:rPr>
              <w:t>5,771</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r>
      <w:tr>
        <w:trPr>
          <w:trHeight w:val="172"/>
        </w:trPr>
        <w:tc>
          <w:tcPr>
            <w:tcW w:w="100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Arial" w:cs="Arial" w:eastAsia="Arial" w:hAnsi="Arial"/>
                <w:sz w:val="14"/>
                <w:szCs w:val="14"/>
                <w:color w:val="auto"/>
              </w:rPr>
              <w:t>Computer software and equipment</w:t>
            </w:r>
          </w:p>
        </w:tc>
        <w:tc>
          <w:tcPr>
            <w:tcW w:w="2840" w:type="dxa"/>
            <w:vAlign w:val="bottom"/>
            <w:gridSpan w:val="2"/>
          </w:tcPr>
          <w:p>
            <w:pPr>
              <w:jc w:val="right"/>
              <w:ind w:right="13"/>
              <w:spacing w:after="0"/>
              <w:rPr>
                <w:sz w:val="20"/>
                <w:szCs w:val="20"/>
                <w:color w:val="auto"/>
              </w:rPr>
            </w:pPr>
            <w:r>
              <w:rPr>
                <w:rFonts w:ascii="Arial" w:cs="Arial" w:eastAsia="Arial" w:hAnsi="Arial"/>
                <w:sz w:val="14"/>
                <w:szCs w:val="14"/>
                <w:color w:val="auto"/>
              </w:rPr>
              <w:t>214</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r>
      <w:tr>
        <w:trPr>
          <w:trHeight w:val="183"/>
        </w:trPr>
        <w:tc>
          <w:tcPr>
            <w:tcW w:w="1000" w:type="dxa"/>
            <w:vAlign w:val="bottom"/>
          </w:tcPr>
          <w:p>
            <w:pPr>
              <w:spacing w:after="0"/>
              <w:rPr>
                <w:sz w:val="15"/>
                <w:szCs w:val="15"/>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Furniture and fixtures</w:t>
            </w:r>
          </w:p>
        </w:tc>
        <w:tc>
          <w:tcPr>
            <w:tcW w:w="2840" w:type="dxa"/>
            <w:vAlign w:val="bottom"/>
            <w:gridSpan w:val="2"/>
            <w:shd w:val="clear" w:color="auto" w:fill="CCEEFF"/>
          </w:tcPr>
          <w:p>
            <w:pPr>
              <w:jc w:val="right"/>
              <w:ind w:right="13"/>
              <w:spacing w:after="0"/>
              <w:rPr>
                <w:sz w:val="20"/>
                <w:szCs w:val="20"/>
                <w:color w:val="auto"/>
              </w:rPr>
            </w:pPr>
            <w:r>
              <w:rPr>
                <w:rFonts w:ascii="Arial" w:cs="Arial" w:eastAsia="Arial" w:hAnsi="Arial"/>
                <w:sz w:val="14"/>
                <w:szCs w:val="14"/>
                <w:color w:val="auto"/>
              </w:rPr>
              <w:t>76</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r>
      <w:tr>
        <w:trPr>
          <w:trHeight w:val="163"/>
        </w:trPr>
        <w:tc>
          <w:tcPr>
            <w:tcW w:w="1000" w:type="dxa"/>
            <w:vAlign w:val="bottom"/>
          </w:tcPr>
          <w:p>
            <w:pPr>
              <w:spacing w:after="0"/>
              <w:rPr>
                <w:sz w:val="14"/>
                <w:szCs w:val="14"/>
                <w:color w:val="auto"/>
              </w:rPr>
            </w:pPr>
          </w:p>
        </w:tc>
        <w:tc>
          <w:tcPr>
            <w:tcW w:w="272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Total</w:t>
            </w:r>
          </w:p>
        </w:tc>
        <w:tc>
          <w:tcPr>
            <w:tcW w:w="1760" w:type="dxa"/>
            <w:vAlign w:val="bottom"/>
            <w:tcBorders>
              <w:top w:val="single" w:sz="8" w:color="CCEEFF"/>
            </w:tcBorders>
          </w:tcPr>
          <w:p>
            <w:pPr>
              <w:spacing w:after="0"/>
              <w:rPr>
                <w:sz w:val="14"/>
                <w:szCs w:val="14"/>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16,966</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2,667</w:t>
            </w:r>
          </w:p>
        </w:tc>
        <w:tc>
          <w:tcPr>
            <w:tcW w:w="1000" w:type="dxa"/>
            <w:vAlign w:val="bottom"/>
          </w:tcPr>
          <w:p>
            <w:pPr>
              <w:spacing w:after="0"/>
              <w:rPr>
                <w:sz w:val="14"/>
                <w:szCs w:val="14"/>
                <w:color w:val="auto"/>
              </w:rPr>
            </w:pPr>
          </w:p>
        </w:tc>
      </w:tr>
      <w:tr>
        <w:trPr>
          <w:trHeight w:val="22"/>
        </w:trPr>
        <w:tc>
          <w:tcPr>
            <w:tcW w:w="100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508"/>
        </w:trPr>
        <w:tc>
          <w:tcPr>
            <w:tcW w:w="10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40" w:type="dxa"/>
            <w:vAlign w:val="bottom"/>
            <w:gridSpan w:val="2"/>
          </w:tcPr>
          <w:p>
            <w:pPr>
              <w:jc w:val="right"/>
              <w:ind w:right="2073"/>
              <w:spacing w:after="0"/>
              <w:rPr>
                <w:sz w:val="20"/>
                <w:szCs w:val="20"/>
                <w:color w:val="auto"/>
              </w:rPr>
            </w:pPr>
            <w:r>
              <w:rPr>
                <w:rFonts w:ascii="Arial" w:cs="Arial" w:eastAsia="Arial" w:hAnsi="Arial"/>
                <w:sz w:val="14"/>
                <w:szCs w:val="14"/>
                <w:color w:val="auto"/>
              </w:rPr>
              <w:t>F-17</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6"/>
        </w:trPr>
        <w:tc>
          <w:tcPr>
            <w:tcW w:w="10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5556885</wp:posOffset>
            </wp:positionH>
            <wp:positionV relativeFrom="paragraph">
              <wp:posOffset>-26035</wp:posOffset>
            </wp:positionV>
            <wp:extent cx="32385" cy="393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-26035</wp:posOffset>
            </wp:positionV>
            <wp:extent cx="32385" cy="393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0" w:name="page231"/>
    <w:bookmarkEnd w:id="230"/>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417195</wp:posOffset>
            </wp:positionV>
            <wp:extent cx="4165600" cy="139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2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160" w:type="dxa"/>
            <w:vAlign w:val="bottom"/>
            <w:gridSpan w:val="3"/>
          </w:tcPr>
          <w:p>
            <w:pPr>
              <w:ind w:left="740"/>
              <w:spacing w:after="0"/>
              <w:rPr>
                <w:sz w:val="20"/>
                <w:szCs w:val="20"/>
                <w:color w:val="auto"/>
              </w:rPr>
            </w:pPr>
            <w:r>
              <w:rPr>
                <w:rFonts w:ascii="Arial" w:cs="Arial" w:eastAsia="Arial" w:hAnsi="Arial"/>
                <w:sz w:val="13"/>
                <w:szCs w:val="13"/>
                <w:b w:val="1"/>
                <w:bCs w:val="1"/>
                <w:color w:val="auto"/>
              </w:rPr>
              <w:t>Successor</w:t>
            </w:r>
          </w:p>
        </w:tc>
      </w:tr>
      <w:tr>
        <w:trPr>
          <w:trHeight w:val="137"/>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120" w:type="dxa"/>
            <w:vAlign w:val="bottom"/>
            <w:tcBorders>
              <w:top w:val="single" w:sz="8" w:color="auto"/>
            </w:tcBorders>
          </w:tcPr>
          <w:p>
            <w:pPr>
              <w:jc w:val="right"/>
              <w:ind w:right="92"/>
              <w:spacing w:after="0" w:line="137" w:lineRule="exact"/>
              <w:rPr>
                <w:sz w:val="20"/>
                <w:szCs w:val="20"/>
                <w:color w:val="auto"/>
              </w:rPr>
            </w:pPr>
            <w:r>
              <w:rPr>
                <w:rFonts w:ascii="Arial" w:cs="Arial" w:eastAsia="Arial" w:hAnsi="Arial"/>
                <w:sz w:val="13"/>
                <w:szCs w:val="13"/>
                <w:b w:val="1"/>
                <w:bCs w:val="1"/>
                <w:color w:val="auto"/>
              </w:rPr>
              <w:t>December 31,</w:t>
            </w:r>
          </w:p>
        </w:tc>
        <w:tc>
          <w:tcPr>
            <w:tcW w:w="9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1"/>
                <w:szCs w:val="11"/>
                <w:color w:val="auto"/>
              </w:rPr>
            </w:pPr>
          </w:p>
        </w:tc>
      </w:tr>
      <w:tr>
        <w:trPr>
          <w:trHeight w:val="179"/>
        </w:trPr>
        <w:tc>
          <w:tcPr>
            <w:tcW w:w="20" w:type="dxa"/>
            <w:vAlign w:val="bottom"/>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2020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5"/>
                <w:szCs w:val="15"/>
                <w:color w:val="auto"/>
              </w:rPr>
            </w:pPr>
          </w:p>
        </w:tc>
      </w:tr>
      <w:tr>
        <w:trPr>
          <w:trHeight w:val="177"/>
        </w:trPr>
        <w:tc>
          <w:tcPr>
            <w:tcW w:w="20" w:type="dxa"/>
            <w:vAlign w:val="bottom"/>
          </w:tcPr>
          <w:p>
            <w:pPr>
              <w:spacing w:after="0"/>
              <w:rPr>
                <w:sz w:val="15"/>
                <w:szCs w:val="15"/>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Accumulated depreciation</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60" w:type="dxa"/>
            <w:vAlign w:val="bottom"/>
          </w:tcPr>
          <w:p>
            <w:pPr>
              <w:spacing w:after="0"/>
              <w:rPr>
                <w:sz w:val="15"/>
                <w:szCs w:val="15"/>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Property and equipment, net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  15,385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$ 2,488</w:t>
            </w:r>
          </w:p>
        </w:tc>
        <w:tc>
          <w:tcPr>
            <w:tcW w:w="60" w:type="dxa"/>
            <w:vAlign w:val="bottom"/>
          </w:tcPr>
          <w:p>
            <w:pPr>
              <w:spacing w:after="0"/>
              <w:rPr>
                <w:sz w:val="15"/>
                <w:szCs w:val="15"/>
                <w:color w:val="auto"/>
              </w:rPr>
            </w:pPr>
          </w:p>
        </w:tc>
      </w:tr>
    </w:tbl>
    <w:p>
      <w:pPr>
        <w:spacing w:after="0" w:line="96" w:lineRule="exact"/>
        <w:rPr>
          <w:sz w:val="20"/>
          <w:szCs w:val="20"/>
          <w:color w:val="auto"/>
        </w:rPr>
      </w:pPr>
    </w:p>
    <w:p>
      <w:pPr>
        <w:jc w:val="both"/>
        <w:ind w:left="1220" w:right="1339"/>
        <w:spacing w:after="0" w:line="265" w:lineRule="auto"/>
        <w:rPr>
          <w:sz w:val="20"/>
          <w:szCs w:val="20"/>
          <w:color w:val="auto"/>
        </w:rPr>
      </w:pPr>
      <w:r>
        <w:rPr>
          <w:rFonts w:ascii="Arial" w:cs="Arial" w:eastAsia="Arial" w:hAnsi="Arial"/>
          <w:sz w:val="14"/>
          <w:szCs w:val="14"/>
          <w:color w:val="auto"/>
        </w:rPr>
        <w:t>Depreciation expense was $1,402 and $179 for the Successor period ended December 31, 2020 and the Successor period June 21, 2019 through December 31, 2019, respectively. Depreciation expense for the Predecessor period January 1, 2019 through June 20, 2019 was $70.</w:t>
      </w:r>
    </w:p>
    <w:p>
      <w:pPr>
        <w:spacing w:after="0" w:line="131"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8—Accrued expenses and other liabilities</w:t>
      </w:r>
    </w:p>
    <w:p>
      <w:pPr>
        <w:spacing w:after="0" w:line="1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is a summary of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Successor</w:t>
            </w:r>
          </w:p>
        </w:tc>
        <w:tc>
          <w:tcPr>
            <w:tcW w:w="40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08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rPr>
              <w:t>December 31,</w:t>
            </w:r>
          </w:p>
        </w:tc>
      </w:tr>
      <w:tr>
        <w:trPr>
          <w:trHeight w:val="179"/>
        </w:trPr>
        <w:tc>
          <w:tcPr>
            <w:tcW w:w="20" w:type="dxa"/>
            <w:vAlign w:val="bottom"/>
          </w:tcPr>
          <w:p>
            <w:pPr>
              <w:spacing w:after="0"/>
              <w:rPr>
                <w:sz w:val="15"/>
                <w:szCs w:val="15"/>
                <w:color w:val="auto"/>
              </w:rPr>
            </w:pPr>
          </w:p>
        </w:tc>
        <w:tc>
          <w:tcPr>
            <w:tcW w:w="44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r>
      <w:tr>
        <w:trPr>
          <w:trHeight w:val="173"/>
        </w:trPr>
        <w:tc>
          <w:tcPr>
            <w:tcW w:w="20" w:type="dxa"/>
            <w:vAlign w:val="bottom"/>
          </w:tcPr>
          <w:p>
            <w:pPr>
              <w:spacing w:after="0"/>
              <w:rPr>
                <w:sz w:val="15"/>
                <w:szCs w:val="15"/>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Payroll and bonuses</w:t>
            </w:r>
          </w:p>
        </w:tc>
        <w:tc>
          <w:tcPr>
            <w:tcW w:w="60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3,132</w:t>
            </w:r>
          </w:p>
        </w:tc>
        <w:tc>
          <w:tcPr>
            <w:tcW w:w="60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1,028</w:t>
            </w:r>
          </w:p>
        </w:tc>
      </w:tr>
      <w:tr>
        <w:trPr>
          <w:trHeight w:val="182"/>
        </w:trPr>
        <w:tc>
          <w:tcPr>
            <w:tcW w:w="4480" w:type="dxa"/>
            <w:vAlign w:val="bottom"/>
            <w:gridSpan w:val="2"/>
          </w:tcPr>
          <w:p>
            <w:pPr>
              <w:spacing w:after="0"/>
              <w:rPr>
                <w:sz w:val="20"/>
                <w:szCs w:val="20"/>
                <w:color w:val="auto"/>
              </w:rPr>
            </w:pPr>
            <w:r>
              <w:rPr>
                <w:rFonts w:ascii="Arial" w:cs="Arial" w:eastAsia="Arial" w:hAnsi="Arial"/>
                <w:sz w:val="14"/>
                <w:szCs w:val="14"/>
                <w:color w:val="auto"/>
              </w:rPr>
              <w:t>Interest</w:t>
            </w:r>
          </w:p>
        </w:tc>
        <w:tc>
          <w:tcPr>
            <w:tcW w:w="60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82</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4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Professional and legal fees</w:t>
            </w:r>
          </w:p>
        </w:tc>
        <w:tc>
          <w:tcPr>
            <w:tcW w:w="6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524</w:t>
            </w:r>
          </w:p>
        </w:tc>
        <w:tc>
          <w:tcPr>
            <w:tcW w:w="6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182"/>
        </w:trPr>
        <w:tc>
          <w:tcPr>
            <w:tcW w:w="4480" w:type="dxa"/>
            <w:vAlign w:val="bottom"/>
            <w:gridSpan w:val="2"/>
          </w:tcPr>
          <w:p>
            <w:pPr>
              <w:spacing w:after="0"/>
              <w:rPr>
                <w:sz w:val="20"/>
                <w:szCs w:val="20"/>
                <w:color w:val="auto"/>
              </w:rPr>
            </w:pPr>
            <w:r>
              <w:rPr>
                <w:rFonts w:ascii="Arial" w:cs="Arial" w:eastAsia="Arial" w:hAnsi="Arial"/>
                <w:sz w:val="14"/>
                <w:szCs w:val="14"/>
                <w:color w:val="auto"/>
              </w:rPr>
              <w:t>Operating lease liability, current</w:t>
            </w:r>
          </w:p>
        </w:tc>
        <w:tc>
          <w:tcPr>
            <w:tcW w:w="600" w:type="dxa"/>
            <w:vAlign w:val="bottom"/>
          </w:tcPr>
          <w:p>
            <w:pPr>
              <w:spacing w:after="0"/>
              <w:rPr>
                <w:sz w:val="15"/>
                <w:szCs w:val="15"/>
                <w:color w:val="auto"/>
              </w:rPr>
            </w:pP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240</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4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6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52</w:t>
            </w:r>
          </w:p>
        </w:tc>
        <w:tc>
          <w:tcPr>
            <w:tcW w:w="6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69"/>
        </w:trPr>
        <w:tc>
          <w:tcPr>
            <w:tcW w:w="20" w:type="dxa"/>
            <w:vAlign w:val="bottom"/>
          </w:tcPr>
          <w:p>
            <w:pPr>
              <w:spacing w:after="0"/>
              <w:rPr>
                <w:sz w:val="14"/>
                <w:szCs w:val="14"/>
                <w:color w:val="auto"/>
              </w:rPr>
            </w:pPr>
          </w:p>
        </w:tc>
        <w:tc>
          <w:tcPr>
            <w:tcW w:w="4460" w:type="dxa"/>
            <w:vAlign w:val="bottom"/>
          </w:tcPr>
          <w:p>
            <w:pPr>
              <w:spacing w:after="0"/>
              <w:rPr>
                <w:sz w:val="20"/>
                <w:szCs w:val="20"/>
                <w:color w:val="auto"/>
              </w:rPr>
            </w:pPr>
            <w:r>
              <w:rPr>
                <w:rFonts w:ascii="Arial" w:cs="Arial" w:eastAsia="Arial" w:hAnsi="Arial"/>
                <w:sz w:val="14"/>
                <w:szCs w:val="14"/>
                <w:color w:val="auto"/>
              </w:rPr>
              <w:t>Total accrued expenses and other liabilities</w:t>
            </w:r>
          </w:p>
        </w:tc>
        <w:tc>
          <w:tcPr>
            <w:tcW w:w="600" w:type="dxa"/>
            <w:vAlign w:val="bottom"/>
          </w:tcPr>
          <w:p>
            <w:pPr>
              <w:jc w:val="center"/>
              <w:ind w:left="33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0"/>
              <w:spacing w:after="0"/>
              <w:rPr>
                <w:sz w:val="20"/>
                <w:szCs w:val="20"/>
                <w:color w:val="auto"/>
              </w:rPr>
            </w:pPr>
            <w:r>
              <w:rPr>
                <w:rFonts w:ascii="Arial" w:cs="Arial" w:eastAsia="Arial" w:hAnsi="Arial"/>
                <w:sz w:val="14"/>
                <w:szCs w:val="14"/>
                <w:color w:val="auto"/>
              </w:rPr>
              <w:t>4,030</w:t>
            </w:r>
          </w:p>
        </w:tc>
        <w:tc>
          <w:tcPr>
            <w:tcW w:w="600" w:type="dxa"/>
            <w:vAlign w:val="bottom"/>
          </w:tcPr>
          <w:p>
            <w:pPr>
              <w:jc w:val="center"/>
              <w:ind w:left="33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1,446</w:t>
            </w:r>
          </w:p>
        </w:tc>
      </w:tr>
      <w:tr>
        <w:trPr>
          <w:trHeight w:val="33"/>
        </w:trPr>
        <w:tc>
          <w:tcPr>
            <w:tcW w:w="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bl>
    <w:p>
      <w:pPr>
        <w:spacing w:after="0" w:line="13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9—Long-term debt</w:t>
      </w:r>
    </w:p>
    <w:p>
      <w:pPr>
        <w:spacing w:after="0" w:line="11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is a summary of the Company’s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Successor</w:t>
            </w:r>
          </w:p>
        </w:tc>
      </w:tr>
      <w:tr>
        <w:trPr>
          <w:trHeight w:val="172"/>
        </w:trPr>
        <w:tc>
          <w:tcPr>
            <w:tcW w:w="20" w:type="dxa"/>
            <w:vAlign w:val="bottom"/>
          </w:tcPr>
          <w:p>
            <w:pPr>
              <w:spacing w:after="0"/>
              <w:rPr>
                <w:sz w:val="14"/>
                <w:szCs w:val="14"/>
                <w:color w:val="auto"/>
              </w:rPr>
            </w:pPr>
          </w:p>
        </w:tc>
        <w:tc>
          <w:tcPr>
            <w:tcW w:w="5240" w:type="dxa"/>
            <w:vAlign w:val="bottom"/>
            <w:tcBorders>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w:t>
            </w:r>
          </w:p>
        </w:tc>
        <w:tc>
          <w:tcPr>
            <w:tcW w:w="60" w:type="dxa"/>
            <w:vAlign w:val="bottom"/>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Principal</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60" w:type="dxa"/>
            <w:vAlign w:val="bottom"/>
          </w:tcPr>
          <w:p>
            <w:pPr>
              <w:spacing w:after="0"/>
              <w:rPr>
                <w:sz w:val="14"/>
                <w:szCs w:val="14"/>
                <w:color w:val="auto"/>
              </w:rPr>
            </w:pPr>
          </w:p>
        </w:tc>
      </w:tr>
      <w:tr>
        <w:trPr>
          <w:trHeight w:val="182"/>
        </w:trPr>
        <w:tc>
          <w:tcPr>
            <w:tcW w:w="5260" w:type="dxa"/>
            <w:vAlign w:val="bottom"/>
            <w:gridSpan w:val="2"/>
          </w:tcPr>
          <w:p>
            <w:pPr>
              <w:spacing w:after="0"/>
              <w:rPr>
                <w:sz w:val="20"/>
                <w:szCs w:val="20"/>
                <w:color w:val="auto"/>
              </w:rPr>
            </w:pPr>
            <w:r>
              <w:rPr>
                <w:rFonts w:ascii="Arial" w:cs="Arial" w:eastAsia="Arial" w:hAnsi="Arial"/>
                <w:sz w:val="14"/>
                <w:szCs w:val="14"/>
                <w:color w:val="auto"/>
              </w:rPr>
              <w:t>Less: Debt discount attributable to warrants, net of accretion</w:t>
            </w:r>
          </w:p>
        </w:tc>
        <w:tc>
          <w:tcPr>
            <w:tcW w:w="8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(43)</w:t>
            </w:r>
          </w:p>
        </w:tc>
      </w:tr>
      <w:tr>
        <w:trPr>
          <w:trHeight w:val="23"/>
        </w:trPr>
        <w:tc>
          <w:tcPr>
            <w:tcW w:w="5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Unamortized deferred financing cost, net of accretion</w:t>
            </w:r>
          </w:p>
        </w:tc>
        <w:tc>
          <w:tcPr>
            <w:tcW w:w="8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6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Long-term debt, net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9,636</w:t>
            </w:r>
          </w:p>
        </w:tc>
        <w:tc>
          <w:tcPr>
            <w:tcW w:w="60" w:type="dxa"/>
            <w:vAlign w:val="bottom"/>
          </w:tcPr>
          <w:p>
            <w:pPr>
              <w:spacing w:after="0"/>
              <w:rPr>
                <w:sz w:val="14"/>
                <w:szCs w:val="14"/>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96"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On September 14, 2020, the Company entered into a $10.0 million Term Loan Agreement (the “Loan Agreement”) with Hercules Capital, Inc. (“Hercules”). Pursuant to the terms of the Loan Agreement, the Company borrowed $10.0 million (the “Tranche 1 Advance”) from the Lenders at closing. Beginning January 1, 2021 and upon the achievement of certain development milestones and continuing through September 30, 2021 the Company may borrow an additional $10.0 million (the “Tranche 2 Advance”). The remaining $10.0 million tranche (“Tranche 3 Advance”) is subject to Hercules’ investment committee’s sole discretion.</w:t>
      </w:r>
    </w:p>
    <w:p>
      <w:pPr>
        <w:spacing w:after="0" w:line="106" w:lineRule="exact"/>
        <w:rPr>
          <w:sz w:val="20"/>
          <w:szCs w:val="20"/>
          <w:color w:val="auto"/>
        </w:rPr>
      </w:pPr>
    </w:p>
    <w:p>
      <w:pPr>
        <w:ind w:left="1220" w:right="1399"/>
        <w:spacing w:after="0" w:line="259" w:lineRule="auto"/>
        <w:rPr>
          <w:sz w:val="20"/>
          <w:szCs w:val="20"/>
          <w:color w:val="auto"/>
        </w:rPr>
      </w:pPr>
      <w:r>
        <w:rPr>
          <w:rFonts w:ascii="Arial" w:cs="Arial" w:eastAsia="Arial" w:hAnsi="Arial"/>
          <w:sz w:val="14"/>
          <w:szCs w:val="14"/>
          <w:color w:val="auto"/>
        </w:rPr>
        <w:t xml:space="preserve">The Loan Agreement has a four-year term, has a minimum cash covenant and an interest-only period of up to 24 months. If the Tranche 2 Advance is not drawn or the Company has achieved certain development milestones by September 30, 2021, then there is no minimum cash requirement. The Company was in compliance with all provisions of the Loan Agreement as of December 31, 2020. Amounts borrowed under the Loan Agreement accrue interest at a floating rate per annum (based on a year of 360 days) equal to (i) the sum of (a) the greater of 6.30% plus (b) the prime rate as reported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on the last business day of the month that immediately precedes the month in which the interest will accrue or (ii) 9.55%. The interest rate as of December 31, 2020 was 9.55%.</w:t>
      </w:r>
    </w:p>
    <w:p>
      <w:pPr>
        <w:spacing w:after="0" w:line="272" w:lineRule="exact"/>
        <w:rPr>
          <w:sz w:val="20"/>
          <w:szCs w:val="20"/>
          <w:color w:val="auto"/>
        </w:rPr>
      </w:pPr>
    </w:p>
    <w:p>
      <w:pPr>
        <w:ind w:left="1220" w:right="1259"/>
        <w:spacing w:after="0" w:line="265" w:lineRule="auto"/>
        <w:rPr>
          <w:sz w:val="20"/>
          <w:szCs w:val="20"/>
          <w:color w:val="auto"/>
        </w:rPr>
      </w:pPr>
      <w:r>
        <w:rPr>
          <w:rFonts w:ascii="Arial" w:cs="Arial" w:eastAsia="Arial" w:hAnsi="Arial"/>
          <w:sz w:val="14"/>
          <w:szCs w:val="14"/>
          <w:color w:val="auto"/>
        </w:rPr>
        <w:t>The Company incurred $410 in deferred financing costs. The Company is also required to pay the Lenders an end of term fee of 3.95% of loan proceeds upon repayment or prepayment of any loans made under the Loan</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1" w:name="page232"/>
    <w:bookmarkEnd w:id="231"/>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79"/>
        <w:spacing w:after="0" w:line="295" w:lineRule="auto"/>
        <w:rPr>
          <w:sz w:val="20"/>
          <w:szCs w:val="20"/>
          <w:color w:val="auto"/>
        </w:rPr>
      </w:pPr>
      <w:r>
        <w:rPr>
          <w:rFonts w:ascii="Arial" w:cs="Arial" w:eastAsia="Arial" w:hAnsi="Arial"/>
          <w:sz w:val="14"/>
          <w:szCs w:val="14"/>
          <w:color w:val="auto"/>
        </w:rPr>
        <w:t>Agreement. The end of term fee is being recognized as interest expense and accreted over the term of the Loan Agreement using the effective interest method. The Company is also required to pay Hercules a prepayment charge equal to 2.00% of the loan amounts prepaid during the interest-only period and 1.00% thereafter on any loans made under the Loan Agreement.</w:t>
      </w:r>
    </w:p>
    <w:p>
      <w:pPr>
        <w:spacing w:after="0" w:line="93" w:lineRule="exact"/>
        <w:rPr>
          <w:sz w:val="20"/>
          <w:szCs w:val="20"/>
          <w:color w:val="auto"/>
        </w:rPr>
      </w:pPr>
    </w:p>
    <w:p>
      <w:pPr>
        <w:ind w:left="1220" w:right="1539"/>
        <w:spacing w:after="0" w:line="306" w:lineRule="auto"/>
        <w:rPr>
          <w:sz w:val="20"/>
          <w:szCs w:val="20"/>
          <w:color w:val="auto"/>
        </w:rPr>
      </w:pPr>
      <w:r>
        <w:rPr>
          <w:rFonts w:ascii="Arial" w:cs="Arial" w:eastAsia="Arial" w:hAnsi="Arial"/>
          <w:sz w:val="14"/>
          <w:szCs w:val="14"/>
          <w:color w:val="auto"/>
        </w:rPr>
        <w:t>The Company granted Hercules a lien on substantially all of the Company’s assets, excluding intellectual property.</w:t>
      </w:r>
    </w:p>
    <w:p>
      <w:pPr>
        <w:spacing w:after="0" w:line="97" w:lineRule="exact"/>
        <w:rPr>
          <w:sz w:val="20"/>
          <w:szCs w:val="20"/>
          <w:color w:val="auto"/>
        </w:rPr>
      </w:pPr>
    </w:p>
    <w:p>
      <w:pPr>
        <w:ind w:left="1220" w:right="1239"/>
        <w:spacing w:after="0" w:line="292" w:lineRule="auto"/>
        <w:rPr>
          <w:sz w:val="20"/>
          <w:szCs w:val="20"/>
          <w:color w:val="auto"/>
        </w:rPr>
      </w:pPr>
      <w:r>
        <w:rPr>
          <w:rFonts w:ascii="Arial" w:cs="Arial" w:eastAsia="Arial" w:hAnsi="Arial"/>
          <w:sz w:val="14"/>
          <w:szCs w:val="14"/>
          <w:color w:val="auto"/>
        </w:rPr>
        <w:t>The Company issued to Hercules warrants to purchase up to an aggregate of 40,540 Units of the Company’s limited liability membership interests, issued in the form of common units. The warrants are exercisable for a period of ten years from the date of the issuance of each warrant at a per-unit exercise price equal to $5.55,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contra-liability on the consolidated balance sheet and amortized to interest expense. If the Company borrows on the remaining two tranche advances outlined above, the Company will be required to issue warrants to Hercules equal to 2.25% of the aggregate amount funded.</w:t>
      </w:r>
    </w:p>
    <w:p>
      <w:pPr>
        <w:spacing w:after="0" w:line="298"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Interest expense of the Loan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103505</wp:posOffset>
            </wp:positionV>
            <wp:extent cx="4165600" cy="139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72"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5220" w:type="dxa"/>
            <w:vAlign w:val="bottom"/>
          </w:tcPr>
          <w:p>
            <w:pPr>
              <w:spacing w:after="0"/>
              <w:rPr>
                <w:sz w:val="15"/>
                <w:szCs w:val="15"/>
                <w:color w:val="auto"/>
              </w:rPr>
            </w:pPr>
          </w:p>
        </w:tc>
        <w:tc>
          <w:tcPr>
            <w:tcW w:w="1340" w:type="dxa"/>
            <w:vAlign w:val="bottom"/>
            <w:tcBorders>
              <w:bottom w:val="single" w:sz="8" w:color="auto"/>
            </w:tcBorders>
            <w:gridSpan w:val="2"/>
          </w:tcPr>
          <w:p>
            <w:pPr>
              <w:jc w:val="center"/>
              <w:ind w:left="592"/>
              <w:spacing w:after="0"/>
              <w:rPr>
                <w:sz w:val="20"/>
                <w:szCs w:val="20"/>
                <w:color w:val="auto"/>
              </w:rPr>
            </w:pPr>
            <w:r>
              <w:rPr>
                <w:rFonts w:ascii="Arial" w:cs="Arial" w:eastAsia="Arial" w:hAnsi="Arial"/>
                <w:sz w:val="13"/>
                <w:szCs w:val="13"/>
                <w:b w:val="1"/>
                <w:bCs w:val="1"/>
                <w:color w:val="auto"/>
              </w:rPr>
              <w:t>Successor</w:t>
            </w:r>
          </w:p>
        </w:tc>
      </w:tr>
      <w:tr>
        <w:trPr>
          <w:trHeight w:val="135"/>
        </w:trPr>
        <w:tc>
          <w:tcPr>
            <w:tcW w:w="5220" w:type="dxa"/>
            <w:vAlign w:val="bottom"/>
          </w:tcPr>
          <w:p>
            <w:pPr>
              <w:spacing w:after="0"/>
              <w:rPr>
                <w:sz w:val="11"/>
                <w:szCs w:val="11"/>
                <w:color w:val="auto"/>
              </w:rPr>
            </w:pPr>
          </w:p>
        </w:tc>
        <w:tc>
          <w:tcPr>
            <w:tcW w:w="1340" w:type="dxa"/>
            <w:vAlign w:val="bottom"/>
            <w:gridSpan w:val="2"/>
          </w:tcPr>
          <w:p>
            <w:pPr>
              <w:jc w:val="right"/>
              <w:spacing w:after="0" w:line="136" w:lineRule="exact"/>
              <w:rPr>
                <w:sz w:val="20"/>
                <w:szCs w:val="20"/>
                <w:color w:val="auto"/>
              </w:rPr>
            </w:pPr>
            <w:r>
              <w:rPr>
                <w:rFonts w:ascii="Arial" w:cs="Arial" w:eastAsia="Arial" w:hAnsi="Arial"/>
                <w:sz w:val="13"/>
                <w:szCs w:val="13"/>
                <w:b w:val="1"/>
                <w:bCs w:val="1"/>
                <w:color w:val="auto"/>
              </w:rPr>
              <w:t>For the Year Ended</w:t>
            </w:r>
          </w:p>
        </w:tc>
      </w:tr>
      <w:tr>
        <w:trPr>
          <w:trHeight w:val="179"/>
        </w:trPr>
        <w:tc>
          <w:tcPr>
            <w:tcW w:w="5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w:t>
            </w:r>
          </w:p>
        </w:tc>
      </w:tr>
      <w:tr>
        <w:trPr>
          <w:trHeight w:val="17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060" w:type="dxa"/>
            <w:vAlign w:val="bottom"/>
            <w:tcBorders>
              <w:bottom w:val="single" w:sz="8" w:color="CCEEFF"/>
            </w:tcBorders>
            <w:shd w:val="clear" w:color="auto" w:fill="CCEEFF"/>
          </w:tcPr>
          <w:p>
            <w:pPr>
              <w:jc w:val="center"/>
              <w:ind w:left="83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w:t>
            </w:r>
          </w:p>
        </w:tc>
      </w:tr>
      <w:tr>
        <w:trPr>
          <w:trHeight w:val="188"/>
        </w:trPr>
        <w:tc>
          <w:tcPr>
            <w:tcW w:w="52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Amortization of debt issuance costs, including end of term fee accretion</w:t>
            </w: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r>
      <w:tr>
        <w:trPr>
          <w:trHeight w:val="182"/>
        </w:trPr>
        <w:tc>
          <w:tcPr>
            <w:tcW w:w="5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center"/>
              <w:ind w:left="83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w:t>
            </w:r>
          </w:p>
        </w:tc>
      </w:tr>
      <w:tr>
        <w:trPr>
          <w:trHeight w:val="20"/>
        </w:trPr>
        <w:tc>
          <w:tcPr>
            <w:tcW w:w="5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-143510</wp:posOffset>
            </wp:positionV>
            <wp:extent cx="3308985"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08985" cy="6985"/>
                    </a:xfrm>
                    <a:prstGeom prst="rect">
                      <a:avLst/>
                    </a:prstGeom>
                    <a:noFill/>
                  </pic:spPr>
                </pic:pic>
              </a:graphicData>
            </a:graphic>
          </wp:anchor>
        </w:drawing>
      </w:r>
    </w:p>
    <w:p>
      <w:pPr>
        <w:spacing w:after="0" w:line="109"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Included in accrued expenses in the accompanying consolidated balance sheet as of</w:t>
      </w:r>
    </w:p>
    <w:p>
      <w:pPr>
        <w:spacing w:after="0" w:line="33" w:lineRule="exact"/>
        <w:rPr>
          <w:sz w:val="20"/>
          <w:szCs w:val="20"/>
          <w:color w:val="auto"/>
        </w:rPr>
      </w:pPr>
    </w:p>
    <w:p>
      <w:pPr>
        <w:jc w:val="both"/>
        <w:ind w:left="1220" w:right="1239"/>
        <w:spacing w:after="0" w:line="273" w:lineRule="auto"/>
        <w:rPr>
          <w:sz w:val="20"/>
          <w:szCs w:val="20"/>
          <w:color w:val="auto"/>
        </w:rPr>
      </w:pPr>
      <w:r>
        <w:rPr>
          <w:rFonts w:ascii="Arial" w:cs="Arial" w:eastAsia="Arial" w:hAnsi="Arial"/>
          <w:sz w:val="14"/>
          <w:szCs w:val="14"/>
          <w:color w:val="auto"/>
        </w:rPr>
        <w:t>December 31, 2020 is $82 of accrued interest. There was no accrued interest as of December 31, 2019.</w:t>
      </w:r>
    </w:p>
    <w:p>
      <w:pPr>
        <w:spacing w:after="0" w:line="324" w:lineRule="exact"/>
        <w:rPr>
          <w:sz w:val="20"/>
          <w:szCs w:val="20"/>
          <w:color w:val="auto"/>
        </w:rPr>
      </w:pPr>
    </w:p>
    <w:p>
      <w:pPr>
        <w:ind w:left="1220" w:right="1379"/>
        <w:spacing w:after="0" w:line="306" w:lineRule="auto"/>
        <w:rPr>
          <w:sz w:val="20"/>
          <w:szCs w:val="20"/>
          <w:color w:val="auto"/>
        </w:rPr>
      </w:pPr>
      <w:r>
        <w:rPr>
          <w:rFonts w:ascii="Arial" w:cs="Arial" w:eastAsia="Arial" w:hAnsi="Arial"/>
          <w:sz w:val="14"/>
          <w:szCs w:val="14"/>
          <w:color w:val="auto"/>
        </w:rPr>
        <w:t>Future principal payments due (including the end of term fee) under the Loan Agreement are as follows (in thousands):</w:t>
      </w:r>
    </w:p>
    <w:p>
      <w:pPr>
        <w:spacing w:after="0" w:line="99"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58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Principal</w:t>
            </w:r>
          </w:p>
        </w:tc>
      </w:tr>
      <w:tr>
        <w:trPr>
          <w:trHeight w:val="179"/>
        </w:trPr>
        <w:tc>
          <w:tcPr>
            <w:tcW w:w="58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Payments</w:t>
            </w:r>
          </w:p>
        </w:tc>
      </w:tr>
      <w:tr>
        <w:trPr>
          <w:trHeight w:val="173"/>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5840" w:type="dxa"/>
            <w:vAlign w:val="bottom"/>
          </w:tcPr>
          <w:p>
            <w:pPr>
              <w:spacing w:after="0"/>
              <w:rPr>
                <w:sz w:val="20"/>
                <w:szCs w:val="20"/>
                <w:color w:val="auto"/>
              </w:rPr>
            </w:pPr>
            <w:r>
              <w:rPr>
                <w:rFonts w:ascii="Arial" w:cs="Arial" w:eastAsia="Arial" w:hAnsi="Arial"/>
                <w:sz w:val="14"/>
                <w:szCs w:val="14"/>
                <w:color w:val="auto"/>
              </w:rPr>
              <w:t>2022</w:t>
            </w: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1,039</w:t>
            </w:r>
          </w:p>
        </w:tc>
      </w:tr>
      <w:tr>
        <w:trPr>
          <w:trHeight w:val="23"/>
        </w:trPr>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5"/>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2023</w:t>
            </w:r>
          </w:p>
        </w:tc>
        <w:tc>
          <w:tcPr>
            <w:tcW w:w="2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6,603</w:t>
            </w:r>
          </w:p>
        </w:tc>
      </w:tr>
      <w:tr>
        <w:trPr>
          <w:trHeight w:val="188"/>
        </w:trPr>
        <w:tc>
          <w:tcPr>
            <w:tcW w:w="58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2024</w:t>
            </w: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2,753</w:t>
            </w:r>
          </w:p>
        </w:tc>
      </w:tr>
      <w:tr>
        <w:trPr>
          <w:trHeight w:val="182"/>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future payments</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10,395</w:t>
            </w:r>
          </w:p>
        </w:tc>
      </w:tr>
      <w:tr>
        <w:trPr>
          <w:trHeight w:val="22"/>
        </w:trPr>
        <w:tc>
          <w:tcPr>
            <w:tcW w:w="5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-149860</wp:posOffset>
            </wp:positionV>
            <wp:extent cx="3700145"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700145" cy="6985"/>
                    </a:xfrm>
                    <a:prstGeom prst="rect">
                      <a:avLst/>
                    </a:prstGeom>
                    <a:noFill/>
                  </pic:spPr>
                </pic:pic>
              </a:graphicData>
            </a:graphic>
          </wp:anchor>
        </w:drawing>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10—Stockholders’ Deficit</w:t>
      </w:r>
    </w:p>
    <w:p>
      <w:pPr>
        <w:spacing w:after="0" w:line="144" w:lineRule="exact"/>
        <w:rPr>
          <w:sz w:val="20"/>
          <w:szCs w:val="20"/>
          <w:color w:val="auto"/>
        </w:rPr>
      </w:pPr>
    </w:p>
    <w:p>
      <w:pPr>
        <w:ind w:left="1220" w:right="1259"/>
        <w:spacing w:after="0" w:line="297" w:lineRule="auto"/>
        <w:rPr>
          <w:sz w:val="20"/>
          <w:szCs w:val="20"/>
          <w:color w:val="auto"/>
        </w:rPr>
      </w:pPr>
      <w:r>
        <w:rPr>
          <w:rFonts w:ascii="Arial" w:cs="Arial" w:eastAsia="Arial" w:hAnsi="Arial"/>
          <w:sz w:val="14"/>
          <w:szCs w:val="14"/>
          <w:color w:val="auto"/>
        </w:rPr>
        <w:t>The Company’s capital structure was comprised of common limited liability membership interests, issued in the form of common units. The common units can be issued with the authorization of the Company’s Board of Managers, as governed by the Company’s Limited Liability Company Agreement. As of December 31, 2020 and 2019, 93,370,681 common units were issued and outstanding.</w:t>
      </w:r>
    </w:p>
    <w:p>
      <w:pPr>
        <w:spacing w:after="0" w:line="293" w:lineRule="exact"/>
        <w:rPr>
          <w:sz w:val="20"/>
          <w:szCs w:val="20"/>
          <w:color w:val="auto"/>
        </w:rPr>
      </w:pPr>
    </w:p>
    <w:p>
      <w:pPr>
        <w:ind w:left="1220" w:right="1239"/>
        <w:spacing w:after="0" w:line="293" w:lineRule="auto"/>
        <w:rPr>
          <w:sz w:val="20"/>
          <w:szCs w:val="20"/>
          <w:color w:val="auto"/>
        </w:rPr>
      </w:pPr>
      <w:r>
        <w:rPr>
          <w:rFonts w:ascii="Arial" w:cs="Arial" w:eastAsia="Arial" w:hAnsi="Arial"/>
          <w:sz w:val="14"/>
          <w:szCs w:val="14"/>
          <w:color w:val="auto"/>
        </w:rPr>
        <w:t>For the Predecessor period January 1, 2019 through June 20, 2019, the Prior Century had 35,000,000 of Series A Preferred Stock and Series A-1 Preferred Stock (“Preferred Stock”), with a par value of $0.0001 per share, issued and outstanding. Prior Century had 15,058,479 shares of common stock with a par value of $0.0001 per share issued and outstanding for the Predecessor period January 1, 2019 through June 20, 2019.</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2" w:name="page233"/>
    <w:bookmarkEnd w:id="232"/>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479"/>
        <w:spacing w:after="0" w:line="280" w:lineRule="auto"/>
        <w:rPr>
          <w:sz w:val="20"/>
          <w:szCs w:val="20"/>
          <w:color w:val="auto"/>
        </w:rPr>
      </w:pPr>
      <w:r>
        <w:rPr>
          <w:rFonts w:ascii="Arial" w:cs="Arial" w:eastAsia="Arial" w:hAnsi="Arial"/>
          <w:sz w:val="14"/>
          <w:szCs w:val="14"/>
          <w:color w:val="auto"/>
        </w:rPr>
        <w:t>On February 25, 2021, pursuant to a Plan of Conversion Agreement, the Company converted from a Delaware limited liability company (Century Therapeutics LLC or “Successor”) to a Delaware corporation. Upon completion of this conversion, Prior Century merged with and into CenturyTx, Inc., with CenturyTx, Inc. as the surviving entity that changed its name to “Century Therapeutics, Inc.”</w:t>
      </w:r>
    </w:p>
    <w:p>
      <w:pPr>
        <w:spacing w:after="0" w:line="274" w:lineRule="exact"/>
        <w:rPr>
          <w:sz w:val="20"/>
          <w:szCs w:val="20"/>
          <w:color w:val="auto"/>
        </w:rPr>
      </w:pPr>
    </w:p>
    <w:p>
      <w:pPr>
        <w:ind w:left="1220" w:right="1299"/>
        <w:spacing w:after="0" w:line="283" w:lineRule="auto"/>
        <w:rPr>
          <w:sz w:val="20"/>
          <w:szCs w:val="20"/>
          <w:color w:val="auto"/>
        </w:rPr>
      </w:pPr>
      <w:r>
        <w:rPr>
          <w:rFonts w:ascii="Arial" w:cs="Arial" w:eastAsia="Arial" w:hAnsi="Arial"/>
          <w:sz w:val="14"/>
          <w:szCs w:val="14"/>
          <w:color w:val="auto"/>
        </w:rPr>
        <w:t>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 See Note 17.</w:t>
      </w:r>
    </w:p>
    <w:p>
      <w:pPr>
        <w:spacing w:after="0" w:line="30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11—Commitments and contingencies</w:t>
      </w:r>
    </w:p>
    <w:p>
      <w:pPr>
        <w:spacing w:after="0" w:line="144" w:lineRule="exact"/>
        <w:rPr>
          <w:sz w:val="20"/>
          <w:szCs w:val="20"/>
          <w:color w:val="auto"/>
        </w:rPr>
      </w:pPr>
    </w:p>
    <w:p>
      <w:pPr>
        <w:ind w:left="1220" w:right="1399"/>
        <w:spacing w:after="0" w:line="281" w:lineRule="auto"/>
        <w:rPr>
          <w:sz w:val="20"/>
          <w:szCs w:val="20"/>
          <w:color w:val="auto"/>
        </w:rPr>
      </w:pPr>
      <w:r>
        <w:rPr>
          <w:rFonts w:ascii="Arial" w:cs="Arial" w:eastAsia="Arial" w:hAnsi="Arial"/>
          <w:sz w:val="14"/>
          <w:szCs w:val="14"/>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Distributed Bio Master Service Agreement</w:t>
      </w:r>
    </w:p>
    <w:p>
      <w:pPr>
        <w:spacing w:after="0" w:line="146" w:lineRule="exact"/>
        <w:rPr>
          <w:sz w:val="20"/>
          <w:szCs w:val="20"/>
          <w:color w:val="auto"/>
        </w:rPr>
      </w:pPr>
    </w:p>
    <w:p>
      <w:pPr>
        <w:ind w:left="1220" w:right="1279"/>
        <w:spacing w:after="0" w:line="276" w:lineRule="auto"/>
        <w:rPr>
          <w:sz w:val="20"/>
          <w:szCs w:val="20"/>
          <w:color w:val="auto"/>
        </w:rPr>
      </w:pPr>
      <w:r>
        <w:rPr>
          <w:rFonts w:ascii="Arial" w:cs="Arial" w:eastAsia="Arial" w:hAnsi="Arial"/>
          <w:sz w:val="14"/>
          <w:szCs w:val="14"/>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w:t>
      </w:r>
    </w:p>
    <w:p>
      <w:pPr>
        <w:spacing w:after="0" w:line="98" w:lineRule="exact"/>
        <w:rPr>
          <w:sz w:val="20"/>
          <w:szCs w:val="20"/>
          <w:color w:val="auto"/>
        </w:rPr>
      </w:pPr>
    </w:p>
    <w:p>
      <w:pPr>
        <w:ind w:left="1220" w:right="1599"/>
        <w:spacing w:after="0" w:line="281" w:lineRule="auto"/>
        <w:rPr>
          <w:sz w:val="20"/>
          <w:szCs w:val="20"/>
          <w:color w:val="auto"/>
        </w:rPr>
      </w:pPr>
      <w:r>
        <w:rPr>
          <w:rFonts w:ascii="Arial" w:cs="Arial" w:eastAsia="Arial" w:hAnsi="Arial"/>
          <w:sz w:val="14"/>
          <w:szCs w:val="14"/>
          <w:color w:val="auto"/>
        </w:rPr>
        <w:t>The Company had accrued expenses of $244 and $327 within accrued expenses and other liabilities for the period ended December 31, 2020 and 2019, respectively, in its consolidated balance sheets related to the Master Service Agreement.</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iCELL Inc. Sublicense Agreement</w:t>
      </w:r>
    </w:p>
    <w:p>
      <w:pPr>
        <w:spacing w:after="0" w:line="146"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one-time sales milestones for the first time sales of the licensed product exceeding thresholds in a single calendar year, to a maximum of $70,000. iCELL will receive payments of up to $4,250 in development and regulatory approval milestone payments.</w:t>
      </w:r>
    </w:p>
    <w:p>
      <w:pPr>
        <w:spacing w:after="0" w:line="304"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12—Leases</w:t>
      </w:r>
    </w:p>
    <w:p>
      <w:pPr>
        <w:spacing w:after="0" w:line="144" w:lineRule="exact"/>
        <w:rPr>
          <w:sz w:val="20"/>
          <w:szCs w:val="20"/>
          <w:color w:val="auto"/>
        </w:rPr>
      </w:pPr>
    </w:p>
    <w:p>
      <w:pPr>
        <w:jc w:val="both"/>
        <w:ind w:left="1220" w:right="1339"/>
        <w:spacing w:after="0" w:line="273" w:lineRule="auto"/>
        <w:rPr>
          <w:sz w:val="20"/>
          <w:szCs w:val="20"/>
          <w:color w:val="auto"/>
        </w:rPr>
      </w:pPr>
      <w:r>
        <w:rPr>
          <w:rFonts w:ascii="Arial" w:cs="Arial" w:eastAsia="Arial" w:hAnsi="Arial"/>
          <w:sz w:val="14"/>
          <w:szCs w:val="14"/>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w:t>
      </w:r>
    </w:p>
    <w:p>
      <w:pPr>
        <w:spacing w:after="0" w:line="1" w:lineRule="exact"/>
        <w:rPr>
          <w:sz w:val="20"/>
          <w:szCs w:val="20"/>
          <w:color w:val="auto"/>
        </w:rPr>
      </w:pPr>
    </w:p>
    <w:p>
      <w:pPr>
        <w:ind w:left="1220" w:right="1279"/>
        <w:spacing w:after="0" w:line="278" w:lineRule="auto"/>
        <w:rPr>
          <w:sz w:val="20"/>
          <w:szCs w:val="20"/>
          <w:color w:val="auto"/>
        </w:rPr>
      </w:pPr>
      <w:r>
        <w:rPr>
          <w:rFonts w:ascii="Arial" w:cs="Arial" w:eastAsia="Arial" w:hAnsi="Arial"/>
          <w:sz w:val="14"/>
          <w:szCs w:val="14"/>
          <w:color w:val="auto"/>
        </w:rPr>
        <w:t>Control of an underlying asset is conveyed to the Company if the Company obtains the rights to direct the use of and to obtain substantially all of the economic benefits from using the underlying asset. The Company has lease agreements which include lease and non-lease components, which the Company has elected to account for as a single lease component for all classes of underlying assets. Lease expense for variable lease components are recognized when the obligation is probable.</w:t>
      </w:r>
    </w:p>
    <w:p>
      <w:pPr>
        <w:spacing w:after="0" w:line="276" w:lineRule="exact"/>
        <w:rPr>
          <w:sz w:val="20"/>
          <w:szCs w:val="20"/>
          <w:color w:val="auto"/>
        </w:rPr>
      </w:pPr>
    </w:p>
    <w:p>
      <w:pPr>
        <w:ind w:left="1220" w:right="1339"/>
        <w:spacing w:after="0" w:line="276" w:lineRule="auto"/>
        <w:rPr>
          <w:sz w:val="20"/>
          <w:szCs w:val="20"/>
          <w:color w:val="auto"/>
        </w:rPr>
      </w:pPr>
      <w:r>
        <w:rPr>
          <w:rFonts w:ascii="Arial" w:cs="Arial" w:eastAsia="Arial" w:hAnsi="Arial"/>
          <w:sz w:val="14"/>
          <w:szCs w:val="14"/>
          <w:color w:val="auto"/>
        </w:rPr>
        <w:t>Operating lease ROU assets and liabilities are recognized at commencement date based on the present value of lease payments over the lease term. Operating lease payments are recognized as lease expense on a straight-line basis over the lease term. The Company has no finance leases. The Company primarily leases buildings which are classified as operating leases. ASC 842 requires a lessee to discount its unpaid lease payments using the interest rate implicit in the lease or, if that rate cannot be readily determined, its incremental borrowing rate. As an implicit interest rate is not readily determinable in the Company’s leases, the Company uses its incremental borrowing rate based on the information available at commencement date in determining the present value of lease payments.</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3" w:name="page234"/>
    <w:bookmarkEnd w:id="233"/>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The lease term for all the Company’s leases includes the non-cancellable period of the lease plus any additional periods covered by either a Company option to extend (or not to terminate) the lease that the Company is reasonably certain to exercise, or an option to extend (or not to terminate) the lease controlled by the lessor. Options for lease renewals have been excluded from the lease term (and lease liability) for the majority of the Company’s leases as the reasonably certain threshold is not met. For certain leases, the options for renewals have been included in the lease term as the reasonably certain threshold is met due to the Company having significant economic incentive for extending the lease.</w:t>
      </w:r>
    </w:p>
    <w:p>
      <w:pPr>
        <w:spacing w:after="0" w:line="268" w:lineRule="exact"/>
        <w:rPr>
          <w:sz w:val="20"/>
          <w:szCs w:val="20"/>
          <w:color w:val="auto"/>
        </w:rPr>
      </w:pPr>
    </w:p>
    <w:p>
      <w:pPr>
        <w:ind w:left="1220" w:right="1759"/>
        <w:spacing w:after="0" w:line="262" w:lineRule="auto"/>
        <w:rPr>
          <w:sz w:val="20"/>
          <w:szCs w:val="20"/>
          <w:color w:val="auto"/>
        </w:rPr>
      </w:pPr>
      <w:r>
        <w:rPr>
          <w:rFonts w:ascii="Arial" w:cs="Arial" w:eastAsia="Arial" w:hAnsi="Arial"/>
          <w:sz w:val="14"/>
          <w:szCs w:val="14"/>
          <w:color w:val="auto"/>
        </w:rPr>
        <w:t>Lease payments included in the measurement of the lease liability are comprised of fixed payments, variable payments that depend on an index or rate and amounts probable to be payable under the exercise of the Company option to purchase the underlying asset, if reasonably certain.</w:t>
      </w:r>
    </w:p>
    <w:p>
      <w:pPr>
        <w:spacing w:after="0" w:line="106" w:lineRule="exact"/>
        <w:rPr>
          <w:sz w:val="20"/>
          <w:szCs w:val="20"/>
          <w:color w:val="auto"/>
        </w:rPr>
      </w:pPr>
    </w:p>
    <w:p>
      <w:pPr>
        <w:ind w:left="1220" w:right="1299"/>
        <w:spacing w:after="0" w:line="261" w:lineRule="auto"/>
        <w:rPr>
          <w:sz w:val="20"/>
          <w:szCs w:val="20"/>
          <w:color w:val="auto"/>
        </w:rPr>
      </w:pPr>
      <w:r>
        <w:rPr>
          <w:rFonts w:ascii="Arial" w:cs="Arial" w:eastAsia="Arial" w:hAnsi="Arial"/>
          <w:sz w:val="14"/>
          <w:szCs w:val="14"/>
          <w:color w:val="auto"/>
        </w:rPr>
        <w:t>Variable lease payments not dependent on a rate or index associated with the Company’s leases are recognized when the events, activities, or circumstances in the lease agreement on which those payments are assessed are probable. Variable lease payments are presented as operating expense in the Company’s consolidated statements of operations and comprehensive loss in the same line item as expense arising from fixed lease payments.</w:t>
      </w:r>
    </w:p>
    <w:p>
      <w:pPr>
        <w:spacing w:after="0" w:line="106" w:lineRule="exact"/>
        <w:rPr>
          <w:sz w:val="20"/>
          <w:szCs w:val="20"/>
          <w:color w:val="auto"/>
        </w:rPr>
      </w:pPr>
    </w:p>
    <w:p>
      <w:pPr>
        <w:ind w:left="1220" w:right="1419"/>
        <w:spacing w:after="0" w:line="261" w:lineRule="auto"/>
        <w:rPr>
          <w:sz w:val="20"/>
          <w:szCs w:val="20"/>
          <w:color w:val="auto"/>
        </w:rPr>
      </w:pPr>
      <w:r>
        <w:rPr>
          <w:rFonts w:ascii="Arial" w:cs="Arial" w:eastAsia="Arial" w:hAnsi="Arial"/>
          <w:sz w:val="14"/>
          <w:szCs w:val="14"/>
          <w:color w:val="auto"/>
        </w:rPr>
        <w:t>The Company has commitments under operating leases for certain facilities used in its operations. The Company maintains security deposits on certain leases in the amounts of $909 and $206 within security deposits in its consolidated balance sheets at December 31, 2020 and 2019, respectively. The Company’s leases have initial lease terms ranging from 5 to 16 years. Certain lease agreements contain provisions for future rent increases.</w:t>
      </w:r>
    </w:p>
    <w:p>
      <w:pPr>
        <w:spacing w:after="0" w:line="10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reflects the components of lease expense:</w:t>
      </w:r>
    </w:p>
    <w:p>
      <w:pPr>
        <w:spacing w:after="0" w:line="154" w:lineRule="exact"/>
        <w:rPr>
          <w:sz w:val="20"/>
          <w:szCs w:val="20"/>
          <w:color w:val="auto"/>
        </w:rPr>
      </w:pPr>
    </w:p>
    <w:tbl>
      <w:tblPr>
        <w:tblLayout w:type="fixed"/>
        <w:tblInd w:w="1220" w:type="dxa"/>
        <w:tblCellMar>
          <w:top w:w="0" w:type="dxa"/>
          <w:left w:w="0" w:type="dxa"/>
          <w:bottom w:w="0" w:type="dxa"/>
          <w:right w:w="0" w:type="dxa"/>
        </w:tblCellMar>
      </w:tblPr>
      <w:tr>
        <w:trPr>
          <w:trHeight w:val="208"/>
        </w:trPr>
        <w:tc>
          <w:tcPr>
            <w:tcW w:w="218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gridSpan w:val="2"/>
          </w:tcPr>
          <w:p>
            <w:pPr>
              <w:jc w:val="right"/>
              <w:ind w:right="732"/>
              <w:spacing w:after="0"/>
              <w:rPr>
                <w:sz w:val="20"/>
                <w:szCs w:val="20"/>
                <w:color w:val="auto"/>
              </w:rPr>
            </w:pPr>
            <w:r>
              <w:rPr>
                <w:rFonts w:ascii="Arial" w:cs="Arial" w:eastAsia="Arial" w:hAnsi="Arial"/>
                <w:sz w:val="13"/>
                <w:szCs w:val="13"/>
                <w:b w:val="1"/>
                <w:bCs w:val="1"/>
                <w:color w:val="auto"/>
              </w:rPr>
              <w:t>Successor</w:t>
            </w:r>
          </w:p>
        </w:tc>
        <w:tc>
          <w:tcPr>
            <w:tcW w:w="340" w:type="dxa"/>
            <w:vAlign w:val="bottom"/>
            <w:tcBorders>
              <w:top w:val="single" w:sz="8" w:color="auto"/>
              <w:bottom w:val="single" w:sz="8" w:color="auto"/>
              <w:right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Predecessor</w:t>
            </w:r>
          </w:p>
        </w:tc>
      </w:tr>
      <w:tr>
        <w:trPr>
          <w:trHeight w:val="135"/>
        </w:trPr>
        <w:tc>
          <w:tcPr>
            <w:tcW w:w="2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80" w:type="dxa"/>
            <w:vAlign w:val="bottom"/>
            <w:tcBorders>
              <w:right w:val="single" w:sz="8" w:color="auto"/>
            </w:tcBorders>
            <w:gridSpan w:val="2"/>
          </w:tcPr>
          <w:p>
            <w:pPr>
              <w:jc w:val="right"/>
              <w:ind w:right="28"/>
              <w:spacing w:after="0" w:line="136" w:lineRule="exact"/>
              <w:rPr>
                <w:sz w:val="20"/>
                <w:szCs w:val="20"/>
                <w:color w:val="auto"/>
              </w:rPr>
            </w:pPr>
            <w:r>
              <w:rPr>
                <w:rFonts w:ascii="Arial" w:cs="Arial" w:eastAsia="Arial" w:hAnsi="Arial"/>
                <w:sz w:val="13"/>
                <w:szCs w:val="13"/>
                <w:b w:val="1"/>
                <w:bCs w:val="1"/>
                <w:color w:val="auto"/>
              </w:rPr>
              <w:t>Period from</w:t>
            </w:r>
          </w:p>
        </w:tc>
        <w:tc>
          <w:tcPr>
            <w:tcW w:w="1460" w:type="dxa"/>
            <w:vAlign w:val="bottom"/>
            <w:gridSpan w:val="2"/>
          </w:tcPr>
          <w:p>
            <w:pPr>
              <w:jc w:val="right"/>
              <w:spacing w:after="0" w:line="136" w:lineRule="exact"/>
              <w:rPr>
                <w:sz w:val="20"/>
                <w:szCs w:val="20"/>
                <w:color w:val="auto"/>
              </w:rPr>
            </w:pPr>
            <w:r>
              <w:rPr>
                <w:rFonts w:ascii="Arial" w:cs="Arial" w:eastAsia="Arial" w:hAnsi="Arial"/>
                <w:sz w:val="13"/>
                <w:szCs w:val="13"/>
                <w:b w:val="1"/>
                <w:bCs w:val="1"/>
                <w:color w:val="auto"/>
              </w:rPr>
              <w:t>Period from</w:t>
            </w:r>
          </w:p>
        </w:tc>
      </w:tr>
      <w:tr>
        <w:trPr>
          <w:trHeight w:val="151"/>
        </w:trPr>
        <w:tc>
          <w:tcPr>
            <w:tcW w:w="2180" w:type="dxa"/>
            <w:vAlign w:val="bottom"/>
          </w:tcPr>
          <w:p>
            <w:pPr>
              <w:spacing w:after="0"/>
              <w:rPr>
                <w:sz w:val="13"/>
                <w:szCs w:val="13"/>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3"/>
                <w:szCs w:val="13"/>
                <w:b w:val="1"/>
                <w:bCs w:val="1"/>
                <w:color w:val="auto"/>
              </w:rPr>
              <w:t>For the Year Ended</w:t>
            </w:r>
          </w:p>
        </w:tc>
        <w:tc>
          <w:tcPr>
            <w:tcW w:w="1580" w:type="dxa"/>
            <w:vAlign w:val="bottom"/>
            <w:tcBorders>
              <w:right w:val="single" w:sz="8" w:color="auto"/>
            </w:tcBorders>
            <w:gridSpan w:val="2"/>
          </w:tcPr>
          <w:p>
            <w:pPr>
              <w:jc w:val="right"/>
              <w:ind w:right="28"/>
              <w:spacing w:after="0"/>
              <w:rPr>
                <w:sz w:val="20"/>
                <w:szCs w:val="20"/>
                <w:color w:val="auto"/>
              </w:rPr>
            </w:pPr>
            <w:r>
              <w:rPr>
                <w:rFonts w:ascii="Arial" w:cs="Arial" w:eastAsia="Arial" w:hAnsi="Arial"/>
                <w:sz w:val="13"/>
                <w:szCs w:val="13"/>
                <w:b w:val="1"/>
                <w:bCs w:val="1"/>
                <w:color w:val="auto"/>
              </w:rPr>
              <w:t>June 21, 2019 through</w:t>
            </w:r>
          </w:p>
        </w:tc>
        <w:tc>
          <w:tcPr>
            <w:tcW w:w="1460" w:type="dxa"/>
            <w:vAlign w:val="bottom"/>
            <w:gridSpan w:val="2"/>
          </w:tcPr>
          <w:p>
            <w:pPr>
              <w:jc w:val="right"/>
              <w:spacing w:after="0"/>
              <w:rPr>
                <w:sz w:val="20"/>
                <w:szCs w:val="20"/>
                <w:color w:val="auto"/>
              </w:rPr>
            </w:pPr>
            <w:r>
              <w:rPr>
                <w:rFonts w:ascii="Arial" w:cs="Arial" w:eastAsia="Arial" w:hAnsi="Arial"/>
                <w:sz w:val="13"/>
                <w:szCs w:val="13"/>
                <w:b w:val="1"/>
                <w:bCs w:val="1"/>
                <w:color w:val="auto"/>
              </w:rPr>
              <w:t>January 1, 2019</w:t>
            </w:r>
          </w:p>
        </w:tc>
      </w:tr>
      <w:tr>
        <w:trPr>
          <w:trHeight w:val="179"/>
        </w:trPr>
        <w:tc>
          <w:tcPr>
            <w:tcW w:w="2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w:t>
            </w:r>
          </w:p>
        </w:tc>
        <w:tc>
          <w:tcPr>
            <w:tcW w:w="15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2019</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through June 20, 2019</w:t>
            </w:r>
          </w:p>
        </w:tc>
      </w:tr>
      <w:tr>
        <w:trPr>
          <w:trHeight w:val="173"/>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 expense:</w:t>
            </w:r>
          </w:p>
        </w:tc>
        <w:tc>
          <w:tcPr>
            <w:tcW w:w="9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right w:val="single" w:sz="8" w:color="auto"/>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r>
      <w:tr>
        <w:trPr>
          <w:trHeight w:val="182"/>
        </w:trPr>
        <w:tc>
          <w:tcPr>
            <w:tcW w:w="2180" w:type="dxa"/>
            <w:vAlign w:val="bottom"/>
          </w:tcPr>
          <w:p>
            <w:pPr>
              <w:ind w:left="140"/>
              <w:spacing w:after="0"/>
              <w:rPr>
                <w:sz w:val="20"/>
                <w:szCs w:val="20"/>
                <w:color w:val="auto"/>
              </w:rPr>
            </w:pPr>
            <w:r>
              <w:rPr>
                <w:rFonts w:ascii="Arial" w:cs="Arial" w:eastAsia="Arial" w:hAnsi="Arial"/>
                <w:sz w:val="14"/>
                <w:szCs w:val="14"/>
                <w:color w:val="auto"/>
              </w:rPr>
              <w:t>Fixed lease cost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935</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2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5"/>
        </w:trPr>
        <w:tc>
          <w:tcPr>
            <w:tcW w:w="2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Variable lease cost</w:t>
            </w:r>
          </w:p>
        </w:tc>
        <w:tc>
          <w:tcPr>
            <w:tcW w:w="9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21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Short term lease expense</w:t>
            </w: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2,352</w:t>
            </w: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379</w:t>
            </w:r>
          </w:p>
        </w:tc>
        <w:tc>
          <w:tcPr>
            <w:tcW w:w="1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r>
      <w:tr>
        <w:trPr>
          <w:trHeight w:val="182"/>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operating lease expense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w:t>
            </w:r>
          </w:p>
        </w:tc>
      </w:tr>
      <w:tr>
        <w:trPr>
          <w:trHeight w:val="22"/>
        </w:trPr>
        <w:tc>
          <w:tcPr>
            <w:tcW w:w="2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-13335</wp:posOffset>
            </wp:positionV>
            <wp:extent cx="20320"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-149860</wp:posOffset>
            </wp:positionV>
            <wp:extent cx="1377315"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377315" cy="6985"/>
                    </a:xfrm>
                    <a:prstGeom prst="rect">
                      <a:avLst/>
                    </a:prstGeom>
                    <a:noFill/>
                  </pic:spPr>
                </pic:pic>
              </a:graphicData>
            </a:graphic>
          </wp:anchor>
        </w:drawing>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reflects supplemental balance sheet information related to leases:</w:t>
      </w:r>
    </w:p>
    <w:p>
      <w:pPr>
        <w:spacing w:after="0" w:line="138"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24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Successor</w:t>
            </w:r>
          </w:p>
        </w:tc>
      </w:tr>
      <w:tr>
        <w:trPr>
          <w:trHeight w:val="196"/>
        </w:trPr>
        <w:tc>
          <w:tcPr>
            <w:tcW w:w="24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Location in Balance Sheet</w:t>
            </w:r>
          </w:p>
        </w:tc>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As of December 31, 2020</w:t>
            </w:r>
          </w:p>
        </w:tc>
      </w:tr>
      <w:tr>
        <w:trPr>
          <w:trHeight w:val="203"/>
        </w:trPr>
        <w:tc>
          <w:tcPr>
            <w:tcW w:w="6800" w:type="dxa"/>
            <w:vAlign w:val="bottom"/>
            <w:gridSpan w:val="5"/>
          </w:tcPr>
          <w:p>
            <w:pPr>
              <w:spacing w:after="0"/>
              <w:rPr>
                <w:sz w:val="20"/>
                <w:szCs w:val="20"/>
                <w:color w:val="auto"/>
              </w:rPr>
            </w:pPr>
            <w:r>
              <w:rPr>
                <w:rFonts w:ascii="Arial" w:cs="Arial" w:eastAsia="Arial" w:hAnsi="Arial"/>
                <w:sz w:val="14"/>
                <w:szCs w:val="14"/>
                <w:color w:val="auto"/>
              </w:rPr>
              <w:t>Operating lease right-of-use asset, netOperating lease right-of-use asset, net$9,392</w:t>
            </w:r>
          </w:p>
        </w:tc>
      </w:tr>
      <w:tr>
        <w:trPr>
          <w:trHeight w:val="205"/>
        </w:trPr>
        <w:tc>
          <w:tcPr>
            <w:tcW w:w="2440" w:type="dxa"/>
            <w:vAlign w:val="bottom"/>
          </w:tcPr>
          <w:p>
            <w:pPr>
              <w:spacing w:after="0"/>
              <w:rPr>
                <w:sz w:val="20"/>
                <w:szCs w:val="20"/>
                <w:color w:val="auto"/>
              </w:rPr>
            </w:pPr>
            <w:r>
              <w:rPr>
                <w:rFonts w:ascii="Arial" w:cs="Arial" w:eastAsia="Arial" w:hAnsi="Arial"/>
                <w:sz w:val="14"/>
                <w:szCs w:val="14"/>
                <w:color w:val="auto"/>
              </w:rPr>
              <w:t>Operating lease liability, current</w:t>
            </w:r>
          </w:p>
        </w:tc>
        <w:tc>
          <w:tcPr>
            <w:tcW w:w="4360" w:type="dxa"/>
            <w:vAlign w:val="bottom"/>
            <w:gridSpan w:val="4"/>
          </w:tcPr>
          <w:p>
            <w:pPr>
              <w:ind w:left="160"/>
              <w:spacing w:after="0"/>
              <w:rPr>
                <w:sz w:val="20"/>
                <w:szCs w:val="20"/>
                <w:color w:val="auto"/>
              </w:rPr>
            </w:pPr>
            <w:r>
              <w:rPr>
                <w:rFonts w:ascii="Arial" w:cs="Arial" w:eastAsia="Arial" w:hAnsi="Arial"/>
                <w:sz w:val="14"/>
                <w:szCs w:val="14"/>
                <w:color w:val="auto"/>
              </w:rPr>
              <w:t>Accrued expenses and other liabilities $240</w:t>
            </w:r>
          </w:p>
        </w:tc>
      </w:tr>
      <w:tr>
        <w:trPr>
          <w:trHeight w:val="195"/>
        </w:trPr>
        <w:tc>
          <w:tcPr>
            <w:tcW w:w="2440" w:type="dxa"/>
            <w:vAlign w:val="bottom"/>
          </w:tcPr>
          <w:p>
            <w:pPr>
              <w:spacing w:after="0"/>
              <w:rPr>
                <w:sz w:val="20"/>
                <w:szCs w:val="20"/>
                <w:color w:val="auto"/>
              </w:rPr>
            </w:pPr>
            <w:r>
              <w:rPr>
                <w:rFonts w:ascii="Arial" w:cs="Arial" w:eastAsia="Arial" w:hAnsi="Arial"/>
                <w:sz w:val="14"/>
                <w:szCs w:val="14"/>
                <w:color w:val="auto"/>
              </w:rPr>
              <w:t>Operating lease liability, long-term</w:t>
            </w:r>
          </w:p>
        </w:tc>
        <w:tc>
          <w:tcPr>
            <w:tcW w:w="2740" w:type="dxa"/>
            <w:vAlign w:val="bottom"/>
          </w:tcPr>
          <w:p>
            <w:pPr>
              <w:ind w:left="160"/>
              <w:spacing w:after="0"/>
              <w:rPr>
                <w:sz w:val="20"/>
                <w:szCs w:val="20"/>
                <w:color w:val="auto"/>
              </w:rPr>
            </w:pPr>
            <w:r>
              <w:rPr>
                <w:rFonts w:ascii="Arial" w:cs="Arial" w:eastAsia="Arial" w:hAnsi="Arial"/>
                <w:sz w:val="14"/>
                <w:szCs w:val="14"/>
                <w:color w:val="auto"/>
              </w:rPr>
              <w:t>Operating lease liability, long-term</w:t>
            </w: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11,679</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6"/>
        </w:trPr>
        <w:tc>
          <w:tcPr>
            <w:tcW w:w="2440" w:type="dxa"/>
            <w:vAlign w:val="bottom"/>
          </w:tcPr>
          <w:p>
            <w:pPr>
              <w:spacing w:after="0"/>
              <w:rPr>
                <w:sz w:val="20"/>
                <w:szCs w:val="20"/>
                <w:color w:val="auto"/>
              </w:rPr>
            </w:pPr>
            <w:r>
              <w:rPr>
                <w:rFonts w:ascii="Arial" w:cs="Arial" w:eastAsia="Arial" w:hAnsi="Arial"/>
                <w:sz w:val="14"/>
                <w:szCs w:val="14"/>
                <w:color w:val="auto"/>
              </w:rPr>
              <w:t>Total operating lease liability</w:t>
            </w:r>
          </w:p>
        </w:tc>
        <w:tc>
          <w:tcPr>
            <w:tcW w:w="2740" w:type="dxa"/>
            <w:vAlign w:val="bottom"/>
          </w:tcPr>
          <w:p>
            <w:pPr>
              <w:spacing w:after="0"/>
              <w:rPr>
                <w:sz w:val="17"/>
                <w:szCs w:val="17"/>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11,919</w:t>
            </w:r>
          </w:p>
        </w:tc>
        <w:tc>
          <w:tcPr>
            <w:tcW w:w="1080" w:type="dxa"/>
            <w:vAlign w:val="bottom"/>
          </w:tcPr>
          <w:p>
            <w:pPr>
              <w:spacing w:after="0"/>
              <w:rPr>
                <w:sz w:val="17"/>
                <w:szCs w:val="17"/>
                <w:color w:val="auto"/>
              </w:rPr>
            </w:pPr>
          </w:p>
        </w:tc>
      </w:tr>
    </w:tbl>
    <w:p>
      <w:pPr>
        <w:spacing w:after="0" w:line="183"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The following table reflects supplement lease term and discount rate information related to leases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88900</wp:posOffset>
            </wp:positionV>
            <wp:extent cx="4165600" cy="139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49" w:lineRule="exact"/>
        <w:rPr>
          <w:sz w:val="20"/>
          <w:szCs w:val="20"/>
          <w:color w:val="auto"/>
        </w:rPr>
      </w:pPr>
    </w:p>
    <w:tbl>
      <w:tblPr>
        <w:tblLayout w:type="fixed"/>
        <w:tblInd w:w="1220" w:type="dxa"/>
        <w:tblCellMar>
          <w:top w:w="0" w:type="dxa"/>
          <w:left w:w="0" w:type="dxa"/>
          <w:bottom w:w="0" w:type="dxa"/>
          <w:right w:w="0" w:type="dxa"/>
        </w:tblCellMar>
      </w:tblPr>
      <w:tr>
        <w:trPr>
          <w:trHeight w:val="178"/>
        </w:trPr>
        <w:tc>
          <w:tcPr>
            <w:tcW w:w="4880" w:type="dxa"/>
            <w:vAlign w:val="bottom"/>
          </w:tcPr>
          <w:p>
            <w:pPr>
              <w:spacing w:after="0"/>
              <w:rPr>
                <w:sz w:val="15"/>
                <w:szCs w:val="15"/>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Successor</w:t>
            </w:r>
          </w:p>
        </w:tc>
      </w:tr>
      <w:tr>
        <w:trPr>
          <w:trHeight w:val="172"/>
        </w:trPr>
        <w:tc>
          <w:tcPr>
            <w:tcW w:w="4880" w:type="dxa"/>
            <w:vAlign w:val="bottom"/>
            <w:tcBorders>
              <w:bottom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As of December 31, 2020</w:t>
            </w:r>
          </w:p>
        </w:tc>
        <w:tc>
          <w:tcPr>
            <w:tcW w:w="140" w:type="dxa"/>
            <w:vAlign w:val="bottom"/>
          </w:tcPr>
          <w:p>
            <w:pPr>
              <w:spacing w:after="0"/>
              <w:rPr>
                <w:sz w:val="14"/>
                <w:szCs w:val="14"/>
                <w:color w:val="auto"/>
              </w:rPr>
            </w:pPr>
          </w:p>
        </w:tc>
      </w:tr>
      <w:tr>
        <w:trPr>
          <w:trHeight w:val="166"/>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Weighted-average remaining lease terms—operating leases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 years</w:t>
            </w:r>
          </w:p>
        </w:tc>
        <w:tc>
          <w:tcPr>
            <w:tcW w:w="140" w:type="dxa"/>
            <w:vAlign w:val="bottom"/>
          </w:tcPr>
          <w:p>
            <w:pPr>
              <w:spacing w:after="0"/>
              <w:rPr>
                <w:sz w:val="14"/>
                <w:szCs w:val="14"/>
                <w:color w:val="auto"/>
              </w:rPr>
            </w:pPr>
          </w:p>
        </w:tc>
      </w:tr>
      <w:tr>
        <w:trPr>
          <w:trHeight w:val="182"/>
        </w:trPr>
        <w:tc>
          <w:tcPr>
            <w:tcW w:w="4880" w:type="dxa"/>
            <w:vAlign w:val="bottom"/>
          </w:tcPr>
          <w:p>
            <w:pPr>
              <w:spacing w:after="0"/>
              <w:rPr>
                <w:sz w:val="20"/>
                <w:szCs w:val="20"/>
                <w:color w:val="auto"/>
              </w:rPr>
            </w:pPr>
            <w:r>
              <w:rPr>
                <w:rFonts w:ascii="Arial" w:cs="Arial" w:eastAsia="Arial" w:hAnsi="Arial"/>
                <w:sz w:val="14"/>
                <w:szCs w:val="14"/>
                <w:color w:val="auto"/>
              </w:rPr>
              <w:t>Weighted-average discount rate—operating leases</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9.0%</w:t>
            </w:r>
          </w:p>
        </w:tc>
      </w:tr>
      <w:tr>
        <w:trPr>
          <w:trHeight w:val="35"/>
        </w:trPr>
        <w:tc>
          <w:tcPr>
            <w:tcW w:w="48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bl>
    <w:p>
      <w:pPr>
        <w:spacing w:after="0" w:line="107" w:lineRule="exact"/>
        <w:rPr>
          <w:sz w:val="20"/>
          <w:szCs w:val="20"/>
          <w:color w:val="auto"/>
        </w:rPr>
      </w:pPr>
    </w:p>
    <w:p>
      <w:pPr>
        <w:ind w:left="1220" w:right="1259"/>
        <w:spacing w:after="0" w:line="290" w:lineRule="auto"/>
        <w:rPr>
          <w:sz w:val="20"/>
          <w:szCs w:val="20"/>
          <w:color w:val="auto"/>
        </w:rPr>
      </w:pPr>
      <w:r>
        <w:rPr>
          <w:rFonts w:ascii="Arial" w:cs="Arial" w:eastAsia="Arial" w:hAnsi="Arial"/>
          <w:sz w:val="14"/>
          <w:szCs w:val="14"/>
          <w:color w:val="auto"/>
        </w:rPr>
        <w:t>The following table reflects supplemental cash flow information related to leases as of the periods indicated:</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5458460" cy="393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4" w:name="page235"/>
    <w:bookmarkEnd w:id="234"/>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417195</wp:posOffset>
            </wp:positionV>
            <wp:extent cx="4165600" cy="1397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5220" w:type="dxa"/>
            <w:vAlign w:val="bottom"/>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Successor</w:t>
            </w:r>
          </w:p>
        </w:tc>
      </w:tr>
      <w:tr>
        <w:trPr>
          <w:trHeight w:val="135"/>
        </w:trPr>
        <w:tc>
          <w:tcPr>
            <w:tcW w:w="5220" w:type="dxa"/>
            <w:vAlign w:val="bottom"/>
          </w:tcPr>
          <w:p>
            <w:pPr>
              <w:spacing w:after="0"/>
              <w:rPr>
                <w:sz w:val="11"/>
                <w:szCs w:val="11"/>
                <w:color w:val="auto"/>
              </w:rPr>
            </w:pPr>
          </w:p>
        </w:tc>
        <w:tc>
          <w:tcPr>
            <w:tcW w:w="1340" w:type="dxa"/>
            <w:vAlign w:val="bottom"/>
            <w:gridSpan w:val="2"/>
          </w:tcPr>
          <w:p>
            <w:pPr>
              <w:jc w:val="right"/>
              <w:spacing w:after="0" w:line="136" w:lineRule="exact"/>
              <w:rPr>
                <w:sz w:val="20"/>
                <w:szCs w:val="20"/>
                <w:color w:val="auto"/>
              </w:rPr>
            </w:pPr>
            <w:r>
              <w:rPr>
                <w:rFonts w:ascii="Arial" w:cs="Arial" w:eastAsia="Arial" w:hAnsi="Arial"/>
                <w:sz w:val="13"/>
                <w:szCs w:val="13"/>
                <w:b w:val="1"/>
                <w:bCs w:val="1"/>
                <w:color w:val="auto"/>
              </w:rPr>
              <w:t>For the Year Ended</w:t>
            </w:r>
          </w:p>
        </w:tc>
      </w:tr>
      <w:tr>
        <w:trPr>
          <w:trHeight w:val="179"/>
        </w:trPr>
        <w:tc>
          <w:tcPr>
            <w:tcW w:w="5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w:t>
            </w:r>
          </w:p>
        </w:tc>
      </w:tr>
      <w:tr>
        <w:trPr>
          <w:trHeight w:val="173"/>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9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r>
      <w:tr>
        <w:trPr>
          <w:trHeight w:val="182"/>
        </w:trPr>
        <w:tc>
          <w:tcPr>
            <w:tcW w:w="5220" w:type="dxa"/>
            <w:vAlign w:val="bottom"/>
          </w:tcPr>
          <w:p>
            <w:pPr>
              <w:spacing w:after="0"/>
              <w:rPr>
                <w:sz w:val="20"/>
                <w:szCs w:val="20"/>
                <w:color w:val="auto"/>
              </w:rPr>
            </w:pPr>
            <w:r>
              <w:rPr>
                <w:rFonts w:ascii="Arial" w:cs="Arial" w:eastAsia="Arial" w:hAnsi="Arial"/>
                <w:sz w:val="14"/>
                <w:szCs w:val="14"/>
                <w:color w:val="auto"/>
              </w:rPr>
              <w:t>Operating cash flows from operating leases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2,175</w:t>
            </w:r>
          </w:p>
        </w:tc>
      </w:tr>
      <w:tr>
        <w:trPr>
          <w:trHeight w:val="23"/>
        </w:trPr>
        <w:tc>
          <w:tcPr>
            <w:tcW w:w="5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Right-of-use assets obtained in exchange for lease obligations: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9,735</w:t>
            </w:r>
          </w:p>
        </w:tc>
      </w:tr>
      <w:tr>
        <w:trPr>
          <w:trHeight w:val="20"/>
        </w:trPr>
        <w:tc>
          <w:tcPr>
            <w:tcW w:w="5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bl>
    <w:p>
      <w:pPr>
        <w:spacing w:after="0" w:line="118"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reflects future minimum lease payments under noncancelable leases as of</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5320" w:type="dxa"/>
            <w:vAlign w:val="bottom"/>
          </w:tcPr>
          <w:p>
            <w:pPr>
              <w:spacing w:after="0"/>
              <w:rPr>
                <w:sz w:val="15"/>
                <w:szCs w:val="15"/>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Operating Leases</w:t>
            </w:r>
          </w:p>
        </w:tc>
      </w:tr>
      <w:tr>
        <w:trPr>
          <w:trHeight w:val="173"/>
        </w:trPr>
        <w:tc>
          <w:tcPr>
            <w:tcW w:w="53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2021</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60" w:type="dxa"/>
            <w:vAlign w:val="bottom"/>
          </w:tcPr>
          <w:p>
            <w:pPr>
              <w:spacing w:after="0"/>
              <w:rPr>
                <w:sz w:val="15"/>
                <w:szCs w:val="15"/>
                <w:color w:val="auto"/>
              </w:rPr>
            </w:pPr>
          </w:p>
        </w:tc>
      </w:tr>
      <w:tr>
        <w:trPr>
          <w:trHeight w:val="182"/>
        </w:trPr>
        <w:tc>
          <w:tcPr>
            <w:tcW w:w="5320" w:type="dxa"/>
            <w:vAlign w:val="bottom"/>
          </w:tcPr>
          <w:p>
            <w:pPr>
              <w:spacing w:after="0"/>
              <w:rPr>
                <w:sz w:val="20"/>
                <w:szCs w:val="20"/>
                <w:color w:val="auto"/>
              </w:rPr>
            </w:pPr>
            <w:r>
              <w:rPr>
                <w:rFonts w:ascii="Arial" w:cs="Arial" w:eastAsia="Arial" w:hAnsi="Arial"/>
                <w:sz w:val="14"/>
                <w:szCs w:val="14"/>
                <w:color w:val="auto"/>
              </w:rPr>
              <w:t>2022</w:t>
            </w:r>
          </w:p>
        </w:tc>
        <w:tc>
          <w:tcPr>
            <w:tcW w:w="7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1,594</w:t>
            </w:r>
          </w:p>
        </w:tc>
        <w:tc>
          <w:tcPr>
            <w:tcW w:w="60" w:type="dxa"/>
            <w:vAlign w:val="bottom"/>
          </w:tcPr>
          <w:p>
            <w:pPr>
              <w:spacing w:after="0"/>
              <w:rPr>
                <w:sz w:val="15"/>
                <w:szCs w:val="15"/>
                <w:color w:val="auto"/>
              </w:rPr>
            </w:pPr>
          </w:p>
        </w:tc>
      </w:tr>
      <w:tr>
        <w:trPr>
          <w:trHeight w:val="23"/>
        </w:trPr>
        <w:tc>
          <w:tcPr>
            <w:tcW w:w="5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2023</w:t>
            </w:r>
          </w:p>
        </w:tc>
        <w:tc>
          <w:tcPr>
            <w:tcW w:w="7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w:t>
            </w:r>
          </w:p>
        </w:tc>
        <w:tc>
          <w:tcPr>
            <w:tcW w:w="60" w:type="dxa"/>
            <w:vAlign w:val="bottom"/>
          </w:tcPr>
          <w:p>
            <w:pPr>
              <w:spacing w:after="0"/>
              <w:rPr>
                <w:sz w:val="16"/>
                <w:szCs w:val="16"/>
                <w:color w:val="auto"/>
              </w:rPr>
            </w:pPr>
          </w:p>
        </w:tc>
      </w:tr>
      <w:tr>
        <w:trPr>
          <w:trHeight w:val="182"/>
        </w:trPr>
        <w:tc>
          <w:tcPr>
            <w:tcW w:w="5320" w:type="dxa"/>
            <w:vAlign w:val="bottom"/>
          </w:tcPr>
          <w:p>
            <w:pPr>
              <w:spacing w:after="0"/>
              <w:rPr>
                <w:sz w:val="20"/>
                <w:szCs w:val="20"/>
                <w:color w:val="auto"/>
              </w:rPr>
            </w:pPr>
            <w:r>
              <w:rPr>
                <w:rFonts w:ascii="Arial" w:cs="Arial" w:eastAsia="Arial" w:hAnsi="Arial"/>
                <w:sz w:val="14"/>
                <w:szCs w:val="14"/>
                <w:color w:val="auto"/>
              </w:rPr>
              <w:t>2024</w:t>
            </w:r>
          </w:p>
        </w:tc>
        <w:tc>
          <w:tcPr>
            <w:tcW w:w="7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1,801</w:t>
            </w:r>
          </w:p>
        </w:tc>
        <w:tc>
          <w:tcPr>
            <w:tcW w:w="60" w:type="dxa"/>
            <w:vAlign w:val="bottom"/>
          </w:tcPr>
          <w:p>
            <w:pPr>
              <w:spacing w:after="0"/>
              <w:rPr>
                <w:sz w:val="15"/>
                <w:szCs w:val="15"/>
                <w:color w:val="auto"/>
              </w:rPr>
            </w:pPr>
          </w:p>
        </w:tc>
      </w:tr>
      <w:tr>
        <w:trPr>
          <w:trHeight w:val="23"/>
        </w:trPr>
        <w:tc>
          <w:tcPr>
            <w:tcW w:w="5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2025</w:t>
            </w:r>
          </w:p>
        </w:tc>
        <w:tc>
          <w:tcPr>
            <w:tcW w:w="7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1,828</w:t>
            </w:r>
          </w:p>
        </w:tc>
        <w:tc>
          <w:tcPr>
            <w:tcW w:w="60" w:type="dxa"/>
            <w:vAlign w:val="bottom"/>
          </w:tcPr>
          <w:p>
            <w:pPr>
              <w:spacing w:after="0"/>
              <w:rPr>
                <w:sz w:val="16"/>
                <w:szCs w:val="16"/>
                <w:color w:val="auto"/>
              </w:rPr>
            </w:pPr>
          </w:p>
        </w:tc>
      </w:tr>
      <w:tr>
        <w:trPr>
          <w:trHeight w:val="188"/>
        </w:trPr>
        <w:tc>
          <w:tcPr>
            <w:tcW w:w="53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Thereafter</w:t>
            </w:r>
          </w:p>
        </w:tc>
        <w:tc>
          <w:tcPr>
            <w:tcW w:w="7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13,207</w:t>
            </w:r>
          </w:p>
        </w:tc>
        <w:tc>
          <w:tcPr>
            <w:tcW w:w="60" w:type="dxa"/>
            <w:vAlign w:val="bottom"/>
          </w:tcPr>
          <w:p>
            <w:pPr>
              <w:spacing w:after="0"/>
              <w:rPr>
                <w:sz w:val="16"/>
                <w:szCs w:val="16"/>
                <w:color w:val="auto"/>
              </w:rPr>
            </w:pPr>
          </w:p>
        </w:tc>
      </w:tr>
      <w:tr>
        <w:trPr>
          <w:trHeight w:val="171"/>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lease payments</w:t>
            </w:r>
          </w:p>
        </w:tc>
        <w:tc>
          <w:tcPr>
            <w:tcW w:w="7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21,403</w:t>
            </w:r>
          </w:p>
        </w:tc>
        <w:tc>
          <w:tcPr>
            <w:tcW w:w="60" w:type="dxa"/>
            <w:vAlign w:val="bottom"/>
          </w:tcPr>
          <w:p>
            <w:pPr>
              <w:spacing w:after="0"/>
              <w:rPr>
                <w:sz w:val="14"/>
                <w:szCs w:val="14"/>
                <w:color w:val="auto"/>
              </w:rPr>
            </w:pPr>
          </w:p>
        </w:tc>
      </w:tr>
      <w:tr>
        <w:trPr>
          <w:trHeight w:val="188"/>
        </w:trPr>
        <w:tc>
          <w:tcPr>
            <w:tcW w:w="5320" w:type="dxa"/>
            <w:vAlign w:val="bottom"/>
          </w:tcPr>
          <w:p>
            <w:pPr>
              <w:spacing w:after="0"/>
              <w:rPr>
                <w:sz w:val="20"/>
                <w:szCs w:val="20"/>
                <w:color w:val="auto"/>
              </w:rPr>
            </w:pPr>
            <w:r>
              <w:rPr>
                <w:rFonts w:ascii="Arial" w:cs="Arial" w:eastAsia="Arial" w:hAnsi="Arial"/>
                <w:sz w:val="14"/>
                <w:szCs w:val="14"/>
                <w:color w:val="auto"/>
              </w:rPr>
              <w:t>Less: Imputed Interest</w:t>
            </w:r>
          </w:p>
        </w:tc>
        <w:tc>
          <w:tcPr>
            <w:tcW w:w="74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(9,484)</w:t>
            </w:r>
          </w:p>
        </w:tc>
      </w:tr>
      <w:tr>
        <w:trPr>
          <w:trHeight w:val="182"/>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11,919</w:t>
            </w:r>
          </w:p>
        </w:tc>
        <w:tc>
          <w:tcPr>
            <w:tcW w:w="60" w:type="dxa"/>
            <w:vAlign w:val="bottom"/>
          </w:tcPr>
          <w:p>
            <w:pPr>
              <w:spacing w:after="0"/>
              <w:rPr>
                <w:sz w:val="15"/>
                <w:szCs w:val="15"/>
                <w:color w:val="auto"/>
              </w:rPr>
            </w:pPr>
          </w:p>
        </w:tc>
      </w:tr>
      <w:tr>
        <w:trPr>
          <w:trHeight w:val="20"/>
        </w:trPr>
        <w:tc>
          <w:tcPr>
            <w:tcW w:w="5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-143510</wp:posOffset>
            </wp:positionV>
            <wp:extent cx="3377565"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7756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-396875</wp:posOffset>
            </wp:positionV>
            <wp:extent cx="3377565"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77565" cy="6985"/>
                    </a:xfrm>
                    <a:prstGeom prst="rect">
                      <a:avLst/>
                    </a:prstGeom>
                    <a:noFill/>
                  </pic:spPr>
                </pic:pic>
              </a:graphicData>
            </a:graphic>
          </wp:anchor>
        </w:drawing>
      </w:r>
    </w:p>
    <w:p>
      <w:pPr>
        <w:spacing w:after="0" w:line="98" w:lineRule="exact"/>
        <w:rPr>
          <w:sz w:val="20"/>
          <w:szCs w:val="20"/>
          <w:color w:val="auto"/>
        </w:rPr>
      </w:pPr>
    </w:p>
    <w:p>
      <w:pPr>
        <w:ind w:left="1220" w:right="1359"/>
        <w:spacing w:after="0" w:line="278" w:lineRule="auto"/>
        <w:rPr>
          <w:sz w:val="20"/>
          <w:szCs w:val="20"/>
          <w:color w:val="auto"/>
        </w:rPr>
      </w:pPr>
      <w:r>
        <w:rPr>
          <w:rFonts w:ascii="Arial" w:cs="Arial" w:eastAsia="Arial" w:hAnsi="Arial"/>
          <w:sz w:val="14"/>
          <w:szCs w:val="14"/>
          <w:color w:val="auto"/>
        </w:rPr>
        <w:t>The Company entered into three leases that had not commenced at December 31, 2020. As a result, future lease payments of approximately $26.6 million are not recorded on the Company’s consolidated balance sheets. These leases commence during January 2021 and April 2022 with non-cancelable terms ranging from 29 months to 10 years.</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13—Defined contribution plan</w:t>
      </w:r>
    </w:p>
    <w:p>
      <w:pPr>
        <w:spacing w:after="0" w:line="144" w:lineRule="exact"/>
        <w:rPr>
          <w:sz w:val="20"/>
          <w:szCs w:val="20"/>
          <w:color w:val="auto"/>
        </w:rPr>
      </w:pPr>
    </w:p>
    <w:p>
      <w:pPr>
        <w:ind w:left="1220" w:right="1359"/>
        <w:spacing w:after="0" w:line="275" w:lineRule="auto"/>
        <w:rPr>
          <w:sz w:val="20"/>
          <w:szCs w:val="20"/>
          <w:color w:val="auto"/>
        </w:rPr>
      </w:pPr>
      <w:r>
        <w:rPr>
          <w:rFonts w:ascii="Arial" w:cs="Arial" w:eastAsia="Arial" w:hAnsi="Arial"/>
          <w:sz w:val="14"/>
          <w:szCs w:val="14"/>
          <w:color w:val="auto"/>
        </w:rPr>
        <w:t>The Company has a 401(k) Employee Savings Plan (“401(k) Plan”) that is available to all employees of the Company. The Company has elected a Safe-Harbor provision for the 401(k) Plan in which participants are always fully vested in their employer contributions. Prior Century matches 100% of the first 3% of participating employee contributions and 50% of the next 2% of participating employee contributions. Contributions are made in cash. Contributions were approximately $301, $89 and $33 for the Successor period ended December 31, 2020, the Successor period June 21, 2019 through December 31, 2019, and the Predecessor period January 1, 2019 through June 20, 2019, respectively. Such contribution expense has been recognized in the consolidated statement of operations for each period.</w:t>
      </w:r>
    </w:p>
    <w:p>
      <w:pPr>
        <w:spacing w:after="0" w:line="12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14—Stock-based compensation</w:t>
      </w:r>
    </w:p>
    <w:p>
      <w:pPr>
        <w:spacing w:after="0" w:line="133"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In June 2018, Prior Century, adopted the 2018 Stock Option and Grant Plan (the “Plan”). The Plan provides for Prior Century to sell or issue common stock or restricted common stock, or to grant incentive stock options or nonqualified stock options for the purchase of common stock, to employees, members of the Board of Directors, and consultants of Prior Century under terms and provisions established by the Board of Directors. Under the terms of the Plan, options may be granted at an exercise price not less than fair market value. Prior Century generally grants stock based awards with service conditions only. Stock awards granted typically vest over a four-year period but may be granted with different vesting terms. As of December 31, 2020 and 2019, Prior Century had shares authorized for issuance under the Plan of 19,498,781 and 15,260,038, respectively.</w:t>
      </w:r>
    </w:p>
    <w:p>
      <w:pPr>
        <w:spacing w:after="0" w:line="293" w:lineRule="exact"/>
        <w:rPr>
          <w:sz w:val="20"/>
          <w:szCs w:val="20"/>
          <w:color w:val="auto"/>
        </w:rPr>
      </w:pPr>
    </w:p>
    <w:p>
      <w:pPr>
        <w:ind w:left="1220" w:right="1579"/>
        <w:spacing w:after="0" w:line="278" w:lineRule="auto"/>
        <w:rPr>
          <w:sz w:val="20"/>
          <w:szCs w:val="20"/>
          <w:color w:val="auto"/>
        </w:rPr>
      </w:pPr>
      <w:r>
        <w:rPr>
          <w:rFonts w:ascii="Arial" w:cs="Arial" w:eastAsia="Arial" w:hAnsi="Arial"/>
          <w:sz w:val="14"/>
          <w:szCs w:val="14"/>
          <w:color w:val="auto"/>
        </w:rPr>
        <w:t>During the Successor period June 21, 2019 through December 31, 2019 and the year ended December 31, 2020, equity awards were granted from Prior Century to employees of the Company. The Company recognizes the costs of the stock based payments incurred by Prior Century on its behalf as the employees vest in the awards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5" w:name="page236"/>
    <w:bookmarkEnd w:id="235"/>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559"/>
        <w:spacing w:after="0" w:line="290" w:lineRule="auto"/>
        <w:rPr>
          <w:sz w:val="20"/>
          <w:szCs w:val="20"/>
          <w:color w:val="auto"/>
        </w:rPr>
      </w:pPr>
      <w:r>
        <w:rPr>
          <w:rFonts w:ascii="Arial" w:cs="Arial" w:eastAsia="Arial" w:hAnsi="Arial"/>
          <w:sz w:val="14"/>
          <w:szCs w:val="14"/>
          <w:color w:val="auto"/>
        </w:rPr>
        <w:t>(i.e., the Company recognizes expense measured on the same basis as its investor, Prior Century). The Company also records a corresponding capital contribution from Prior Century.</w:t>
      </w:r>
    </w:p>
    <w:p>
      <w:pPr>
        <w:spacing w:after="0" w:line="86" w:lineRule="exact"/>
        <w:rPr>
          <w:sz w:val="20"/>
          <w:szCs w:val="20"/>
          <w:color w:val="auto"/>
        </w:rPr>
      </w:pPr>
    </w:p>
    <w:p>
      <w:pPr>
        <w:ind w:left="1220" w:right="1239"/>
        <w:spacing w:after="0" w:line="273" w:lineRule="auto"/>
        <w:rPr>
          <w:sz w:val="20"/>
          <w:szCs w:val="20"/>
          <w:color w:val="auto"/>
        </w:rPr>
      </w:pPr>
      <w:r>
        <w:rPr>
          <w:rFonts w:ascii="Arial" w:cs="Arial" w:eastAsia="Arial" w:hAnsi="Arial"/>
          <w:sz w:val="14"/>
          <w:szCs w:val="14"/>
          <w:color w:val="auto"/>
        </w:rPr>
        <w:t>For the Successor year ended December 31, 2020, the Company recognized $876 of stock based compensation expense of which $675 was recorded within research and development expenses and $201 was recorded within general and administrative expense within the consolidated statement of operations. For the Successor period June 21, 2019 through December 31, 2019, the Company recognized $133 of stock based compensation expense within general and administrative expense of the consolidated statement of operations. A corresponding capital contribution from Prior Century was recorded within the Company’s consolidated balance sheets as of December 31, 2020 and 2019. For the Predecessor period January 1, 2019 through</w:t>
      </w:r>
    </w:p>
    <w:p>
      <w:pPr>
        <w:spacing w:after="0" w:line="2" w:lineRule="exact"/>
        <w:rPr>
          <w:sz w:val="20"/>
          <w:szCs w:val="20"/>
          <w:color w:val="auto"/>
        </w:rPr>
      </w:pPr>
    </w:p>
    <w:p>
      <w:pPr>
        <w:ind w:left="1220" w:right="1499"/>
        <w:spacing w:after="0" w:line="290" w:lineRule="auto"/>
        <w:rPr>
          <w:sz w:val="20"/>
          <w:szCs w:val="20"/>
          <w:color w:val="auto"/>
        </w:rPr>
      </w:pPr>
      <w:r>
        <w:rPr>
          <w:rFonts w:ascii="Arial" w:cs="Arial" w:eastAsia="Arial" w:hAnsi="Arial"/>
          <w:sz w:val="14"/>
          <w:szCs w:val="14"/>
          <w:color w:val="auto"/>
        </w:rPr>
        <w:t>June 20, 2019, Prior Century recognized $14 of stock based compensation within general and administrative expense in its consolidated statements of operations.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Stock Options</w:t>
      </w:r>
    </w:p>
    <w:p>
      <w:pPr>
        <w:spacing w:after="0" w:line="14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summarizes stock option activity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3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Weighted Average</w:t>
            </w:r>
          </w:p>
        </w:tc>
      </w:tr>
      <w:tr>
        <w:trPr>
          <w:trHeight w:val="135"/>
        </w:trPr>
        <w:tc>
          <w:tcPr>
            <w:tcW w:w="3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Remaining</w:t>
            </w:r>
          </w:p>
        </w:tc>
      </w:tr>
      <w:tr>
        <w:trPr>
          <w:trHeight w:val="151"/>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Contractual</w:t>
            </w:r>
          </w:p>
        </w:tc>
      </w:tr>
      <w:tr>
        <w:trPr>
          <w:trHeight w:val="151"/>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Term</w:t>
            </w:r>
          </w:p>
        </w:tc>
      </w:tr>
      <w:tr>
        <w:trPr>
          <w:trHeight w:val="179"/>
        </w:trPr>
        <w:tc>
          <w:tcPr>
            <w:tcW w:w="3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Shares</w:t>
            </w:r>
          </w:p>
        </w:tc>
        <w:tc>
          <w:tcPr>
            <w:tcW w:w="10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Exercise Price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(years)</w:t>
            </w:r>
          </w:p>
        </w:tc>
      </w:tr>
      <w:tr>
        <w:trPr>
          <w:trHeight w:val="173"/>
        </w:trPr>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Outstanding January 1, 2020</w:t>
            </w: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4,393,185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9.45</w:t>
            </w:r>
          </w:p>
        </w:tc>
      </w:tr>
      <w:tr>
        <w:trPr>
          <w:trHeight w:val="182"/>
        </w:trPr>
        <w:tc>
          <w:tcPr>
            <w:tcW w:w="3860" w:type="dxa"/>
            <w:vAlign w:val="bottom"/>
            <w:gridSpan w:val="2"/>
          </w:tcPr>
          <w:p>
            <w:pPr>
              <w:spacing w:after="0"/>
              <w:rPr>
                <w:sz w:val="20"/>
                <w:szCs w:val="20"/>
                <w:color w:val="auto"/>
              </w:rPr>
            </w:pPr>
            <w:r>
              <w:rPr>
                <w:rFonts w:ascii="Arial" w:cs="Arial" w:eastAsia="Arial" w:hAnsi="Arial"/>
                <w:sz w:val="14"/>
                <w:szCs w:val="14"/>
                <w:color w:val="auto"/>
              </w:rPr>
              <w:t>Granted</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6,132,580</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0.54</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5"/>
        </w:trPr>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Exercised—vested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(358,464)</w:t>
            </w:r>
          </w:p>
        </w:tc>
        <w:tc>
          <w:tcPr>
            <w:tcW w:w="6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3860" w:type="dxa"/>
            <w:vAlign w:val="bottom"/>
            <w:gridSpan w:val="2"/>
          </w:tcPr>
          <w:p>
            <w:pPr>
              <w:spacing w:after="0"/>
              <w:rPr>
                <w:sz w:val="20"/>
                <w:szCs w:val="20"/>
                <w:color w:val="auto"/>
              </w:rPr>
            </w:pPr>
            <w:r>
              <w:rPr>
                <w:rFonts w:ascii="Arial" w:cs="Arial" w:eastAsia="Arial" w:hAnsi="Arial"/>
                <w:sz w:val="14"/>
                <w:szCs w:val="14"/>
                <w:color w:val="auto"/>
              </w:rPr>
              <w:t>Exercised—unvested</w:t>
            </w:r>
          </w:p>
        </w:tc>
        <w:tc>
          <w:tcPr>
            <w:tcW w:w="780" w:type="dxa"/>
            <w:vAlign w:val="bottom"/>
          </w:tcPr>
          <w:p>
            <w:pPr>
              <w:jc w:val="right"/>
              <w:spacing w:after="0"/>
              <w:rPr>
                <w:sz w:val="20"/>
                <w:szCs w:val="20"/>
                <w:color w:val="auto"/>
              </w:rPr>
            </w:pPr>
            <w:r>
              <w:rPr>
                <w:rFonts w:ascii="Arial" w:cs="Arial" w:eastAsia="Arial" w:hAnsi="Arial"/>
                <w:sz w:val="14"/>
                <w:szCs w:val="14"/>
                <w:color w:val="auto"/>
              </w:rPr>
              <w:t>(396,149)</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0.41</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5"/>
        </w:trPr>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Forfeited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(1,590)</w:t>
            </w:r>
          </w:p>
        </w:tc>
        <w:tc>
          <w:tcPr>
            <w:tcW w:w="6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Cancelled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(1,236)</w:t>
            </w:r>
          </w:p>
        </w:tc>
        <w:tc>
          <w:tcPr>
            <w:tcW w:w="6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Outstanding, December 31, 2020</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9,768,326</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9.11</w:t>
            </w:r>
          </w:p>
        </w:tc>
      </w:tr>
      <w:tr>
        <w:trPr>
          <w:trHeight w:val="201"/>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Exercisable at December 31, 2020, Successor</w:t>
            </w: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5,981,228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-273685</wp:posOffset>
            </wp:positionV>
            <wp:extent cx="2439035"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summarizes stock option activity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3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Weighted Average</w:t>
            </w:r>
          </w:p>
        </w:tc>
      </w:tr>
      <w:tr>
        <w:trPr>
          <w:trHeight w:val="135"/>
        </w:trPr>
        <w:tc>
          <w:tcPr>
            <w:tcW w:w="3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Remaining</w:t>
            </w:r>
          </w:p>
        </w:tc>
      </w:tr>
      <w:tr>
        <w:trPr>
          <w:trHeight w:val="151"/>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Contractual</w:t>
            </w:r>
          </w:p>
        </w:tc>
      </w:tr>
      <w:tr>
        <w:trPr>
          <w:trHeight w:val="151"/>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Term</w:t>
            </w:r>
          </w:p>
        </w:tc>
      </w:tr>
      <w:tr>
        <w:trPr>
          <w:trHeight w:val="179"/>
        </w:trPr>
        <w:tc>
          <w:tcPr>
            <w:tcW w:w="3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Shares</w:t>
            </w:r>
          </w:p>
        </w:tc>
        <w:tc>
          <w:tcPr>
            <w:tcW w:w="10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Exercise Price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(years)</w:t>
            </w:r>
          </w:p>
        </w:tc>
      </w:tr>
      <w:tr>
        <w:trPr>
          <w:trHeight w:val="173"/>
        </w:trPr>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Outstanding January 1, 2019, Predecessor</w:t>
            </w: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Granted</w:t>
            </w: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1,929,820</w:t>
            </w:r>
          </w:p>
        </w:tc>
        <w:tc>
          <w:tcPr>
            <w:tcW w:w="6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860" w:type="dxa"/>
            <w:vAlign w:val="bottom"/>
            <w:tcBorders>
              <w:bottom w:val="single" w:sz="8" w:color="auto"/>
            </w:tcBorders>
          </w:tcPr>
          <w:p>
            <w:pPr>
              <w:spacing w:after="0"/>
              <w:rPr>
                <w:sz w:val="16"/>
                <w:szCs w:val="16"/>
                <w:color w:val="auto"/>
              </w:rPr>
            </w:pPr>
          </w:p>
        </w:tc>
      </w:tr>
      <w:tr>
        <w:trPr>
          <w:trHeight w:val="171"/>
        </w:trPr>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Outstanding June 21, 2019, Successor</w:t>
            </w:r>
          </w:p>
        </w:tc>
        <w:tc>
          <w:tcPr>
            <w:tcW w:w="7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1,929,820</w:t>
            </w:r>
          </w:p>
        </w:tc>
        <w:tc>
          <w:tcPr>
            <w:tcW w:w="6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3860" w:type="dxa"/>
            <w:vAlign w:val="bottom"/>
            <w:gridSpan w:val="2"/>
          </w:tcPr>
          <w:p>
            <w:pPr>
              <w:spacing w:after="0"/>
              <w:rPr>
                <w:sz w:val="20"/>
                <w:szCs w:val="20"/>
                <w:color w:val="auto"/>
              </w:rPr>
            </w:pPr>
            <w:r>
              <w:rPr>
                <w:rFonts w:ascii="Arial" w:cs="Arial" w:eastAsia="Arial" w:hAnsi="Arial"/>
                <w:sz w:val="14"/>
                <w:szCs w:val="14"/>
                <w:color w:val="auto"/>
              </w:rPr>
              <w:t>Granted</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3,363,626</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0.41</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5"/>
        </w:trPr>
        <w:tc>
          <w:tcPr>
            <w:tcW w:w="3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Exercised—vested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(187,316)</w:t>
            </w:r>
          </w:p>
        </w:tc>
        <w:tc>
          <w:tcPr>
            <w:tcW w:w="6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5"/>
        </w:trPr>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Exercised—unvested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(712,945)</w:t>
            </w:r>
          </w:p>
        </w:tc>
        <w:tc>
          <w:tcPr>
            <w:tcW w:w="6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Outstanding, December 31, 2019</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4,393,185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w:t>
            </w:r>
          </w:p>
        </w:tc>
      </w:tr>
      <w:tr>
        <w:trPr>
          <w:trHeight w:val="201"/>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Exercisable at December 31, 2019, Successor</w:t>
            </w: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3,795,617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-273685</wp:posOffset>
            </wp:positionV>
            <wp:extent cx="2439035"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43903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-787400</wp:posOffset>
            </wp:positionV>
            <wp:extent cx="2439035"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439035" cy="6985"/>
                    </a:xfrm>
                    <a:prstGeom prst="rect">
                      <a:avLst/>
                    </a:prstGeom>
                    <a:noFill/>
                  </pic:spPr>
                </pic:pic>
              </a:graphicData>
            </a:graphic>
          </wp:anchor>
        </w:drawing>
      </w:r>
    </w:p>
    <w:p>
      <w:pPr>
        <w:spacing w:after="0" w:line="98"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color w:val="auto"/>
        </w:rPr>
        <w:t>The weighted average grant date fair value of awards for options granted during the Successor year and period ended December 31, 2020 and 2019 was $0.32 and $0.25, respectively. As of December 31, 2020, there was $1,862 of total unrecognized compensation expense related to unvested stock options with time-based vesting terms, which is expected to be recognized over a weighted average period of 2.87 years.</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6" w:name="page237"/>
    <w:bookmarkEnd w:id="236"/>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79"/>
        <w:spacing w:after="0" w:line="277" w:lineRule="auto"/>
        <w:rPr>
          <w:sz w:val="20"/>
          <w:szCs w:val="20"/>
          <w:color w:val="auto"/>
        </w:rPr>
      </w:pPr>
      <w:r>
        <w:rPr>
          <w:rFonts w:ascii="Arial" w:cs="Arial" w:eastAsia="Arial" w:hAnsi="Arial"/>
          <w:sz w:val="14"/>
          <w:szCs w:val="14"/>
          <w:color w:val="auto"/>
        </w:rPr>
        <w:t>During 2020, Prior Century issued 537,500 performance-based awards that vest upon contingent events. Prior Century determined the performance condition for these awards is not probable of being achieved. As a result, the Company has not recorded any compensation cost related to the awards. As of December 31, 2020, there was $213 of total unrecognized compensation expense related to the performance-based awards.</w:t>
      </w:r>
    </w:p>
    <w:p>
      <w:pPr>
        <w:spacing w:after="0" w:line="96"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Prior Century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Prior Century has based its estimate of expected volatility on the historical volatility of a group of similar public companies. When selecting these companies on which it has based its expected stock price volatility, Prior Century selected companies with comparable characteristics to it, including enterprise value, risk profiles, position within the industry and with historical share price information sufficient to meet the expected term of the stock-based awards. Prior Century will continue to apply this process until a sufficient amount of historical information regarding the volatility of its own stock price becomes available.</w:t>
      </w:r>
    </w:p>
    <w:p>
      <w:pPr>
        <w:spacing w:after="0" w:line="107" w:lineRule="exact"/>
        <w:rPr>
          <w:sz w:val="20"/>
          <w:szCs w:val="20"/>
          <w:color w:val="auto"/>
        </w:rPr>
      </w:pPr>
    </w:p>
    <w:p>
      <w:pPr>
        <w:jc w:val="both"/>
        <w:ind w:left="1220" w:right="1439"/>
        <w:spacing w:after="0" w:line="276" w:lineRule="auto"/>
        <w:rPr>
          <w:sz w:val="20"/>
          <w:szCs w:val="20"/>
          <w:color w:val="auto"/>
        </w:rPr>
      </w:pPr>
      <w:r>
        <w:rPr>
          <w:rFonts w:ascii="Arial" w:cs="Arial" w:eastAsia="Arial" w:hAnsi="Arial"/>
          <w:sz w:val="14"/>
          <w:szCs w:val="14"/>
          <w:color w:val="auto"/>
        </w:rPr>
        <w:t>Prior Century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the expected term of the option are based on the U.S. Treasury securities with a maturity date commensurate with the expected term of the associated award. Prior Century will account for actual forfeitures as they occur.</w:t>
      </w:r>
    </w:p>
    <w:p>
      <w:pPr>
        <w:spacing w:after="0" w:line="108" w:lineRule="exact"/>
        <w:rPr>
          <w:sz w:val="20"/>
          <w:szCs w:val="20"/>
          <w:color w:val="auto"/>
        </w:rPr>
      </w:pPr>
    </w:p>
    <w:p>
      <w:pPr>
        <w:ind w:left="1220" w:right="1379"/>
        <w:spacing w:after="0" w:line="290" w:lineRule="auto"/>
        <w:rPr>
          <w:sz w:val="20"/>
          <w:szCs w:val="20"/>
          <w:color w:val="auto"/>
        </w:rPr>
      </w:pPr>
      <w:r>
        <w:rPr>
          <w:rFonts w:ascii="Arial" w:cs="Arial" w:eastAsia="Arial" w:hAnsi="Arial"/>
          <w:sz w:val="14"/>
          <w:szCs w:val="14"/>
          <w:color w:val="auto"/>
        </w:rPr>
        <w:t>The weighted-average assumptions used to calculate the fair value of stock options granted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75565</wp:posOffset>
            </wp:positionV>
            <wp:extent cx="4165600" cy="139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27" w:lineRule="exact"/>
        <w:rPr>
          <w:sz w:val="20"/>
          <w:szCs w:val="20"/>
          <w:color w:val="auto"/>
        </w:rPr>
      </w:pPr>
    </w:p>
    <w:tbl>
      <w:tblPr>
        <w:tblLayout w:type="fixed"/>
        <w:tblInd w:w="1220" w:type="dxa"/>
        <w:tblCellMar>
          <w:top w:w="0" w:type="dxa"/>
          <w:left w:w="0" w:type="dxa"/>
          <w:bottom w:w="0" w:type="dxa"/>
          <w:right w:w="0" w:type="dxa"/>
        </w:tblCellMar>
      </w:tblPr>
      <w:tr>
        <w:trPr>
          <w:trHeight w:val="178"/>
        </w:trPr>
        <w:tc>
          <w:tcPr>
            <w:tcW w:w="3620" w:type="dxa"/>
            <w:vAlign w:val="bottom"/>
          </w:tcPr>
          <w:p>
            <w:pPr>
              <w:spacing w:after="0"/>
              <w:rPr>
                <w:sz w:val="15"/>
                <w:szCs w:val="15"/>
                <w:color w:val="auto"/>
              </w:rPr>
            </w:pPr>
          </w:p>
        </w:tc>
        <w:tc>
          <w:tcPr>
            <w:tcW w:w="3080" w:type="dxa"/>
            <w:vAlign w:val="bottom"/>
            <w:gridSpan w:val="3"/>
          </w:tcPr>
          <w:p>
            <w:pPr>
              <w:jc w:val="right"/>
              <w:ind w:right="1240"/>
              <w:spacing w:after="0"/>
              <w:rPr>
                <w:sz w:val="20"/>
                <w:szCs w:val="20"/>
                <w:color w:val="auto"/>
              </w:rPr>
            </w:pPr>
            <w:r>
              <w:rPr>
                <w:rFonts w:ascii="Arial" w:cs="Arial" w:eastAsia="Arial" w:hAnsi="Arial"/>
                <w:sz w:val="13"/>
                <w:szCs w:val="13"/>
                <w:b w:val="1"/>
                <w:bCs w:val="1"/>
                <w:color w:val="auto"/>
              </w:rPr>
              <w:t>Successor</w:t>
            </w:r>
          </w:p>
        </w:tc>
      </w:tr>
      <w:tr>
        <w:trPr>
          <w:trHeight w:val="137"/>
        </w:trPr>
        <w:tc>
          <w:tcPr>
            <w:tcW w:w="362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3"/>
                <w:szCs w:val="13"/>
                <w:b w:val="1"/>
                <w:bCs w:val="1"/>
                <w:color w:val="auto"/>
              </w:rPr>
              <w:t>Period ended</w:t>
            </w:r>
          </w:p>
        </w:tc>
        <w:tc>
          <w:tcPr>
            <w:tcW w:w="140" w:type="dxa"/>
            <w:vAlign w:val="bottom"/>
          </w:tcPr>
          <w:p>
            <w:pPr>
              <w:spacing w:after="0"/>
              <w:rPr>
                <w:sz w:val="11"/>
                <w:szCs w:val="11"/>
                <w:color w:val="auto"/>
              </w:rPr>
            </w:pPr>
          </w:p>
        </w:tc>
      </w:tr>
      <w:tr>
        <w:trPr>
          <w:trHeight w:val="151"/>
        </w:trPr>
        <w:tc>
          <w:tcPr>
            <w:tcW w:w="3620" w:type="dxa"/>
            <w:vAlign w:val="bottom"/>
          </w:tcPr>
          <w:p>
            <w:pPr>
              <w:spacing w:after="0"/>
              <w:rPr>
                <w:sz w:val="13"/>
                <w:szCs w:val="13"/>
                <w:color w:val="auto"/>
              </w:rPr>
            </w:pPr>
          </w:p>
        </w:tc>
        <w:tc>
          <w:tcPr>
            <w:tcW w:w="1440" w:type="dxa"/>
            <w:vAlign w:val="bottom"/>
          </w:tcPr>
          <w:p>
            <w:pPr>
              <w:jc w:val="right"/>
              <w:ind w:right="111"/>
              <w:spacing w:after="0"/>
              <w:rPr>
                <w:sz w:val="20"/>
                <w:szCs w:val="20"/>
                <w:color w:val="auto"/>
              </w:rPr>
            </w:pPr>
            <w:r>
              <w:rPr>
                <w:rFonts w:ascii="Arial" w:cs="Arial" w:eastAsia="Arial" w:hAnsi="Arial"/>
                <w:sz w:val="13"/>
                <w:szCs w:val="13"/>
                <w:b w:val="1"/>
                <w:bCs w:val="1"/>
                <w:color w:val="auto"/>
              </w:rPr>
              <w:t>Year ended</w:t>
            </w:r>
          </w:p>
        </w:tc>
        <w:tc>
          <w:tcPr>
            <w:tcW w:w="1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June 21, 2019 through</w:t>
            </w:r>
          </w:p>
        </w:tc>
      </w:tr>
      <w:tr>
        <w:trPr>
          <w:trHeight w:val="179"/>
        </w:trPr>
        <w:tc>
          <w:tcPr>
            <w:tcW w:w="3620" w:type="dxa"/>
            <w:vAlign w:val="bottom"/>
          </w:tcPr>
          <w:p>
            <w:pPr>
              <w:spacing w:after="0"/>
              <w:rPr>
                <w:sz w:val="15"/>
                <w:szCs w:val="15"/>
                <w:color w:val="auto"/>
              </w:rPr>
            </w:pPr>
          </w:p>
        </w:tc>
        <w:tc>
          <w:tcPr>
            <w:tcW w:w="1440" w:type="dxa"/>
            <w:vAlign w:val="bottom"/>
          </w:tcPr>
          <w:p>
            <w:pPr>
              <w:jc w:val="right"/>
              <w:ind w:right="71"/>
              <w:spacing w:after="0"/>
              <w:rPr>
                <w:sz w:val="20"/>
                <w:szCs w:val="20"/>
                <w:color w:val="auto"/>
              </w:rPr>
            </w:pPr>
            <w:r>
              <w:rPr>
                <w:rFonts w:ascii="Arial" w:cs="Arial" w:eastAsia="Arial" w:hAnsi="Arial"/>
                <w:sz w:val="13"/>
                <w:szCs w:val="13"/>
                <w:b w:val="1"/>
                <w:bCs w:val="1"/>
                <w:color w:val="auto"/>
              </w:rPr>
              <w:t>December 31, 2020</w:t>
            </w:r>
          </w:p>
        </w:tc>
        <w:tc>
          <w:tcPr>
            <w:tcW w:w="16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December 31, 2019</w:t>
            </w:r>
          </w:p>
        </w:tc>
      </w:tr>
      <w:tr>
        <w:trPr>
          <w:trHeight w:val="173"/>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Expected dividend rate</w:t>
            </w:r>
          </w:p>
        </w:tc>
        <w:tc>
          <w:tcPr>
            <w:tcW w:w="144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r>
      <w:tr>
        <w:trPr>
          <w:trHeight w:val="182"/>
        </w:trPr>
        <w:tc>
          <w:tcPr>
            <w:tcW w:w="3620" w:type="dxa"/>
            <w:vAlign w:val="bottom"/>
          </w:tcPr>
          <w:p>
            <w:pPr>
              <w:spacing w:after="0"/>
              <w:rPr>
                <w:sz w:val="20"/>
                <w:szCs w:val="20"/>
                <w:color w:val="auto"/>
              </w:rPr>
            </w:pPr>
            <w:r>
              <w:rPr>
                <w:rFonts w:ascii="Arial" w:cs="Arial" w:eastAsia="Arial" w:hAnsi="Arial"/>
                <w:sz w:val="14"/>
                <w:szCs w:val="14"/>
                <w:color w:val="auto"/>
              </w:rPr>
              <w:t>Expected option term (years)</w:t>
            </w:r>
          </w:p>
        </w:tc>
        <w:tc>
          <w:tcPr>
            <w:tcW w:w="1440" w:type="dxa"/>
            <w:vAlign w:val="bottom"/>
          </w:tcPr>
          <w:p>
            <w:pPr>
              <w:jc w:val="right"/>
              <w:ind w:right="71"/>
              <w:spacing w:after="0"/>
              <w:rPr>
                <w:sz w:val="20"/>
                <w:szCs w:val="20"/>
                <w:color w:val="auto"/>
              </w:rPr>
            </w:pPr>
            <w:r>
              <w:rPr>
                <w:rFonts w:ascii="Arial" w:cs="Arial" w:eastAsia="Arial" w:hAnsi="Arial"/>
                <w:sz w:val="14"/>
                <w:szCs w:val="14"/>
                <w:color w:val="auto"/>
              </w:rPr>
              <w:t>5.85</w:t>
            </w:r>
          </w:p>
        </w:tc>
        <w:tc>
          <w:tcPr>
            <w:tcW w:w="1500" w:type="dxa"/>
            <w:vAlign w:val="bottom"/>
          </w:tcPr>
          <w:p>
            <w:pPr>
              <w:jc w:val="right"/>
              <w:spacing w:after="0"/>
              <w:rPr>
                <w:sz w:val="20"/>
                <w:szCs w:val="20"/>
                <w:color w:val="auto"/>
              </w:rPr>
            </w:pPr>
            <w:r>
              <w:rPr>
                <w:rFonts w:ascii="Arial" w:cs="Arial" w:eastAsia="Arial" w:hAnsi="Arial"/>
                <w:sz w:val="14"/>
                <w:szCs w:val="14"/>
                <w:color w:val="auto"/>
              </w:rPr>
              <w:t>5.97</w:t>
            </w:r>
          </w:p>
        </w:tc>
        <w:tc>
          <w:tcPr>
            <w:tcW w:w="140" w:type="dxa"/>
            <w:vAlign w:val="bottom"/>
          </w:tcPr>
          <w:p>
            <w:pPr>
              <w:spacing w:after="0"/>
              <w:rPr>
                <w:sz w:val="15"/>
                <w:szCs w:val="15"/>
                <w:color w:val="auto"/>
              </w:rPr>
            </w:pPr>
          </w:p>
        </w:tc>
      </w:tr>
      <w:tr>
        <w:trPr>
          <w:trHeight w:val="205"/>
        </w:trPr>
        <w:tc>
          <w:tcPr>
            <w:tcW w:w="3620" w:type="dxa"/>
            <w:vAlign w:val="bottom"/>
          </w:tcPr>
          <w:p>
            <w:pPr>
              <w:spacing w:after="0"/>
              <w:rPr>
                <w:sz w:val="20"/>
                <w:szCs w:val="20"/>
                <w:color w:val="auto"/>
              </w:rPr>
            </w:pPr>
            <w:r>
              <w:rPr>
                <w:rFonts w:ascii="Arial" w:cs="Arial" w:eastAsia="Arial" w:hAnsi="Arial"/>
                <w:sz w:val="14"/>
                <w:szCs w:val="14"/>
                <w:color w:val="auto"/>
              </w:rPr>
              <w:t>Expected volatility</w:t>
            </w:r>
          </w:p>
        </w:tc>
        <w:tc>
          <w:tcPr>
            <w:tcW w:w="1440" w:type="dxa"/>
            <w:vAlign w:val="bottom"/>
          </w:tcPr>
          <w:p>
            <w:pPr>
              <w:jc w:val="right"/>
              <w:spacing w:after="0"/>
              <w:rPr>
                <w:sz w:val="20"/>
                <w:szCs w:val="20"/>
                <w:color w:val="auto"/>
              </w:rPr>
            </w:pPr>
            <w:r>
              <w:rPr>
                <w:rFonts w:ascii="Arial" w:cs="Arial" w:eastAsia="Arial" w:hAnsi="Arial"/>
                <w:sz w:val="14"/>
                <w:szCs w:val="14"/>
                <w:color w:val="auto"/>
              </w:rPr>
              <w:t>68.38%</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65.63%</w:t>
            </w:r>
          </w:p>
        </w:tc>
      </w:tr>
      <w:tr>
        <w:trPr>
          <w:trHeight w:val="205"/>
        </w:trPr>
        <w:tc>
          <w:tcPr>
            <w:tcW w:w="3620" w:type="dxa"/>
            <w:vAlign w:val="bottom"/>
          </w:tcPr>
          <w:p>
            <w:pPr>
              <w:spacing w:after="0"/>
              <w:rPr>
                <w:sz w:val="20"/>
                <w:szCs w:val="20"/>
                <w:color w:val="auto"/>
              </w:rPr>
            </w:pPr>
            <w:r>
              <w:rPr>
                <w:rFonts w:ascii="Arial" w:cs="Arial" w:eastAsia="Arial" w:hAnsi="Arial"/>
                <w:sz w:val="14"/>
                <w:szCs w:val="14"/>
                <w:color w:val="auto"/>
              </w:rPr>
              <w:t>Risk-free interest rate</w:t>
            </w:r>
          </w:p>
        </w:tc>
        <w:tc>
          <w:tcPr>
            <w:tcW w:w="1440" w:type="dxa"/>
            <w:vAlign w:val="bottom"/>
          </w:tcPr>
          <w:p>
            <w:pPr>
              <w:jc w:val="right"/>
              <w:spacing w:after="0"/>
              <w:rPr>
                <w:sz w:val="20"/>
                <w:szCs w:val="20"/>
                <w:color w:val="auto"/>
              </w:rPr>
            </w:pPr>
            <w:r>
              <w:rPr>
                <w:rFonts w:ascii="Arial" w:cs="Arial" w:eastAsia="Arial" w:hAnsi="Arial"/>
                <w:sz w:val="14"/>
                <w:szCs w:val="14"/>
                <w:color w:val="auto"/>
              </w:rPr>
              <w:t>0.58%</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1.77%</w:t>
            </w:r>
          </w:p>
        </w:tc>
      </w:tr>
      <w:tr>
        <w:trPr>
          <w:trHeight w:val="34"/>
        </w:trPr>
        <w:tc>
          <w:tcPr>
            <w:tcW w:w="3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-273685</wp:posOffset>
            </wp:positionV>
            <wp:extent cx="4165600" cy="1301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165600" cy="13017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-534035</wp:posOffset>
            </wp:positionV>
            <wp:extent cx="2295525"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295525" cy="6985"/>
                    </a:xfrm>
                    <a:prstGeom prst="rect">
                      <a:avLst/>
                    </a:prstGeom>
                    <a:noFill/>
                  </pic:spPr>
                </pic:pic>
              </a:graphicData>
            </a:graphic>
          </wp:anchor>
        </w:drawing>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Restricted Stock</w:t>
      </w:r>
    </w:p>
    <w:p>
      <w:pPr>
        <w:spacing w:after="0" w:line="146" w:lineRule="exact"/>
        <w:rPr>
          <w:sz w:val="20"/>
          <w:szCs w:val="20"/>
          <w:color w:val="auto"/>
        </w:rPr>
      </w:pPr>
    </w:p>
    <w:p>
      <w:pPr>
        <w:ind w:left="1220" w:right="1459"/>
        <w:spacing w:after="0" w:line="290" w:lineRule="auto"/>
        <w:rPr>
          <w:sz w:val="20"/>
          <w:szCs w:val="20"/>
          <w:color w:val="auto"/>
        </w:rPr>
      </w:pPr>
      <w:r>
        <w:rPr>
          <w:rFonts w:ascii="Arial" w:cs="Arial" w:eastAsia="Arial" w:hAnsi="Arial"/>
          <w:sz w:val="14"/>
          <w:szCs w:val="14"/>
          <w:color w:val="auto"/>
        </w:rPr>
        <w:t>The following table summarizes restricted stock activity for the year ended December 31, 2020 and December 31, 2019:</w:t>
      </w:r>
    </w:p>
    <w:p>
      <w:pPr>
        <w:spacing w:after="0" w:line="99"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1000" w:type="dxa"/>
            <w:vAlign w:val="bottom"/>
          </w:tcPr>
          <w:p>
            <w:pPr>
              <w:spacing w:after="0"/>
              <w:rPr>
                <w:sz w:val="13"/>
                <w:szCs w:val="13"/>
                <w:color w:val="auto"/>
              </w:rPr>
            </w:pPr>
          </w:p>
        </w:tc>
        <w:tc>
          <w:tcPr>
            <w:tcW w:w="4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Weighted Average</w:t>
            </w:r>
          </w:p>
        </w:tc>
        <w:tc>
          <w:tcPr>
            <w:tcW w:w="1000" w:type="dxa"/>
            <w:vAlign w:val="bottom"/>
          </w:tcPr>
          <w:p>
            <w:pPr>
              <w:spacing w:after="0"/>
              <w:rPr>
                <w:sz w:val="13"/>
                <w:szCs w:val="13"/>
                <w:color w:val="auto"/>
              </w:rPr>
            </w:pPr>
          </w:p>
        </w:tc>
      </w:tr>
      <w:tr>
        <w:trPr>
          <w:trHeight w:val="178"/>
        </w:trPr>
        <w:tc>
          <w:tcPr>
            <w:tcW w:w="1000" w:type="dxa"/>
            <w:vAlign w:val="bottom"/>
          </w:tcPr>
          <w:p>
            <w:pPr>
              <w:spacing w:after="0"/>
              <w:rPr>
                <w:sz w:val="15"/>
                <w:szCs w:val="15"/>
                <w:color w:val="auto"/>
              </w:rPr>
            </w:pPr>
          </w:p>
        </w:tc>
        <w:tc>
          <w:tcPr>
            <w:tcW w:w="4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rPr>
              <w:t>Shares</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Grant Date Fair Value</w:t>
            </w:r>
          </w:p>
        </w:tc>
        <w:tc>
          <w:tcPr>
            <w:tcW w:w="100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Unvested January 1, 2019, Predecessor</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4,288,080</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0" w:type="dxa"/>
            <w:vAlign w:val="bottom"/>
          </w:tcPr>
          <w:p>
            <w:pPr>
              <w:spacing w:after="0"/>
              <w:rPr>
                <w:sz w:val="15"/>
                <w:szCs w:val="15"/>
                <w:color w:val="auto"/>
              </w:rPr>
            </w:pPr>
          </w:p>
        </w:tc>
      </w:tr>
      <w:tr>
        <w:trPr>
          <w:trHeight w:val="172"/>
        </w:trPr>
        <w:tc>
          <w:tcPr>
            <w:tcW w:w="100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Issued</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701,754</w:t>
            </w:r>
          </w:p>
        </w:tc>
        <w:tc>
          <w:tcPr>
            <w:tcW w:w="1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0.01</w:t>
            </w:r>
          </w:p>
        </w:tc>
        <w:tc>
          <w:tcPr>
            <w:tcW w:w="1000" w:type="dxa"/>
            <w:vAlign w:val="bottom"/>
          </w:tcPr>
          <w:p>
            <w:pPr>
              <w:spacing w:after="0"/>
              <w:rPr>
                <w:sz w:val="14"/>
                <w:szCs w:val="14"/>
                <w:color w:val="auto"/>
              </w:rPr>
            </w:pPr>
          </w:p>
        </w:tc>
      </w:tr>
      <w:tr>
        <w:trPr>
          <w:trHeight w:val="183"/>
        </w:trPr>
        <w:tc>
          <w:tcPr>
            <w:tcW w:w="1000" w:type="dxa"/>
            <w:vAlign w:val="bottom"/>
          </w:tcPr>
          <w:p>
            <w:pPr>
              <w:spacing w:after="0"/>
              <w:rPr>
                <w:sz w:val="15"/>
                <w:szCs w:val="15"/>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Vested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(58,479)</w:t>
            </w:r>
          </w:p>
        </w:tc>
        <w:tc>
          <w:tcPr>
            <w:tcW w:w="11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0" w:type="dxa"/>
            <w:vAlign w:val="bottom"/>
          </w:tcPr>
          <w:p>
            <w:pPr>
              <w:spacing w:after="0"/>
              <w:rPr>
                <w:sz w:val="15"/>
                <w:szCs w:val="15"/>
                <w:color w:val="auto"/>
              </w:rPr>
            </w:pPr>
          </w:p>
        </w:tc>
      </w:tr>
      <w:tr>
        <w:trPr>
          <w:trHeight w:val="163"/>
        </w:trPr>
        <w:tc>
          <w:tcPr>
            <w:tcW w:w="100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Unvested June 21, 2019, Successor</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4,931,355</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0.01</w:t>
            </w:r>
          </w:p>
        </w:tc>
        <w:tc>
          <w:tcPr>
            <w:tcW w:w="1000" w:type="dxa"/>
            <w:vAlign w:val="bottom"/>
          </w:tcPr>
          <w:p>
            <w:pPr>
              <w:spacing w:after="0"/>
              <w:rPr>
                <w:sz w:val="14"/>
                <w:szCs w:val="14"/>
                <w:color w:val="auto"/>
              </w:rPr>
            </w:pPr>
          </w:p>
        </w:tc>
      </w:tr>
      <w:tr>
        <w:trPr>
          <w:trHeight w:val="195"/>
        </w:trPr>
        <w:tc>
          <w:tcPr>
            <w:tcW w:w="100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4"/>
                <w:szCs w:val="14"/>
                <w:color w:val="auto"/>
              </w:rPr>
              <w:t>Issued</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1,437,719</w:t>
            </w: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1000" w:type="dxa"/>
            <w:vAlign w:val="bottom"/>
          </w:tcPr>
          <w:p>
            <w:pPr>
              <w:spacing w:after="0"/>
              <w:rPr>
                <w:sz w:val="16"/>
                <w:szCs w:val="16"/>
                <w:color w:val="auto"/>
              </w:rPr>
            </w:pPr>
          </w:p>
        </w:tc>
      </w:tr>
      <w:tr>
        <w:trPr>
          <w:trHeight w:val="172"/>
        </w:trPr>
        <w:tc>
          <w:tcPr>
            <w:tcW w:w="100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Repurchased</w:t>
            </w:r>
          </w:p>
        </w:tc>
        <w:tc>
          <w:tcPr>
            <w:tcW w:w="880" w:type="dxa"/>
            <w:vAlign w:val="bottom"/>
          </w:tcPr>
          <w:p>
            <w:pPr>
              <w:jc w:val="right"/>
              <w:spacing w:after="0"/>
              <w:rPr>
                <w:sz w:val="20"/>
                <w:szCs w:val="20"/>
                <w:color w:val="auto"/>
              </w:rPr>
            </w:pPr>
            <w:r>
              <w:rPr>
                <w:rFonts w:ascii="Arial" w:cs="Arial" w:eastAsia="Arial" w:hAnsi="Arial"/>
                <w:sz w:val="14"/>
                <w:szCs w:val="14"/>
                <w:color w:val="auto"/>
              </w:rPr>
              <w:t>(750,000)</w:t>
            </w:r>
          </w:p>
        </w:tc>
        <w:tc>
          <w:tcPr>
            <w:tcW w:w="1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0.01</w:t>
            </w:r>
          </w:p>
        </w:tc>
        <w:tc>
          <w:tcPr>
            <w:tcW w:w="1000" w:type="dxa"/>
            <w:vAlign w:val="bottom"/>
          </w:tcPr>
          <w:p>
            <w:pPr>
              <w:spacing w:after="0"/>
              <w:rPr>
                <w:sz w:val="14"/>
                <w:szCs w:val="14"/>
                <w:color w:val="auto"/>
              </w:rPr>
            </w:pPr>
          </w:p>
        </w:tc>
      </w:tr>
      <w:tr>
        <w:trPr>
          <w:trHeight w:val="183"/>
        </w:trPr>
        <w:tc>
          <w:tcPr>
            <w:tcW w:w="1000" w:type="dxa"/>
            <w:vAlign w:val="bottom"/>
          </w:tcPr>
          <w:p>
            <w:pPr>
              <w:spacing w:after="0"/>
              <w:rPr>
                <w:sz w:val="15"/>
                <w:szCs w:val="15"/>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Vested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(1,299,455)</w:t>
            </w:r>
          </w:p>
        </w:tc>
        <w:tc>
          <w:tcPr>
            <w:tcW w:w="11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0" w:type="dxa"/>
            <w:vAlign w:val="bottom"/>
          </w:tcPr>
          <w:p>
            <w:pPr>
              <w:spacing w:after="0"/>
              <w:rPr>
                <w:sz w:val="15"/>
                <w:szCs w:val="15"/>
                <w:color w:val="auto"/>
              </w:rPr>
            </w:pPr>
          </w:p>
        </w:tc>
      </w:tr>
      <w:tr>
        <w:trPr>
          <w:trHeight w:val="163"/>
        </w:trPr>
        <w:tc>
          <w:tcPr>
            <w:tcW w:w="100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Total Unvested December 31, 2019, Successor</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4,319,619</w:t>
            </w:r>
          </w:p>
        </w:tc>
        <w:tc>
          <w:tcPr>
            <w:tcW w:w="1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0.14</w:t>
            </w:r>
          </w:p>
        </w:tc>
        <w:tc>
          <w:tcPr>
            <w:tcW w:w="1000" w:type="dxa"/>
            <w:vAlign w:val="bottom"/>
          </w:tcPr>
          <w:p>
            <w:pPr>
              <w:spacing w:after="0"/>
              <w:rPr>
                <w:sz w:val="14"/>
                <w:szCs w:val="14"/>
                <w:color w:val="auto"/>
              </w:rPr>
            </w:pPr>
          </w:p>
        </w:tc>
      </w:tr>
      <w:tr>
        <w:trPr>
          <w:trHeight w:val="183"/>
        </w:trPr>
        <w:tc>
          <w:tcPr>
            <w:tcW w:w="1000" w:type="dxa"/>
            <w:vAlign w:val="bottom"/>
          </w:tcPr>
          <w:p>
            <w:pPr>
              <w:spacing w:after="0"/>
              <w:rPr>
                <w:sz w:val="15"/>
                <w:szCs w:val="15"/>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Vested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(1,668,895)</w:t>
            </w:r>
          </w:p>
        </w:tc>
        <w:tc>
          <w:tcPr>
            <w:tcW w:w="11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000" w:type="dxa"/>
            <w:vAlign w:val="bottom"/>
          </w:tcPr>
          <w:p>
            <w:pPr>
              <w:spacing w:after="0"/>
              <w:rPr>
                <w:sz w:val="15"/>
                <w:szCs w:val="15"/>
                <w:color w:val="auto"/>
              </w:rPr>
            </w:pPr>
          </w:p>
        </w:tc>
      </w:tr>
      <w:tr>
        <w:trPr>
          <w:trHeight w:val="163"/>
        </w:trPr>
        <w:tc>
          <w:tcPr>
            <w:tcW w:w="100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Total Unvested December 31, 2020, Successor</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2,650,724</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0.14</w:t>
            </w:r>
          </w:p>
        </w:tc>
        <w:tc>
          <w:tcPr>
            <w:tcW w:w="1000" w:type="dxa"/>
            <w:vAlign w:val="bottom"/>
          </w:tcPr>
          <w:p>
            <w:pPr>
              <w:spacing w:after="0"/>
              <w:rPr>
                <w:sz w:val="14"/>
                <w:szCs w:val="14"/>
                <w:color w:val="auto"/>
              </w:rPr>
            </w:pPr>
          </w:p>
        </w:tc>
      </w:tr>
      <w:tr>
        <w:trPr>
          <w:trHeight w:val="98"/>
        </w:trPr>
        <w:tc>
          <w:tcPr>
            <w:tcW w:w="1000" w:type="dxa"/>
            <w:vAlign w:val="bottom"/>
          </w:tcPr>
          <w:p>
            <w:pPr>
              <w:spacing w:after="0"/>
              <w:rPr>
                <w:sz w:val="8"/>
                <w:szCs w:val="8"/>
                <w:color w:val="auto"/>
              </w:rPr>
            </w:pPr>
          </w:p>
        </w:tc>
        <w:tc>
          <w:tcPr>
            <w:tcW w:w="42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r>
      <w:tr>
        <w:trPr>
          <w:trHeight w:val="56"/>
        </w:trPr>
        <w:tc>
          <w:tcPr>
            <w:tcW w:w="1000" w:type="dxa"/>
            <w:vAlign w:val="bottom"/>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Pr>
          <w:p>
            <w:pPr>
              <w:spacing w:after="0"/>
              <w:rPr>
                <w:sz w:val="4"/>
                <w:szCs w:val="4"/>
                <w:color w:val="auto"/>
              </w:rPr>
            </w:pPr>
          </w:p>
        </w:tc>
      </w:tr>
      <w:tr>
        <w:trPr>
          <w:trHeight w:val="508"/>
        </w:trPr>
        <w:tc>
          <w:tcPr>
            <w:tcW w:w="1000" w:type="dxa"/>
            <w:vAlign w:val="bottom"/>
          </w:tcPr>
          <w:p>
            <w:pPr>
              <w:spacing w:after="0"/>
              <w:rPr>
                <w:sz w:val="24"/>
                <w:szCs w:val="24"/>
                <w:color w:val="auto"/>
              </w:rPr>
            </w:pPr>
          </w:p>
        </w:tc>
        <w:tc>
          <w:tcPr>
            <w:tcW w:w="4240" w:type="dxa"/>
            <w:vAlign w:val="bottom"/>
          </w:tcPr>
          <w:p>
            <w:pPr>
              <w:ind w:left="3100"/>
              <w:spacing w:after="0"/>
              <w:rPr>
                <w:sz w:val="20"/>
                <w:szCs w:val="20"/>
                <w:color w:val="auto"/>
              </w:rPr>
            </w:pPr>
            <w:r>
              <w:rPr>
                <w:rFonts w:ascii="Arial" w:cs="Arial" w:eastAsia="Arial" w:hAnsi="Arial"/>
                <w:sz w:val="14"/>
                <w:szCs w:val="14"/>
                <w:color w:val="auto"/>
              </w:rPr>
              <w:t>F-24</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6"/>
        </w:trPr>
        <w:tc>
          <w:tcPr>
            <w:tcW w:w="100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5556885</wp:posOffset>
            </wp:positionH>
            <wp:positionV relativeFrom="paragraph">
              <wp:posOffset>-26035</wp:posOffset>
            </wp:positionV>
            <wp:extent cx="32385" cy="393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-26035</wp:posOffset>
            </wp:positionV>
            <wp:extent cx="32385" cy="393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7" w:name="page238"/>
    <w:bookmarkEnd w:id="237"/>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During 2018, Prior Century issued 1,500,000 shares of common stock at a purchase price of</w:t>
      </w:r>
    </w:p>
    <w:p>
      <w:pPr>
        <w:spacing w:after="0" w:line="12" w:lineRule="exact"/>
        <w:rPr>
          <w:sz w:val="20"/>
          <w:szCs w:val="20"/>
          <w:color w:val="auto"/>
        </w:rPr>
      </w:pPr>
    </w:p>
    <w:p>
      <w:pPr>
        <w:ind w:left="1220" w:right="1339"/>
        <w:spacing w:after="0" w:line="262" w:lineRule="auto"/>
        <w:rPr>
          <w:sz w:val="20"/>
          <w:szCs w:val="20"/>
          <w:color w:val="auto"/>
        </w:rPr>
      </w:pPr>
      <w:r>
        <w:rPr>
          <w:rFonts w:ascii="Arial" w:cs="Arial" w:eastAsia="Arial" w:hAnsi="Arial"/>
          <w:sz w:val="14"/>
          <w:szCs w:val="14"/>
          <w:color w:val="auto"/>
        </w:rPr>
        <w:t>$0.01 per share. Also, during 2018, Prior Century issued 2,788,080 shares of restricted common stock. Pursuant to certain stock purchase agreements containing vesting and other provisions, Prior Century has the right to repurchase unvested shares. In October 2019, Prior Century repurchased 750,000 shares at $0.41 per share for a cost of $307.</w:t>
      </w:r>
    </w:p>
    <w:p>
      <w:pPr>
        <w:spacing w:after="0" w:line="95" w:lineRule="exact"/>
        <w:rPr>
          <w:sz w:val="20"/>
          <w:szCs w:val="20"/>
          <w:color w:val="auto"/>
        </w:rPr>
      </w:pPr>
    </w:p>
    <w:p>
      <w:pPr>
        <w:ind w:left="1220" w:right="1399"/>
        <w:spacing w:after="0" w:line="265" w:lineRule="auto"/>
        <w:rPr>
          <w:sz w:val="20"/>
          <w:szCs w:val="20"/>
          <w:color w:val="auto"/>
        </w:rPr>
      </w:pPr>
      <w:r>
        <w:rPr>
          <w:rFonts w:ascii="Arial" w:cs="Arial" w:eastAsia="Arial" w:hAnsi="Arial"/>
          <w:sz w:val="14"/>
          <w:szCs w:val="14"/>
          <w:color w:val="auto"/>
        </w:rPr>
        <w:t>As of December 31, 2020, there was $372 of total unrecognized compensation expense related to the unvested restricted stock with time-based vesting terms, which is expected to be recognized over a weighted average period of 1.94 years. All restricted stock vests over a four-year period.</w:t>
      </w:r>
    </w:p>
    <w:p>
      <w:pPr>
        <w:spacing w:after="0" w:line="30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15—Basic and diluted net loss per common share</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Basic and diluted net loss per common share is calculated as follows:</w:t>
      </w:r>
    </w:p>
    <w:p>
      <w:pPr>
        <w:spacing w:after="0" w:line="143"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30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3"/>
                <w:szCs w:val="13"/>
                <w:b w:val="1"/>
                <w:bCs w:val="1"/>
                <w:color w:val="auto"/>
              </w:rPr>
              <w:t>Successor</w:t>
            </w:r>
          </w:p>
        </w:tc>
        <w:tc>
          <w:tcPr>
            <w:tcW w:w="820" w:type="dxa"/>
            <w:vAlign w:val="bottom"/>
            <w:tcBorders>
              <w:top w:val="single" w:sz="8" w:color="auto"/>
              <w:bottom w:val="single" w:sz="8" w:color="auto"/>
              <w:right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Predecessor</w:t>
            </w:r>
          </w:p>
        </w:tc>
        <w:tc>
          <w:tcPr>
            <w:tcW w:w="40" w:type="dxa"/>
            <w:vAlign w:val="bottom"/>
          </w:tcPr>
          <w:p>
            <w:pPr>
              <w:spacing w:after="0"/>
              <w:rPr>
                <w:sz w:val="17"/>
                <w:szCs w:val="17"/>
                <w:color w:val="auto"/>
              </w:rPr>
            </w:pPr>
          </w:p>
        </w:tc>
      </w:tr>
      <w:tr>
        <w:trPr>
          <w:trHeight w:val="137"/>
        </w:trPr>
        <w:tc>
          <w:tcPr>
            <w:tcW w:w="3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120" w:type="dxa"/>
            <w:vAlign w:val="bottom"/>
            <w:tcBorders>
              <w:right w:val="single" w:sz="8" w:color="auto"/>
            </w:tcBorders>
            <w:gridSpan w:val="3"/>
          </w:tcPr>
          <w:p>
            <w:pPr>
              <w:jc w:val="right"/>
              <w:spacing w:after="0" w:line="137" w:lineRule="exact"/>
              <w:rPr>
                <w:sz w:val="20"/>
                <w:szCs w:val="20"/>
                <w:color w:val="auto"/>
              </w:rPr>
            </w:pPr>
            <w:r>
              <w:rPr>
                <w:rFonts w:ascii="Arial" w:cs="Arial" w:eastAsia="Arial" w:hAnsi="Arial"/>
                <w:sz w:val="13"/>
                <w:szCs w:val="13"/>
                <w:b w:val="1"/>
                <w:bCs w:val="1"/>
                <w:color w:val="auto"/>
              </w:rPr>
              <w:t>For the period June</w:t>
            </w:r>
          </w:p>
        </w:tc>
        <w:tc>
          <w:tcPr>
            <w:tcW w:w="1440" w:type="dxa"/>
            <w:vAlign w:val="bottom"/>
            <w:gridSpan w:val="2"/>
          </w:tcPr>
          <w:p>
            <w:pPr>
              <w:jc w:val="right"/>
              <w:spacing w:after="0" w:line="137" w:lineRule="exact"/>
              <w:rPr>
                <w:sz w:val="20"/>
                <w:szCs w:val="20"/>
                <w:color w:val="auto"/>
              </w:rPr>
            </w:pPr>
            <w:r>
              <w:rPr>
                <w:rFonts w:ascii="Arial" w:cs="Arial" w:eastAsia="Arial" w:hAnsi="Arial"/>
                <w:sz w:val="13"/>
                <w:szCs w:val="13"/>
                <w:b w:val="1"/>
                <w:bCs w:val="1"/>
                <w:color w:val="auto"/>
              </w:rPr>
              <w:t>For the period</w:t>
            </w:r>
          </w:p>
        </w:tc>
        <w:tc>
          <w:tcPr>
            <w:tcW w:w="40" w:type="dxa"/>
            <w:vAlign w:val="bottom"/>
          </w:tcPr>
          <w:p>
            <w:pPr>
              <w:spacing w:after="0"/>
              <w:rPr>
                <w:sz w:val="11"/>
                <w:szCs w:val="11"/>
                <w:color w:val="auto"/>
              </w:rPr>
            </w:pPr>
          </w:p>
        </w:tc>
      </w:tr>
      <w:tr>
        <w:trPr>
          <w:trHeight w:val="151"/>
        </w:trPr>
        <w:tc>
          <w:tcPr>
            <w:tcW w:w="3060" w:type="dxa"/>
            <w:vAlign w:val="bottom"/>
          </w:tcPr>
          <w:p>
            <w:pPr>
              <w:spacing w:after="0"/>
              <w:rPr>
                <w:sz w:val="13"/>
                <w:szCs w:val="13"/>
                <w:color w:val="auto"/>
              </w:rPr>
            </w:pPr>
          </w:p>
        </w:tc>
        <w:tc>
          <w:tcPr>
            <w:tcW w:w="1420" w:type="dxa"/>
            <w:vAlign w:val="bottom"/>
            <w:gridSpan w:val="3"/>
          </w:tcPr>
          <w:p>
            <w:pPr>
              <w:jc w:val="right"/>
              <w:ind w:right="91"/>
              <w:spacing w:after="0"/>
              <w:rPr>
                <w:sz w:val="20"/>
                <w:szCs w:val="20"/>
                <w:color w:val="auto"/>
              </w:rPr>
            </w:pPr>
            <w:r>
              <w:rPr>
                <w:rFonts w:ascii="Arial" w:cs="Arial" w:eastAsia="Arial" w:hAnsi="Arial"/>
                <w:sz w:val="13"/>
                <w:szCs w:val="13"/>
                <w:b w:val="1"/>
                <w:bCs w:val="1"/>
                <w:color w:val="auto"/>
              </w:rPr>
              <w:t>For the Year Ended</w:t>
            </w:r>
          </w:p>
        </w:tc>
        <w:tc>
          <w:tcPr>
            <w:tcW w:w="1220" w:type="dxa"/>
            <w:vAlign w:val="bottom"/>
            <w:tcBorders>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21, 2019 through</w:t>
            </w:r>
          </w:p>
        </w:tc>
        <w:tc>
          <w:tcPr>
            <w:tcW w:w="14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January 1, 2019</w:t>
            </w:r>
          </w:p>
        </w:tc>
      </w:tr>
      <w:tr>
        <w:trPr>
          <w:trHeight w:val="179"/>
        </w:trPr>
        <w:tc>
          <w:tcPr>
            <w:tcW w:w="3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20" w:type="dxa"/>
            <w:vAlign w:val="bottom"/>
            <w:tcBorders>
              <w:right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 2020  December 31, 2019</w:t>
            </w:r>
          </w:p>
        </w:tc>
        <w:tc>
          <w:tcPr>
            <w:tcW w:w="14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through June 20, 2019</w:t>
            </w:r>
          </w:p>
        </w:tc>
      </w:tr>
      <w:tr>
        <w:trPr>
          <w:trHeight w:val="173"/>
        </w:trPr>
        <w:tc>
          <w:tcPr>
            <w:tcW w:w="30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Numerator</w:t>
            </w: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right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3060" w:type="dxa"/>
            <w:vAlign w:val="bottom"/>
          </w:tcPr>
          <w:p>
            <w:pPr>
              <w:ind w:left="300"/>
              <w:spacing w:after="0"/>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(53,575)</w:t>
            </w: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(238,767)</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(6,002)</w:t>
            </w:r>
          </w:p>
        </w:tc>
      </w:tr>
      <w:tr>
        <w:trPr>
          <w:trHeight w:val="23"/>
        </w:trPr>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5"/>
        </w:trPr>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Denominator</w:t>
            </w:r>
          </w:p>
        </w:tc>
        <w:tc>
          <w:tcPr>
            <w:tcW w:w="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right w:val="single" w:sz="8" w:color="auto"/>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72"/>
        </w:trPr>
        <w:tc>
          <w:tcPr>
            <w:tcW w:w="3060" w:type="dxa"/>
            <w:vAlign w:val="bottom"/>
          </w:tcPr>
          <w:p>
            <w:pPr>
              <w:ind w:left="140"/>
              <w:spacing w:after="0"/>
              <w:rPr>
                <w:sz w:val="20"/>
                <w:szCs w:val="20"/>
                <w:color w:val="auto"/>
              </w:rPr>
            </w:pPr>
            <w:r>
              <w:rPr>
                <w:rFonts w:ascii="Arial" w:cs="Arial" w:eastAsia="Arial" w:hAnsi="Arial"/>
                <w:sz w:val="14"/>
                <w:szCs w:val="14"/>
                <w:color w:val="auto"/>
              </w:rPr>
              <w:t>Weighted-average common share for basic</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3060" w:type="dxa"/>
            <w:vAlign w:val="bottom"/>
          </w:tcPr>
          <w:p>
            <w:pPr>
              <w:ind w:left="300"/>
              <w:spacing w:after="0"/>
              <w:rPr>
                <w:sz w:val="20"/>
                <w:szCs w:val="20"/>
                <w:color w:val="auto"/>
              </w:rPr>
            </w:pPr>
            <w:r>
              <w:rPr>
                <w:rFonts w:ascii="Arial" w:cs="Arial" w:eastAsia="Arial" w:hAnsi="Arial"/>
                <w:sz w:val="14"/>
                <w:szCs w:val="14"/>
                <w:color w:val="auto"/>
              </w:rPr>
              <w:t>and diluted net loss per share</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ind w:right="51"/>
              <w:spacing w:after="0"/>
              <w:rPr>
                <w:sz w:val="20"/>
                <w:szCs w:val="20"/>
                <w:color w:val="auto"/>
              </w:rPr>
            </w:pPr>
            <w:r>
              <w:rPr>
                <w:rFonts w:ascii="Arial" w:cs="Arial" w:eastAsia="Arial" w:hAnsi="Arial"/>
                <w:sz w:val="14"/>
                <w:szCs w:val="14"/>
                <w:color w:val="auto"/>
              </w:rPr>
              <w:t>18,825,136</w:t>
            </w:r>
          </w:p>
        </w:tc>
        <w:tc>
          <w:tcPr>
            <w:tcW w:w="400" w:type="dxa"/>
            <w:vAlign w:val="bottom"/>
          </w:tcPr>
          <w:p>
            <w:pPr>
              <w:spacing w:after="0"/>
              <w:rPr>
                <w:sz w:val="14"/>
                <w:szCs w:val="14"/>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18,825,136</w:t>
            </w: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15,029,240</w:t>
            </w:r>
          </w:p>
        </w:tc>
        <w:tc>
          <w:tcPr>
            <w:tcW w:w="40" w:type="dxa"/>
            <w:vAlign w:val="bottom"/>
          </w:tcPr>
          <w:p>
            <w:pPr>
              <w:spacing w:after="0"/>
              <w:rPr>
                <w:sz w:val="14"/>
                <w:szCs w:val="14"/>
                <w:color w:val="auto"/>
              </w:rPr>
            </w:pPr>
          </w:p>
        </w:tc>
      </w:tr>
      <w:tr>
        <w:trPr>
          <w:trHeight w:val="34"/>
        </w:trPr>
        <w:tc>
          <w:tcPr>
            <w:tcW w:w="30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r>
      <w:tr>
        <w:trPr>
          <w:trHeight w:val="196"/>
        </w:trPr>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Basic and diluted net loss per common share</w:t>
            </w:r>
          </w:p>
        </w:tc>
        <w:tc>
          <w:tcPr>
            <w:tcW w:w="52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(12.68)</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40" w:type="dxa"/>
            <w:vAlign w:val="bottom"/>
          </w:tcPr>
          <w:p>
            <w:pPr>
              <w:spacing w:after="0"/>
              <w:rPr>
                <w:sz w:val="17"/>
                <w:szCs w:val="17"/>
                <w:color w:val="auto"/>
              </w:rPr>
            </w:pPr>
          </w:p>
        </w:tc>
      </w:tr>
      <w:tr>
        <w:trPr>
          <w:trHeight w:val="22"/>
        </w:trPr>
        <w:tc>
          <w:tcPr>
            <w:tcW w:w="30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20" w:right="1299"/>
        <w:spacing w:after="0" w:line="265" w:lineRule="auto"/>
        <w:rPr>
          <w:sz w:val="20"/>
          <w:szCs w:val="20"/>
          <w:color w:val="auto"/>
        </w:rPr>
      </w:pPr>
      <w:r>
        <w:rPr>
          <w:rFonts w:ascii="Arial" w:cs="Arial" w:eastAsia="Arial" w:hAnsi="Arial"/>
          <w:sz w:val="14"/>
          <w:szCs w:val="14"/>
          <w:color w:val="auto"/>
        </w:rPr>
        <w:t>The following table summarizes the potentially dilutive securities convertible into common shares that were excluded from the calculation of diluted net loss per common share because their inclusion would have been antidilutive:</w:t>
      </w:r>
    </w:p>
    <w:p>
      <w:pPr>
        <w:spacing w:after="0" w:line="116" w:lineRule="exact"/>
        <w:rPr>
          <w:sz w:val="20"/>
          <w:szCs w:val="20"/>
          <w:color w:val="auto"/>
        </w:rPr>
      </w:pPr>
    </w:p>
    <w:tbl>
      <w:tblPr>
        <w:tblLayout w:type="fixed"/>
        <w:tblInd w:w="122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20" w:type="dxa"/>
            <w:vAlign w:val="bottom"/>
            <w:tcBorders>
              <w:top w:val="single" w:sz="8" w:color="auto"/>
              <w:bottom w:val="single" w:sz="8" w:color="auto"/>
              <w:right w:val="single" w:sz="8" w:color="auto"/>
            </w:tcBorders>
            <w:gridSpan w:val="2"/>
          </w:tcPr>
          <w:p>
            <w:pPr>
              <w:jc w:val="right"/>
              <w:ind w:right="910"/>
              <w:spacing w:after="0"/>
              <w:rPr>
                <w:sz w:val="20"/>
                <w:szCs w:val="20"/>
                <w:color w:val="auto"/>
              </w:rPr>
            </w:pPr>
            <w:r>
              <w:rPr>
                <w:rFonts w:ascii="Arial" w:cs="Arial" w:eastAsia="Arial" w:hAnsi="Arial"/>
                <w:sz w:val="13"/>
                <w:szCs w:val="13"/>
                <w:b w:val="1"/>
                <w:bCs w:val="1"/>
                <w:color w:val="auto"/>
              </w:rPr>
              <w:t>Successor</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4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rPr>
              <w:t>For the period June</w:t>
            </w:r>
          </w:p>
        </w:tc>
        <w:tc>
          <w:tcPr>
            <w:tcW w:w="1440" w:type="dxa"/>
            <w:vAlign w:val="bottom"/>
          </w:tcPr>
          <w:p>
            <w:pPr>
              <w:jc w:val="right"/>
              <w:spacing w:after="0" w:line="136" w:lineRule="exact"/>
              <w:rPr>
                <w:sz w:val="20"/>
                <w:szCs w:val="20"/>
                <w:color w:val="auto"/>
              </w:rPr>
            </w:pPr>
            <w:r>
              <w:rPr>
                <w:rFonts w:ascii="Arial" w:cs="Arial" w:eastAsia="Arial" w:hAnsi="Arial"/>
                <w:sz w:val="13"/>
                <w:szCs w:val="13"/>
                <w:b w:val="1"/>
                <w:bCs w:val="1"/>
                <w:color w:val="auto"/>
              </w:rPr>
              <w:t>For the period</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Arial" w:cs="Arial" w:eastAsia="Arial" w:hAnsi="Arial"/>
                <w:sz w:val="13"/>
                <w:szCs w:val="13"/>
                <w:b w:val="1"/>
                <w:bCs w:val="1"/>
                <w:color w:val="auto"/>
              </w:rPr>
              <w:t>For the Year Ended</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21, 2019 through</w:t>
            </w: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January 1, 2019</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2020  December 31, 2019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through June 20, 2019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Stock options to purchase common stock</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9,768,326</w:t>
            </w: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4,393,185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1,929,820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Early exercised stock options subject to future</w:t>
            </w: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Borders>
              <w:right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vesting</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831,896</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712,945</w:t>
            </w: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award subject to future</w:t>
            </w:r>
          </w:p>
        </w:tc>
        <w:tc>
          <w:tcPr>
            <w:tcW w:w="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340" w:type="dxa"/>
            <w:vAlign w:val="bottom"/>
            <w:tcBorders>
              <w:right w:val="single" w:sz="8" w:color="auto"/>
            </w:tcBorders>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vesting</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2,650,724</w:t>
            </w:r>
          </w:p>
        </w:tc>
        <w:tc>
          <w:tcPr>
            <w:tcW w:w="1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4,319,619</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4,931,355</w:t>
            </w:r>
          </w:p>
        </w:tc>
        <w:tc>
          <w:tcPr>
            <w:tcW w:w="0" w:type="dxa"/>
            <w:vAlign w:val="bottom"/>
          </w:tcPr>
          <w:p>
            <w:pPr>
              <w:spacing w:after="0"/>
              <w:rPr>
                <w:sz w:val="1"/>
                <w:szCs w:val="1"/>
                <w:color w:val="auto"/>
              </w:rPr>
            </w:pPr>
          </w:p>
        </w:tc>
      </w:tr>
      <w:tr>
        <w:trPr>
          <w:trHeight w:val="182"/>
        </w:trPr>
        <w:tc>
          <w:tcPr>
            <w:tcW w:w="3120" w:type="dxa"/>
            <w:vAlign w:val="bottom"/>
            <w:gridSpan w:val="2"/>
          </w:tcPr>
          <w:p>
            <w:pPr>
              <w:spacing w:after="0"/>
              <w:rPr>
                <w:sz w:val="20"/>
                <w:szCs w:val="20"/>
                <w:color w:val="auto"/>
              </w:rPr>
            </w:pPr>
            <w:r>
              <w:rPr>
                <w:rFonts w:ascii="Arial" w:cs="Arial" w:eastAsia="Arial" w:hAnsi="Arial"/>
                <w:sz w:val="14"/>
                <w:szCs w:val="14"/>
                <w:color w:val="auto"/>
              </w:rPr>
              <w:t>Warrants on long term debt</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40,540</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3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61,143,790</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61,143,790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35,000,000</w:t>
            </w:r>
          </w:p>
        </w:tc>
        <w:tc>
          <w:tcPr>
            <w:tcW w:w="0" w:type="dxa"/>
            <w:vAlign w:val="bottom"/>
          </w:tcPr>
          <w:p>
            <w:pPr>
              <w:spacing w:after="0"/>
              <w:rPr>
                <w:sz w:val="1"/>
                <w:szCs w:val="1"/>
                <w:color w:val="auto"/>
              </w:rPr>
            </w:pPr>
          </w:p>
        </w:tc>
      </w:tr>
      <w:tr>
        <w:trPr>
          <w:trHeight w:val="179"/>
        </w:trPr>
        <w:tc>
          <w:tcPr>
            <w:tcW w:w="3120" w:type="dxa"/>
            <w:vAlign w:val="bottom"/>
            <w:gridSpan w:val="2"/>
          </w:tcPr>
          <w:p>
            <w:pPr>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74,435,276</w:t>
            </w: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70,569,539</w:t>
            </w:r>
          </w:p>
        </w:tc>
        <w:tc>
          <w:tcPr>
            <w:tcW w:w="1440" w:type="dxa"/>
            <w:vAlign w:val="bottom"/>
          </w:tcPr>
          <w:p>
            <w:pPr>
              <w:jc w:val="right"/>
              <w:spacing w:after="0"/>
              <w:rPr>
                <w:sz w:val="20"/>
                <w:szCs w:val="20"/>
                <w:color w:val="auto"/>
              </w:rPr>
            </w:pPr>
            <w:r>
              <w:rPr>
                <w:rFonts w:ascii="Arial" w:cs="Arial" w:eastAsia="Arial" w:hAnsi="Arial"/>
                <w:sz w:val="14"/>
                <w:szCs w:val="14"/>
                <w:color w:val="auto"/>
              </w:rPr>
              <w:t>41,861,175</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16—Related party transactions</w:t>
      </w:r>
    </w:p>
    <w:p>
      <w:pPr>
        <w:spacing w:after="0" w:line="128" w:lineRule="exact"/>
        <w:rPr>
          <w:sz w:val="20"/>
          <w:szCs w:val="20"/>
          <w:color w:val="auto"/>
        </w:rPr>
      </w:pPr>
    </w:p>
    <w:p>
      <w:pPr>
        <w:ind w:left="1220" w:right="1579"/>
        <w:spacing w:after="0" w:line="265" w:lineRule="auto"/>
        <w:rPr>
          <w:sz w:val="20"/>
          <w:szCs w:val="20"/>
          <w:color w:val="auto"/>
        </w:rPr>
      </w:pPr>
      <w:r>
        <w:rPr>
          <w:rFonts w:ascii="Arial" w:cs="Arial" w:eastAsia="Arial" w:hAnsi="Arial"/>
          <w:sz w:val="14"/>
          <w:szCs w:val="14"/>
          <w:b w:val="1"/>
          <w:bCs w:val="1"/>
          <w:i w:val="1"/>
          <w:iCs w:val="1"/>
          <w:color w:val="auto"/>
        </w:rPr>
        <w:t>License Agreements and Collaborative Agreements with Shareholder of Equity Method Investor</w:t>
      </w:r>
    </w:p>
    <w:p>
      <w:pPr>
        <w:spacing w:after="0" w:line="81" w:lineRule="exact"/>
        <w:rPr>
          <w:sz w:val="20"/>
          <w:szCs w:val="20"/>
          <w:color w:val="auto"/>
        </w:rPr>
      </w:pPr>
    </w:p>
    <w:p>
      <w:pPr>
        <w:ind w:left="1220" w:right="1299"/>
        <w:spacing w:after="0" w:line="262" w:lineRule="auto"/>
        <w:rPr>
          <w:sz w:val="20"/>
          <w:szCs w:val="20"/>
          <w:color w:val="auto"/>
        </w:rPr>
      </w:pPr>
      <w:r>
        <w:rPr>
          <w:rFonts w:ascii="Arial" w:cs="Arial" w:eastAsia="Arial" w:hAnsi="Arial"/>
          <w:sz w:val="14"/>
          <w:szCs w:val="14"/>
          <w:color w:val="auto"/>
        </w:rPr>
        <w:t>As part of the Commitment Agreement, the Company acquired licenses and other contracts from Prior Century that were originally entered into by Prior Century and FUJIFILM Cellular Dynamics, Inc. (“FCDI”). FCDI is a shareholder of Prior Century. The acquired licenses and other contracts with FCDI are as follows:</w:t>
      </w:r>
    </w:p>
    <w:p>
      <w:pPr>
        <w:spacing w:after="0" w:line="13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Acquired FCDI Licenses</w:t>
      </w:r>
    </w:p>
    <w:p>
      <w:pPr>
        <w:spacing w:after="0" w:line="123" w:lineRule="exact"/>
        <w:rPr>
          <w:sz w:val="20"/>
          <w:szCs w:val="20"/>
          <w:color w:val="auto"/>
        </w:rPr>
      </w:pPr>
    </w:p>
    <w:p>
      <w:pPr>
        <w:ind w:left="1220" w:right="1399"/>
        <w:spacing w:after="0" w:line="265" w:lineRule="auto"/>
        <w:rPr>
          <w:sz w:val="20"/>
          <w:szCs w:val="20"/>
          <w:color w:val="auto"/>
        </w:rPr>
      </w:pPr>
      <w:r>
        <w:rPr>
          <w:rFonts w:ascii="Arial" w:cs="Arial" w:eastAsia="Arial" w:hAnsi="Arial"/>
          <w:sz w:val="14"/>
          <w:szCs w:val="14"/>
          <w:color w:val="auto"/>
        </w:rPr>
        <w:t>The Company acquired from Prior Century a non-exclusive license agreement with FCDI. The license provides the Company with certain patents and know-how related to the reprogramming of human somatic cells to induce</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8" w:name="page239"/>
    <w:bookmarkEnd w:id="238"/>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59"/>
        <w:spacing w:after="0" w:line="283" w:lineRule="auto"/>
        <w:rPr>
          <w:sz w:val="20"/>
          <w:szCs w:val="20"/>
          <w:color w:val="auto"/>
        </w:rPr>
      </w:pPr>
      <w:r>
        <w:rPr>
          <w:rFonts w:ascii="Arial" w:cs="Arial" w:eastAsia="Arial" w:hAnsi="Arial"/>
          <w:sz w:val="14"/>
          <w:szCs w:val="14"/>
          <w:color w:val="auto"/>
        </w:rPr>
        <w:t>pluripotent stem cell(s) (“iPSCs”)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272" w:lineRule="exact"/>
        <w:rPr>
          <w:sz w:val="20"/>
          <w:szCs w:val="20"/>
          <w:color w:val="auto"/>
        </w:rPr>
      </w:pPr>
    </w:p>
    <w:p>
      <w:pPr>
        <w:ind w:left="1220" w:right="1419"/>
        <w:spacing w:after="0" w:line="281" w:lineRule="auto"/>
        <w:rPr>
          <w:sz w:val="20"/>
          <w:szCs w:val="20"/>
          <w:color w:val="auto"/>
        </w:rPr>
      </w:pPr>
      <w:r>
        <w:rPr>
          <w:rFonts w:ascii="Arial" w:cs="Arial" w:eastAsia="Arial" w:hAnsi="Arial"/>
          <w:sz w:val="14"/>
          <w:szCs w:val="14"/>
          <w:color w:val="auto"/>
        </w:rPr>
        <w:t>The Company also acquired from Prior Century an exclusive license agreement with FCDI. The license provides the Company with patents and know-how related to human iPSC exclusively manufactured by FCDI.</w:t>
      </w:r>
    </w:p>
    <w:p>
      <w:pPr>
        <w:spacing w:after="0" w:line="103" w:lineRule="exact"/>
        <w:rPr>
          <w:sz w:val="20"/>
          <w:szCs w:val="20"/>
          <w:color w:val="auto"/>
        </w:rPr>
      </w:pPr>
    </w:p>
    <w:p>
      <w:pPr>
        <w:ind w:left="1220" w:right="1599"/>
        <w:spacing w:after="0" w:line="290" w:lineRule="auto"/>
        <w:rPr>
          <w:sz w:val="20"/>
          <w:szCs w:val="20"/>
          <w:color w:val="auto"/>
        </w:rPr>
      </w:pPr>
      <w:r>
        <w:rPr>
          <w:rFonts w:ascii="Arial" w:cs="Arial" w:eastAsia="Arial" w:hAnsi="Arial"/>
          <w:sz w:val="14"/>
          <w:szCs w:val="14"/>
          <w:color w:val="auto"/>
        </w:rPr>
        <w:t>The potential development and regulatory milestone payments to be paid by the Company to FCDI are $6,000.</w:t>
      </w:r>
    </w:p>
    <w:p>
      <w:pPr>
        <w:spacing w:after="0" w:line="11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FCDI Collaboration Agreement</w:t>
      </w:r>
    </w:p>
    <w:p>
      <w:pPr>
        <w:spacing w:after="0" w:line="144"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In October 2019, the Company entered into the Master Collaboration Agreement with FCDI, whereby FCDI will provide certain services to the Company to develop and manufacture T-cell-derived iPSCs and immune cells derived therefrom. FCDI will provide services in accordance with the approved research plan and related research budget. The initial research plan covers the period from October 2019 through March 31, 2022. The original research budget of $19,700 was increased to $30,400 in March 2021.</w:t>
      </w:r>
    </w:p>
    <w:p>
      <w:pPr>
        <w:spacing w:after="0" w:line="276" w:lineRule="exact"/>
        <w:rPr>
          <w:sz w:val="20"/>
          <w:szCs w:val="20"/>
          <w:color w:val="auto"/>
        </w:rPr>
      </w:pPr>
    </w:p>
    <w:p>
      <w:pPr>
        <w:ind w:left="1220" w:right="1279"/>
        <w:spacing w:after="0" w:line="280" w:lineRule="auto"/>
        <w:rPr>
          <w:sz w:val="20"/>
          <w:szCs w:val="20"/>
          <w:color w:val="auto"/>
        </w:rPr>
      </w:pPr>
      <w:r>
        <w:rPr>
          <w:rFonts w:ascii="Arial" w:cs="Arial" w:eastAsia="Arial" w:hAnsi="Arial"/>
          <w:sz w:val="14"/>
          <w:szCs w:val="14"/>
          <w:color w:val="auto"/>
        </w:rPr>
        <w:t>During the Successor period ended December 31, 2020, the Company made payments of $5,311 and incurred research and development expenses of $9,002 and legal fees of $52 recorded within general and administrative expenses in its consolidated statements of operations and comprehensive loss. As of December 31, 2020, there was $1,844 in accounts payable on the consolidated balance sheets.</w:t>
      </w:r>
    </w:p>
    <w:p>
      <w:pPr>
        <w:spacing w:after="0" w:line="285"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During the Successor period June 21, 2019 through December 31, 2019, the Company made payments of $4,847, of which $2,140 is classified in prepaid expenses and other current assets in the consolidated balance sheet as of December 31, 2019. During the Successor period June 21, 2019 through December 31, 2019, the Company incurred research and development operating expenses of $3,139 and legal fees of $118 recorded as general and administrative expenses in the consolidated statements of operations and comprehensive loss.</w:t>
      </w:r>
    </w:p>
    <w:p>
      <w:pPr>
        <w:spacing w:after="0" w:line="108" w:lineRule="exact"/>
        <w:rPr>
          <w:sz w:val="20"/>
          <w:szCs w:val="20"/>
          <w:color w:val="auto"/>
        </w:rPr>
      </w:pPr>
    </w:p>
    <w:p>
      <w:pPr>
        <w:ind w:left="1220" w:right="1479"/>
        <w:spacing w:after="0" w:line="290" w:lineRule="auto"/>
        <w:rPr>
          <w:sz w:val="20"/>
          <w:szCs w:val="20"/>
          <w:color w:val="auto"/>
        </w:rPr>
      </w:pPr>
      <w:r>
        <w:rPr>
          <w:rFonts w:ascii="Arial" w:cs="Arial" w:eastAsia="Arial" w:hAnsi="Arial"/>
          <w:sz w:val="14"/>
          <w:szCs w:val="14"/>
          <w:color w:val="auto"/>
        </w:rPr>
        <w:t>During the Predecessor period January 1, 2019 through June 20, 2019, the Company incurred research and development operating expenses of $1,643.</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Consulting Arrangements with Shareholders of Equity Method Investor</w:t>
      </w:r>
    </w:p>
    <w:p>
      <w:pPr>
        <w:spacing w:after="0" w:line="136"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In 2019, the Company entered into arrangements with two shareholders of Prior Century, wherein the shareholders provide consulting services to the Company. As compensation for the consulting services, the shareholders are entitled to an annual retainer fee of $125, payable quarterly, along with payment of reasonable expenses associated with providing the consulting services. The Company paid $94, $106 and $44 related to these consulting arrangements that were included in research and development expenses in the consolidated statements of operations and comprehensive loss for the Successor period ended December 31, 2020, the Successor period June 21, 2019 through December 31, 2019, and the Predecessor period January 1, 2019 through June 20, 2019, respectively.</w:t>
      </w:r>
    </w:p>
    <w:p>
      <w:pPr>
        <w:spacing w:after="0" w:line="30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17—Subsequent Events</w:t>
      </w:r>
    </w:p>
    <w:p>
      <w:pPr>
        <w:spacing w:after="0" w:line="144" w:lineRule="exact"/>
        <w:rPr>
          <w:sz w:val="20"/>
          <w:szCs w:val="20"/>
          <w:color w:val="auto"/>
        </w:rPr>
      </w:pPr>
    </w:p>
    <w:p>
      <w:pPr>
        <w:ind w:left="1220" w:right="1279"/>
        <w:spacing w:after="0" w:line="281" w:lineRule="auto"/>
        <w:rPr>
          <w:sz w:val="20"/>
          <w:szCs w:val="20"/>
          <w:color w:val="auto"/>
        </w:rPr>
      </w:pPr>
      <w:r>
        <w:rPr>
          <w:rFonts w:ascii="Arial" w:cs="Arial" w:eastAsia="Arial" w:hAnsi="Arial"/>
          <w:sz w:val="14"/>
          <w:szCs w:val="14"/>
          <w:color w:val="auto"/>
        </w:rPr>
        <w:t>The Company has evaluated subsequent events for the year ended December 31, 2020, the date of these consolidated financial statements, through March 26, 2021, which represents the date these consolidated financial statements were issued.</w:t>
      </w:r>
    </w:p>
    <w:p>
      <w:pPr>
        <w:spacing w:after="0" w:line="103"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changed its name to “Century Therapeutics, Inc.” In connection with this merger, 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39" w:name="page240"/>
    <w:bookmarkEnd w:id="239"/>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Upon the execution of the preceding conversion on February 25, 2021, the Company entered into a stock purchase agreement with existing and new investors whereby the Company issued and sold 24,721,999 shares of Series C Preferred Stock with a par value of $0.0001, to investors at a price of $6.4720 per shares for gross proceeds of $160,000.</w:t>
      </w:r>
    </w:p>
    <w:p>
      <w:pPr>
        <w:spacing w:after="0" w:line="96" w:lineRule="exact"/>
        <w:rPr>
          <w:sz w:val="20"/>
          <w:szCs w:val="20"/>
          <w:color w:val="auto"/>
        </w:rPr>
      </w:pPr>
    </w:p>
    <w:p>
      <w:pPr>
        <w:ind w:left="1220" w:right="1539"/>
        <w:spacing w:after="0" w:line="277" w:lineRule="auto"/>
        <w:rPr>
          <w:sz w:val="20"/>
          <w:szCs w:val="20"/>
          <w:color w:val="auto"/>
        </w:rPr>
      </w:pPr>
      <w:r>
        <w:rPr>
          <w:rFonts w:ascii="Arial" w:cs="Arial" w:eastAsia="Arial" w:hAnsi="Arial"/>
          <w:sz w:val="14"/>
          <w:szCs w:val="14"/>
          <w:color w:val="auto"/>
        </w:rPr>
        <w:t>Pursuant to its Amended Articles of Incorporation filed on February 25, 2021, the Company is now authorized to issue 125,236,190 shares of $0.0001 par value Common Stock and 85,865,789 shares of $0.0001 par value Preferred Stock. Of the Preferred Stock, 35,000,000 shares are designated as Series A Preferred Stock, 26,143,790 are designated as Series B Preferred Stock and 24,721,999 are designated as Series C Preferred Stock.</w:t>
      </w:r>
    </w:p>
    <w:p>
      <w:pPr>
        <w:spacing w:after="0" w:line="107" w:lineRule="exact"/>
        <w:rPr>
          <w:sz w:val="20"/>
          <w:szCs w:val="20"/>
          <w:color w:val="auto"/>
        </w:rPr>
      </w:pPr>
    </w:p>
    <w:p>
      <w:pPr>
        <w:ind w:left="1220" w:right="1239"/>
        <w:spacing w:after="0" w:line="276" w:lineRule="auto"/>
        <w:rPr>
          <w:sz w:val="20"/>
          <w:szCs w:val="20"/>
          <w:color w:val="auto"/>
        </w:rPr>
      </w:pPr>
      <w:r>
        <w:rPr>
          <w:rFonts w:ascii="Arial" w:cs="Arial" w:eastAsia="Arial" w:hAnsi="Arial"/>
          <w:sz w:val="14"/>
          <w:szCs w:val="14"/>
          <w:color w:val="auto"/>
        </w:rPr>
        <w:t>The holders of Series A and Series C Preferred Stock are entitled to receive non-cumulative dividends prior to and in preference to any declaration of payment of dividends on Common Stock or any other class of Preferred Stock, at an annual rate of 8% of the original issuance price, when and if declared by the Board of Directors. The original issuance price per share for the Series A, B and C Preferred Stock is $1.00, $5.55 and $6.4720, respectively. No dividends have been declared or paid as of December 31, 2020.</w:t>
      </w:r>
    </w:p>
    <w:p>
      <w:pPr>
        <w:spacing w:after="0" w:line="108"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In the event of any liquidation, dissolution or winding up of the Company, whether voluntary or involuntary, the holders of Preferred Stock have liquidation preferences, before any distribution or payment is made to holders of Common Stock, in an amount per share equal to the original issue price, plus any dividends declared but unpaid. If the assets and funds to be distributed among the holders of Preferred Stock are insufficient to permit the payment to such holders, then the entire assets and funds of the Company legally available for distribution will be distributed ratably among the holders of Preferred Stock in proportion to the preferential amount each such holder is otherwise entitled to receive.</w:t>
      </w:r>
    </w:p>
    <w:p>
      <w:pPr>
        <w:spacing w:after="0" w:line="279" w:lineRule="exact"/>
        <w:rPr>
          <w:sz w:val="20"/>
          <w:szCs w:val="20"/>
          <w:color w:val="auto"/>
        </w:rPr>
      </w:pPr>
    </w:p>
    <w:p>
      <w:pPr>
        <w:ind w:left="1220" w:right="1419"/>
        <w:spacing w:after="0" w:line="278" w:lineRule="auto"/>
        <w:rPr>
          <w:sz w:val="20"/>
          <w:szCs w:val="20"/>
          <w:color w:val="auto"/>
        </w:rPr>
      </w:pPr>
      <w:r>
        <w:rPr>
          <w:rFonts w:ascii="Arial" w:cs="Arial" w:eastAsia="Arial" w:hAnsi="Arial"/>
          <w:sz w:val="14"/>
          <w:szCs w:val="14"/>
          <w:color w:val="auto"/>
        </w:rPr>
        <w:t>Upon completion of the payment of the full liquidation preference of Preferred Stock, the remaining assets of the Company, if any, shall be distributed ratably to the holders of Common Stock and Preferred Stock, with the Preferred Stock being treated as if the Preferred Stock had been converted to shares of Common Stock at the then applicable conversion rate.</w:t>
      </w:r>
    </w:p>
    <w:p>
      <w:pPr>
        <w:spacing w:after="0" w:line="106" w:lineRule="exact"/>
        <w:rPr>
          <w:sz w:val="20"/>
          <w:szCs w:val="20"/>
          <w:color w:val="auto"/>
        </w:rPr>
      </w:pPr>
    </w:p>
    <w:p>
      <w:pPr>
        <w:ind w:left="1220" w:right="1319"/>
        <w:spacing w:after="0" w:line="277" w:lineRule="auto"/>
        <w:rPr>
          <w:sz w:val="20"/>
          <w:szCs w:val="20"/>
          <w:color w:val="auto"/>
        </w:rPr>
      </w:pPr>
      <w:r>
        <w:rPr>
          <w:rFonts w:ascii="Arial" w:cs="Arial" w:eastAsia="Arial" w:hAnsi="Arial"/>
          <w:sz w:val="14"/>
          <w:szCs w:val="14"/>
          <w:color w:val="auto"/>
        </w:rPr>
        <w:t>The holders of each share of Preferred Stock are entitled to voting rights equal to the number of shares of Common Stock into which the shares could be converted. The holders of Series A Preferred Stock are entitled to elect two directors, the holders of Series B Preferred Stock are entitled to elect one director and the holders of Series C Preferred Stock are entitled to elect one director. The holders of Common Stock are entitled to elect one director.</w:t>
      </w:r>
    </w:p>
    <w:p>
      <w:pPr>
        <w:spacing w:after="0" w:line="107" w:lineRule="exact"/>
        <w:rPr>
          <w:sz w:val="20"/>
          <w:szCs w:val="20"/>
          <w:color w:val="auto"/>
        </w:rPr>
      </w:pPr>
    </w:p>
    <w:p>
      <w:pPr>
        <w:ind w:left="1220" w:right="1239"/>
        <w:spacing w:after="0" w:line="278" w:lineRule="auto"/>
        <w:rPr>
          <w:sz w:val="20"/>
          <w:szCs w:val="20"/>
          <w:color w:val="auto"/>
        </w:rPr>
      </w:pPr>
      <w:r>
        <w:rPr>
          <w:rFonts w:ascii="Arial" w:cs="Arial" w:eastAsia="Arial" w:hAnsi="Arial"/>
          <w:sz w:val="14"/>
          <w:szCs w:val="14"/>
          <w:color w:val="auto"/>
        </w:rPr>
        <w:t>Each share of Preferred Stock is convertible into shares of Common Stock, at the option of the holder, at any time after the date of issuance. Such conversion is mandatory upon the closing of a public offering at a price of at least $6.472 per share (subject to adjustment for stock splits) in a firm commitment underwritten public offering, resulting in at least $50 million of net proceeds.</w:t>
      </w:r>
    </w:p>
    <w:p>
      <w:pPr>
        <w:spacing w:after="0" w:line="96" w:lineRule="exact"/>
        <w:rPr>
          <w:sz w:val="20"/>
          <w:szCs w:val="20"/>
          <w:color w:val="auto"/>
        </w:rPr>
      </w:pPr>
    </w:p>
    <w:p>
      <w:pPr>
        <w:ind w:left="1220" w:right="1439"/>
        <w:spacing w:after="0" w:line="281" w:lineRule="auto"/>
        <w:rPr>
          <w:sz w:val="20"/>
          <w:szCs w:val="20"/>
          <w:color w:val="auto"/>
        </w:rPr>
      </w:pPr>
      <w:r>
        <w:rPr>
          <w:rFonts w:ascii="Arial" w:cs="Arial" w:eastAsia="Arial" w:hAnsi="Arial"/>
          <w:sz w:val="14"/>
          <w:szCs w:val="14"/>
          <w:color w:val="auto"/>
        </w:rPr>
        <w:t>The Preferred Stock is not mandatorily redeemable. Upon certain change in control events that are outside of the Company’s control, including liquidation, sale or transfer of control of the Company, the Preferred Stock is contingently redeemable.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0" w:name="page241"/>
    <w:bookmarkEnd w:id="240"/>
    <w:p>
      <w:pPr>
        <w:ind w:left="220"/>
        <w:spacing w:after="0"/>
        <w:rPr>
          <w:rFonts w:ascii="Arial" w:cs="Arial" w:eastAsia="Arial" w:hAnsi="Arial"/>
          <w:sz w:val="12"/>
          <w:szCs w:val="12"/>
          <w:color w:val="003366"/>
        </w:rPr>
      </w:pPr>
      <w:hyperlink w:anchor="page213">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right="2959"/>
        <w:spacing w:after="0" w:line="233" w:lineRule="auto"/>
        <w:rPr>
          <w:sz w:val="20"/>
          <w:szCs w:val="20"/>
          <w:color w:val="auto"/>
        </w:rPr>
      </w:pPr>
      <w:r>
        <w:rPr>
          <w:rFonts w:ascii="Arial" w:cs="Arial" w:eastAsia="Arial" w:hAnsi="Arial"/>
          <w:sz w:val="23"/>
          <w:szCs w:val="23"/>
          <w:b w:val="1"/>
          <w:bCs w:val="1"/>
          <w:color w:val="auto"/>
        </w:rPr>
        <w:t>Century Therapeutics, Inc. and Subsidiary Table of Contents</w:t>
      </w:r>
    </w:p>
    <w:p>
      <w:pPr>
        <w:ind w:left="1220" w:right="1259"/>
        <w:spacing w:after="0" w:line="233" w:lineRule="auto"/>
        <w:rPr>
          <w:sz w:val="20"/>
          <w:szCs w:val="20"/>
          <w:color w:val="auto"/>
        </w:rPr>
      </w:pPr>
      <w:r>
        <w:rPr>
          <w:rFonts w:ascii="Arial" w:cs="Arial" w:eastAsia="Arial" w:hAnsi="Arial"/>
          <w:sz w:val="23"/>
          <w:szCs w:val="23"/>
          <w:b w:val="1"/>
          <w:bCs w:val="1"/>
          <w:color w:val="auto"/>
        </w:rPr>
        <w:t>As of and for the three months ended March 31, 2021 and March 31, 2020</w:t>
      </w:r>
    </w:p>
    <w:p>
      <w:pPr>
        <w:spacing w:after="0" w:line="93" w:lineRule="exact"/>
        <w:rPr>
          <w:sz w:val="20"/>
          <w:szCs w:val="20"/>
          <w:color w:val="auto"/>
        </w:rPr>
      </w:pPr>
    </w:p>
    <w:tbl>
      <w:tblPr>
        <w:tblLayout w:type="fixed"/>
        <w:tblInd w:w="1220" w:type="dxa"/>
        <w:tblCellMar>
          <w:top w:w="0" w:type="dxa"/>
          <w:left w:w="0" w:type="dxa"/>
          <w:bottom w:w="0" w:type="dxa"/>
          <w:right w:w="0" w:type="dxa"/>
        </w:tblCellMar>
      </w:tblPr>
      <w:tr>
        <w:trPr>
          <w:trHeight w:val="163"/>
        </w:trPr>
        <w:tc>
          <w:tcPr>
            <w:tcW w:w="6940" w:type="dxa"/>
            <w:vAlign w:val="bottom"/>
            <w:gridSpan w:val="7"/>
            <w:shd w:val="clear" w:color="auto" w:fill="CCEEFF"/>
          </w:tcPr>
          <w:p>
            <w:pPr>
              <w:spacing w:after="0"/>
              <w:rPr>
                <w:sz w:val="20"/>
                <w:szCs w:val="20"/>
                <w:color w:val="auto"/>
              </w:rPr>
            </w:pPr>
            <w:r>
              <w:rPr>
                <w:rFonts w:ascii="Arial" w:cs="Arial" w:eastAsia="Arial" w:hAnsi="Arial"/>
                <w:sz w:val="14"/>
                <w:szCs w:val="14"/>
                <w:b w:val="1"/>
                <w:bCs w:val="1"/>
                <w:color w:val="auto"/>
              </w:rPr>
              <w:t>Unaudited consolidated financial statements</w:t>
            </w:r>
          </w:p>
        </w:tc>
        <w:tc>
          <w:tcPr>
            <w:tcW w:w="320" w:type="dxa"/>
            <w:vAlign w:val="bottom"/>
            <w:shd w:val="clear" w:color="auto" w:fill="CCEEFF"/>
          </w:tcPr>
          <w:p>
            <w:pPr>
              <w:spacing w:after="0"/>
              <w:rPr>
                <w:sz w:val="14"/>
                <w:szCs w:val="14"/>
                <w:color w:val="auto"/>
              </w:rPr>
            </w:pPr>
          </w:p>
        </w:tc>
      </w:tr>
      <w:tr>
        <w:trPr>
          <w:trHeight w:val="179"/>
        </w:trPr>
        <w:tc>
          <w:tcPr>
            <w:tcW w:w="5080" w:type="dxa"/>
            <w:vAlign w:val="bottom"/>
            <w:tcBorders>
              <w:bottom w:val="single" w:sz="8" w:color="0000EE"/>
            </w:tcBorders>
            <w:gridSpan w:val="4"/>
          </w:tcPr>
          <w:p>
            <w:pPr>
              <w:spacing w:after="0"/>
              <w:rPr>
                <w:rFonts w:ascii="Arial" w:cs="Arial" w:eastAsia="Arial" w:hAnsi="Arial"/>
                <w:sz w:val="14"/>
                <w:szCs w:val="14"/>
                <w:color w:val="0000EE"/>
              </w:rPr>
            </w:pPr>
            <w:hyperlink w:anchor="page241">
              <w:r>
                <w:rPr>
                  <w:rFonts w:ascii="Arial" w:cs="Arial" w:eastAsia="Arial" w:hAnsi="Arial"/>
                  <w:sz w:val="14"/>
                  <w:szCs w:val="14"/>
                  <w:color w:val="0000EE"/>
                </w:rPr>
                <w:t>Consolidated balance sheets as of March 31, 2021 and December 31, 2020</w:t>
              </w:r>
            </w:hyperlink>
          </w:p>
        </w:tc>
        <w:tc>
          <w:tcPr>
            <w:tcW w:w="1860" w:type="dxa"/>
            <w:vAlign w:val="bottom"/>
            <w:gridSpan w:val="3"/>
          </w:tcPr>
          <w:p>
            <w:pPr>
              <w:spacing w:after="0"/>
              <w:rPr>
                <w:sz w:val="15"/>
                <w:szCs w:val="15"/>
                <w:color w:val="auto"/>
              </w:rPr>
            </w:pPr>
          </w:p>
        </w:tc>
        <w:tc>
          <w:tcPr>
            <w:tcW w:w="320" w:type="dxa"/>
            <w:vAlign w:val="bottom"/>
            <w:tcBorders>
              <w:bottom w:val="single" w:sz="8" w:color="0000EE"/>
            </w:tcBorders>
          </w:tcPr>
          <w:p>
            <w:pPr>
              <w:spacing w:after="0"/>
              <w:rPr>
                <w:rFonts w:ascii="Arial" w:cs="Arial" w:eastAsia="Arial" w:hAnsi="Arial"/>
                <w:sz w:val="14"/>
                <w:szCs w:val="14"/>
                <w:color w:val="0000EE"/>
              </w:rPr>
            </w:pPr>
            <w:hyperlink w:anchor="page241">
              <w:r>
                <w:rPr>
                  <w:rFonts w:ascii="Arial" w:cs="Arial" w:eastAsia="Arial" w:hAnsi="Arial"/>
                  <w:sz w:val="14"/>
                  <w:szCs w:val="14"/>
                  <w:color w:val="0000EE"/>
                </w:rPr>
                <w:t>F-29</w:t>
              </w:r>
            </w:hyperlink>
          </w:p>
        </w:tc>
      </w:tr>
      <w:tr>
        <w:trPr>
          <w:trHeight w:val="179"/>
        </w:trPr>
        <w:tc>
          <w:tcPr>
            <w:tcW w:w="6940" w:type="dxa"/>
            <w:vAlign w:val="bottom"/>
            <w:gridSpan w:val="7"/>
            <w:shd w:val="clear" w:color="auto" w:fill="CCEEFF"/>
          </w:tcPr>
          <w:p>
            <w:pPr>
              <w:spacing w:after="0"/>
              <w:rPr>
                <w:rFonts w:ascii="Arial" w:cs="Arial" w:eastAsia="Arial" w:hAnsi="Arial"/>
                <w:sz w:val="14"/>
                <w:szCs w:val="14"/>
                <w:color w:val="0000EE"/>
              </w:rPr>
            </w:pPr>
            <w:hyperlink w:anchor="page242">
              <w:r>
                <w:rPr>
                  <w:rFonts w:ascii="Arial" w:cs="Arial" w:eastAsia="Arial" w:hAnsi="Arial"/>
                  <w:sz w:val="14"/>
                  <w:szCs w:val="14"/>
                  <w:color w:val="0000EE"/>
                </w:rPr>
                <w:t>Consolidated statements of operations and comprehensive loss for the three months ended March 31,</w:t>
              </w:r>
            </w:hyperlink>
          </w:p>
        </w:tc>
        <w:tc>
          <w:tcPr>
            <w:tcW w:w="320" w:type="dxa"/>
            <w:vAlign w:val="bottom"/>
            <w:shd w:val="clear" w:color="auto" w:fill="CCEEFF"/>
          </w:tcPr>
          <w:p>
            <w:pPr>
              <w:spacing w:after="0"/>
              <w:rPr>
                <w:sz w:val="15"/>
                <w:szCs w:val="15"/>
                <w:color w:val="auto"/>
              </w:rPr>
            </w:pPr>
          </w:p>
        </w:tc>
      </w:tr>
      <w:tr>
        <w:trPr>
          <w:trHeight w:val="153"/>
        </w:trPr>
        <w:tc>
          <w:tcPr>
            <w:tcW w:w="140" w:type="dxa"/>
            <w:vAlign w:val="bottom"/>
            <w:tcBorders>
              <w:top w:val="single" w:sz="8" w:color="0000EE"/>
            </w:tcBorders>
            <w:shd w:val="clear" w:color="auto" w:fill="CCEEFF"/>
          </w:tcPr>
          <w:p>
            <w:pPr>
              <w:spacing w:after="0"/>
              <w:rPr>
                <w:sz w:val="13"/>
                <w:szCs w:val="13"/>
                <w:color w:val="auto"/>
              </w:rPr>
            </w:pPr>
          </w:p>
        </w:tc>
        <w:tc>
          <w:tcPr>
            <w:tcW w:w="6700" w:type="dxa"/>
            <w:vAlign w:val="bottom"/>
            <w:tcBorders>
              <w:top w:val="single" w:sz="8" w:color="0000EE"/>
            </w:tcBorders>
            <w:gridSpan w:val="5"/>
            <w:shd w:val="clear" w:color="auto" w:fill="CCEEFF"/>
          </w:tcPr>
          <w:p>
            <w:pPr>
              <w:spacing w:after="0" w:line="153" w:lineRule="exact"/>
              <w:rPr>
                <w:rFonts w:ascii="Arial" w:cs="Arial" w:eastAsia="Arial" w:hAnsi="Arial"/>
                <w:sz w:val="14"/>
                <w:szCs w:val="14"/>
                <w:color w:val="0000EE"/>
              </w:rPr>
            </w:pPr>
            <w:hyperlink w:anchor="page242">
              <w:r>
                <w:rPr>
                  <w:rFonts w:ascii="Arial" w:cs="Arial" w:eastAsia="Arial" w:hAnsi="Arial"/>
                  <w:sz w:val="14"/>
                  <w:szCs w:val="14"/>
                  <w:color w:val="0000EE"/>
                </w:rPr>
                <w:t>2021 and March 31, 2020</w:t>
              </w:r>
            </w:hyperlink>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line="153" w:lineRule="exact"/>
              <w:rPr>
                <w:rFonts w:ascii="Arial" w:cs="Arial" w:eastAsia="Arial" w:hAnsi="Arial"/>
                <w:sz w:val="14"/>
                <w:szCs w:val="14"/>
                <w:color w:val="0000EE"/>
              </w:rPr>
            </w:pPr>
            <w:hyperlink w:anchor="page242">
              <w:r>
                <w:rPr>
                  <w:rFonts w:ascii="Arial" w:cs="Arial" w:eastAsia="Arial" w:hAnsi="Arial"/>
                  <w:sz w:val="14"/>
                  <w:szCs w:val="14"/>
                  <w:color w:val="0000EE"/>
                </w:rPr>
                <w:t>F-30</w:t>
              </w:r>
            </w:hyperlink>
          </w:p>
        </w:tc>
      </w:tr>
      <w:tr>
        <w:trPr>
          <w:trHeight w:val="23"/>
        </w:trPr>
        <w:tc>
          <w:tcPr>
            <w:tcW w:w="14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0000EE"/>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r>
      <w:tr>
        <w:trPr>
          <w:trHeight w:val="173"/>
        </w:trPr>
        <w:tc>
          <w:tcPr>
            <w:tcW w:w="6600" w:type="dxa"/>
            <w:vAlign w:val="bottom"/>
            <w:tcBorders>
              <w:bottom w:val="single" w:sz="8" w:color="0000EE"/>
            </w:tcBorders>
            <w:gridSpan w:val="5"/>
          </w:tcPr>
          <w:p>
            <w:pPr>
              <w:spacing w:after="0"/>
              <w:rPr>
                <w:rFonts w:ascii="Arial" w:cs="Arial" w:eastAsia="Arial" w:hAnsi="Arial"/>
                <w:sz w:val="14"/>
                <w:szCs w:val="14"/>
                <w:color w:val="0000EE"/>
              </w:rPr>
            </w:pPr>
            <w:hyperlink w:anchor="page243">
              <w:r>
                <w:rPr>
                  <w:rFonts w:ascii="Arial" w:cs="Arial" w:eastAsia="Arial" w:hAnsi="Arial"/>
                  <w:sz w:val="14"/>
                  <w:szCs w:val="14"/>
                  <w:color w:val="0000EE"/>
                </w:rPr>
                <w:t>Consolidated statements of changes in convertible preferred stock and stockholders’ deficit for the</w:t>
              </w:r>
            </w:hyperlink>
          </w:p>
        </w:tc>
        <w:tc>
          <w:tcPr>
            <w:tcW w:w="34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r>
      <w:tr>
        <w:trPr>
          <w:trHeight w:val="153"/>
        </w:trPr>
        <w:tc>
          <w:tcPr>
            <w:tcW w:w="140" w:type="dxa"/>
            <w:vAlign w:val="bottom"/>
          </w:tcPr>
          <w:p>
            <w:pPr>
              <w:spacing w:after="0"/>
              <w:rPr>
                <w:sz w:val="13"/>
                <w:szCs w:val="13"/>
                <w:color w:val="auto"/>
              </w:rPr>
            </w:pPr>
          </w:p>
        </w:tc>
        <w:tc>
          <w:tcPr>
            <w:tcW w:w="3840" w:type="dxa"/>
            <w:vAlign w:val="bottom"/>
            <w:tcBorders>
              <w:bottom w:val="single" w:sz="8" w:color="0000EE"/>
            </w:tcBorders>
            <w:gridSpan w:val="2"/>
          </w:tcPr>
          <w:p>
            <w:pPr>
              <w:spacing w:after="0" w:line="153" w:lineRule="exact"/>
              <w:rPr>
                <w:rFonts w:ascii="Arial" w:cs="Arial" w:eastAsia="Arial" w:hAnsi="Arial"/>
                <w:sz w:val="14"/>
                <w:szCs w:val="14"/>
                <w:color w:val="0000EE"/>
              </w:rPr>
            </w:pPr>
            <w:hyperlink w:anchor="page243">
              <w:r>
                <w:rPr>
                  <w:rFonts w:ascii="Arial" w:cs="Arial" w:eastAsia="Arial" w:hAnsi="Arial"/>
                  <w:sz w:val="14"/>
                  <w:szCs w:val="14"/>
                  <w:color w:val="0000EE"/>
                </w:rPr>
                <w:t>three months ended March 31, 2021 and March 31, 2020</w:t>
              </w:r>
            </w:hyperlink>
          </w:p>
        </w:tc>
        <w:tc>
          <w:tcPr>
            <w:tcW w:w="2960" w:type="dxa"/>
            <w:vAlign w:val="bottom"/>
            <w:gridSpan w:val="4"/>
          </w:tcPr>
          <w:p>
            <w:pPr>
              <w:spacing w:after="0"/>
              <w:rPr>
                <w:sz w:val="13"/>
                <w:szCs w:val="13"/>
                <w:color w:val="auto"/>
              </w:rPr>
            </w:pPr>
          </w:p>
        </w:tc>
        <w:tc>
          <w:tcPr>
            <w:tcW w:w="320" w:type="dxa"/>
            <w:vAlign w:val="bottom"/>
            <w:tcBorders>
              <w:bottom w:val="single" w:sz="8" w:color="0000EE"/>
            </w:tcBorders>
          </w:tcPr>
          <w:p>
            <w:pPr>
              <w:spacing w:after="0" w:line="153" w:lineRule="exact"/>
              <w:rPr>
                <w:rFonts w:ascii="Arial" w:cs="Arial" w:eastAsia="Arial" w:hAnsi="Arial"/>
                <w:sz w:val="14"/>
                <w:szCs w:val="14"/>
                <w:color w:val="0000EE"/>
              </w:rPr>
            </w:pPr>
            <w:hyperlink w:anchor="page243">
              <w:r>
                <w:rPr>
                  <w:rFonts w:ascii="Arial" w:cs="Arial" w:eastAsia="Arial" w:hAnsi="Arial"/>
                  <w:sz w:val="14"/>
                  <w:szCs w:val="14"/>
                  <w:color w:val="0000EE"/>
                </w:rPr>
                <w:t>F-31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20320</wp:posOffset>
            </wp:positionV>
            <wp:extent cx="4604385" cy="1371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604385" cy="137160"/>
                    </a:xfrm>
                    <a:prstGeom prst="rect">
                      <a:avLst/>
                    </a:prstGeom>
                    <a:noFill/>
                  </pic:spPr>
                </pic:pic>
              </a:graphicData>
            </a:graphic>
          </wp:anchor>
        </w:drawing>
      </w:r>
    </w:p>
    <w:p>
      <w:pPr>
        <w:spacing w:after="0" w:line="55" w:lineRule="exact"/>
        <w:rPr>
          <w:sz w:val="20"/>
          <w:szCs w:val="20"/>
          <w:color w:val="auto"/>
        </w:rPr>
      </w:pPr>
    </w:p>
    <w:p>
      <w:pPr>
        <w:jc w:val="right"/>
        <w:ind w:right="539"/>
        <w:spacing w:after="0"/>
        <w:rPr>
          <w:rFonts w:ascii="Arial" w:cs="Arial" w:eastAsia="Arial" w:hAnsi="Arial"/>
          <w:sz w:val="14"/>
          <w:szCs w:val="14"/>
          <w:u w:val="single" w:color="auto"/>
          <w:color w:val="0000EE"/>
        </w:rPr>
      </w:pPr>
      <w:hyperlink w:anchor="page244">
        <w:r>
          <w:rPr>
            <w:rFonts w:ascii="Arial" w:cs="Arial" w:eastAsia="Arial" w:hAnsi="Arial"/>
            <w:sz w:val="14"/>
            <w:szCs w:val="14"/>
            <w:u w:val="single" w:color="auto"/>
            <w:color w:val="0000EE"/>
          </w:rPr>
          <w:t>Consolidated statements of cash flows for the three months ended March 31, 2021 and March 31, 2020F-32</w:t>
        </w:r>
      </w:hyperlink>
    </w:p>
    <w:p>
      <w:pPr>
        <w:spacing w:after="0" w:line="35"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2840" w:type="dxa"/>
            <w:vAlign w:val="bottom"/>
            <w:tcBorders>
              <w:bottom w:val="single" w:sz="8" w:color="0000EE"/>
            </w:tcBorders>
          </w:tcPr>
          <w:p>
            <w:pPr>
              <w:spacing w:after="0"/>
              <w:rPr>
                <w:rFonts w:ascii="Arial" w:cs="Arial" w:eastAsia="Arial" w:hAnsi="Arial"/>
                <w:sz w:val="14"/>
                <w:szCs w:val="14"/>
                <w:color w:val="0000EE"/>
              </w:rPr>
            </w:pPr>
            <w:hyperlink w:anchor="page245">
              <w:r>
                <w:rPr>
                  <w:rFonts w:ascii="Arial" w:cs="Arial" w:eastAsia="Arial" w:hAnsi="Arial"/>
                  <w:sz w:val="14"/>
                  <w:szCs w:val="14"/>
                  <w:color w:val="0000EE"/>
                </w:rPr>
                <w:t>Notes to consolidated financial statements</w:t>
              </w:r>
            </w:hyperlink>
          </w:p>
        </w:tc>
        <w:tc>
          <w:tcPr>
            <w:tcW w:w="4100" w:type="dxa"/>
            <w:vAlign w:val="bottom"/>
          </w:tcPr>
          <w:p>
            <w:pPr>
              <w:spacing w:after="0"/>
              <w:rPr>
                <w:sz w:val="14"/>
                <w:szCs w:val="14"/>
                <w:color w:val="auto"/>
              </w:rPr>
            </w:pPr>
          </w:p>
        </w:tc>
        <w:tc>
          <w:tcPr>
            <w:tcW w:w="320" w:type="dxa"/>
            <w:vAlign w:val="bottom"/>
            <w:tcBorders>
              <w:bottom w:val="single" w:sz="8" w:color="0000EE"/>
            </w:tcBorders>
          </w:tcPr>
          <w:p>
            <w:pPr>
              <w:spacing w:after="0"/>
              <w:rPr>
                <w:rFonts w:ascii="Arial" w:cs="Arial" w:eastAsia="Arial" w:hAnsi="Arial"/>
                <w:sz w:val="14"/>
                <w:szCs w:val="14"/>
                <w:color w:val="0000EE"/>
              </w:rPr>
            </w:pPr>
            <w:hyperlink w:anchor="page245">
              <w:r>
                <w:rPr>
                  <w:rFonts w:ascii="Arial" w:cs="Arial" w:eastAsia="Arial" w:hAnsi="Arial"/>
                  <w:sz w:val="14"/>
                  <w:szCs w:val="14"/>
                  <w:color w:val="0000EE"/>
                </w:rPr>
                <w:t>F-33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1" w:name="page242"/>
    <w:bookmarkEnd w:id="241"/>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right="2959"/>
        <w:spacing w:after="0" w:line="237" w:lineRule="auto"/>
        <w:rPr>
          <w:sz w:val="20"/>
          <w:szCs w:val="20"/>
          <w:color w:val="auto"/>
        </w:rPr>
      </w:pPr>
      <w:r>
        <w:rPr>
          <w:rFonts w:ascii="Arial" w:cs="Arial" w:eastAsia="Arial" w:hAnsi="Arial"/>
          <w:sz w:val="23"/>
          <w:szCs w:val="23"/>
          <w:b w:val="1"/>
          <w:bCs w:val="1"/>
          <w:color w:val="auto"/>
        </w:rPr>
        <w:t>Century Therapeutics, Inc. and Subsidiary Consolidated balance sheets</w:t>
      </w:r>
    </w:p>
    <w:p>
      <w:pPr>
        <w:spacing w:after="0" w:line="2"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107"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492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March 31, 2021 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rPr>
              <w:t>(unaudited)</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920" w:type="dxa"/>
            <w:vAlign w:val="bottom"/>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Assets</w:t>
            </w: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Current assets:</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4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79,483</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ind w:left="140"/>
              <w:spacing w:after="0"/>
              <w:rPr>
                <w:sz w:val="20"/>
                <w:szCs w:val="20"/>
                <w:color w:val="auto"/>
              </w:rPr>
            </w:pPr>
            <w:r>
              <w:rPr>
                <w:rFonts w:ascii="Arial" w:cs="Arial" w:eastAsia="Arial" w:hAnsi="Arial"/>
                <w:sz w:val="14"/>
                <w:szCs w:val="14"/>
                <w:color w:val="auto"/>
              </w:rPr>
              <w:t>Short-term investments</w:t>
            </w:r>
          </w:p>
        </w:tc>
        <w:tc>
          <w:tcPr>
            <w:tcW w:w="40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103,459</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48,542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Escrow deposits, current</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377</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920" w:type="dxa"/>
            <w:vAlign w:val="bottom"/>
            <w:tcBorders>
              <w:bottom w:val="single" w:sz="8" w:color="CCEEFF"/>
            </w:tcBorders>
          </w:tcPr>
          <w:p>
            <w:pPr>
              <w:ind w:left="140"/>
              <w:spacing w:after="0" w:line="151" w:lineRule="exact"/>
              <w:rPr>
                <w:sz w:val="20"/>
                <w:szCs w:val="20"/>
                <w:color w:val="auto"/>
              </w:rPr>
            </w:pPr>
            <w:r>
              <w:rPr>
                <w:rFonts w:ascii="Arial" w:cs="Arial" w:eastAsia="Arial" w:hAnsi="Arial"/>
                <w:sz w:val="14"/>
                <w:szCs w:val="14"/>
                <w:color w:val="auto"/>
              </w:rPr>
              <w:t>Prepaid expenses and other current assets</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
              <w:spacing w:after="0" w:line="151" w:lineRule="exact"/>
              <w:rPr>
                <w:sz w:val="20"/>
                <w:szCs w:val="20"/>
                <w:color w:val="auto"/>
              </w:rPr>
            </w:pPr>
            <w:r>
              <w:rPr>
                <w:rFonts w:ascii="Arial" w:cs="Arial" w:eastAsia="Arial" w:hAnsi="Arial"/>
                <w:sz w:val="14"/>
                <w:szCs w:val="14"/>
                <w:color w:val="auto"/>
              </w:rPr>
              <w:t>1,980</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2,261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2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Total current assets</w:t>
            </w: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color w:val="auto"/>
              </w:rPr>
              <w:t>185,299</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78,797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40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20,657</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15,385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Deferred offering costs</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2,119</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Operating lease right-of-use asset, net</w:t>
            </w:r>
          </w:p>
        </w:tc>
        <w:tc>
          <w:tcPr>
            <w:tcW w:w="40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12,460</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9,392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Escrow deposits, non-current</w:t>
            </w:r>
          </w:p>
        </w:tc>
        <w:tc>
          <w:tcPr>
            <w:tcW w:w="40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723</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Long-term investments</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63,138</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920" w:type="dxa"/>
            <w:vAlign w:val="bottom"/>
            <w:tcBorders>
              <w:bottom w:val="single" w:sz="8" w:color="CCEEFF"/>
            </w:tcBorders>
          </w:tcPr>
          <w:p>
            <w:pPr>
              <w:spacing w:after="0" w:line="151" w:lineRule="exact"/>
              <w:rPr>
                <w:sz w:val="20"/>
                <w:szCs w:val="20"/>
                <w:color w:val="auto"/>
              </w:rPr>
            </w:pPr>
            <w:r>
              <w:rPr>
                <w:rFonts w:ascii="Arial" w:cs="Arial" w:eastAsia="Arial" w:hAnsi="Arial"/>
                <w:sz w:val="14"/>
                <w:szCs w:val="14"/>
                <w:color w:val="auto"/>
              </w:rPr>
              <w:t>Security deposits</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
              <w:spacing w:after="0" w:line="151" w:lineRule="exact"/>
              <w:rPr>
                <w:sz w:val="20"/>
                <w:szCs w:val="20"/>
                <w:color w:val="auto"/>
              </w:rPr>
            </w:pPr>
            <w:r>
              <w:rPr>
                <w:rFonts w:ascii="Arial" w:cs="Arial" w:eastAsia="Arial" w:hAnsi="Arial"/>
                <w:sz w:val="14"/>
                <w:szCs w:val="14"/>
                <w:color w:val="auto"/>
              </w:rPr>
              <w:t>1,142</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909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9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400" w:type="dxa"/>
            <w:vAlign w:val="bottom"/>
            <w:tcBorders>
              <w:bottom w:val="single" w:sz="8" w:color="auto"/>
            </w:tcBorders>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286,055</w:t>
            </w:r>
          </w:p>
        </w:tc>
        <w:tc>
          <w:tcPr>
            <w:tcW w:w="20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106,776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spacing w:after="0" w:line="143" w:lineRule="exact"/>
              <w:rPr>
                <w:sz w:val="20"/>
                <w:szCs w:val="20"/>
                <w:color w:val="auto"/>
              </w:rPr>
            </w:pPr>
            <w:r>
              <w:rPr>
                <w:rFonts w:ascii="Arial" w:cs="Arial" w:eastAsia="Arial" w:hAnsi="Arial"/>
                <w:sz w:val="14"/>
                <w:szCs w:val="14"/>
                <w:b w:val="1"/>
                <w:bCs w:val="1"/>
                <w:color w:val="auto"/>
              </w:rPr>
              <w:t>Liabilities, convertible preferred stock, and stockholders’ deficit</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9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8,816</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8,082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3,815</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920" w:type="dxa"/>
            <w:vAlign w:val="bottom"/>
            <w:tcBorders>
              <w:bottom w:val="single" w:sz="8" w:color="CCEEFF"/>
            </w:tcBorders>
          </w:tcPr>
          <w:p>
            <w:pPr>
              <w:ind w:left="140"/>
              <w:spacing w:after="0" w:line="151" w:lineRule="exact"/>
              <w:rPr>
                <w:sz w:val="20"/>
                <w:szCs w:val="20"/>
                <w:color w:val="auto"/>
              </w:rPr>
            </w:pPr>
            <w:r>
              <w:rPr>
                <w:rFonts w:ascii="Arial" w:cs="Arial" w:eastAsia="Arial" w:hAnsi="Arial"/>
                <w:sz w:val="14"/>
                <w:szCs w:val="14"/>
                <w:color w:val="auto"/>
              </w:rPr>
              <w:t>Deposit liability</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
              <w:spacing w:after="0" w:line="151" w:lineRule="exact"/>
              <w:rPr>
                <w:sz w:val="20"/>
                <w:szCs w:val="20"/>
                <w:color w:val="auto"/>
              </w:rPr>
            </w:pPr>
            <w:r>
              <w:rPr>
                <w:rFonts w:ascii="Arial" w:cs="Arial" w:eastAsia="Arial" w:hAnsi="Arial"/>
                <w:sz w:val="14"/>
                <w:szCs w:val="14"/>
                <w:color w:val="auto"/>
              </w:rPr>
              <w:t>281</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2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Total current liabilities</w:t>
            </w: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8"/>
              <w:spacing w:after="0" w:line="153" w:lineRule="exact"/>
              <w:rPr>
                <w:sz w:val="20"/>
                <w:szCs w:val="20"/>
                <w:color w:val="auto"/>
              </w:rPr>
            </w:pPr>
            <w:r>
              <w:rPr>
                <w:rFonts w:ascii="Arial" w:cs="Arial" w:eastAsia="Arial" w:hAnsi="Arial"/>
                <w:sz w:val="14"/>
                <w:szCs w:val="14"/>
                <w:b w:val="1"/>
                <w:bCs w:val="1"/>
                <w:color w:val="auto"/>
              </w:rPr>
              <w:t>12,912</w:t>
            </w: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12,112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Operating lease liability, long-term</w:t>
            </w:r>
          </w:p>
        </w:tc>
        <w:tc>
          <w:tcPr>
            <w:tcW w:w="40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14,745</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11,679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Deposit liability, non-current</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855</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920" w:type="dxa"/>
            <w:vAlign w:val="bottom"/>
            <w:tcBorders>
              <w:bottom w:val="single" w:sz="8" w:color="CCEEFF"/>
            </w:tcBorders>
          </w:tcPr>
          <w:p>
            <w:pPr>
              <w:spacing w:after="0" w:line="151" w:lineRule="exact"/>
              <w:rPr>
                <w:sz w:val="20"/>
                <w:szCs w:val="20"/>
                <w:color w:val="auto"/>
              </w:rPr>
            </w:pPr>
            <w:r>
              <w:rPr>
                <w:rFonts w:ascii="Arial" w:cs="Arial" w:eastAsia="Arial" w:hAnsi="Arial"/>
                <w:sz w:val="14"/>
                <w:szCs w:val="14"/>
                <w:color w:val="auto"/>
              </w:rPr>
              <w:t>Long-term debt, net</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
              <w:spacing w:after="0" w:line="151" w:lineRule="exact"/>
              <w:rPr>
                <w:sz w:val="20"/>
                <w:szCs w:val="20"/>
                <w:color w:val="auto"/>
              </w:rPr>
            </w:pPr>
            <w:r>
              <w:rPr>
                <w:rFonts w:ascii="Arial" w:cs="Arial" w:eastAsia="Arial" w:hAnsi="Arial"/>
                <w:sz w:val="14"/>
                <w:szCs w:val="14"/>
                <w:color w:val="auto"/>
              </w:rPr>
              <w:t>9,711</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9,636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9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liabilities</w:t>
            </w:r>
          </w:p>
        </w:tc>
        <w:tc>
          <w:tcPr>
            <w:tcW w:w="4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38,223</w:t>
            </w: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33,427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spacing w:after="0" w:line="143" w:lineRule="exact"/>
              <w:rPr>
                <w:sz w:val="20"/>
                <w:szCs w:val="20"/>
                <w:color w:val="auto"/>
              </w:rPr>
            </w:pPr>
            <w:r>
              <w:rPr>
                <w:rFonts w:ascii="Arial" w:cs="Arial" w:eastAsia="Arial" w:hAnsi="Arial"/>
                <w:sz w:val="14"/>
                <w:szCs w:val="14"/>
                <w:color w:val="auto"/>
              </w:rPr>
              <w:t>Commitments and contingencies (Note 11)</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9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Non-cumulative convertible preferred stock, Series A, $0.0001 par value,</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35,000,000 shares authorized, issued and outstanding at March 31,</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2021 and December 31, 2020</w:t>
            </w: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34,922</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920" w:type="dxa"/>
            <w:vAlign w:val="bottom"/>
          </w:tcPr>
          <w:p>
            <w:pPr>
              <w:spacing w:after="0"/>
              <w:rPr>
                <w:sz w:val="20"/>
                <w:szCs w:val="20"/>
                <w:color w:val="auto"/>
              </w:rPr>
            </w:pPr>
            <w:r>
              <w:rPr>
                <w:rFonts w:ascii="Arial" w:cs="Arial" w:eastAsia="Arial" w:hAnsi="Arial"/>
                <w:sz w:val="14"/>
                <w:szCs w:val="14"/>
                <w:color w:val="auto"/>
              </w:rPr>
              <w:t>Non-cumulative convertible preferred stock, Series B, $0.0001 par value,</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20" w:type="dxa"/>
            <w:vAlign w:val="bottom"/>
          </w:tcPr>
          <w:p>
            <w:pPr>
              <w:ind w:left="140"/>
              <w:spacing w:after="0"/>
              <w:rPr>
                <w:sz w:val="20"/>
                <w:szCs w:val="20"/>
                <w:color w:val="auto"/>
              </w:rPr>
            </w:pPr>
            <w:r>
              <w:rPr>
                <w:rFonts w:ascii="Arial" w:cs="Arial" w:eastAsia="Arial" w:hAnsi="Arial"/>
                <w:sz w:val="14"/>
                <w:szCs w:val="14"/>
                <w:color w:val="auto"/>
              </w:rPr>
              <w:t>26,143,790 shares authorized, issued and outstanding at March 31,</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920" w:type="dxa"/>
            <w:vAlign w:val="bottom"/>
          </w:tcPr>
          <w:p>
            <w:pPr>
              <w:ind w:left="140"/>
              <w:spacing w:after="0"/>
              <w:rPr>
                <w:sz w:val="20"/>
                <w:szCs w:val="20"/>
                <w:color w:val="auto"/>
              </w:rPr>
            </w:pPr>
            <w:r>
              <w:rPr>
                <w:rFonts w:ascii="Arial" w:cs="Arial" w:eastAsia="Arial" w:hAnsi="Arial"/>
                <w:sz w:val="14"/>
                <w:szCs w:val="14"/>
                <w:color w:val="auto"/>
              </w:rPr>
              <w:t>2021 and December 31, 2020</w:t>
            </w:r>
          </w:p>
        </w:tc>
        <w:tc>
          <w:tcPr>
            <w:tcW w:w="40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144,839</w:t>
            </w: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144,839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Non-cumulative convertible preferred stock, Series C, $0.0001 par value,</w:t>
            </w: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24,721,999 and 0 shares authorized, issued and outstanding at</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March 31, 2021 and December 31, 2020, respectively</w:t>
            </w: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159,628</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920" w:type="dxa"/>
            <w:vAlign w:val="bottom"/>
          </w:tcPr>
          <w:p>
            <w:pPr>
              <w:spacing w:after="0" w:line="141" w:lineRule="exact"/>
              <w:rPr>
                <w:sz w:val="20"/>
                <w:szCs w:val="20"/>
                <w:color w:val="auto"/>
              </w:rPr>
            </w:pPr>
            <w:r>
              <w:rPr>
                <w:rFonts w:ascii="Arial" w:cs="Arial" w:eastAsia="Arial" w:hAnsi="Arial"/>
                <w:sz w:val="14"/>
                <w:szCs w:val="14"/>
                <w:color w:val="auto"/>
              </w:rPr>
              <w:t>Stockholders’ deficit:</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Common stock, $0.0001 par value, 125,236,190 shares authorized;</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19,732,637 and 18,825,136 shares issued and outstanding at</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March 31, 2021 and December 31, 2020, respectively</w:t>
            </w: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40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219,156</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217,831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Subscription receivable</w:t>
            </w: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Accumulated deficit</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(310,690)</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(292,342)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920" w:type="dxa"/>
            <w:vAlign w:val="bottom"/>
            <w:tcBorders>
              <w:bottom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Accumulated other comprehensive loss</w:t>
            </w:r>
          </w:p>
        </w:tc>
        <w:tc>
          <w:tcPr>
            <w:tcW w:w="4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(26)</w:t>
            </w: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stockholders’ deficit</w:t>
            </w: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(91,557)</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(106,412)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Total liabilities, convertible preferred stock and stockholders’ deficit</w:t>
            </w:r>
          </w:p>
        </w:tc>
        <w:tc>
          <w:tcPr>
            <w:tcW w:w="4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b w:val="1"/>
                <w:bCs w:val="1"/>
                <w:color w:val="auto"/>
                <w:shd w:val="clear" w:color="auto" w:fill="CCEEFF"/>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shd w:val="clear" w:color="auto" w:fill="CCEEFF"/>
              </w:rPr>
              <w:t>286,055</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shd w:val="clear" w:color="auto" w:fill="CCEEFF"/>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shd w:val="clear" w:color="auto" w:fill="CCEEFF"/>
              </w:rPr>
              <w:t>106,776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-136525</wp:posOffset>
            </wp:positionV>
            <wp:extent cx="3124200"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12420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-2266950</wp:posOffset>
            </wp:positionV>
            <wp:extent cx="3124200"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12420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-2678430</wp:posOffset>
            </wp:positionV>
            <wp:extent cx="3124200"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12420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-3302000</wp:posOffset>
            </wp:positionV>
            <wp:extent cx="3124200"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12420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-4123690</wp:posOffset>
            </wp:positionV>
            <wp:extent cx="3124200"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12420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-4740910</wp:posOffset>
            </wp:positionV>
            <wp:extent cx="3124200"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124200" cy="6985"/>
                    </a:xfrm>
                    <a:prstGeom prst="rect">
                      <a:avLst/>
                    </a:prstGeom>
                    <a:noFill/>
                  </pic:spPr>
                </pic:pic>
              </a:graphicData>
            </a:graphic>
          </wp:anchor>
        </w:drawing>
      </w:r>
    </w:p>
    <w:p>
      <w:pPr>
        <w:spacing w:after="0" w:line="67" w:lineRule="exact"/>
        <w:rPr>
          <w:sz w:val="20"/>
          <w:szCs w:val="20"/>
          <w:color w:val="auto"/>
        </w:rPr>
      </w:pPr>
    </w:p>
    <w:p>
      <w:pPr>
        <w:ind w:left="122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2" w:name="page243"/>
    <w:bookmarkEnd w:id="242"/>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220" w:right="2839"/>
        <w:spacing w:after="0" w:line="223" w:lineRule="auto"/>
        <w:rPr>
          <w:sz w:val="20"/>
          <w:szCs w:val="20"/>
          <w:color w:val="auto"/>
        </w:rPr>
      </w:pPr>
      <w:r>
        <w:rPr>
          <w:rFonts w:ascii="Arial" w:cs="Arial" w:eastAsia="Arial" w:hAnsi="Arial"/>
          <w:sz w:val="23"/>
          <w:szCs w:val="23"/>
          <w:b w:val="1"/>
          <w:bCs w:val="1"/>
          <w:color w:val="auto"/>
        </w:rPr>
        <w:t>Century Therapeutics, Inc. and Subsidiary Consolidated statements of operations and comprehensive loss</w:t>
      </w:r>
    </w:p>
    <w:p>
      <w:pPr>
        <w:spacing w:after="0" w:line="3"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96"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6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jc w:val="right"/>
              <w:ind w:right="49"/>
              <w:spacing w:after="0"/>
              <w:rPr>
                <w:sz w:val="20"/>
                <w:szCs w:val="20"/>
                <w:color w:val="auto"/>
              </w:rPr>
            </w:pPr>
            <w:r>
              <w:rPr>
                <w:rFonts w:ascii="Arial" w:cs="Arial" w:eastAsia="Arial" w:hAnsi="Arial"/>
                <w:sz w:val="13"/>
                <w:szCs w:val="13"/>
                <w:b w:val="1"/>
                <w:bCs w:val="1"/>
                <w:color w:val="auto"/>
              </w:rPr>
              <w:t>Three Months Ended</w:t>
            </w: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6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March 31, 2021</w:t>
            </w:r>
          </w:p>
        </w:tc>
        <w:tc>
          <w:tcPr>
            <w:tcW w:w="14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March 31, 2020</w:t>
            </w:r>
          </w:p>
        </w:tc>
      </w:tr>
      <w:tr>
        <w:trPr>
          <w:trHeight w:val="178"/>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jc w:val="right"/>
              <w:ind w:right="9"/>
              <w:spacing w:after="0"/>
              <w:rPr>
                <w:sz w:val="20"/>
                <w:szCs w:val="20"/>
                <w:color w:val="auto"/>
              </w:rPr>
            </w:pPr>
            <w:r>
              <w:rPr>
                <w:rFonts w:ascii="Arial" w:cs="Arial" w:eastAsia="Arial" w:hAnsi="Arial"/>
                <w:sz w:val="13"/>
                <w:szCs w:val="13"/>
                <w:b w:val="1"/>
                <w:bCs w:val="1"/>
                <w:color w:val="auto"/>
              </w:rPr>
              <w:t>(unaudited)</w:t>
            </w:r>
          </w:p>
        </w:tc>
        <w:tc>
          <w:tcPr>
            <w:tcW w:w="5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(unaudited)</w:t>
            </w:r>
          </w:p>
        </w:tc>
      </w:tr>
      <w:tr>
        <w:trPr>
          <w:trHeight w:val="194"/>
        </w:trPr>
        <w:tc>
          <w:tcPr>
            <w:tcW w:w="20" w:type="dxa"/>
            <w:vAlign w:val="bottom"/>
          </w:tcPr>
          <w:p>
            <w:pPr>
              <w:spacing w:after="0"/>
              <w:rPr>
                <w:sz w:val="16"/>
                <w:szCs w:val="16"/>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6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3660" w:type="dxa"/>
            <w:vAlign w:val="bottom"/>
            <w:gridSpan w:val="3"/>
          </w:tcPr>
          <w:p>
            <w:pPr>
              <w:spacing w:after="0"/>
              <w:rPr>
                <w:sz w:val="20"/>
                <w:szCs w:val="20"/>
                <w:color w:val="auto"/>
              </w:rPr>
            </w:pPr>
            <w:r>
              <w:rPr>
                <w:rFonts w:ascii="Arial" w:cs="Arial" w:eastAsia="Arial" w:hAnsi="Arial"/>
                <w:sz w:val="14"/>
                <w:szCs w:val="14"/>
                <w:color w:val="auto"/>
              </w:rPr>
              <w:t>Research and development</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15,374</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7,943</w:t>
            </w:r>
          </w:p>
        </w:tc>
        <w:tc>
          <w:tcPr>
            <w:tcW w:w="60" w:type="dxa"/>
            <w:vAlign w:val="bottom"/>
          </w:tcPr>
          <w:p>
            <w:pPr>
              <w:spacing w:after="0"/>
              <w:rPr>
                <w:sz w:val="15"/>
                <w:szCs w:val="15"/>
                <w:color w:val="auto"/>
              </w:rPr>
            </w:pPr>
          </w:p>
        </w:tc>
      </w:tr>
      <w:tr>
        <w:trPr>
          <w:trHeight w:val="23"/>
        </w:trPr>
        <w:tc>
          <w:tcPr>
            <w:tcW w:w="3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2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2,688</w:t>
            </w:r>
          </w:p>
        </w:tc>
        <w:tc>
          <w:tcPr>
            <w:tcW w:w="5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2,050</w:t>
            </w:r>
          </w:p>
        </w:tc>
        <w:tc>
          <w:tcPr>
            <w:tcW w:w="6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3620" w:type="dxa"/>
            <w:vAlign w:val="bottom"/>
            <w:tcBorders>
              <w:bottom w:val="single" w:sz="8" w:color="CCEEFF"/>
            </w:tcBorders>
          </w:tcPr>
          <w:p>
            <w:pPr>
              <w:ind w:left="120"/>
              <w:spacing w:after="0"/>
              <w:rPr>
                <w:sz w:val="20"/>
                <w:szCs w:val="20"/>
                <w:color w:val="auto"/>
              </w:rPr>
            </w:pPr>
            <w:r>
              <w:rPr>
                <w:rFonts w:ascii="Arial" w:cs="Arial" w:eastAsia="Arial" w:hAnsi="Arial"/>
                <w:sz w:val="14"/>
                <w:szCs w:val="14"/>
                <w:b w:val="1"/>
                <w:bCs w:val="1"/>
                <w:color w:val="auto"/>
              </w:rPr>
              <w:t>Total operating expenses</w:t>
            </w:r>
          </w:p>
        </w:tc>
        <w:tc>
          <w:tcPr>
            <w:tcW w:w="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18,062</w:t>
            </w: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9,993</w:t>
            </w:r>
          </w:p>
        </w:tc>
        <w:tc>
          <w:tcPr>
            <w:tcW w:w="6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Loss from operations</w:t>
            </w: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(18,062)</w:t>
            </w:r>
          </w:p>
        </w:tc>
        <w:tc>
          <w:tcPr>
            <w:tcW w:w="5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(9,993)</w:t>
            </w:r>
          </w:p>
        </w:tc>
        <w:tc>
          <w:tcPr>
            <w:tcW w:w="60" w:type="dxa"/>
            <w:vAlign w:val="bottom"/>
          </w:tcPr>
          <w:p>
            <w:pPr>
              <w:spacing w:after="0"/>
              <w:rPr>
                <w:sz w:val="16"/>
                <w:szCs w:val="16"/>
                <w:color w:val="auto"/>
              </w:rPr>
            </w:pPr>
          </w:p>
        </w:tc>
      </w:tr>
      <w:tr>
        <w:trPr>
          <w:trHeight w:val="182"/>
        </w:trPr>
        <w:tc>
          <w:tcPr>
            <w:tcW w:w="3660" w:type="dxa"/>
            <w:vAlign w:val="bottom"/>
            <w:gridSpan w:val="3"/>
          </w:tcPr>
          <w:p>
            <w:pPr>
              <w:spacing w:after="0"/>
              <w:rPr>
                <w:sz w:val="20"/>
                <w:szCs w:val="20"/>
                <w:color w:val="auto"/>
              </w:rPr>
            </w:pPr>
            <w:r>
              <w:rPr>
                <w:rFonts w:ascii="Arial" w:cs="Arial" w:eastAsia="Arial" w:hAnsi="Arial"/>
                <w:sz w:val="14"/>
                <w:szCs w:val="14"/>
                <w:color w:val="auto"/>
              </w:rPr>
              <w:t>Interest expense</w:t>
            </w:r>
          </w:p>
        </w:tc>
        <w:tc>
          <w:tcPr>
            <w:tcW w:w="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(314)</w:t>
            </w:r>
          </w:p>
        </w:tc>
        <w:tc>
          <w:tcPr>
            <w:tcW w:w="5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3"/>
        </w:trPr>
        <w:tc>
          <w:tcPr>
            <w:tcW w:w="3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income, net</w:t>
            </w:r>
          </w:p>
        </w:tc>
        <w:tc>
          <w:tcPr>
            <w:tcW w:w="2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28</w:t>
            </w:r>
          </w:p>
        </w:tc>
        <w:tc>
          <w:tcPr>
            <w:tcW w:w="5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6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Arial" w:cs="Arial" w:eastAsia="Arial" w:hAnsi="Arial"/>
                <w:sz w:val="14"/>
                <w:szCs w:val="14"/>
                <w:b w:val="1"/>
                <w:bCs w:val="1"/>
                <w:color w:val="auto"/>
              </w:rPr>
              <w:t>Net loss</w:t>
            </w:r>
          </w:p>
        </w:tc>
        <w:tc>
          <w:tcPr>
            <w:tcW w:w="20" w:type="dxa"/>
            <w:vAlign w:val="bottom"/>
          </w:tcPr>
          <w:p>
            <w:pPr>
              <w:spacing w:after="0"/>
              <w:rPr>
                <w:sz w:val="15"/>
                <w:szCs w:val="15"/>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(18,348)</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(9,673)</w:t>
            </w: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tcBorders>
              <w:bottom w:val="single" w:sz="8" w:color="CCEEFF"/>
            </w:tcBorders>
            <w:gridSpan w:val="2"/>
            <w:shd w:val="clear" w:color="auto" w:fill="CCEEFF"/>
          </w:tcPr>
          <w:p>
            <w:pPr>
              <w:spacing w:after="0" w:line="134" w:lineRule="exact"/>
              <w:rPr>
                <w:sz w:val="20"/>
                <w:szCs w:val="20"/>
                <w:color w:val="auto"/>
              </w:rPr>
            </w:pPr>
            <w:r>
              <w:rPr>
                <w:rFonts w:ascii="Arial" w:cs="Arial" w:eastAsia="Arial" w:hAnsi="Arial"/>
                <w:sz w:val="14"/>
                <w:szCs w:val="14"/>
                <w:color w:val="auto"/>
              </w:rPr>
              <w:t>Net loss per common share</w:t>
            </w:r>
          </w:p>
        </w:tc>
        <w:tc>
          <w:tcPr>
            <w:tcW w:w="6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r>
      <w:tr>
        <w:trPr>
          <w:trHeight w:val="194"/>
        </w:trPr>
        <w:tc>
          <w:tcPr>
            <w:tcW w:w="20" w:type="dxa"/>
            <w:vAlign w:val="bottom"/>
          </w:tcPr>
          <w:p>
            <w:pPr>
              <w:spacing w:after="0"/>
              <w:rPr>
                <w:sz w:val="16"/>
                <w:szCs w:val="16"/>
                <w:color w:val="auto"/>
              </w:rPr>
            </w:pPr>
          </w:p>
        </w:tc>
        <w:tc>
          <w:tcPr>
            <w:tcW w:w="3640" w:type="dxa"/>
            <w:vAlign w:val="bottom"/>
            <w:gridSpan w:val="2"/>
          </w:tcPr>
          <w:p>
            <w:pPr>
              <w:ind w:left="120"/>
              <w:spacing w:after="0"/>
              <w:rPr>
                <w:sz w:val="20"/>
                <w:szCs w:val="20"/>
                <w:color w:val="auto"/>
              </w:rPr>
            </w:pPr>
            <w:r>
              <w:rPr>
                <w:rFonts w:ascii="Arial" w:cs="Arial" w:eastAsia="Arial" w:hAnsi="Arial"/>
                <w:sz w:val="14"/>
                <w:szCs w:val="14"/>
                <w:color w:val="auto"/>
              </w:rPr>
              <w:t>Basic and Diluted</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(0.95)</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(0.51)</w:t>
            </w:r>
          </w:p>
        </w:tc>
      </w:tr>
      <w:tr>
        <w:trPr>
          <w:trHeight w:val="20"/>
        </w:trPr>
        <w:tc>
          <w:tcPr>
            <w:tcW w:w="20" w:type="dxa"/>
            <w:vAlign w:val="bottom"/>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tcBorders>
              <w:bottom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Weighted average common shares outstanding</w:t>
            </w:r>
          </w:p>
        </w:tc>
        <w:tc>
          <w:tcPr>
            <w:tcW w:w="6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r>
      <w:tr>
        <w:trPr>
          <w:trHeight w:val="188"/>
        </w:trPr>
        <w:tc>
          <w:tcPr>
            <w:tcW w:w="20" w:type="dxa"/>
            <w:vAlign w:val="bottom"/>
          </w:tcPr>
          <w:p>
            <w:pPr>
              <w:spacing w:after="0"/>
              <w:rPr>
                <w:sz w:val="16"/>
                <w:szCs w:val="16"/>
                <w:color w:val="auto"/>
              </w:rPr>
            </w:pPr>
          </w:p>
        </w:tc>
        <w:tc>
          <w:tcPr>
            <w:tcW w:w="36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Basic and Diluted</w:t>
            </w: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19,278,887</w:t>
            </w:r>
          </w:p>
        </w:tc>
        <w:tc>
          <w:tcPr>
            <w:tcW w:w="5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18,825,136</w:t>
            </w:r>
          </w:p>
        </w:tc>
        <w:tc>
          <w:tcPr>
            <w:tcW w:w="60" w:type="dxa"/>
            <w:vAlign w:val="bottom"/>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6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6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3640" w:type="dxa"/>
            <w:vAlign w:val="bottom"/>
            <w:gridSpan w:val="2"/>
          </w:tcPr>
          <w:p>
            <w:pPr>
              <w:ind w:left="120"/>
              <w:spacing w:after="0"/>
              <w:rPr>
                <w:sz w:val="20"/>
                <w:szCs w:val="20"/>
                <w:color w:val="auto"/>
              </w:rPr>
            </w:pPr>
            <w:r>
              <w:rPr>
                <w:rFonts w:ascii="Arial" w:cs="Arial" w:eastAsia="Arial" w:hAnsi="Arial"/>
                <w:sz w:val="14"/>
                <w:szCs w:val="14"/>
                <w:color w:val="auto"/>
              </w:rPr>
              <w:t>Net loss</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(18,348)</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(9,673)</w:t>
            </w:r>
          </w:p>
        </w:tc>
      </w:tr>
      <w:tr>
        <w:trPr>
          <w:trHeight w:val="23"/>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Unrealized (loss) gain on short-term investments</w:t>
            </w:r>
          </w:p>
        </w:tc>
        <w:tc>
          <w:tcPr>
            <w:tcW w:w="6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5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3640" w:type="dxa"/>
            <w:vAlign w:val="bottom"/>
            <w:gridSpan w:val="2"/>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60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4</w:t>
            </w:r>
          </w:p>
        </w:tc>
        <w:tc>
          <w:tcPr>
            <w:tcW w:w="5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82"/>
        </w:trPr>
        <w:tc>
          <w:tcPr>
            <w:tcW w:w="20" w:type="dxa"/>
            <w:vAlign w:val="bottom"/>
          </w:tcPr>
          <w:p>
            <w:pPr>
              <w:spacing w:after="0"/>
              <w:rPr>
                <w:sz w:val="15"/>
                <w:szCs w:val="15"/>
                <w:color w:val="auto"/>
              </w:rPr>
            </w:pPr>
          </w:p>
        </w:tc>
        <w:tc>
          <w:tcPr>
            <w:tcW w:w="3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Comprehensive loss</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(18,371)</w:t>
            </w:r>
          </w:p>
        </w:tc>
        <w:tc>
          <w:tcPr>
            <w:tcW w:w="5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(9,646)</w:t>
            </w:r>
          </w:p>
        </w:tc>
        <w:tc>
          <w:tcPr>
            <w:tcW w:w="6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-13335</wp:posOffset>
            </wp:positionV>
            <wp:extent cx="20320"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-149860</wp:posOffset>
            </wp:positionV>
            <wp:extent cx="2322830"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32283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-664210</wp:posOffset>
            </wp:positionV>
            <wp:extent cx="2322830"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322830" cy="698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-1308100</wp:posOffset>
            </wp:positionV>
            <wp:extent cx="20320"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-1691640</wp:posOffset>
            </wp:positionV>
            <wp:extent cx="2322830"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322830" cy="698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-1814830</wp:posOffset>
            </wp:positionV>
            <wp:extent cx="20320"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032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-2199005</wp:posOffset>
            </wp:positionV>
            <wp:extent cx="2322830"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3228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2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3" w:name="page244"/>
    <w:bookmarkEnd w:id="243"/>
    <w:p>
      <w:pPr>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80"/>
        <w:spacing w:after="0"/>
        <w:rPr>
          <w:sz w:val="20"/>
          <w:szCs w:val="20"/>
          <w:color w:val="auto"/>
        </w:rPr>
      </w:pPr>
      <w:r>
        <w:rPr>
          <w:rFonts w:ascii="Arial" w:cs="Arial" w:eastAsia="Arial" w:hAnsi="Arial"/>
          <w:sz w:val="23"/>
          <w:szCs w:val="23"/>
          <w:b w:val="1"/>
          <w:bCs w:val="1"/>
          <w:color w:val="auto"/>
        </w:rPr>
        <w:t>Century Therapeutics, Inc. and Subsidiary</w:t>
      </w:r>
    </w:p>
    <w:p>
      <w:pPr>
        <w:spacing w:after="0" w:line="1" w:lineRule="exact"/>
        <w:rPr>
          <w:sz w:val="20"/>
          <w:szCs w:val="20"/>
          <w:color w:val="auto"/>
        </w:rPr>
      </w:pPr>
    </w:p>
    <w:p>
      <w:pPr>
        <w:ind w:left="680" w:right="2360"/>
        <w:spacing w:after="0" w:line="215" w:lineRule="auto"/>
        <w:rPr>
          <w:sz w:val="20"/>
          <w:szCs w:val="20"/>
          <w:color w:val="auto"/>
        </w:rPr>
      </w:pPr>
      <w:r>
        <w:rPr>
          <w:rFonts w:ascii="Arial" w:cs="Arial" w:eastAsia="Arial" w:hAnsi="Arial"/>
          <w:sz w:val="23"/>
          <w:szCs w:val="23"/>
          <w:b w:val="1"/>
          <w:bCs w:val="1"/>
          <w:color w:val="auto"/>
        </w:rPr>
        <w:t>Consolidated statements of changes in convertible preferred stock and stockholders’ deficit (unaudited)</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23"/>
          <w:szCs w:val="23"/>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73660</wp:posOffset>
            </wp:positionV>
            <wp:extent cx="6673215" cy="1397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673215" cy="13970"/>
                    </a:xfrm>
                    <a:prstGeom prst="rect">
                      <a:avLst/>
                    </a:prstGeom>
                    <a:noFill/>
                  </pic:spPr>
                </pic:pic>
              </a:graphicData>
            </a:graphic>
          </wp:anchor>
        </w:drawing>
      </w:r>
    </w:p>
    <w:p>
      <w:pPr>
        <w:spacing w:after="0" w:line="110" w:lineRule="exact"/>
        <w:rPr>
          <w:sz w:val="20"/>
          <w:szCs w:val="20"/>
          <w:color w:val="auto"/>
        </w:rPr>
      </w:pPr>
    </w:p>
    <w:tbl>
      <w:tblPr>
        <w:tblLayout w:type="fixed"/>
        <w:tblInd w:w="680" w:type="dxa"/>
        <w:tblCellMar>
          <w:top w:w="0" w:type="dxa"/>
          <w:left w:w="0" w:type="dxa"/>
          <w:bottom w:w="0" w:type="dxa"/>
          <w:right w:w="0" w:type="dxa"/>
        </w:tblCellMar>
      </w:tblPr>
      <w:tr>
        <w:trPr>
          <w:trHeight w:val="138"/>
        </w:trPr>
        <w:tc>
          <w:tcPr>
            <w:tcW w:w="2220" w:type="dxa"/>
            <w:vAlign w:val="bottom"/>
          </w:tcPr>
          <w:p>
            <w:pPr>
              <w:spacing w:after="0"/>
              <w:rPr>
                <w:sz w:val="12"/>
                <w:szCs w:val="12"/>
                <w:color w:val="auto"/>
              </w:rPr>
            </w:pPr>
          </w:p>
        </w:tc>
        <w:tc>
          <w:tcPr>
            <w:tcW w:w="1060" w:type="dxa"/>
            <w:vAlign w:val="bottom"/>
            <w:gridSpan w:val="2"/>
            <w:vMerge w:val="restart"/>
          </w:tcPr>
          <w:p>
            <w:pPr>
              <w:jc w:val="right"/>
              <w:ind w:right="2"/>
              <w:spacing w:after="0"/>
              <w:rPr>
                <w:sz w:val="20"/>
                <w:szCs w:val="20"/>
                <w:color w:val="auto"/>
              </w:rPr>
            </w:pPr>
            <w:r>
              <w:rPr>
                <w:rFonts w:ascii="Arial" w:cs="Arial" w:eastAsia="Arial" w:hAnsi="Arial"/>
                <w:sz w:val="12"/>
                <w:szCs w:val="12"/>
                <w:b w:val="1"/>
                <w:bCs w:val="1"/>
                <w:color w:val="auto"/>
              </w:rPr>
              <w:t>Series A</w:t>
            </w:r>
          </w:p>
        </w:tc>
        <w:tc>
          <w:tcPr>
            <w:tcW w:w="10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Series B</w:t>
            </w:r>
          </w:p>
        </w:tc>
        <w:tc>
          <w:tcPr>
            <w:tcW w:w="1180" w:type="dxa"/>
            <w:vAlign w:val="bottom"/>
            <w:gridSpan w:val="2"/>
            <w:vMerge w:val="restart"/>
          </w:tcPr>
          <w:p>
            <w:pPr>
              <w:jc w:val="right"/>
              <w:ind w:right="82"/>
              <w:spacing w:after="0"/>
              <w:rPr>
                <w:sz w:val="20"/>
                <w:szCs w:val="20"/>
                <w:color w:val="auto"/>
              </w:rPr>
            </w:pPr>
            <w:r>
              <w:rPr>
                <w:rFonts w:ascii="Arial" w:cs="Arial" w:eastAsia="Arial" w:hAnsi="Arial"/>
                <w:sz w:val="12"/>
                <w:szCs w:val="12"/>
                <w:b w:val="1"/>
                <w:bCs w:val="1"/>
                <w:color w:val="auto"/>
              </w:rPr>
              <w:t>Series C</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gridSpan w:val="2"/>
          </w:tcPr>
          <w:p>
            <w:pPr>
              <w:jc w:val="right"/>
              <w:ind w:right="102"/>
              <w:spacing w:after="0"/>
              <w:rPr>
                <w:sz w:val="20"/>
                <w:szCs w:val="20"/>
                <w:color w:val="auto"/>
              </w:rPr>
            </w:pPr>
            <w:r>
              <w:rPr>
                <w:rFonts w:ascii="Arial" w:cs="Arial" w:eastAsia="Arial" w:hAnsi="Arial"/>
                <w:sz w:val="12"/>
                <w:szCs w:val="12"/>
                <w:b w:val="1"/>
                <w:bCs w:val="1"/>
                <w:color w:val="auto"/>
              </w:rPr>
              <w:t>Accumulated</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2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gridSpan w:val="2"/>
            <w:vMerge w:val="restart"/>
          </w:tcPr>
          <w:p>
            <w:pPr>
              <w:jc w:val="right"/>
              <w:ind w:right="102"/>
              <w:spacing w:after="0" w:line="108" w:lineRule="exact"/>
              <w:rPr>
                <w:sz w:val="20"/>
                <w:szCs w:val="20"/>
                <w:color w:val="auto"/>
              </w:rPr>
            </w:pPr>
            <w:r>
              <w:rPr>
                <w:rFonts w:ascii="Arial" w:cs="Arial" w:eastAsia="Arial" w:hAnsi="Arial"/>
                <w:sz w:val="12"/>
                <w:szCs w:val="12"/>
                <w:b w:val="1"/>
                <w:bCs w:val="1"/>
                <w:color w:val="auto"/>
              </w:rPr>
              <w:t>Other</w:t>
            </w: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220" w:type="dxa"/>
            <w:vAlign w:val="bottom"/>
          </w:tcPr>
          <w:p>
            <w:pPr>
              <w:spacing w:after="0"/>
              <w:rPr>
                <w:sz w:val="4"/>
                <w:szCs w:val="4"/>
                <w:color w:val="auto"/>
              </w:rPr>
            </w:pPr>
          </w:p>
        </w:tc>
        <w:tc>
          <w:tcPr>
            <w:tcW w:w="1060" w:type="dxa"/>
            <w:vAlign w:val="bottom"/>
            <w:gridSpan w:val="2"/>
            <w:vMerge w:val="restart"/>
          </w:tcPr>
          <w:p>
            <w:pPr>
              <w:jc w:val="right"/>
              <w:ind w:right="2"/>
              <w:spacing w:after="0" w:line="108" w:lineRule="exact"/>
              <w:rPr>
                <w:sz w:val="20"/>
                <w:szCs w:val="20"/>
                <w:color w:val="auto"/>
              </w:rPr>
            </w:pPr>
            <w:r>
              <w:rPr>
                <w:rFonts w:ascii="Arial" w:cs="Arial" w:eastAsia="Arial" w:hAnsi="Arial"/>
                <w:sz w:val="12"/>
                <w:szCs w:val="12"/>
                <w:b w:val="1"/>
                <w:bCs w:val="1"/>
                <w:color w:val="auto"/>
              </w:rPr>
              <w:t>Convertible</w:t>
            </w:r>
          </w:p>
        </w:tc>
        <w:tc>
          <w:tcPr>
            <w:tcW w:w="1080" w:type="dxa"/>
            <w:vAlign w:val="bottom"/>
            <w:gridSpan w:val="2"/>
            <w:vMerge w:val="restart"/>
          </w:tcPr>
          <w:p>
            <w:pPr>
              <w:jc w:val="right"/>
              <w:spacing w:after="0" w:line="108" w:lineRule="exact"/>
              <w:rPr>
                <w:sz w:val="20"/>
                <w:szCs w:val="20"/>
                <w:color w:val="auto"/>
              </w:rPr>
            </w:pPr>
            <w:r>
              <w:rPr>
                <w:rFonts w:ascii="Arial" w:cs="Arial" w:eastAsia="Arial" w:hAnsi="Arial"/>
                <w:sz w:val="12"/>
                <w:szCs w:val="12"/>
                <w:b w:val="1"/>
                <w:bCs w:val="1"/>
                <w:color w:val="auto"/>
              </w:rPr>
              <w:t>Convertible</w:t>
            </w:r>
          </w:p>
        </w:tc>
        <w:tc>
          <w:tcPr>
            <w:tcW w:w="1180" w:type="dxa"/>
            <w:vAlign w:val="bottom"/>
            <w:gridSpan w:val="2"/>
            <w:vMerge w:val="restart"/>
          </w:tcPr>
          <w:p>
            <w:pPr>
              <w:jc w:val="right"/>
              <w:ind w:right="82"/>
              <w:spacing w:after="0" w:line="108" w:lineRule="exact"/>
              <w:rPr>
                <w:sz w:val="20"/>
                <w:szCs w:val="20"/>
                <w:color w:val="auto"/>
              </w:rPr>
            </w:pPr>
            <w:r>
              <w:rPr>
                <w:rFonts w:ascii="Arial" w:cs="Arial" w:eastAsia="Arial" w:hAnsi="Arial"/>
                <w:sz w:val="12"/>
                <w:szCs w:val="12"/>
                <w:b w:val="1"/>
                <w:bCs w:val="1"/>
                <w:color w:val="auto"/>
              </w:rPr>
              <w:t>Convertible</w:t>
            </w: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2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vMerge w:val="restart"/>
          </w:tcPr>
          <w:p>
            <w:pPr>
              <w:ind w:left="20"/>
              <w:spacing w:after="0" w:line="108" w:lineRule="exact"/>
              <w:rPr>
                <w:sz w:val="20"/>
                <w:szCs w:val="20"/>
                <w:color w:val="auto"/>
              </w:rPr>
            </w:pPr>
            <w:r>
              <w:rPr>
                <w:rFonts w:ascii="Arial" w:cs="Arial" w:eastAsia="Arial" w:hAnsi="Arial"/>
                <w:sz w:val="12"/>
                <w:szCs w:val="12"/>
                <w:b w:val="1"/>
                <w:bCs w:val="1"/>
                <w:color w:val="auto"/>
              </w:rPr>
              <w:t>Additional</w:t>
            </w: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80" w:type="dxa"/>
            <w:vAlign w:val="bottom"/>
            <w:gridSpan w:val="3"/>
            <w:vMerge w:val="restart"/>
          </w:tcPr>
          <w:p>
            <w:pPr>
              <w:jc w:val="right"/>
              <w:ind w:right="102"/>
              <w:spacing w:after="0" w:line="108" w:lineRule="exact"/>
              <w:rPr>
                <w:sz w:val="20"/>
                <w:szCs w:val="20"/>
                <w:color w:val="auto"/>
              </w:rPr>
            </w:pPr>
            <w:r>
              <w:rPr>
                <w:rFonts w:ascii="Arial" w:cs="Arial" w:eastAsia="Arial" w:hAnsi="Arial"/>
                <w:sz w:val="12"/>
                <w:szCs w:val="12"/>
                <w:b w:val="1"/>
                <w:bCs w:val="1"/>
                <w:color w:val="auto"/>
              </w:rPr>
              <w:t>Comprehensive</w:t>
            </w:r>
          </w:p>
        </w:tc>
        <w:tc>
          <w:tcPr>
            <w:tcW w:w="200" w:type="dxa"/>
            <w:vAlign w:val="bottom"/>
          </w:tcPr>
          <w:p>
            <w:pPr>
              <w:spacing w:after="0"/>
              <w:rPr>
                <w:sz w:val="4"/>
                <w:szCs w:val="4"/>
                <w:color w:val="auto"/>
              </w:rPr>
            </w:pPr>
          </w:p>
        </w:tc>
        <w:tc>
          <w:tcPr>
            <w:tcW w:w="560" w:type="dxa"/>
            <w:vAlign w:val="bottom"/>
            <w:gridSpan w:val="2"/>
            <w:vMerge w:val="restart"/>
          </w:tcPr>
          <w:p>
            <w:pPr>
              <w:jc w:val="right"/>
              <w:ind w:right="80"/>
              <w:spacing w:after="0" w:line="108"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54"/>
        </w:trPr>
        <w:tc>
          <w:tcPr>
            <w:tcW w:w="2220" w:type="dxa"/>
            <w:vAlign w:val="bottom"/>
          </w:tcPr>
          <w:p>
            <w:pPr>
              <w:spacing w:after="0"/>
              <w:rPr>
                <w:sz w:val="4"/>
                <w:szCs w:val="4"/>
                <w:color w:val="auto"/>
              </w:rPr>
            </w:pPr>
          </w:p>
        </w:tc>
        <w:tc>
          <w:tcPr>
            <w:tcW w:w="1060" w:type="dxa"/>
            <w:vAlign w:val="bottom"/>
            <w:gridSpan w:val="2"/>
            <w:vMerge w:val="restart"/>
          </w:tcPr>
          <w:p>
            <w:pPr>
              <w:jc w:val="right"/>
              <w:spacing w:after="0" w:line="121" w:lineRule="exact"/>
              <w:rPr>
                <w:sz w:val="20"/>
                <w:szCs w:val="20"/>
                <w:color w:val="auto"/>
              </w:rPr>
            </w:pPr>
            <w:r>
              <w:rPr>
                <w:rFonts w:ascii="Arial" w:cs="Arial" w:eastAsia="Arial" w:hAnsi="Arial"/>
                <w:sz w:val="12"/>
                <w:szCs w:val="12"/>
                <w:b w:val="1"/>
                <w:bCs w:val="1"/>
                <w:color w:val="auto"/>
              </w:rPr>
              <w:t>Preferred Stock</w:t>
            </w:r>
          </w:p>
        </w:tc>
        <w:tc>
          <w:tcPr>
            <w:tcW w:w="1080" w:type="dxa"/>
            <w:vAlign w:val="bottom"/>
            <w:gridSpan w:val="2"/>
            <w:vMerge w:val="restart"/>
          </w:tcPr>
          <w:p>
            <w:pPr>
              <w:jc w:val="right"/>
              <w:spacing w:after="0" w:line="121" w:lineRule="exact"/>
              <w:rPr>
                <w:sz w:val="20"/>
                <w:szCs w:val="20"/>
                <w:color w:val="auto"/>
              </w:rPr>
            </w:pPr>
            <w:r>
              <w:rPr>
                <w:rFonts w:ascii="Arial" w:cs="Arial" w:eastAsia="Arial" w:hAnsi="Arial"/>
                <w:sz w:val="12"/>
                <w:szCs w:val="12"/>
                <w:b w:val="1"/>
                <w:bCs w:val="1"/>
                <w:color w:val="auto"/>
              </w:rPr>
              <w:t>Preferred Stock</w:t>
            </w:r>
          </w:p>
        </w:tc>
        <w:tc>
          <w:tcPr>
            <w:tcW w:w="1180" w:type="dxa"/>
            <w:vAlign w:val="bottom"/>
            <w:gridSpan w:val="2"/>
            <w:vMerge w:val="restart"/>
          </w:tcPr>
          <w:p>
            <w:pPr>
              <w:jc w:val="right"/>
              <w:ind w:right="42"/>
              <w:spacing w:after="0" w:line="121" w:lineRule="exact"/>
              <w:rPr>
                <w:sz w:val="20"/>
                <w:szCs w:val="20"/>
                <w:color w:val="auto"/>
              </w:rPr>
            </w:pPr>
            <w:r>
              <w:rPr>
                <w:rFonts w:ascii="Arial" w:cs="Arial" w:eastAsia="Arial" w:hAnsi="Arial"/>
                <w:sz w:val="12"/>
                <w:szCs w:val="12"/>
                <w:b w:val="1"/>
                <w:bCs w:val="1"/>
                <w:color w:val="auto"/>
              </w:rPr>
              <w:t>Preferred Stock</w:t>
            </w:r>
          </w:p>
        </w:tc>
        <w:tc>
          <w:tcPr>
            <w:tcW w:w="960" w:type="dxa"/>
            <w:vAlign w:val="bottom"/>
            <w:gridSpan w:val="3"/>
            <w:vMerge w:val="restart"/>
          </w:tcPr>
          <w:p>
            <w:pPr>
              <w:jc w:val="right"/>
              <w:spacing w:after="0" w:line="121" w:lineRule="exact"/>
              <w:rPr>
                <w:sz w:val="20"/>
                <w:szCs w:val="20"/>
                <w:color w:val="auto"/>
              </w:rPr>
            </w:pPr>
            <w:r>
              <w:rPr>
                <w:rFonts w:ascii="Arial" w:cs="Arial" w:eastAsia="Arial" w:hAnsi="Arial"/>
                <w:sz w:val="12"/>
                <w:szCs w:val="12"/>
                <w:b w:val="1"/>
                <w:bCs w:val="1"/>
                <w:color w:val="auto"/>
              </w:rPr>
              <w:t>Common Stock</w:t>
            </w:r>
          </w:p>
        </w:tc>
        <w:tc>
          <w:tcPr>
            <w:tcW w:w="7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220" w:type="dxa"/>
            <w:vAlign w:val="bottom"/>
          </w:tcPr>
          <w:p>
            <w:pPr>
              <w:spacing w:after="0"/>
              <w:rPr>
                <w:sz w:val="7"/>
                <w:szCs w:val="7"/>
                <w:color w:val="auto"/>
              </w:rPr>
            </w:pPr>
          </w:p>
        </w:tc>
        <w:tc>
          <w:tcPr>
            <w:tcW w:w="1060" w:type="dxa"/>
            <w:vAlign w:val="bottom"/>
            <w:tcBorders>
              <w:bottom w:val="single" w:sz="8" w:color="auto"/>
            </w:tcBorders>
            <w:gridSpan w:val="2"/>
            <w:vMerge w:val="continue"/>
          </w:tcPr>
          <w:p>
            <w:pPr>
              <w:spacing w:after="0"/>
              <w:rPr>
                <w:sz w:val="7"/>
                <w:szCs w:val="7"/>
                <w:color w:val="auto"/>
              </w:rPr>
            </w:pPr>
          </w:p>
        </w:tc>
        <w:tc>
          <w:tcPr>
            <w:tcW w:w="1080" w:type="dxa"/>
            <w:vAlign w:val="bottom"/>
            <w:tcBorders>
              <w:bottom w:val="single" w:sz="8" w:color="auto"/>
            </w:tcBorders>
            <w:gridSpan w:val="2"/>
            <w:vMerge w:val="continue"/>
          </w:tcPr>
          <w:p>
            <w:pPr>
              <w:spacing w:after="0"/>
              <w:rPr>
                <w:sz w:val="7"/>
                <w:szCs w:val="7"/>
                <w:color w:val="auto"/>
              </w:rPr>
            </w:pPr>
          </w:p>
        </w:tc>
        <w:tc>
          <w:tcPr>
            <w:tcW w:w="1180" w:type="dxa"/>
            <w:vAlign w:val="bottom"/>
            <w:tcBorders>
              <w:bottom w:val="single" w:sz="8" w:color="auto"/>
            </w:tcBorders>
            <w:gridSpan w:val="2"/>
            <w:vMerge w:val="continue"/>
          </w:tcPr>
          <w:p>
            <w:pPr>
              <w:spacing w:after="0"/>
              <w:rPr>
                <w:sz w:val="7"/>
                <w:szCs w:val="7"/>
                <w:color w:val="auto"/>
              </w:rPr>
            </w:pPr>
          </w:p>
        </w:tc>
        <w:tc>
          <w:tcPr>
            <w:tcW w:w="960" w:type="dxa"/>
            <w:vAlign w:val="bottom"/>
            <w:tcBorders>
              <w:bottom w:val="single" w:sz="8" w:color="auto"/>
            </w:tcBorders>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2180" w:type="dxa"/>
            <w:vAlign w:val="bottom"/>
            <w:gridSpan w:val="5"/>
          </w:tcPr>
          <w:p>
            <w:pPr>
              <w:jc w:val="right"/>
              <w:ind w:right="82"/>
              <w:spacing w:after="0" w:line="87" w:lineRule="exact"/>
              <w:rPr>
                <w:sz w:val="20"/>
                <w:szCs w:val="20"/>
                <w:color w:val="auto"/>
              </w:rPr>
            </w:pPr>
            <w:r>
              <w:rPr>
                <w:rFonts w:ascii="Arial" w:cs="Arial" w:eastAsia="Arial" w:hAnsi="Arial"/>
                <w:sz w:val="10"/>
                <w:szCs w:val="10"/>
                <w:b w:val="1"/>
                <w:bCs w:val="1"/>
                <w:color w:val="auto"/>
              </w:rPr>
              <w:t>Paid-In Subscription Accumulated</w:t>
            </w:r>
          </w:p>
        </w:tc>
        <w:tc>
          <w:tcPr>
            <w:tcW w:w="1720" w:type="dxa"/>
            <w:vAlign w:val="bottom"/>
            <w:gridSpan w:val="5"/>
          </w:tcPr>
          <w:p>
            <w:pPr>
              <w:jc w:val="right"/>
              <w:ind w:right="80"/>
              <w:spacing w:after="0" w:line="87" w:lineRule="exact"/>
              <w:rPr>
                <w:sz w:val="20"/>
                <w:szCs w:val="20"/>
                <w:color w:val="auto"/>
              </w:rPr>
            </w:pPr>
            <w:r>
              <w:rPr>
                <w:rFonts w:ascii="Arial" w:cs="Arial" w:eastAsia="Arial" w:hAnsi="Arial"/>
                <w:sz w:val="10"/>
                <w:szCs w:val="10"/>
                <w:b w:val="1"/>
                <w:bCs w:val="1"/>
                <w:color w:val="auto"/>
              </w:rPr>
              <w:t>Income Stockholders’</w:t>
            </w:r>
          </w:p>
        </w:tc>
        <w:tc>
          <w:tcPr>
            <w:tcW w:w="0" w:type="dxa"/>
            <w:vAlign w:val="bottom"/>
          </w:tcPr>
          <w:p>
            <w:pPr>
              <w:spacing w:after="0"/>
              <w:rPr>
                <w:sz w:val="1"/>
                <w:szCs w:val="1"/>
                <w:color w:val="auto"/>
              </w:rPr>
            </w:pPr>
          </w:p>
        </w:tc>
      </w:tr>
      <w:tr>
        <w:trPr>
          <w:trHeight w:val="142"/>
        </w:trPr>
        <w:tc>
          <w:tcPr>
            <w:tcW w:w="222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b w:val="1"/>
                <w:bCs w:val="1"/>
                <w:color w:val="auto"/>
              </w:rPr>
              <w:t>SharesAmount</w:t>
            </w:r>
          </w:p>
        </w:tc>
        <w:tc>
          <w:tcPr>
            <w:tcW w:w="1080" w:type="dxa"/>
            <w:vAlign w:val="bottom"/>
            <w:gridSpan w:val="2"/>
          </w:tcPr>
          <w:p>
            <w:pPr>
              <w:jc w:val="right"/>
              <w:spacing w:after="0"/>
              <w:rPr>
                <w:sz w:val="20"/>
                <w:szCs w:val="20"/>
                <w:color w:val="auto"/>
              </w:rPr>
            </w:pPr>
            <w:r>
              <w:rPr>
                <w:rFonts w:ascii="Arial" w:cs="Arial" w:eastAsia="Arial" w:hAnsi="Arial"/>
                <w:sz w:val="12"/>
                <w:szCs w:val="12"/>
                <w:b w:val="1"/>
                <w:bCs w:val="1"/>
                <w:color w:val="auto"/>
              </w:rPr>
              <w:t>Shares Amount</w:t>
            </w:r>
          </w:p>
        </w:tc>
        <w:tc>
          <w:tcPr>
            <w:tcW w:w="1180" w:type="dxa"/>
            <w:vAlign w:val="bottom"/>
            <w:gridSpan w:val="2"/>
          </w:tcPr>
          <w:p>
            <w:pPr>
              <w:jc w:val="right"/>
              <w:ind w:right="42"/>
              <w:spacing w:after="0"/>
              <w:rPr>
                <w:sz w:val="20"/>
                <w:szCs w:val="20"/>
                <w:color w:val="auto"/>
              </w:rPr>
            </w:pPr>
            <w:r>
              <w:rPr>
                <w:rFonts w:ascii="Arial" w:cs="Arial" w:eastAsia="Arial" w:hAnsi="Arial"/>
                <w:sz w:val="12"/>
                <w:szCs w:val="12"/>
                <w:b w:val="1"/>
                <w:bCs w:val="1"/>
                <w:color w:val="auto"/>
              </w:rPr>
              <w:t>Shares Amount</w:t>
            </w:r>
          </w:p>
        </w:tc>
        <w:tc>
          <w:tcPr>
            <w:tcW w:w="960" w:type="dxa"/>
            <w:vAlign w:val="bottom"/>
            <w:gridSpan w:val="3"/>
          </w:tcPr>
          <w:p>
            <w:pPr>
              <w:jc w:val="right"/>
              <w:spacing w:after="0"/>
              <w:rPr>
                <w:sz w:val="20"/>
                <w:szCs w:val="20"/>
                <w:color w:val="auto"/>
              </w:rPr>
            </w:pPr>
            <w:r>
              <w:rPr>
                <w:rFonts w:ascii="Arial" w:cs="Arial" w:eastAsia="Arial" w:hAnsi="Arial"/>
                <w:sz w:val="12"/>
                <w:szCs w:val="12"/>
                <w:b w:val="1"/>
                <w:bCs w:val="1"/>
                <w:color w:val="auto"/>
              </w:rPr>
              <w:t>SharesAmount</w:t>
            </w:r>
          </w:p>
        </w:tc>
        <w:tc>
          <w:tcPr>
            <w:tcW w:w="140" w:type="dxa"/>
            <w:vAlign w:val="bottom"/>
          </w:tcPr>
          <w:p>
            <w:pPr>
              <w:spacing w:after="0"/>
              <w:rPr>
                <w:sz w:val="12"/>
                <w:szCs w:val="12"/>
                <w:color w:val="auto"/>
              </w:rPr>
            </w:pPr>
          </w:p>
        </w:tc>
        <w:tc>
          <w:tcPr>
            <w:tcW w:w="580" w:type="dxa"/>
            <w:vAlign w:val="bottom"/>
          </w:tcPr>
          <w:p>
            <w:pPr>
              <w:jc w:val="right"/>
              <w:ind w:right="23"/>
              <w:spacing w:after="0"/>
              <w:rPr>
                <w:sz w:val="20"/>
                <w:szCs w:val="20"/>
                <w:color w:val="auto"/>
              </w:rPr>
            </w:pPr>
            <w:r>
              <w:rPr>
                <w:rFonts w:ascii="Arial" w:cs="Arial" w:eastAsia="Arial" w:hAnsi="Arial"/>
                <w:sz w:val="12"/>
                <w:szCs w:val="12"/>
                <w:b w:val="1"/>
                <w:bCs w:val="1"/>
                <w:color w:val="auto"/>
              </w:rPr>
              <w:t>Capital</w:t>
            </w:r>
          </w:p>
        </w:tc>
        <w:tc>
          <w:tcPr>
            <w:tcW w:w="780" w:type="dxa"/>
            <w:vAlign w:val="bottom"/>
            <w:gridSpan w:val="2"/>
          </w:tcPr>
          <w:p>
            <w:pPr>
              <w:jc w:val="right"/>
              <w:ind w:right="42"/>
              <w:spacing w:after="0"/>
              <w:rPr>
                <w:sz w:val="20"/>
                <w:szCs w:val="20"/>
                <w:color w:val="auto"/>
              </w:rPr>
            </w:pPr>
            <w:r>
              <w:rPr>
                <w:rFonts w:ascii="Arial" w:cs="Arial" w:eastAsia="Arial" w:hAnsi="Arial"/>
                <w:sz w:val="12"/>
                <w:szCs w:val="12"/>
                <w:b w:val="1"/>
                <w:bCs w:val="1"/>
                <w:color w:val="auto"/>
              </w:rPr>
              <w:t>Receivable</w:t>
            </w:r>
          </w:p>
        </w:tc>
        <w:tc>
          <w:tcPr>
            <w:tcW w:w="20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b w:val="1"/>
                <w:bCs w:val="1"/>
                <w:color w:val="auto"/>
              </w:rPr>
              <w:t>Deficit</w:t>
            </w:r>
          </w:p>
        </w:tc>
        <w:tc>
          <w:tcPr>
            <w:tcW w:w="960" w:type="dxa"/>
            <w:vAlign w:val="bottom"/>
            <w:gridSpan w:val="2"/>
          </w:tcPr>
          <w:p>
            <w:pPr>
              <w:jc w:val="right"/>
              <w:ind w:right="62"/>
              <w:spacing w:after="0"/>
              <w:rPr>
                <w:sz w:val="20"/>
                <w:szCs w:val="20"/>
                <w:color w:val="auto"/>
              </w:rPr>
            </w:pPr>
            <w:r>
              <w:rPr>
                <w:rFonts w:ascii="Arial" w:cs="Arial" w:eastAsia="Arial" w:hAnsi="Arial"/>
                <w:sz w:val="12"/>
                <w:szCs w:val="12"/>
                <w:b w:val="1"/>
                <w:bCs w:val="1"/>
                <w:color w:val="auto"/>
              </w:rPr>
              <w:t>(Loss)</w:t>
            </w:r>
          </w:p>
        </w:tc>
        <w:tc>
          <w:tcPr>
            <w:tcW w:w="20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31"/>
        </w:trPr>
        <w:tc>
          <w:tcPr>
            <w:tcW w:w="2220" w:type="dxa"/>
            <w:vAlign w:val="bottom"/>
            <w:tcBorders>
              <w:top w:val="single" w:sz="8" w:color="CCEEFF"/>
            </w:tcBorders>
            <w:shd w:val="clear" w:color="auto" w:fill="CCEEFF"/>
          </w:tcPr>
          <w:p>
            <w:pPr>
              <w:spacing w:after="0" w:line="131" w:lineRule="exact"/>
              <w:rPr>
                <w:sz w:val="20"/>
                <w:szCs w:val="20"/>
                <w:color w:val="auto"/>
              </w:rPr>
            </w:pPr>
            <w:r>
              <w:rPr>
                <w:rFonts w:ascii="Arial" w:cs="Arial" w:eastAsia="Arial" w:hAnsi="Arial"/>
                <w:sz w:val="12"/>
                <w:szCs w:val="12"/>
                <w:b w:val="1"/>
                <w:bCs w:val="1"/>
                <w:color w:val="auto"/>
              </w:rPr>
              <w:t>Balance, December 31, 2020</w:t>
            </w:r>
          </w:p>
        </w:tc>
        <w:tc>
          <w:tcPr>
            <w:tcW w:w="5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b w:val="1"/>
                <w:bCs w:val="1"/>
                <w:color w:val="auto"/>
                <w:w w:val="93"/>
              </w:rPr>
              <w:t>35,000,000</w:t>
            </w:r>
          </w:p>
        </w:tc>
        <w:tc>
          <w:tcPr>
            <w:tcW w:w="4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b w:val="1"/>
                <w:bCs w:val="1"/>
                <w:color w:val="auto"/>
                <w:w w:val="94"/>
              </w:rPr>
              <w:t>$ 34,922</w:t>
            </w:r>
          </w:p>
        </w:tc>
        <w:tc>
          <w:tcPr>
            <w:tcW w:w="5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b w:val="1"/>
                <w:bCs w:val="1"/>
                <w:color w:val="auto"/>
                <w:w w:val="93"/>
              </w:rPr>
              <w:t>26,143,790</w:t>
            </w:r>
          </w:p>
        </w:tc>
        <w:tc>
          <w:tcPr>
            <w:tcW w:w="50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b w:val="1"/>
                <w:bCs w:val="1"/>
                <w:color w:val="auto"/>
                <w:w w:val="95"/>
              </w:rPr>
              <w:t>$144,839</w:t>
            </w:r>
          </w:p>
        </w:tc>
        <w:tc>
          <w:tcPr>
            <w:tcW w:w="66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b w:val="1"/>
                <w:bCs w:val="1"/>
                <w:color w:val="auto"/>
              </w:rPr>
              <w:t>—$</w:t>
            </w:r>
          </w:p>
        </w:tc>
        <w:tc>
          <w:tcPr>
            <w:tcW w:w="1160" w:type="dxa"/>
            <w:vAlign w:val="bottom"/>
            <w:tcBorders>
              <w:top w:val="single" w:sz="8" w:color="auto"/>
            </w:tcBorders>
            <w:gridSpan w:val="2"/>
            <w:shd w:val="clear" w:color="auto" w:fill="CCEEFF"/>
          </w:tcPr>
          <w:p>
            <w:pPr>
              <w:jc w:val="right"/>
              <w:ind w:right="82"/>
              <w:spacing w:after="0" w:line="131" w:lineRule="exact"/>
              <w:rPr>
                <w:sz w:val="20"/>
                <w:szCs w:val="20"/>
                <w:color w:val="auto"/>
              </w:rPr>
            </w:pPr>
            <w:r>
              <w:rPr>
                <w:rFonts w:ascii="Arial" w:cs="Arial" w:eastAsia="Arial" w:hAnsi="Arial"/>
                <w:sz w:val="12"/>
                <w:szCs w:val="12"/>
                <w:b w:val="1"/>
                <w:bCs w:val="1"/>
                <w:color w:val="auto"/>
              </w:rPr>
              <w:t>— 18,825,136</w:t>
            </w:r>
          </w:p>
        </w:tc>
        <w:tc>
          <w:tcPr>
            <w:tcW w:w="20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b w:val="1"/>
                <w:bCs w:val="1"/>
                <w:color w:val="auto"/>
              </w:rPr>
              <w:t>$</w:t>
            </w:r>
          </w:p>
        </w:tc>
        <w:tc>
          <w:tcPr>
            <w:tcW w:w="1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b w:val="1"/>
                <w:bCs w:val="1"/>
                <w:color w:val="auto"/>
              </w:rPr>
              <w:t>2</w:t>
            </w:r>
          </w:p>
        </w:tc>
        <w:tc>
          <w:tcPr>
            <w:tcW w:w="140" w:type="dxa"/>
            <w:vAlign w:val="bottom"/>
            <w:tcBorders>
              <w:top w:val="single" w:sz="8" w:color="auto"/>
            </w:tcBorders>
            <w:shd w:val="clear" w:color="auto" w:fill="CCEEFF"/>
          </w:tcPr>
          <w:p>
            <w:pPr>
              <w:ind w:left="40"/>
              <w:spacing w:after="0" w:line="131" w:lineRule="exact"/>
              <w:rPr>
                <w:sz w:val="20"/>
                <w:szCs w:val="20"/>
                <w:color w:val="auto"/>
              </w:rPr>
            </w:pPr>
            <w:r>
              <w:rPr>
                <w:rFonts w:ascii="Arial" w:cs="Arial" w:eastAsia="Arial" w:hAnsi="Arial"/>
                <w:sz w:val="12"/>
                <w:szCs w:val="12"/>
                <w:b w:val="1"/>
                <w:bCs w:val="1"/>
                <w:color w:val="auto"/>
              </w:rPr>
              <w:t>$</w:t>
            </w:r>
          </w:p>
        </w:tc>
        <w:tc>
          <w:tcPr>
            <w:tcW w:w="580" w:type="dxa"/>
            <w:vAlign w:val="bottom"/>
            <w:tcBorders>
              <w:top w:val="single" w:sz="8" w:color="auto"/>
            </w:tcBorders>
            <w:shd w:val="clear" w:color="auto" w:fill="CCEEFF"/>
          </w:tcPr>
          <w:p>
            <w:pPr>
              <w:jc w:val="right"/>
              <w:ind w:right="23"/>
              <w:spacing w:after="0" w:line="131" w:lineRule="exact"/>
              <w:rPr>
                <w:sz w:val="20"/>
                <w:szCs w:val="20"/>
                <w:color w:val="auto"/>
              </w:rPr>
            </w:pPr>
            <w:r>
              <w:rPr>
                <w:rFonts w:ascii="Arial" w:cs="Arial" w:eastAsia="Arial" w:hAnsi="Arial"/>
                <w:sz w:val="12"/>
                <w:szCs w:val="12"/>
                <w:b w:val="1"/>
                <w:bCs w:val="1"/>
                <w:color w:val="auto"/>
              </w:rPr>
              <w:t>217,831</w:t>
            </w:r>
          </w:p>
        </w:tc>
        <w:tc>
          <w:tcPr>
            <w:tcW w:w="240" w:type="dxa"/>
            <w:vAlign w:val="bottom"/>
            <w:tcBorders>
              <w:top w:val="single" w:sz="8" w:color="auto"/>
            </w:tcBorders>
            <w:shd w:val="clear" w:color="auto" w:fill="CCEEFF"/>
          </w:tcPr>
          <w:p>
            <w:pPr>
              <w:jc w:val="right"/>
              <w:ind w:right="2"/>
              <w:spacing w:after="0" w:line="131" w:lineRule="exact"/>
              <w:rPr>
                <w:sz w:val="20"/>
                <w:szCs w:val="20"/>
                <w:color w:val="auto"/>
              </w:rPr>
            </w:pPr>
            <w:r>
              <w:rPr>
                <w:rFonts w:ascii="Arial" w:cs="Arial" w:eastAsia="Arial" w:hAnsi="Arial"/>
                <w:sz w:val="12"/>
                <w:szCs w:val="12"/>
                <w:b w:val="1"/>
                <w:bCs w:val="1"/>
                <w:color w:val="auto"/>
              </w:rPr>
              <w:t>$</w:t>
            </w:r>
          </w:p>
        </w:tc>
        <w:tc>
          <w:tcPr>
            <w:tcW w:w="5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b w:val="1"/>
                <w:bCs w:val="1"/>
                <w:color w:val="auto"/>
              </w:rPr>
              <w:t>(31,900)</w:t>
            </w:r>
          </w:p>
        </w:tc>
        <w:tc>
          <w:tcPr>
            <w:tcW w:w="200" w:type="dxa"/>
            <w:vAlign w:val="bottom"/>
            <w:tcBorders>
              <w:top w:val="single" w:sz="8" w:color="auto"/>
            </w:tcBorders>
            <w:shd w:val="clear" w:color="auto" w:fill="CCEEFF"/>
          </w:tcPr>
          <w:p>
            <w:pPr>
              <w:jc w:val="right"/>
              <w:ind w:right="22"/>
              <w:spacing w:after="0" w:line="131" w:lineRule="exact"/>
              <w:rPr>
                <w:sz w:val="20"/>
                <w:szCs w:val="20"/>
                <w:color w:val="auto"/>
              </w:rPr>
            </w:pPr>
            <w:r>
              <w:rPr>
                <w:rFonts w:ascii="Arial" w:cs="Arial" w:eastAsia="Arial" w:hAnsi="Arial"/>
                <w:sz w:val="12"/>
                <w:szCs w:val="12"/>
                <w:b w:val="1"/>
                <w:bCs w:val="1"/>
                <w:color w:val="auto"/>
              </w:rPr>
              <w:t>$</w:t>
            </w:r>
          </w:p>
        </w:tc>
        <w:tc>
          <w:tcPr>
            <w:tcW w:w="620" w:type="dxa"/>
            <w:vAlign w:val="bottom"/>
            <w:tcBorders>
              <w:top w:val="single" w:sz="8" w:color="auto"/>
            </w:tcBorders>
            <w:shd w:val="clear" w:color="auto" w:fill="CCEEFF"/>
          </w:tcPr>
          <w:p>
            <w:pPr>
              <w:jc w:val="right"/>
              <w:ind w:right="2"/>
              <w:spacing w:after="0" w:line="131" w:lineRule="exact"/>
              <w:rPr>
                <w:sz w:val="20"/>
                <w:szCs w:val="20"/>
                <w:color w:val="auto"/>
              </w:rPr>
            </w:pPr>
            <w:r>
              <w:rPr>
                <w:rFonts w:ascii="Arial" w:cs="Arial" w:eastAsia="Arial" w:hAnsi="Arial"/>
                <w:sz w:val="12"/>
                <w:szCs w:val="12"/>
                <w:b w:val="1"/>
                <w:bCs w:val="1"/>
                <w:color w:val="auto"/>
              </w:rPr>
              <w:t>(292,342)</w:t>
            </w:r>
          </w:p>
        </w:tc>
        <w:tc>
          <w:tcPr>
            <w:tcW w:w="6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b w:val="1"/>
                <w:bCs w:val="1"/>
                <w:color w:val="auto"/>
              </w:rPr>
              <w:t>$</w:t>
            </w:r>
          </w:p>
        </w:tc>
        <w:tc>
          <w:tcPr>
            <w:tcW w:w="320" w:type="dxa"/>
            <w:vAlign w:val="bottom"/>
            <w:tcBorders>
              <w:top w:val="single" w:sz="8" w:color="auto"/>
            </w:tcBorders>
            <w:shd w:val="clear" w:color="auto" w:fill="CCEEFF"/>
          </w:tcPr>
          <w:p>
            <w:pPr>
              <w:jc w:val="right"/>
              <w:ind w:right="22"/>
              <w:spacing w:after="0" w:line="131" w:lineRule="exact"/>
              <w:rPr>
                <w:sz w:val="20"/>
                <w:szCs w:val="20"/>
                <w:color w:val="auto"/>
              </w:rPr>
            </w:pPr>
            <w:r>
              <w:rPr>
                <w:rFonts w:ascii="Arial" w:cs="Arial" w:eastAsia="Arial" w:hAnsi="Arial"/>
                <w:sz w:val="12"/>
                <w:szCs w:val="12"/>
                <w:b w:val="1"/>
                <w:bCs w:val="1"/>
                <w:color w:val="auto"/>
              </w:rPr>
              <w:t>(3)</w:t>
            </w:r>
          </w:p>
        </w:tc>
        <w:tc>
          <w:tcPr>
            <w:tcW w:w="200" w:type="dxa"/>
            <w:vAlign w:val="bottom"/>
            <w:tcBorders>
              <w:top w:val="single" w:sz="8" w:color="auto"/>
            </w:tcBorders>
            <w:shd w:val="clear" w:color="auto" w:fill="CCEEFF"/>
          </w:tcPr>
          <w:p>
            <w:pPr>
              <w:jc w:val="right"/>
              <w:ind w:right="2"/>
              <w:spacing w:after="0" w:line="131" w:lineRule="exact"/>
              <w:rPr>
                <w:sz w:val="20"/>
                <w:szCs w:val="20"/>
                <w:color w:val="auto"/>
              </w:rPr>
            </w:pPr>
            <w:r>
              <w:rPr>
                <w:rFonts w:ascii="Arial" w:cs="Arial" w:eastAsia="Arial" w:hAnsi="Arial"/>
                <w:sz w:val="12"/>
                <w:szCs w:val="12"/>
                <w:b w:val="1"/>
                <w:bCs w:val="1"/>
                <w:color w:val="auto"/>
              </w:rPr>
              <w:t>$</w:t>
            </w:r>
          </w:p>
        </w:tc>
        <w:tc>
          <w:tcPr>
            <w:tcW w:w="5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b w:val="1"/>
                <w:bCs w:val="1"/>
                <w:color w:val="auto"/>
                <w:w w:val="97"/>
              </w:rPr>
              <w:t>(106,412)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220" w:type="dxa"/>
            <w:vAlign w:val="bottom"/>
          </w:tcPr>
          <w:p>
            <w:pPr>
              <w:spacing w:after="0"/>
              <w:rPr>
                <w:sz w:val="20"/>
                <w:szCs w:val="20"/>
                <w:color w:val="auto"/>
              </w:rPr>
            </w:pPr>
            <w:r>
              <w:rPr>
                <w:rFonts w:ascii="Arial" w:cs="Arial" w:eastAsia="Arial" w:hAnsi="Arial"/>
                <w:sz w:val="12"/>
                <w:szCs w:val="12"/>
                <w:color w:val="auto"/>
              </w:rPr>
              <w:t>Receipt of subscription receivable</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2"/>
                <w:szCs w:val="12"/>
                <w:color w:val="auto"/>
              </w:rPr>
            </w:pPr>
          </w:p>
        </w:tc>
        <w:tc>
          <w:tcPr>
            <w:tcW w:w="58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31,900</w:t>
            </w:r>
          </w:p>
        </w:tc>
        <w:tc>
          <w:tcPr>
            <w:tcW w:w="20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31,900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shd w:val="clear" w:color="auto" w:fill="CCEEFF"/>
          </w:tcPr>
          <w:p>
            <w:pPr>
              <w:spacing w:after="0"/>
              <w:rPr>
                <w:sz w:val="20"/>
                <w:szCs w:val="20"/>
                <w:color w:val="auto"/>
              </w:rPr>
            </w:pPr>
            <w:r>
              <w:rPr>
                <w:rFonts w:ascii="Arial" w:cs="Arial" w:eastAsia="Arial" w:hAnsi="Arial"/>
                <w:sz w:val="12"/>
                <w:szCs w:val="12"/>
                <w:color w:val="auto"/>
              </w:rPr>
              <w:t>Issuance of Series C preferred stock, net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96"/>
              </w:rPr>
              <w:t>24,721,999</w:t>
            </w:r>
          </w:p>
        </w:tc>
        <w:tc>
          <w:tcPr>
            <w:tcW w:w="5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w w:val="92"/>
              </w:rPr>
              <w:t>159,628</w:t>
            </w:r>
          </w:p>
        </w:tc>
        <w:tc>
          <w:tcPr>
            <w:tcW w:w="6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220" w:type="dxa"/>
            <w:vAlign w:val="bottom"/>
          </w:tcPr>
          <w:p>
            <w:pPr>
              <w:spacing w:after="0" w:line="101" w:lineRule="exact"/>
              <w:rPr>
                <w:sz w:val="20"/>
                <w:szCs w:val="20"/>
                <w:color w:val="auto"/>
              </w:rPr>
            </w:pPr>
            <w:r>
              <w:rPr>
                <w:rFonts w:ascii="Arial" w:cs="Arial" w:eastAsia="Arial" w:hAnsi="Arial"/>
                <w:sz w:val="10"/>
                <w:szCs w:val="10"/>
                <w:color w:val="auto"/>
              </w:rPr>
              <w:t>Net assets contributed as result of</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ind w:right="8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8"/>
                <w:szCs w:val="8"/>
                <w:color w:val="auto"/>
              </w:rPr>
            </w:pPr>
          </w:p>
        </w:tc>
        <w:tc>
          <w:tcPr>
            <w:tcW w:w="580" w:type="dxa"/>
            <w:vAlign w:val="bottom"/>
            <w:vMerge w:val="restart"/>
          </w:tcPr>
          <w:p>
            <w:pPr>
              <w:jc w:val="right"/>
              <w:ind w:right="23"/>
              <w:spacing w:after="0"/>
              <w:rPr>
                <w:sz w:val="20"/>
                <w:szCs w:val="20"/>
                <w:color w:val="auto"/>
              </w:rPr>
            </w:pPr>
            <w:r>
              <w:rPr>
                <w:rFonts w:ascii="Arial" w:cs="Arial" w:eastAsia="Arial" w:hAnsi="Arial"/>
                <w:sz w:val="12"/>
                <w:szCs w:val="12"/>
                <w:color w:val="auto"/>
              </w:rPr>
              <w:t>1,061</w:t>
            </w:r>
          </w:p>
        </w:tc>
        <w:tc>
          <w:tcPr>
            <w:tcW w:w="240" w:type="dxa"/>
            <w:vAlign w:val="bottom"/>
          </w:tcPr>
          <w:p>
            <w:pPr>
              <w:spacing w:after="0"/>
              <w:rPr>
                <w:sz w:val="8"/>
                <w:szCs w:val="8"/>
                <w:color w:val="auto"/>
              </w:rPr>
            </w:pPr>
          </w:p>
        </w:tc>
        <w:tc>
          <w:tcPr>
            <w:tcW w:w="54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8"/>
                <w:szCs w:val="8"/>
                <w:color w:val="auto"/>
              </w:rPr>
            </w:pPr>
          </w:p>
        </w:tc>
        <w:tc>
          <w:tcPr>
            <w:tcW w:w="62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8"/>
                <w:szCs w:val="8"/>
                <w:color w:val="auto"/>
              </w:rPr>
            </w:pPr>
          </w:p>
        </w:tc>
        <w:tc>
          <w:tcPr>
            <w:tcW w:w="32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1,061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220" w:type="dxa"/>
            <w:vAlign w:val="bottom"/>
          </w:tcPr>
          <w:p>
            <w:pPr>
              <w:ind w:left="120"/>
              <w:spacing w:after="0"/>
              <w:rPr>
                <w:sz w:val="20"/>
                <w:szCs w:val="20"/>
                <w:color w:val="auto"/>
              </w:rPr>
            </w:pPr>
            <w:r>
              <w:rPr>
                <w:rFonts w:ascii="Arial" w:cs="Arial" w:eastAsia="Arial" w:hAnsi="Arial"/>
                <w:sz w:val="12"/>
                <w:szCs w:val="12"/>
                <w:color w:val="auto"/>
              </w:rPr>
              <w:t>merger</w:t>
            </w:r>
          </w:p>
        </w:tc>
        <w:tc>
          <w:tcPr>
            <w:tcW w:w="5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220" w:type="dxa"/>
            <w:vAlign w:val="bottom"/>
            <w:shd w:val="clear" w:color="auto" w:fill="CCEEFF"/>
          </w:tcPr>
          <w:p>
            <w:pPr>
              <w:spacing w:after="0" w:line="110" w:lineRule="exact"/>
              <w:rPr>
                <w:sz w:val="20"/>
                <w:szCs w:val="20"/>
                <w:color w:val="auto"/>
              </w:rPr>
            </w:pPr>
            <w:r>
              <w:rPr>
                <w:rFonts w:ascii="Arial" w:cs="Arial" w:eastAsia="Arial" w:hAnsi="Arial"/>
                <w:sz w:val="12"/>
                <w:szCs w:val="12"/>
                <w:color w:val="auto"/>
              </w:rPr>
              <w:t>Issuance of common stock upon the</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vMerge w:val="restart"/>
            <w:shd w:val="clear" w:color="auto" w:fill="CCEEFF"/>
          </w:tcPr>
          <w:p>
            <w:pPr>
              <w:jc w:val="right"/>
              <w:ind w:right="82"/>
              <w:spacing w:after="0"/>
              <w:rPr>
                <w:sz w:val="20"/>
                <w:szCs w:val="20"/>
                <w:color w:val="auto"/>
              </w:rPr>
            </w:pPr>
            <w:r>
              <w:rPr>
                <w:rFonts w:ascii="Arial" w:cs="Arial" w:eastAsia="Arial" w:hAnsi="Arial"/>
                <w:sz w:val="12"/>
                <w:szCs w:val="12"/>
                <w:color w:val="auto"/>
              </w:rPr>
              <w:t>102,647</w:t>
            </w:r>
          </w:p>
        </w:tc>
        <w:tc>
          <w:tcPr>
            <w:tcW w:w="2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23"/>
              <w:spacing w:after="0"/>
              <w:rPr>
                <w:sz w:val="20"/>
                <w:szCs w:val="20"/>
                <w:color w:val="auto"/>
              </w:rPr>
            </w:pPr>
            <w:r>
              <w:rPr>
                <w:rFonts w:ascii="Arial" w:cs="Arial" w:eastAsia="Arial" w:hAnsi="Arial"/>
                <w:sz w:val="12"/>
                <w:szCs w:val="12"/>
                <w:color w:val="auto"/>
              </w:rPr>
              <w:t>46</w:t>
            </w:r>
          </w:p>
        </w:tc>
        <w:tc>
          <w:tcPr>
            <w:tcW w:w="2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47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stock options</w:t>
            </w:r>
          </w:p>
        </w:tc>
        <w:tc>
          <w:tcPr>
            <w:tcW w:w="580" w:type="dxa"/>
            <w:vAlign w:val="bottom"/>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tcPr>
          <w:p>
            <w:pPr>
              <w:spacing w:after="0"/>
              <w:rPr>
                <w:sz w:val="20"/>
                <w:szCs w:val="20"/>
                <w:color w:val="auto"/>
              </w:rPr>
            </w:pPr>
            <w:r>
              <w:rPr>
                <w:rFonts w:ascii="Arial" w:cs="Arial" w:eastAsia="Arial" w:hAnsi="Arial"/>
                <w:sz w:val="12"/>
                <w:szCs w:val="12"/>
                <w:color w:val="auto"/>
              </w:rPr>
              <w:t>Vesting of restricted stock</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rPr>
                <w:sz w:val="20"/>
                <w:szCs w:val="20"/>
                <w:color w:val="auto"/>
              </w:rPr>
            </w:pPr>
            <w:r>
              <w:rPr>
                <w:rFonts w:ascii="Arial" w:cs="Arial" w:eastAsia="Arial" w:hAnsi="Arial"/>
                <w:sz w:val="12"/>
                <w:szCs w:val="12"/>
                <w:color w:val="auto"/>
              </w:rPr>
              <w:t>379,426</w:t>
            </w:r>
          </w:p>
        </w:tc>
        <w:tc>
          <w:tcPr>
            <w:tcW w:w="2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2"/>
                <w:szCs w:val="12"/>
                <w:color w:val="auto"/>
              </w:rPr>
            </w:pPr>
          </w:p>
        </w:tc>
        <w:tc>
          <w:tcPr>
            <w:tcW w:w="580" w:type="dxa"/>
            <w:vAlign w:val="bottom"/>
          </w:tcPr>
          <w:p>
            <w:pPr>
              <w:jc w:val="right"/>
              <w:ind w:right="23"/>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shd w:val="clear" w:color="auto" w:fill="CCEEFF"/>
          </w:tcPr>
          <w:p>
            <w:pPr>
              <w:spacing w:after="0"/>
              <w:rPr>
                <w:sz w:val="20"/>
                <w:szCs w:val="20"/>
                <w:color w:val="auto"/>
              </w:rPr>
            </w:pPr>
            <w:r>
              <w:rPr>
                <w:rFonts w:ascii="Arial" w:cs="Arial" w:eastAsia="Arial" w:hAnsi="Arial"/>
                <w:sz w:val="12"/>
                <w:szCs w:val="12"/>
                <w:color w:val="auto"/>
              </w:rPr>
              <w:t>Vesting of early exercise stock options</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425,428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123</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220" w:type="dxa"/>
            <w:vAlign w:val="bottom"/>
          </w:tcPr>
          <w:p>
            <w:pPr>
              <w:spacing w:after="0" w:line="101" w:lineRule="exact"/>
              <w:rPr>
                <w:sz w:val="20"/>
                <w:szCs w:val="20"/>
                <w:color w:val="auto"/>
              </w:rPr>
            </w:pPr>
            <w:r>
              <w:rPr>
                <w:rFonts w:ascii="Arial" w:cs="Arial" w:eastAsia="Arial" w:hAnsi="Arial"/>
                <w:sz w:val="10"/>
                <w:szCs w:val="10"/>
                <w:color w:val="auto"/>
              </w:rPr>
              <w:t>Unrealized loss on short-term</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ind w:right="8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8"/>
                <w:szCs w:val="8"/>
                <w:color w:val="auto"/>
              </w:rPr>
            </w:pPr>
          </w:p>
        </w:tc>
        <w:tc>
          <w:tcPr>
            <w:tcW w:w="580" w:type="dxa"/>
            <w:vAlign w:val="bottom"/>
            <w:vMerge w:val="restart"/>
          </w:tcPr>
          <w:p>
            <w:pPr>
              <w:jc w:val="right"/>
              <w:ind w:right="23"/>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8"/>
                <w:szCs w:val="8"/>
                <w:color w:val="auto"/>
              </w:rPr>
            </w:pPr>
          </w:p>
        </w:tc>
        <w:tc>
          <w:tcPr>
            <w:tcW w:w="54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8"/>
                <w:szCs w:val="8"/>
                <w:color w:val="auto"/>
              </w:rPr>
            </w:pPr>
          </w:p>
        </w:tc>
        <w:tc>
          <w:tcPr>
            <w:tcW w:w="62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8"/>
                <w:szCs w:val="8"/>
                <w:color w:val="auto"/>
              </w:rPr>
            </w:pPr>
          </w:p>
        </w:tc>
        <w:tc>
          <w:tcPr>
            <w:tcW w:w="320" w:type="dxa"/>
            <w:vAlign w:val="bottom"/>
            <w:vMerge w:val="restart"/>
          </w:tcPr>
          <w:p>
            <w:pPr>
              <w:jc w:val="right"/>
              <w:ind w:right="22"/>
              <w:spacing w:after="0"/>
              <w:rPr>
                <w:sz w:val="20"/>
                <w:szCs w:val="20"/>
                <w:color w:val="auto"/>
              </w:rPr>
            </w:pPr>
            <w:r>
              <w:rPr>
                <w:rFonts w:ascii="Arial" w:cs="Arial" w:eastAsia="Arial" w:hAnsi="Arial"/>
                <w:sz w:val="12"/>
                <w:szCs w:val="12"/>
                <w:color w:val="auto"/>
              </w:rPr>
              <w:t>(27)</w:t>
            </w:r>
          </w:p>
        </w:tc>
        <w:tc>
          <w:tcPr>
            <w:tcW w:w="200" w:type="dxa"/>
            <w:vAlign w:val="bottom"/>
          </w:tcPr>
          <w:p>
            <w:pPr>
              <w:spacing w:after="0"/>
              <w:rPr>
                <w:sz w:val="8"/>
                <w:szCs w:val="8"/>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(27)</w:t>
            </w:r>
          </w:p>
        </w:tc>
        <w:tc>
          <w:tcPr>
            <w:tcW w:w="0" w:type="dxa"/>
            <w:vAlign w:val="bottom"/>
          </w:tcPr>
          <w:p>
            <w:pPr>
              <w:spacing w:after="0"/>
              <w:rPr>
                <w:sz w:val="1"/>
                <w:szCs w:val="1"/>
                <w:color w:val="auto"/>
              </w:rPr>
            </w:pPr>
          </w:p>
        </w:tc>
      </w:tr>
      <w:tr>
        <w:trPr>
          <w:trHeight w:val="138"/>
        </w:trPr>
        <w:tc>
          <w:tcPr>
            <w:tcW w:w="2220" w:type="dxa"/>
            <w:vAlign w:val="bottom"/>
          </w:tcPr>
          <w:p>
            <w:pPr>
              <w:ind w:left="120"/>
              <w:spacing w:after="0"/>
              <w:rPr>
                <w:sz w:val="20"/>
                <w:szCs w:val="20"/>
                <w:color w:val="auto"/>
              </w:rPr>
            </w:pPr>
            <w:r>
              <w:rPr>
                <w:rFonts w:ascii="Arial" w:cs="Arial" w:eastAsia="Arial" w:hAnsi="Arial"/>
                <w:sz w:val="12"/>
                <w:szCs w:val="12"/>
                <w:color w:val="auto"/>
              </w:rPr>
              <w:t>investments</w:t>
            </w:r>
          </w:p>
        </w:tc>
        <w:tc>
          <w:tcPr>
            <w:tcW w:w="5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translation</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tcPr>
          <w:p>
            <w:pPr>
              <w:spacing w:after="0"/>
              <w:rPr>
                <w:sz w:val="20"/>
                <w:szCs w:val="20"/>
                <w:color w:val="auto"/>
              </w:rPr>
            </w:pPr>
            <w:r>
              <w:rPr>
                <w:rFonts w:ascii="Arial" w:cs="Arial" w:eastAsia="Arial" w:hAnsi="Arial"/>
                <w:sz w:val="12"/>
                <w:szCs w:val="12"/>
                <w:color w:val="auto"/>
              </w:rPr>
              <w:t>Stock based compensation</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2"/>
                <w:szCs w:val="12"/>
                <w:color w:val="auto"/>
              </w:rPr>
            </w:pPr>
          </w:p>
        </w:tc>
        <w:tc>
          <w:tcPr>
            <w:tcW w:w="580" w:type="dxa"/>
            <w:vAlign w:val="bottom"/>
          </w:tcPr>
          <w:p>
            <w:pPr>
              <w:jc w:val="right"/>
              <w:ind w:right="23"/>
              <w:spacing w:after="0"/>
              <w:rPr>
                <w:sz w:val="20"/>
                <w:szCs w:val="20"/>
                <w:color w:val="auto"/>
              </w:rPr>
            </w:pPr>
            <w:r>
              <w:rPr>
                <w:rFonts w:ascii="Arial" w:cs="Arial" w:eastAsia="Arial" w:hAnsi="Arial"/>
                <w:sz w:val="12"/>
                <w:szCs w:val="12"/>
                <w:color w:val="auto"/>
              </w:rPr>
              <w:t>95</w:t>
            </w:r>
          </w:p>
        </w:tc>
        <w:tc>
          <w:tcPr>
            <w:tcW w:w="240" w:type="dxa"/>
            <w:vAlign w:val="bottom"/>
          </w:tcPr>
          <w:p>
            <w:pPr>
              <w:spacing w:after="0"/>
              <w:rPr>
                <w:sz w:val="12"/>
                <w:szCs w:val="12"/>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3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220" w:type="dxa"/>
            <w:vAlign w:val="bottom"/>
            <w:tcBorders>
              <w:bottom w:val="single" w:sz="8" w:color="CCEEFF"/>
            </w:tcBorders>
            <w:shd w:val="clear" w:color="auto" w:fill="CCEEFF"/>
          </w:tcPr>
          <w:p>
            <w:pPr>
              <w:spacing w:after="0" w:line="130" w:lineRule="exact"/>
              <w:rPr>
                <w:sz w:val="20"/>
                <w:szCs w:val="20"/>
                <w:color w:val="auto"/>
              </w:rPr>
            </w:pPr>
            <w:r>
              <w:rPr>
                <w:rFonts w:ascii="Arial" w:cs="Arial" w:eastAsia="Arial" w:hAnsi="Arial"/>
                <w:sz w:val="12"/>
                <w:szCs w:val="12"/>
                <w:color w:val="auto"/>
              </w:rPr>
              <w:t>Net loss</w:t>
            </w:r>
          </w:p>
        </w:tc>
        <w:tc>
          <w:tcPr>
            <w:tcW w:w="58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ind w:right="2"/>
              <w:spacing w:after="0" w:line="130" w:lineRule="exact"/>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CEEFF"/>
          </w:tcPr>
          <w:p>
            <w:pPr>
              <w:jc w:val="right"/>
              <w:ind w:right="42"/>
              <w:spacing w:after="0" w:line="130" w:lineRule="exact"/>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82"/>
              <w:spacing w:after="0" w:line="130"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color w:val="auto"/>
                <w:w w:val="82"/>
              </w:rPr>
              <w:t>—</w:t>
            </w:r>
          </w:p>
        </w:tc>
        <w:tc>
          <w:tcPr>
            <w:tcW w:w="14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23"/>
              <w:spacing w:after="0" w:line="130" w:lineRule="exact"/>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ind w:right="22"/>
              <w:spacing w:after="0" w:line="130"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2"/>
              <w:spacing w:after="0" w:line="130" w:lineRule="exact"/>
              <w:rPr>
                <w:sz w:val="20"/>
                <w:szCs w:val="20"/>
                <w:color w:val="auto"/>
              </w:rPr>
            </w:pPr>
            <w:r>
              <w:rPr>
                <w:rFonts w:ascii="Arial" w:cs="Arial" w:eastAsia="Arial" w:hAnsi="Arial"/>
                <w:sz w:val="12"/>
                <w:szCs w:val="12"/>
                <w:color w:val="auto"/>
              </w:rPr>
              <w:t>(18,348)</w:t>
            </w:r>
          </w:p>
        </w:tc>
        <w:tc>
          <w:tcPr>
            <w:tcW w:w="64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ind w:right="62"/>
              <w:spacing w:after="0" w:line="130" w:lineRule="exact"/>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2"/>
                <w:szCs w:val="12"/>
                <w:b w:val="1"/>
                <w:bCs w:val="1"/>
                <w:color w:val="auto"/>
              </w:rPr>
              <w:t>(18,348)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20"/>
                <w:szCs w:val="20"/>
                <w:color w:val="auto"/>
              </w:rPr>
            </w:pPr>
            <w:r>
              <w:rPr>
                <w:rFonts w:ascii="Arial" w:cs="Arial" w:eastAsia="Arial" w:hAnsi="Arial"/>
                <w:sz w:val="12"/>
                <w:szCs w:val="12"/>
                <w:b w:val="1"/>
                <w:bCs w:val="1"/>
                <w:color w:val="auto"/>
              </w:rPr>
              <w:t>Balance, March 31, 2021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3"/>
              </w:rPr>
              <w:t>35,000,000</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4"/>
              </w:rPr>
              <w:t>$ 34,922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3"/>
              </w:rPr>
              <w:t>26,143,790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5"/>
              </w:rPr>
              <w:t>$144,839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5"/>
              </w:rPr>
              <w:t>24,721,999$</w:t>
            </w:r>
          </w:p>
        </w:tc>
        <w:tc>
          <w:tcPr>
            <w:tcW w:w="116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2"/>
                <w:szCs w:val="12"/>
                <w:b w:val="1"/>
                <w:bCs w:val="1"/>
                <w:color w:val="auto"/>
                <w:w w:val="93"/>
              </w:rPr>
              <w:t>159,628 19,732,637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w:t>
            </w: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b w:val="1"/>
                <w:bCs w:val="1"/>
                <w:color w:val="auto"/>
              </w:rPr>
              <w:t>219,156</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(310,690)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3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(26)</w:t>
            </w: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(91,557)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-1403985</wp:posOffset>
            </wp:positionV>
            <wp:extent cx="1404620"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404620" cy="6985"/>
                    </a:xfrm>
                    <a:prstGeom prst="rect">
                      <a:avLst/>
                    </a:prstGeom>
                    <a:noFill/>
                  </pic:spPr>
                </pic:pic>
              </a:graphicData>
            </a:graphic>
          </wp:anchor>
        </w:drawing>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140"/>
        </w:trPr>
        <w:tc>
          <w:tcPr>
            <w:tcW w:w="1620" w:type="dxa"/>
            <w:vAlign w:val="bottom"/>
          </w:tcPr>
          <w:p>
            <w:pPr>
              <w:spacing w:after="0"/>
              <w:rPr>
                <w:sz w:val="12"/>
                <w:szCs w:val="12"/>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2"/>
                <w:szCs w:val="12"/>
                <w:b w:val="1"/>
                <w:bCs w:val="1"/>
                <w:color w:val="auto"/>
              </w:rPr>
              <w:t>Series A</w:t>
            </w:r>
          </w:p>
        </w:tc>
        <w:tc>
          <w:tcPr>
            <w:tcW w:w="1140" w:type="dxa"/>
            <w:vAlign w:val="bottom"/>
            <w:gridSpan w:val="2"/>
          </w:tcPr>
          <w:p>
            <w:pPr>
              <w:jc w:val="right"/>
              <w:ind w:right="122"/>
              <w:spacing w:after="0"/>
              <w:rPr>
                <w:sz w:val="20"/>
                <w:szCs w:val="20"/>
                <w:color w:val="auto"/>
              </w:rPr>
            </w:pPr>
            <w:r>
              <w:rPr>
                <w:rFonts w:ascii="Arial" w:cs="Arial" w:eastAsia="Arial" w:hAnsi="Arial"/>
                <w:sz w:val="12"/>
                <w:szCs w:val="12"/>
                <w:b w:val="1"/>
                <w:bCs w:val="1"/>
                <w:color w:val="auto"/>
              </w:rPr>
              <w:t>Series B</w:t>
            </w:r>
          </w:p>
        </w:tc>
        <w:tc>
          <w:tcPr>
            <w:tcW w:w="280" w:type="dxa"/>
            <w:vAlign w:val="bottom"/>
          </w:tcPr>
          <w:p>
            <w:pPr>
              <w:spacing w:after="0"/>
              <w:rPr>
                <w:sz w:val="12"/>
                <w:szCs w:val="12"/>
                <w:color w:val="auto"/>
              </w:rPr>
            </w:pPr>
          </w:p>
        </w:tc>
        <w:tc>
          <w:tcPr>
            <w:tcW w:w="640" w:type="dxa"/>
            <w:vAlign w:val="bottom"/>
          </w:tcPr>
          <w:p>
            <w:pPr>
              <w:jc w:val="right"/>
              <w:ind w:right="82"/>
              <w:spacing w:after="0"/>
              <w:rPr>
                <w:sz w:val="20"/>
                <w:szCs w:val="20"/>
                <w:color w:val="auto"/>
              </w:rPr>
            </w:pPr>
            <w:r>
              <w:rPr>
                <w:rFonts w:ascii="Arial" w:cs="Arial" w:eastAsia="Arial" w:hAnsi="Arial"/>
                <w:sz w:val="12"/>
                <w:szCs w:val="12"/>
                <w:b w:val="1"/>
                <w:bCs w:val="1"/>
                <w:color w:val="auto"/>
                <w:w w:val="99"/>
              </w:rPr>
              <w:t>Series C</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gridSpan w:val="2"/>
          </w:tcPr>
          <w:p>
            <w:pPr>
              <w:jc w:val="right"/>
              <w:ind w:right="102"/>
              <w:spacing w:after="0"/>
              <w:rPr>
                <w:sz w:val="20"/>
                <w:szCs w:val="20"/>
                <w:color w:val="auto"/>
              </w:rPr>
            </w:pPr>
            <w:r>
              <w:rPr>
                <w:rFonts w:ascii="Arial" w:cs="Arial" w:eastAsia="Arial" w:hAnsi="Arial"/>
                <w:sz w:val="12"/>
                <w:szCs w:val="12"/>
                <w:b w:val="1"/>
                <w:bCs w:val="1"/>
                <w:color w:val="auto"/>
              </w:rPr>
              <w:t>Accumulated</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1140" w:type="dxa"/>
            <w:vAlign w:val="bottom"/>
            <w:gridSpan w:val="2"/>
          </w:tcPr>
          <w:p>
            <w:pPr>
              <w:jc w:val="right"/>
              <w:ind w:right="62"/>
              <w:spacing w:after="0" w:line="108" w:lineRule="exact"/>
              <w:rPr>
                <w:sz w:val="20"/>
                <w:szCs w:val="20"/>
                <w:color w:val="auto"/>
              </w:rPr>
            </w:pPr>
            <w:r>
              <w:rPr>
                <w:rFonts w:ascii="Arial" w:cs="Arial" w:eastAsia="Arial" w:hAnsi="Arial"/>
                <w:sz w:val="12"/>
                <w:szCs w:val="12"/>
                <w:b w:val="1"/>
                <w:bCs w:val="1"/>
                <w:color w:val="auto"/>
              </w:rPr>
              <w:t>Convertible</w:t>
            </w:r>
          </w:p>
        </w:tc>
        <w:tc>
          <w:tcPr>
            <w:tcW w:w="1140" w:type="dxa"/>
            <w:vAlign w:val="bottom"/>
            <w:gridSpan w:val="2"/>
          </w:tcPr>
          <w:p>
            <w:pPr>
              <w:jc w:val="right"/>
              <w:ind w:right="122"/>
              <w:spacing w:after="0" w:line="108" w:lineRule="exact"/>
              <w:rPr>
                <w:sz w:val="20"/>
                <w:szCs w:val="20"/>
                <w:color w:val="auto"/>
              </w:rPr>
            </w:pPr>
            <w:r>
              <w:rPr>
                <w:rFonts w:ascii="Arial" w:cs="Arial" w:eastAsia="Arial" w:hAnsi="Arial"/>
                <w:sz w:val="12"/>
                <w:szCs w:val="12"/>
                <w:b w:val="1"/>
                <w:bCs w:val="1"/>
                <w:color w:val="auto"/>
              </w:rPr>
              <w:t>Convertible</w:t>
            </w:r>
          </w:p>
        </w:tc>
        <w:tc>
          <w:tcPr>
            <w:tcW w:w="920" w:type="dxa"/>
            <w:vAlign w:val="bottom"/>
            <w:gridSpan w:val="2"/>
          </w:tcPr>
          <w:p>
            <w:pPr>
              <w:jc w:val="right"/>
              <w:ind w:right="82"/>
              <w:spacing w:after="0" w:line="108" w:lineRule="exact"/>
              <w:rPr>
                <w:sz w:val="20"/>
                <w:szCs w:val="20"/>
                <w:color w:val="auto"/>
              </w:rPr>
            </w:pPr>
            <w:r>
              <w:rPr>
                <w:rFonts w:ascii="Arial" w:cs="Arial" w:eastAsia="Arial" w:hAnsi="Arial"/>
                <w:sz w:val="12"/>
                <w:szCs w:val="12"/>
                <w:b w:val="1"/>
                <w:bCs w:val="1"/>
                <w:color w:val="auto"/>
              </w:rPr>
              <w:t>Convertible</w:t>
            </w:r>
          </w:p>
        </w:tc>
        <w:tc>
          <w:tcPr>
            <w:tcW w:w="1660" w:type="dxa"/>
            <w:vAlign w:val="bottom"/>
            <w:gridSpan w:val="5"/>
            <w:vMerge w:val="restart"/>
          </w:tcPr>
          <w:p>
            <w:pPr>
              <w:jc w:val="right"/>
              <w:ind w:right="43"/>
              <w:spacing w:after="0" w:line="215" w:lineRule="exact"/>
              <w:rPr>
                <w:sz w:val="20"/>
                <w:szCs w:val="20"/>
                <w:color w:val="auto"/>
              </w:rPr>
            </w:pPr>
            <w:r>
              <w:rPr>
                <w:rFonts w:ascii="Arial" w:cs="Arial" w:eastAsia="Arial" w:hAnsi="Arial"/>
                <w:sz w:val="12"/>
                <w:szCs w:val="12"/>
                <w:b w:val="1"/>
                <w:bCs w:val="1"/>
                <w:color w:val="auto"/>
                <w:w w:val="92"/>
              </w:rPr>
              <w:t xml:space="preserve">Common Stock </w:t>
            </w:r>
            <w:r>
              <w:rPr>
                <w:rFonts w:ascii="Arial" w:cs="Arial" w:eastAsia="Arial" w:hAnsi="Arial"/>
                <w:sz w:val="23"/>
                <w:szCs w:val="23"/>
                <w:b w:val="1"/>
                <w:bCs w:val="1"/>
                <w:color w:val="auto"/>
                <w:w w:val="92"/>
                <w:vertAlign w:val="superscript"/>
              </w:rPr>
              <w:t>Additional</w:t>
            </w: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gridSpan w:val="2"/>
          </w:tcPr>
          <w:p>
            <w:pPr>
              <w:jc w:val="center"/>
              <w:ind w:left="263"/>
              <w:spacing w:after="0" w:line="108" w:lineRule="exact"/>
              <w:rPr>
                <w:sz w:val="20"/>
                <w:szCs w:val="20"/>
                <w:color w:val="auto"/>
              </w:rPr>
            </w:pPr>
            <w:r>
              <w:rPr>
                <w:rFonts w:ascii="Arial" w:cs="Arial" w:eastAsia="Arial" w:hAnsi="Arial"/>
                <w:sz w:val="12"/>
                <w:szCs w:val="12"/>
                <w:b w:val="1"/>
                <w:bCs w:val="1"/>
                <w:color w:val="auto"/>
                <w:w w:val="99"/>
              </w:rPr>
              <w:t>Other</w:t>
            </w:r>
          </w:p>
        </w:tc>
        <w:tc>
          <w:tcPr>
            <w:tcW w:w="200" w:type="dxa"/>
            <w:vAlign w:val="bottom"/>
          </w:tcPr>
          <w:p>
            <w:pPr>
              <w:spacing w:after="0"/>
              <w:rPr>
                <w:sz w:val="9"/>
                <w:szCs w:val="9"/>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1140" w:type="dxa"/>
            <w:vAlign w:val="bottom"/>
            <w:gridSpan w:val="2"/>
          </w:tcPr>
          <w:p>
            <w:pPr>
              <w:jc w:val="right"/>
              <w:ind w:right="42"/>
              <w:spacing w:after="0" w:line="108" w:lineRule="exact"/>
              <w:rPr>
                <w:sz w:val="20"/>
                <w:szCs w:val="20"/>
                <w:color w:val="auto"/>
              </w:rPr>
            </w:pPr>
            <w:r>
              <w:rPr>
                <w:rFonts w:ascii="Arial" w:cs="Arial" w:eastAsia="Arial" w:hAnsi="Arial"/>
                <w:sz w:val="12"/>
                <w:szCs w:val="12"/>
                <w:b w:val="1"/>
                <w:bCs w:val="1"/>
                <w:color w:val="auto"/>
              </w:rPr>
              <w:t>Preferred Stock</w:t>
            </w:r>
          </w:p>
        </w:tc>
        <w:tc>
          <w:tcPr>
            <w:tcW w:w="2060" w:type="dxa"/>
            <w:vAlign w:val="bottom"/>
            <w:gridSpan w:val="4"/>
          </w:tcPr>
          <w:p>
            <w:pPr>
              <w:jc w:val="right"/>
              <w:ind w:right="42"/>
              <w:spacing w:after="0" w:line="108" w:lineRule="exact"/>
              <w:rPr>
                <w:sz w:val="20"/>
                <w:szCs w:val="20"/>
                <w:color w:val="auto"/>
              </w:rPr>
            </w:pPr>
            <w:r>
              <w:rPr>
                <w:rFonts w:ascii="Arial" w:cs="Arial" w:eastAsia="Arial" w:hAnsi="Arial"/>
                <w:sz w:val="12"/>
                <w:szCs w:val="12"/>
                <w:b w:val="1"/>
                <w:bCs w:val="1"/>
                <w:color w:val="auto"/>
              </w:rPr>
              <w:t>Preferred Stock Preferred Stock</w:t>
            </w:r>
          </w:p>
        </w:tc>
        <w:tc>
          <w:tcPr>
            <w:tcW w:w="1660" w:type="dxa"/>
            <w:vAlign w:val="bottom"/>
            <w:gridSpan w:val="5"/>
            <w:vMerge w:val="continue"/>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gridSpan w:val="3"/>
          </w:tcPr>
          <w:p>
            <w:pPr>
              <w:jc w:val="right"/>
              <w:ind w:right="102"/>
              <w:spacing w:after="0" w:line="108" w:lineRule="exact"/>
              <w:rPr>
                <w:sz w:val="20"/>
                <w:szCs w:val="20"/>
                <w:color w:val="auto"/>
              </w:rPr>
            </w:pPr>
            <w:r>
              <w:rPr>
                <w:rFonts w:ascii="Arial" w:cs="Arial" w:eastAsia="Arial" w:hAnsi="Arial"/>
                <w:sz w:val="12"/>
                <w:szCs w:val="12"/>
                <w:b w:val="1"/>
                <w:bCs w:val="1"/>
                <w:color w:val="auto"/>
              </w:rPr>
              <w:t>Comprehensive</w:t>
            </w:r>
          </w:p>
        </w:tc>
        <w:tc>
          <w:tcPr>
            <w:tcW w:w="20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16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180" w:type="dxa"/>
            <w:vAlign w:val="bottom"/>
            <w:gridSpan w:val="5"/>
            <w:vMerge w:val="restart"/>
          </w:tcPr>
          <w:p>
            <w:pPr>
              <w:jc w:val="right"/>
              <w:ind w:right="82"/>
              <w:spacing w:after="0" w:line="87" w:lineRule="exact"/>
              <w:rPr>
                <w:sz w:val="20"/>
                <w:szCs w:val="20"/>
                <w:color w:val="auto"/>
              </w:rPr>
            </w:pPr>
            <w:r>
              <w:rPr>
                <w:rFonts w:ascii="Arial" w:cs="Arial" w:eastAsia="Arial" w:hAnsi="Arial"/>
                <w:sz w:val="10"/>
                <w:szCs w:val="10"/>
                <w:b w:val="1"/>
                <w:bCs w:val="1"/>
                <w:color w:val="auto"/>
              </w:rPr>
              <w:t>Paid-In Subscription Accumulated</w:t>
            </w:r>
          </w:p>
        </w:tc>
        <w:tc>
          <w:tcPr>
            <w:tcW w:w="1720" w:type="dxa"/>
            <w:vAlign w:val="bottom"/>
            <w:gridSpan w:val="5"/>
            <w:vMerge w:val="restart"/>
          </w:tcPr>
          <w:p>
            <w:pPr>
              <w:jc w:val="right"/>
              <w:ind w:right="80"/>
              <w:spacing w:after="0" w:line="87" w:lineRule="exact"/>
              <w:rPr>
                <w:sz w:val="20"/>
                <w:szCs w:val="20"/>
                <w:color w:val="auto"/>
              </w:rPr>
            </w:pPr>
            <w:r>
              <w:rPr>
                <w:rFonts w:ascii="Arial" w:cs="Arial" w:eastAsia="Arial" w:hAnsi="Arial"/>
                <w:sz w:val="10"/>
                <w:szCs w:val="10"/>
                <w:b w:val="1"/>
                <w:bCs w:val="1"/>
                <w:color w:val="auto"/>
              </w:rPr>
              <w:t>Income Stockholders’</w:t>
            </w: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1140" w:type="dxa"/>
            <w:vAlign w:val="bottom"/>
            <w:gridSpan w:val="2"/>
            <w:vMerge w:val="restart"/>
          </w:tcPr>
          <w:p>
            <w:pPr>
              <w:jc w:val="right"/>
              <w:ind w:right="42"/>
              <w:spacing w:after="0"/>
              <w:rPr>
                <w:sz w:val="20"/>
                <w:szCs w:val="20"/>
                <w:color w:val="auto"/>
              </w:rPr>
            </w:pPr>
            <w:r>
              <w:rPr>
                <w:rFonts w:ascii="Arial" w:cs="Arial" w:eastAsia="Arial" w:hAnsi="Arial"/>
                <w:sz w:val="12"/>
                <w:szCs w:val="12"/>
                <w:b w:val="1"/>
                <w:bCs w:val="1"/>
                <w:color w:val="auto"/>
              </w:rPr>
              <w:t>SharesAmount</w:t>
            </w:r>
          </w:p>
        </w:tc>
        <w:tc>
          <w:tcPr>
            <w:tcW w:w="14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Shares AmountShares</w:t>
            </w:r>
          </w:p>
        </w:tc>
        <w:tc>
          <w:tcPr>
            <w:tcW w:w="64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Amount</w:t>
            </w:r>
          </w:p>
        </w:tc>
        <w:tc>
          <w:tcPr>
            <w:tcW w:w="96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SharesAmount</w:t>
            </w:r>
          </w:p>
        </w:tc>
        <w:tc>
          <w:tcPr>
            <w:tcW w:w="140" w:type="dxa"/>
            <w:vAlign w:val="bottom"/>
          </w:tcPr>
          <w:p>
            <w:pPr>
              <w:spacing w:after="0"/>
              <w:rPr>
                <w:sz w:val="2"/>
                <w:szCs w:val="2"/>
                <w:color w:val="auto"/>
              </w:rPr>
            </w:pPr>
          </w:p>
        </w:tc>
        <w:tc>
          <w:tcPr>
            <w:tcW w:w="2180" w:type="dxa"/>
            <w:vAlign w:val="bottom"/>
            <w:gridSpan w:val="5"/>
            <w:vMerge w:val="continue"/>
          </w:tcPr>
          <w:p>
            <w:pPr>
              <w:spacing w:after="0"/>
              <w:rPr>
                <w:sz w:val="2"/>
                <w:szCs w:val="2"/>
                <w:color w:val="auto"/>
              </w:rPr>
            </w:pPr>
          </w:p>
        </w:tc>
        <w:tc>
          <w:tcPr>
            <w:tcW w:w="172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16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23"/>
              <w:spacing w:after="0"/>
              <w:rPr>
                <w:sz w:val="20"/>
                <w:szCs w:val="20"/>
                <w:color w:val="auto"/>
              </w:rPr>
            </w:pPr>
            <w:r>
              <w:rPr>
                <w:rFonts w:ascii="Arial" w:cs="Arial" w:eastAsia="Arial" w:hAnsi="Arial"/>
                <w:sz w:val="12"/>
                <w:szCs w:val="12"/>
                <w:b w:val="1"/>
                <w:bCs w:val="1"/>
                <w:color w:val="auto"/>
              </w:rPr>
              <w:t>Capital</w:t>
            </w:r>
          </w:p>
        </w:tc>
        <w:tc>
          <w:tcPr>
            <w:tcW w:w="800" w:type="dxa"/>
            <w:vAlign w:val="bottom"/>
            <w:gridSpan w:val="2"/>
          </w:tcPr>
          <w:p>
            <w:pPr>
              <w:jc w:val="right"/>
              <w:ind w:right="42"/>
              <w:spacing w:after="0"/>
              <w:rPr>
                <w:sz w:val="20"/>
                <w:szCs w:val="20"/>
                <w:color w:val="auto"/>
              </w:rPr>
            </w:pPr>
            <w:r>
              <w:rPr>
                <w:rFonts w:ascii="Arial" w:cs="Arial" w:eastAsia="Arial" w:hAnsi="Arial"/>
                <w:sz w:val="12"/>
                <w:szCs w:val="12"/>
                <w:b w:val="1"/>
                <w:bCs w:val="1"/>
                <w:color w:val="auto"/>
              </w:rPr>
              <w:t>Receivable</w:t>
            </w:r>
          </w:p>
        </w:tc>
        <w:tc>
          <w:tcPr>
            <w:tcW w:w="180" w:type="dxa"/>
            <w:vAlign w:val="bottom"/>
          </w:tcPr>
          <w:p>
            <w:pPr>
              <w:spacing w:after="0"/>
              <w:rPr>
                <w:sz w:val="13"/>
                <w:szCs w:val="13"/>
                <w:color w:val="auto"/>
              </w:rPr>
            </w:pPr>
          </w:p>
        </w:tc>
        <w:tc>
          <w:tcPr>
            <w:tcW w:w="640" w:type="dxa"/>
            <w:vAlign w:val="bottom"/>
          </w:tcPr>
          <w:p>
            <w:pPr>
              <w:jc w:val="right"/>
              <w:ind w:right="62"/>
              <w:spacing w:after="0"/>
              <w:rPr>
                <w:sz w:val="20"/>
                <w:szCs w:val="20"/>
                <w:color w:val="auto"/>
              </w:rPr>
            </w:pPr>
            <w:r>
              <w:rPr>
                <w:rFonts w:ascii="Arial" w:cs="Arial" w:eastAsia="Arial" w:hAnsi="Arial"/>
                <w:sz w:val="12"/>
                <w:szCs w:val="12"/>
                <w:b w:val="1"/>
                <w:bCs w:val="1"/>
                <w:color w:val="auto"/>
              </w:rPr>
              <w:t>Deficit</w:t>
            </w:r>
          </w:p>
        </w:tc>
        <w:tc>
          <w:tcPr>
            <w:tcW w:w="960" w:type="dxa"/>
            <w:vAlign w:val="bottom"/>
            <w:gridSpan w:val="2"/>
          </w:tcPr>
          <w:p>
            <w:pPr>
              <w:jc w:val="center"/>
              <w:ind w:left="303"/>
              <w:spacing w:after="0"/>
              <w:rPr>
                <w:sz w:val="20"/>
                <w:szCs w:val="20"/>
                <w:color w:val="auto"/>
              </w:rPr>
            </w:pPr>
            <w:r>
              <w:rPr>
                <w:rFonts w:ascii="Arial" w:cs="Arial" w:eastAsia="Arial" w:hAnsi="Arial"/>
                <w:sz w:val="12"/>
                <w:szCs w:val="12"/>
                <w:b w:val="1"/>
                <w:bCs w:val="1"/>
                <w:color w:val="auto"/>
                <w:w w:val="99"/>
              </w:rPr>
              <w:t>(Loss)</w:t>
            </w:r>
          </w:p>
        </w:tc>
        <w:tc>
          <w:tcPr>
            <w:tcW w:w="2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53"/>
        </w:trPr>
        <w:tc>
          <w:tcPr>
            <w:tcW w:w="16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w w:val="99"/>
              </w:rPr>
              <w:t>Balance, December 31, 2019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6"/>
              </w:rPr>
              <w:t>35,000,000</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$ 34,922 26,143,790</w:t>
            </w:r>
          </w:p>
        </w:tc>
        <w:tc>
          <w:tcPr>
            <w:tcW w:w="62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b w:val="1"/>
                <w:bCs w:val="1"/>
                <w:color w:val="auto"/>
                <w:w w:val="91"/>
              </w:rPr>
              <w:t>$144,839</w:t>
            </w:r>
          </w:p>
        </w:tc>
        <w:tc>
          <w:tcPr>
            <w:tcW w:w="2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2"/>
                <w:szCs w:val="12"/>
                <w:b w:val="1"/>
                <w:bCs w:val="1"/>
                <w:color w:val="auto"/>
                <w:w w:val="82"/>
              </w:rPr>
              <w:t>—</w:t>
            </w:r>
          </w:p>
        </w:tc>
        <w:tc>
          <w:tcPr>
            <w:tcW w:w="1260" w:type="dxa"/>
            <w:vAlign w:val="bottom"/>
            <w:tcBorders>
              <w:top w:val="single" w:sz="8" w:color="auto"/>
            </w:tcBorders>
            <w:gridSpan w:val="2"/>
            <w:shd w:val="clear" w:color="auto" w:fill="CCEEFF"/>
          </w:tcPr>
          <w:p>
            <w:pPr>
              <w:jc w:val="right"/>
              <w:ind w:right="62"/>
              <w:spacing w:after="0"/>
              <w:rPr>
                <w:sz w:val="20"/>
                <w:szCs w:val="20"/>
                <w:color w:val="auto"/>
              </w:rPr>
            </w:pPr>
            <w:r>
              <w:rPr>
                <w:rFonts w:ascii="Arial" w:cs="Arial" w:eastAsia="Arial" w:hAnsi="Arial"/>
                <w:sz w:val="12"/>
                <w:szCs w:val="12"/>
                <w:b w:val="1"/>
                <w:bCs w:val="1"/>
                <w:color w:val="auto"/>
              </w:rPr>
              <w:t>$ — 18,825,136</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b w:val="1"/>
                <w:bCs w:val="1"/>
                <w:color w:val="auto"/>
              </w:rPr>
              <w:t>216,909</w:t>
            </w:r>
          </w:p>
        </w:tc>
        <w:tc>
          <w:tcPr>
            <w:tcW w:w="2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(70,000)</w:t>
            </w: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w:t>
            </w:r>
          </w:p>
        </w:tc>
        <w:tc>
          <w:tcPr>
            <w:tcW w:w="6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(238,767)</w:t>
            </w:r>
          </w:p>
        </w:tc>
        <w:tc>
          <w:tcPr>
            <w:tcW w:w="700" w:type="dxa"/>
            <w:vAlign w:val="bottom"/>
            <w:tcBorders>
              <w:top w:val="single" w:sz="8" w:color="auto"/>
            </w:tcBorders>
            <w:shd w:val="clear" w:color="auto" w:fill="CCEEFF"/>
          </w:tcPr>
          <w:p>
            <w:pPr>
              <w:jc w:val="center"/>
              <w:ind w:left="523"/>
              <w:spacing w:after="0"/>
              <w:rPr>
                <w:sz w:val="20"/>
                <w:szCs w:val="20"/>
                <w:color w:val="auto"/>
              </w:rPr>
            </w:pPr>
            <w:r>
              <w:rPr>
                <w:rFonts w:ascii="Arial" w:cs="Arial" w:eastAsia="Arial" w:hAnsi="Arial"/>
                <w:sz w:val="12"/>
                <w:szCs w:val="12"/>
                <w:b w:val="1"/>
                <w:bCs w:val="1"/>
                <w:color w:val="auto"/>
              </w:rPr>
              <w:t>$</w:t>
            </w:r>
          </w:p>
        </w:tc>
        <w:tc>
          <w:tcPr>
            <w:tcW w:w="2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b w:val="1"/>
                <w:bCs w:val="1"/>
                <w:color w:val="auto"/>
              </w:rPr>
              <w:t>(3)</w:t>
            </w:r>
          </w:p>
        </w:tc>
        <w:tc>
          <w:tcPr>
            <w:tcW w:w="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(91,859)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line="123" w:lineRule="exact"/>
              <w:rPr>
                <w:sz w:val="20"/>
                <w:szCs w:val="20"/>
                <w:color w:val="auto"/>
              </w:rPr>
            </w:pPr>
            <w:r>
              <w:rPr>
                <w:rFonts w:ascii="Arial" w:cs="Arial" w:eastAsia="Arial" w:hAnsi="Arial"/>
                <w:sz w:val="12"/>
                <w:szCs w:val="12"/>
                <w:color w:val="auto"/>
              </w:rPr>
              <w:t>Unrealized gain on short-term</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40" w:type="dxa"/>
            <w:vAlign w:val="bottom"/>
            <w:vMerge w:val="restart"/>
          </w:tcPr>
          <w:p>
            <w:pPr>
              <w:ind w:left="340"/>
              <w:spacing w:after="0"/>
              <w:rPr>
                <w:sz w:val="20"/>
                <w:szCs w:val="20"/>
                <w:color w:val="auto"/>
              </w:rPr>
            </w:pPr>
            <w:r>
              <w:rPr>
                <w:rFonts w:ascii="Arial" w:cs="Arial" w:eastAsia="Arial" w:hAnsi="Arial"/>
                <w:sz w:val="12"/>
                <w:szCs w:val="12"/>
                <w:color w:val="auto"/>
              </w:rPr>
              <w:t>—</w:t>
            </w: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ind w:right="82"/>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ind w:left="160"/>
              <w:spacing w:after="0"/>
              <w:rPr>
                <w:sz w:val="20"/>
                <w:szCs w:val="20"/>
                <w:color w:val="auto"/>
              </w:rPr>
            </w:pPr>
            <w:r>
              <w:rPr>
                <w:rFonts w:ascii="Arial" w:cs="Arial" w:eastAsia="Arial" w:hAnsi="Arial"/>
                <w:sz w:val="12"/>
                <w:szCs w:val="12"/>
                <w:color w:val="auto"/>
                <w:w w:val="82"/>
              </w:rPr>
              <w:t>—</w:t>
            </w:r>
          </w:p>
        </w:tc>
        <w:tc>
          <w:tcPr>
            <w:tcW w:w="640" w:type="dxa"/>
            <w:vAlign w:val="bottom"/>
            <w:vMerge w:val="restart"/>
          </w:tcPr>
          <w:p>
            <w:pPr>
              <w:ind w:left="42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0"/>
                <w:szCs w:val="10"/>
                <w:color w:val="auto"/>
              </w:rPr>
            </w:pPr>
          </w:p>
        </w:tc>
        <w:tc>
          <w:tcPr>
            <w:tcW w:w="56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0"/>
                <w:szCs w:val="10"/>
                <w:color w:val="auto"/>
              </w:rPr>
            </w:pPr>
          </w:p>
        </w:tc>
        <w:tc>
          <w:tcPr>
            <w:tcW w:w="540" w:type="dxa"/>
            <w:vAlign w:val="bottom"/>
            <w:vMerge w:val="restart"/>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0"/>
                <w:szCs w:val="10"/>
                <w:color w:val="auto"/>
              </w:rPr>
            </w:pPr>
          </w:p>
        </w:tc>
        <w:tc>
          <w:tcPr>
            <w:tcW w:w="640" w:type="dxa"/>
            <w:vAlign w:val="bottom"/>
            <w:vMerge w:val="restart"/>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0"/>
                <w:szCs w:val="10"/>
                <w:color w:val="auto"/>
              </w:rPr>
            </w:pPr>
          </w:p>
        </w:tc>
        <w:tc>
          <w:tcPr>
            <w:tcW w:w="260" w:type="dxa"/>
            <w:vAlign w:val="bottom"/>
            <w:vMerge w:val="restart"/>
          </w:tcPr>
          <w:p>
            <w:pPr>
              <w:jc w:val="right"/>
              <w:ind w:right="62"/>
              <w:spacing w:after="0"/>
              <w:rPr>
                <w:sz w:val="20"/>
                <w:szCs w:val="20"/>
                <w:color w:val="auto"/>
              </w:rPr>
            </w:pPr>
            <w:r>
              <w:rPr>
                <w:rFonts w:ascii="Arial" w:cs="Arial" w:eastAsia="Arial" w:hAnsi="Arial"/>
                <w:sz w:val="12"/>
                <w:szCs w:val="12"/>
                <w:color w:val="auto"/>
                <w:w w:val="89"/>
              </w:rPr>
              <w:t>27</w:t>
            </w:r>
          </w:p>
        </w:tc>
        <w:tc>
          <w:tcPr>
            <w:tcW w:w="2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120"/>
              <w:spacing w:after="0"/>
              <w:rPr>
                <w:sz w:val="20"/>
                <w:szCs w:val="20"/>
                <w:color w:val="auto"/>
              </w:rPr>
            </w:pPr>
            <w:r>
              <w:rPr>
                <w:rFonts w:ascii="Arial" w:cs="Arial" w:eastAsia="Arial" w:hAnsi="Arial"/>
                <w:sz w:val="12"/>
                <w:szCs w:val="12"/>
                <w:color w:val="auto"/>
              </w:rPr>
              <w:t>investments</w:t>
            </w:r>
          </w:p>
        </w:tc>
        <w:tc>
          <w:tcPr>
            <w:tcW w:w="6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spacing w:after="0"/>
              <w:rPr>
                <w:sz w:val="20"/>
                <w:szCs w:val="20"/>
                <w:color w:val="auto"/>
              </w:rPr>
            </w:pPr>
            <w:r>
              <w:rPr>
                <w:rFonts w:ascii="Arial" w:cs="Arial" w:eastAsia="Arial" w:hAnsi="Arial"/>
                <w:sz w:val="12"/>
                <w:szCs w:val="12"/>
                <w:color w:val="auto"/>
              </w:rPr>
              <w:t>Stock based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12"/>
                <w:szCs w:val="12"/>
                <w:color w:val="auto"/>
                <w:w w:val="82"/>
              </w:rPr>
              <w:t>—</w:t>
            </w:r>
          </w:p>
        </w:tc>
        <w:tc>
          <w:tcPr>
            <w:tcW w:w="6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221</w:t>
            </w: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w w:val="99"/>
              </w:rPr>
              <w:t>—</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620" w:type="dxa"/>
            <w:vAlign w:val="bottom"/>
          </w:tcPr>
          <w:p>
            <w:pPr>
              <w:spacing w:after="0"/>
              <w:rPr>
                <w:sz w:val="20"/>
                <w:szCs w:val="20"/>
                <w:color w:val="auto"/>
              </w:rPr>
            </w:pPr>
            <w:r>
              <w:rPr>
                <w:rFonts w:ascii="Arial" w:cs="Arial" w:eastAsia="Arial" w:hAnsi="Arial"/>
                <w:sz w:val="12"/>
                <w:szCs w:val="12"/>
                <w:color w:val="auto"/>
              </w:rPr>
              <w:t>Net loss</w:t>
            </w: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280" w:type="dxa"/>
            <w:vAlign w:val="bottom"/>
          </w:tcPr>
          <w:p>
            <w:pPr>
              <w:ind w:left="160"/>
              <w:spacing w:after="0"/>
              <w:rPr>
                <w:sz w:val="20"/>
                <w:szCs w:val="20"/>
                <w:color w:val="auto"/>
              </w:rPr>
            </w:pPr>
            <w:r>
              <w:rPr>
                <w:rFonts w:ascii="Arial" w:cs="Arial" w:eastAsia="Arial" w:hAnsi="Arial"/>
                <w:sz w:val="12"/>
                <w:szCs w:val="12"/>
                <w:color w:val="auto"/>
                <w:w w:val="82"/>
              </w:rPr>
              <w:t>—</w:t>
            </w:r>
          </w:p>
        </w:tc>
        <w:tc>
          <w:tcPr>
            <w:tcW w:w="640" w:type="dxa"/>
            <w:vAlign w:val="bottom"/>
          </w:tcPr>
          <w:p>
            <w:pPr>
              <w:ind w:left="42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2"/>
              </w:rPr>
              <w:t>—</w:t>
            </w:r>
          </w:p>
        </w:tc>
        <w:tc>
          <w:tcPr>
            <w:tcW w:w="14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5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(9,673)</w:t>
            </w:r>
          </w:p>
        </w:tc>
        <w:tc>
          <w:tcPr>
            <w:tcW w:w="700" w:type="dxa"/>
            <w:vAlign w:val="bottom"/>
          </w:tcPr>
          <w:p>
            <w:pPr>
              <w:spacing w:after="0"/>
              <w:rPr>
                <w:sz w:val="13"/>
                <w:szCs w:val="13"/>
                <w:color w:val="auto"/>
              </w:rPr>
            </w:pPr>
          </w:p>
        </w:tc>
        <w:tc>
          <w:tcPr>
            <w:tcW w:w="260" w:type="dxa"/>
            <w:vAlign w:val="bottom"/>
          </w:tcPr>
          <w:p>
            <w:pPr>
              <w:jc w:val="right"/>
              <w:ind w:right="62"/>
              <w:spacing w:after="0"/>
              <w:rPr>
                <w:sz w:val="20"/>
                <w:szCs w:val="20"/>
                <w:color w:val="auto"/>
              </w:rPr>
            </w:pPr>
            <w:r>
              <w:rPr>
                <w:rFonts w:ascii="Arial" w:cs="Arial" w:eastAsia="Arial" w:hAnsi="Arial"/>
                <w:sz w:val="12"/>
                <w:szCs w:val="12"/>
                <w:color w:val="auto"/>
                <w:w w:val="99"/>
              </w:rPr>
              <w:t>—</w:t>
            </w:r>
          </w:p>
        </w:tc>
        <w:tc>
          <w:tcPr>
            <w:tcW w:w="20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rPr>
              <w:t>(9,673)</w:t>
            </w:r>
          </w:p>
        </w:tc>
        <w:tc>
          <w:tcPr>
            <w:tcW w:w="0" w:type="dxa"/>
            <w:vAlign w:val="bottom"/>
          </w:tcPr>
          <w:p>
            <w:pPr>
              <w:spacing w:after="0"/>
              <w:rPr>
                <w:sz w:val="1"/>
                <w:szCs w:val="1"/>
                <w:color w:val="auto"/>
              </w:rPr>
            </w:pPr>
          </w:p>
        </w:tc>
      </w:tr>
      <w:tr>
        <w:trPr>
          <w:trHeight w:val="148"/>
        </w:trPr>
        <w:tc>
          <w:tcPr>
            <w:tcW w:w="1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March 31, 2020</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6"/>
              </w:rPr>
              <w:t>35,000,000</w:t>
            </w:r>
          </w:p>
        </w:tc>
        <w:tc>
          <w:tcPr>
            <w:tcW w:w="10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92"/>
              </w:rPr>
              <w:t>$ 34,922 26,143,790</w:t>
            </w:r>
          </w:p>
        </w:tc>
        <w:tc>
          <w:tcPr>
            <w:tcW w:w="62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b w:val="1"/>
                <w:bCs w:val="1"/>
                <w:color w:val="auto"/>
                <w:w w:val="91"/>
              </w:rPr>
              <w:t>$144,839</w:t>
            </w:r>
          </w:p>
        </w:tc>
        <w:tc>
          <w:tcPr>
            <w:tcW w:w="280" w:type="dxa"/>
            <w:vAlign w:val="bottom"/>
            <w:tcBorders>
              <w:top w:val="single" w:sz="8" w:color="auto"/>
              <w:bottom w:val="single" w:sz="8" w:color="CCEEFF"/>
            </w:tcBorders>
            <w:shd w:val="clear" w:color="auto" w:fill="CCEEFF"/>
          </w:tcPr>
          <w:p>
            <w:pPr>
              <w:ind w:left="160"/>
              <w:spacing w:after="0"/>
              <w:rPr>
                <w:sz w:val="20"/>
                <w:szCs w:val="20"/>
                <w:color w:val="auto"/>
              </w:rPr>
            </w:pPr>
            <w:r>
              <w:rPr>
                <w:rFonts w:ascii="Arial" w:cs="Arial" w:eastAsia="Arial" w:hAnsi="Arial"/>
                <w:sz w:val="12"/>
                <w:szCs w:val="12"/>
                <w:b w:val="1"/>
                <w:bCs w:val="1"/>
                <w:color w:val="auto"/>
                <w:w w:val="82"/>
              </w:rPr>
              <w:t>—</w:t>
            </w:r>
          </w:p>
        </w:tc>
        <w:tc>
          <w:tcPr>
            <w:tcW w:w="1260" w:type="dxa"/>
            <w:vAlign w:val="bottom"/>
            <w:tcBorders>
              <w:top w:val="single" w:sz="8" w:color="auto"/>
              <w:bottom w:val="single" w:sz="8" w:color="CCEEFF"/>
            </w:tcBorders>
            <w:gridSpan w:val="2"/>
            <w:shd w:val="clear" w:color="auto" w:fill="CCEEFF"/>
          </w:tcPr>
          <w:p>
            <w:pPr>
              <w:jc w:val="right"/>
              <w:ind w:right="62"/>
              <w:spacing w:after="0"/>
              <w:rPr>
                <w:sz w:val="20"/>
                <w:szCs w:val="20"/>
                <w:color w:val="auto"/>
              </w:rPr>
            </w:pPr>
            <w:r>
              <w:rPr>
                <w:rFonts w:ascii="Arial" w:cs="Arial" w:eastAsia="Arial" w:hAnsi="Arial"/>
                <w:sz w:val="12"/>
                <w:szCs w:val="12"/>
                <w:b w:val="1"/>
                <w:bCs w:val="1"/>
                <w:color w:val="auto"/>
              </w:rPr>
              <w:t>$ — 18,825,136</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2"/>
                <w:szCs w:val="12"/>
                <w:b w:val="1"/>
                <w:bCs w:val="1"/>
                <w:color w:val="auto"/>
              </w:rPr>
              <w:t>217,130</w:t>
            </w:r>
          </w:p>
        </w:tc>
        <w:tc>
          <w:tcPr>
            <w:tcW w:w="26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(70,000)</w:t>
            </w:r>
          </w:p>
        </w:tc>
        <w:tc>
          <w:tcPr>
            <w:tcW w:w="18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w:t>
            </w:r>
          </w:p>
        </w:tc>
        <w:tc>
          <w:tcPr>
            <w:tcW w:w="64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(248,440)</w:t>
            </w:r>
          </w:p>
        </w:tc>
        <w:tc>
          <w:tcPr>
            <w:tcW w:w="700" w:type="dxa"/>
            <w:vAlign w:val="bottom"/>
            <w:tcBorders>
              <w:top w:val="single" w:sz="8" w:color="auto"/>
              <w:bottom w:val="single" w:sz="8" w:color="CCEEFF"/>
            </w:tcBorders>
            <w:shd w:val="clear" w:color="auto" w:fill="CCEEFF"/>
          </w:tcPr>
          <w:p>
            <w:pPr>
              <w:jc w:val="center"/>
              <w:ind w:left="523"/>
              <w:spacing w:after="0"/>
              <w:rPr>
                <w:sz w:val="20"/>
                <w:szCs w:val="20"/>
                <w:color w:val="auto"/>
              </w:rPr>
            </w:pPr>
            <w:r>
              <w:rPr>
                <w:rFonts w:ascii="Arial" w:cs="Arial" w:eastAsia="Arial" w:hAnsi="Arial"/>
                <w:sz w:val="12"/>
                <w:szCs w:val="12"/>
                <w:b w:val="1"/>
                <w:bCs w:val="1"/>
                <w:color w:val="auto"/>
              </w:rPr>
              <w:t>$</w:t>
            </w:r>
          </w:p>
        </w:tc>
        <w:tc>
          <w:tcPr>
            <w:tcW w:w="260" w:type="dxa"/>
            <w:vAlign w:val="bottom"/>
            <w:tcBorders>
              <w:top w:val="single" w:sz="8" w:color="auto"/>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b w:val="1"/>
                <w:bCs w:val="1"/>
                <w:color w:val="auto"/>
                <w:w w:val="89"/>
              </w:rPr>
              <w:t>24</w:t>
            </w:r>
          </w:p>
        </w:tc>
        <w:tc>
          <w:tcPr>
            <w:tcW w:w="20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b w:val="1"/>
                <w:bCs w:val="1"/>
                <w:color w:val="auto"/>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7"/>
              </w:rPr>
              <w:t>(101,284)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-129540</wp:posOffset>
            </wp:positionV>
            <wp:extent cx="1027430"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027430" cy="6985"/>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-629920</wp:posOffset>
            </wp:positionV>
            <wp:extent cx="1027430"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027430" cy="69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68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116445" cy="393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16445" cy="39370"/>
                    </a:xfrm>
                    <a:prstGeom prst="rect">
                      <a:avLst/>
                    </a:prstGeom>
                    <a:noFill/>
                  </pic:spPr>
                </pic:pic>
              </a:graphicData>
            </a:graphic>
          </wp:anchor>
        </w:drawing>
      </w:r>
    </w:p>
    <w:p>
      <w:pPr>
        <w:sectPr>
          <w:pgSz w:w="11900" w:h="16838" w:orient="portrait"/>
          <w:cols w:equalWidth="0" w:num="1">
            <w:col w:w="11220"/>
          </w:cols>
          <w:pgMar w:left="360" w:top="133" w:right="319" w:bottom="1440" w:gutter="0" w:footer="0" w:header="0"/>
        </w:sectPr>
      </w:pPr>
    </w:p>
    <w:bookmarkStart w:id="244" w:name="page245"/>
    <w:bookmarkEnd w:id="244"/>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right="1939"/>
        <w:spacing w:after="0" w:line="235" w:lineRule="auto"/>
        <w:rPr>
          <w:sz w:val="20"/>
          <w:szCs w:val="20"/>
          <w:color w:val="auto"/>
        </w:rPr>
      </w:pPr>
      <w:r>
        <w:rPr>
          <w:rFonts w:ascii="Arial" w:cs="Arial" w:eastAsia="Arial" w:hAnsi="Arial"/>
          <w:sz w:val="23"/>
          <w:szCs w:val="23"/>
          <w:b w:val="1"/>
          <w:bCs w:val="1"/>
          <w:color w:val="auto"/>
        </w:rPr>
        <w:t>Century Therapeutics, Inc. and Subsidiary Consolidated statements of cash flows (unaudited) (In thousands)</w:t>
      </w:r>
    </w:p>
    <w:p>
      <w:pPr>
        <w:spacing w:after="0" w:line="87"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4280" w:type="dxa"/>
            <w:vAlign w:val="bottom"/>
            <w:tcBorders>
              <w:top w:val="single" w:sz="8" w:color="auto"/>
            </w:tcBorders>
          </w:tcPr>
          <w:p>
            <w:pPr>
              <w:spacing w:after="0"/>
              <w:rPr>
                <w:sz w:val="14"/>
                <w:szCs w:val="14"/>
                <w:color w:val="auto"/>
              </w:rPr>
            </w:pPr>
          </w:p>
        </w:tc>
        <w:tc>
          <w:tcPr>
            <w:tcW w:w="278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Three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280" w:type="dxa"/>
            <w:vAlign w:val="bottom"/>
          </w:tcPr>
          <w:p>
            <w:pPr>
              <w:spacing w:after="0"/>
              <w:rPr>
                <w:sz w:val="13"/>
                <w:szCs w:val="13"/>
                <w:color w:val="auto"/>
              </w:rPr>
            </w:pPr>
          </w:p>
        </w:tc>
        <w:tc>
          <w:tcPr>
            <w:tcW w:w="1600" w:type="dxa"/>
            <w:vAlign w:val="bottom"/>
            <w:gridSpan w:val="2"/>
          </w:tcPr>
          <w:p>
            <w:pPr>
              <w:jc w:val="right"/>
              <w:ind w:right="188"/>
              <w:spacing w:after="0"/>
              <w:rPr>
                <w:sz w:val="20"/>
                <w:szCs w:val="20"/>
                <w:color w:val="auto"/>
              </w:rPr>
            </w:pPr>
            <w:r>
              <w:rPr>
                <w:rFonts w:ascii="Arial" w:cs="Arial" w:eastAsia="Arial" w:hAnsi="Arial"/>
                <w:sz w:val="13"/>
                <w:szCs w:val="13"/>
                <w:b w:val="1"/>
                <w:bCs w:val="1"/>
                <w:color w:val="auto"/>
              </w:rPr>
              <w:t>March 31, 2021</w:t>
            </w:r>
          </w:p>
        </w:tc>
        <w:tc>
          <w:tcPr>
            <w:tcW w:w="12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March 31, 2020</w:t>
            </w:r>
          </w:p>
        </w:tc>
        <w:tc>
          <w:tcPr>
            <w:tcW w:w="0" w:type="dxa"/>
            <w:vAlign w:val="bottom"/>
          </w:tcPr>
          <w:p>
            <w:pPr>
              <w:spacing w:after="0"/>
              <w:rPr>
                <w:sz w:val="1"/>
                <w:szCs w:val="1"/>
                <w:color w:val="auto"/>
              </w:rPr>
            </w:pPr>
          </w:p>
        </w:tc>
      </w:tr>
      <w:tr>
        <w:trPr>
          <w:trHeight w:val="166"/>
        </w:trPr>
        <w:tc>
          <w:tcPr>
            <w:tcW w:w="4280" w:type="dxa"/>
            <w:vAlign w:val="bottom"/>
          </w:tcPr>
          <w:p>
            <w:pPr>
              <w:spacing w:after="0"/>
              <w:rPr>
                <w:sz w:val="14"/>
                <w:szCs w:val="14"/>
                <w:color w:val="auto"/>
              </w:rPr>
            </w:pPr>
          </w:p>
        </w:tc>
        <w:tc>
          <w:tcPr>
            <w:tcW w:w="1600" w:type="dxa"/>
            <w:vAlign w:val="bottom"/>
            <w:gridSpan w:val="2"/>
          </w:tcPr>
          <w:p>
            <w:pPr>
              <w:jc w:val="right"/>
              <w:ind w:right="148"/>
              <w:spacing w:after="0"/>
              <w:rPr>
                <w:sz w:val="20"/>
                <w:szCs w:val="20"/>
                <w:color w:val="auto"/>
              </w:rPr>
            </w:pPr>
            <w:r>
              <w:rPr>
                <w:rFonts w:ascii="Arial" w:cs="Arial" w:eastAsia="Arial" w:hAnsi="Arial"/>
                <w:sz w:val="13"/>
                <w:szCs w:val="13"/>
                <w:b w:val="1"/>
                <w:bCs w:val="1"/>
                <w:color w:val="auto"/>
              </w:rPr>
              <w:t>(unaudited)</w:t>
            </w:r>
          </w:p>
        </w:tc>
        <w:tc>
          <w:tcPr>
            <w:tcW w:w="122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163"/>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7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(18,348)</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(9,673)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280" w:type="dxa"/>
            <w:vAlign w:val="bottom"/>
            <w:shd w:val="clear" w:color="auto" w:fill="CCEEFF"/>
          </w:tcPr>
          <w:p>
            <w:pPr>
              <w:ind w:left="140"/>
              <w:spacing w:after="0" w:line="154" w:lineRule="exact"/>
              <w:rPr>
                <w:sz w:val="20"/>
                <w:szCs w:val="20"/>
                <w:color w:val="auto"/>
              </w:rPr>
            </w:pPr>
            <w:r>
              <w:rPr>
                <w:rFonts w:ascii="Arial" w:cs="Arial" w:eastAsia="Arial" w:hAnsi="Arial"/>
                <w:sz w:val="14"/>
                <w:szCs w:val="14"/>
                <w:b w:val="1"/>
                <w:bCs w:val="1"/>
                <w:color w:val="auto"/>
              </w:rPr>
              <w:t>Adjustments to reconcile net loss to net cash used in</w:t>
            </w:r>
          </w:p>
        </w:tc>
        <w:tc>
          <w:tcPr>
            <w:tcW w:w="7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280" w:type="dxa"/>
            <w:vAlign w:val="bottom"/>
            <w:shd w:val="clear" w:color="auto" w:fill="CCEEFF"/>
          </w:tcPr>
          <w:p>
            <w:pPr>
              <w:ind w:left="300"/>
              <w:spacing w:after="0"/>
              <w:rPr>
                <w:sz w:val="20"/>
                <w:szCs w:val="20"/>
                <w:color w:val="auto"/>
              </w:rPr>
            </w:pPr>
            <w:r>
              <w:rPr>
                <w:rFonts w:ascii="Arial" w:cs="Arial" w:eastAsia="Arial" w:hAnsi="Arial"/>
                <w:sz w:val="14"/>
                <w:szCs w:val="14"/>
                <w:b w:val="1"/>
                <w:bCs w:val="1"/>
                <w:color w:val="auto"/>
              </w:rPr>
              <w:t>operating activities:</w:t>
            </w:r>
          </w:p>
        </w:tc>
        <w:tc>
          <w:tcPr>
            <w:tcW w:w="7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300"/>
              <w:spacing w:after="0"/>
              <w:rPr>
                <w:sz w:val="20"/>
                <w:szCs w:val="20"/>
                <w:color w:val="auto"/>
              </w:rPr>
            </w:pPr>
            <w:r>
              <w:rPr>
                <w:rFonts w:ascii="Arial" w:cs="Arial" w:eastAsia="Arial" w:hAnsi="Arial"/>
                <w:sz w:val="14"/>
                <w:szCs w:val="14"/>
                <w:color w:val="auto"/>
              </w:rPr>
              <w:t>Depreciation</w:t>
            </w:r>
          </w:p>
        </w:tc>
        <w:tc>
          <w:tcPr>
            <w:tcW w:w="7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718</w:t>
            </w:r>
          </w:p>
        </w:tc>
        <w:tc>
          <w:tcPr>
            <w:tcW w:w="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Amortization of deferred financing cost</w:t>
            </w: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75</w:t>
            </w: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300"/>
              <w:spacing w:after="0"/>
              <w:rPr>
                <w:sz w:val="20"/>
                <w:szCs w:val="20"/>
                <w:color w:val="auto"/>
              </w:rPr>
            </w:pPr>
            <w:r>
              <w:rPr>
                <w:rFonts w:ascii="Arial" w:cs="Arial" w:eastAsia="Arial" w:hAnsi="Arial"/>
                <w:sz w:val="14"/>
                <w:szCs w:val="14"/>
                <w:color w:val="auto"/>
              </w:rPr>
              <w:t>Non-cash operating lease expense</w:t>
            </w:r>
          </w:p>
        </w:tc>
        <w:tc>
          <w:tcPr>
            <w:tcW w:w="7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230</w:t>
            </w:r>
          </w:p>
        </w:tc>
        <w:tc>
          <w:tcPr>
            <w:tcW w:w="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Stock based compensation</w:t>
            </w: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95</w:t>
            </w: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80" w:type="dxa"/>
            <w:vAlign w:val="bottom"/>
          </w:tcPr>
          <w:p>
            <w:pPr>
              <w:ind w:left="140"/>
              <w:spacing w:after="0"/>
              <w:rPr>
                <w:sz w:val="20"/>
                <w:szCs w:val="20"/>
                <w:color w:val="auto"/>
              </w:rPr>
            </w:pPr>
            <w:r>
              <w:rPr>
                <w:rFonts w:ascii="Arial" w:cs="Arial" w:eastAsia="Arial" w:hAnsi="Arial"/>
                <w:sz w:val="14"/>
                <w:szCs w:val="14"/>
                <w:b w:val="1"/>
                <w:bCs w:val="1"/>
                <w:color w:val="auto"/>
              </w:rPr>
              <w:t>Change in operating assets and liabilities:</w:t>
            </w: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Prepaid expenses and other assets</w:t>
            </w: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173</w:t>
            </w: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300"/>
              <w:spacing w:after="0"/>
              <w:rPr>
                <w:sz w:val="20"/>
                <w:szCs w:val="20"/>
                <w:color w:val="auto"/>
              </w:rPr>
            </w:pPr>
            <w:r>
              <w:rPr>
                <w:rFonts w:ascii="Arial" w:cs="Arial" w:eastAsia="Arial" w:hAnsi="Arial"/>
                <w:sz w:val="14"/>
                <w:szCs w:val="14"/>
                <w:color w:val="auto"/>
              </w:rPr>
              <w:t>Operating lease liability</w:t>
            </w:r>
          </w:p>
        </w:tc>
        <w:tc>
          <w:tcPr>
            <w:tcW w:w="7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127</w:t>
            </w:r>
          </w:p>
        </w:tc>
        <w:tc>
          <w:tcPr>
            <w:tcW w:w="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Accounts payable</w:t>
            </w:r>
          </w:p>
        </w:tc>
        <w:tc>
          <w:tcPr>
            <w:tcW w:w="7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(4,938)</w:t>
            </w: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28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Accrued expenses and other liabilities</w:t>
            </w:r>
          </w:p>
        </w:tc>
        <w:tc>
          <w:tcPr>
            <w:tcW w:w="7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(311)</w:t>
            </w:r>
          </w:p>
        </w:tc>
        <w:tc>
          <w:tcPr>
            <w:tcW w:w="6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80" w:type="dxa"/>
            <w:vAlign w:val="bottom"/>
            <w:tcBorders>
              <w:bottom w:val="single" w:sz="8" w:color="CCEEFF"/>
            </w:tcBorders>
            <w:shd w:val="clear" w:color="auto" w:fill="CCEEFF"/>
          </w:tcPr>
          <w:p>
            <w:pPr>
              <w:ind w:left="440"/>
              <w:spacing w:after="0" w:line="153" w:lineRule="exact"/>
              <w:rPr>
                <w:sz w:val="20"/>
                <w:szCs w:val="20"/>
                <w:color w:val="auto"/>
              </w:rPr>
            </w:pPr>
            <w:r>
              <w:rPr>
                <w:rFonts w:ascii="Arial" w:cs="Arial" w:eastAsia="Arial" w:hAnsi="Arial"/>
                <w:sz w:val="14"/>
                <w:szCs w:val="14"/>
                <w:b w:val="1"/>
                <w:bCs w:val="1"/>
                <w:color w:val="auto"/>
              </w:rPr>
              <w:t>Net cash used in operating activities</w:t>
            </w:r>
          </w:p>
        </w:tc>
        <w:tc>
          <w:tcPr>
            <w:tcW w:w="7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88"/>
              <w:spacing w:after="0" w:line="153" w:lineRule="exact"/>
              <w:rPr>
                <w:sz w:val="20"/>
                <w:szCs w:val="20"/>
                <w:color w:val="auto"/>
              </w:rPr>
            </w:pPr>
            <w:r>
              <w:rPr>
                <w:rFonts w:ascii="Arial" w:cs="Arial" w:eastAsia="Arial" w:hAnsi="Arial"/>
                <w:sz w:val="14"/>
                <w:szCs w:val="14"/>
                <w:b w:val="1"/>
                <w:bCs w:val="1"/>
                <w:color w:val="auto"/>
              </w:rPr>
              <w:t>(22,179)</w:t>
            </w:r>
          </w:p>
        </w:tc>
        <w:tc>
          <w:tcPr>
            <w:tcW w:w="6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b w:val="1"/>
                <w:bCs w:val="1"/>
                <w:color w:val="auto"/>
              </w:rPr>
              <w:t>(6,884)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2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property and equipment</w:t>
            </w:r>
          </w:p>
        </w:tc>
        <w:tc>
          <w:tcPr>
            <w:tcW w:w="7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(1,884)</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140"/>
              <w:spacing w:after="0"/>
              <w:rPr>
                <w:sz w:val="20"/>
                <w:szCs w:val="20"/>
                <w:color w:val="auto"/>
              </w:rPr>
            </w:pPr>
            <w:r>
              <w:rPr>
                <w:rFonts w:ascii="Arial" w:cs="Arial" w:eastAsia="Arial" w:hAnsi="Arial"/>
                <w:sz w:val="14"/>
                <w:szCs w:val="14"/>
                <w:color w:val="auto"/>
              </w:rPr>
              <w:t>Payments for purchase of fixed maturity securities, available</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300"/>
              <w:spacing w:after="0"/>
              <w:rPr>
                <w:sz w:val="20"/>
                <w:szCs w:val="20"/>
                <w:color w:val="auto"/>
              </w:rPr>
            </w:pPr>
            <w:r>
              <w:rPr>
                <w:rFonts w:ascii="Arial" w:cs="Arial" w:eastAsia="Arial" w:hAnsi="Arial"/>
                <w:sz w:val="14"/>
                <w:szCs w:val="14"/>
                <w:color w:val="auto"/>
              </w:rPr>
              <w:t>for sale</w:t>
            </w:r>
          </w:p>
        </w:tc>
        <w:tc>
          <w:tcPr>
            <w:tcW w:w="7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(124,850)</w:t>
            </w:r>
          </w:p>
        </w:tc>
        <w:tc>
          <w:tcPr>
            <w:tcW w:w="6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(1,479)</w:t>
            </w:r>
          </w:p>
        </w:tc>
        <w:tc>
          <w:tcPr>
            <w:tcW w:w="0" w:type="dxa"/>
            <w:vAlign w:val="bottom"/>
          </w:tcPr>
          <w:p>
            <w:pPr>
              <w:spacing w:after="0"/>
              <w:rPr>
                <w:sz w:val="1"/>
                <w:szCs w:val="1"/>
                <w:color w:val="auto"/>
              </w:rPr>
            </w:pPr>
          </w:p>
        </w:tc>
      </w:tr>
      <w:tr>
        <w:trPr>
          <w:trHeight w:val="163"/>
        </w:trPr>
        <w:tc>
          <w:tcPr>
            <w:tcW w:w="4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Sale of fixed maturity securities, available for sale</w:t>
            </w:r>
          </w:p>
        </w:tc>
        <w:tc>
          <w:tcPr>
            <w:tcW w:w="7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7,700</w:t>
            </w:r>
          </w:p>
        </w:tc>
        <w:tc>
          <w:tcPr>
            <w:tcW w:w="6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80" w:type="dxa"/>
            <w:vAlign w:val="bottom"/>
            <w:tcBorders>
              <w:bottom w:val="single" w:sz="8" w:color="CCEEFF"/>
            </w:tcBorders>
          </w:tcPr>
          <w:p>
            <w:pPr>
              <w:spacing w:after="0" w:line="153" w:lineRule="exact"/>
              <w:rPr>
                <w:sz w:val="20"/>
                <w:szCs w:val="20"/>
                <w:color w:val="auto"/>
              </w:rPr>
            </w:pPr>
            <w:r>
              <w:rPr>
                <w:rFonts w:ascii="Arial" w:cs="Arial" w:eastAsia="Arial" w:hAnsi="Arial"/>
                <w:sz w:val="14"/>
                <w:szCs w:val="14"/>
                <w:b w:val="1"/>
                <w:bCs w:val="1"/>
                <w:color w:val="auto"/>
              </w:rPr>
              <w:t>Net cash used in investing activities</w:t>
            </w:r>
          </w:p>
        </w:tc>
        <w:tc>
          <w:tcPr>
            <w:tcW w:w="7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b w:val="1"/>
                <w:bCs w:val="1"/>
                <w:color w:val="auto"/>
              </w:rPr>
              <w:t>(119,034)</w:t>
            </w:r>
          </w:p>
        </w:tc>
        <w:tc>
          <w:tcPr>
            <w:tcW w:w="6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(4,178)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7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140"/>
              <w:spacing w:after="0"/>
              <w:rPr>
                <w:sz w:val="20"/>
                <w:szCs w:val="20"/>
                <w:color w:val="auto"/>
              </w:rPr>
            </w:pPr>
            <w:r>
              <w:rPr>
                <w:rFonts w:ascii="Arial" w:cs="Arial" w:eastAsia="Arial" w:hAnsi="Arial"/>
                <w:sz w:val="14"/>
                <w:szCs w:val="14"/>
                <w:color w:val="auto"/>
              </w:rPr>
              <w:t>Payments of deferred offering costs</w:t>
            </w:r>
          </w:p>
        </w:tc>
        <w:tc>
          <w:tcPr>
            <w:tcW w:w="74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(554)</w:t>
            </w:r>
          </w:p>
        </w:tc>
        <w:tc>
          <w:tcPr>
            <w:tcW w:w="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issuance of common stock</w:t>
            </w:r>
          </w:p>
        </w:tc>
        <w:tc>
          <w:tcPr>
            <w:tcW w:w="7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47</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140"/>
              <w:spacing w:after="0"/>
              <w:rPr>
                <w:sz w:val="20"/>
                <w:szCs w:val="20"/>
                <w:color w:val="auto"/>
              </w:rPr>
            </w:pPr>
            <w:r>
              <w:rPr>
                <w:rFonts w:ascii="Arial" w:cs="Arial" w:eastAsia="Arial" w:hAnsi="Arial"/>
                <w:sz w:val="14"/>
                <w:szCs w:val="14"/>
                <w:color w:val="auto"/>
              </w:rPr>
              <w:t>Proceeds from early exercises of common stock options, net</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300"/>
              <w:spacing w:after="0"/>
              <w:rPr>
                <w:sz w:val="20"/>
                <w:szCs w:val="20"/>
                <w:color w:val="auto"/>
              </w:rPr>
            </w:pPr>
            <w:r>
              <w:rPr>
                <w:rFonts w:ascii="Arial" w:cs="Arial" w:eastAsia="Arial" w:hAnsi="Arial"/>
                <w:sz w:val="14"/>
                <w:szCs w:val="14"/>
                <w:color w:val="auto"/>
              </w:rPr>
              <w:t>of expense</w:t>
            </w:r>
          </w:p>
        </w:tc>
        <w:tc>
          <w:tcPr>
            <w:tcW w:w="7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138</w:t>
            </w:r>
          </w:p>
        </w:tc>
        <w:tc>
          <w:tcPr>
            <w:tcW w:w="6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subscription receivable</w:t>
            </w:r>
          </w:p>
        </w:tc>
        <w:tc>
          <w:tcPr>
            <w:tcW w:w="7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31,900</w:t>
            </w:r>
          </w:p>
        </w:tc>
        <w:tc>
          <w:tcPr>
            <w:tcW w:w="6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140"/>
              <w:spacing w:after="0"/>
              <w:rPr>
                <w:sz w:val="20"/>
                <w:szCs w:val="20"/>
                <w:color w:val="auto"/>
              </w:rPr>
            </w:pPr>
            <w:r>
              <w:rPr>
                <w:rFonts w:ascii="Arial" w:cs="Arial" w:eastAsia="Arial" w:hAnsi="Arial"/>
                <w:sz w:val="14"/>
                <w:szCs w:val="14"/>
                <w:color w:val="auto"/>
              </w:rPr>
              <w:t>Proceeds from issuance of Series C preferred stock, net of</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80" w:type="dxa"/>
            <w:vAlign w:val="bottom"/>
          </w:tcPr>
          <w:p>
            <w:pPr>
              <w:ind w:left="300"/>
              <w:spacing w:after="0"/>
              <w:rPr>
                <w:sz w:val="20"/>
                <w:szCs w:val="20"/>
                <w:color w:val="auto"/>
              </w:rPr>
            </w:pPr>
            <w:r>
              <w:rPr>
                <w:rFonts w:ascii="Arial" w:cs="Arial" w:eastAsia="Arial" w:hAnsi="Arial"/>
                <w:sz w:val="14"/>
                <w:szCs w:val="14"/>
                <w:color w:val="auto"/>
              </w:rPr>
              <w:t>issuance costs</w:t>
            </w:r>
          </w:p>
        </w:tc>
        <w:tc>
          <w:tcPr>
            <w:tcW w:w="7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159,628</w:t>
            </w:r>
          </w:p>
        </w:tc>
        <w:tc>
          <w:tcPr>
            <w:tcW w:w="6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contributed as a result of merger</w:t>
            </w:r>
          </w:p>
        </w:tc>
        <w:tc>
          <w:tcPr>
            <w:tcW w:w="7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2,326</w:t>
            </w:r>
          </w:p>
        </w:tc>
        <w:tc>
          <w:tcPr>
            <w:tcW w:w="6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8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Net cash provided by financing activities</w:t>
            </w:r>
          </w:p>
        </w:tc>
        <w:tc>
          <w:tcPr>
            <w:tcW w:w="740" w:type="dxa"/>
            <w:vAlign w:val="bottom"/>
          </w:tcPr>
          <w:p>
            <w:pPr>
              <w:spacing w:after="0"/>
              <w:rPr>
                <w:sz w:val="13"/>
                <w:szCs w:val="13"/>
                <w:color w:val="auto"/>
              </w:rPr>
            </w:pPr>
          </w:p>
        </w:tc>
        <w:tc>
          <w:tcPr>
            <w:tcW w:w="86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193,485</w:t>
            </w:r>
          </w:p>
        </w:tc>
        <w:tc>
          <w:tcPr>
            <w:tcW w:w="620" w:type="dxa"/>
            <w:vAlign w:val="bottom"/>
          </w:tcPr>
          <w:p>
            <w:pPr>
              <w:spacing w:after="0"/>
              <w:rPr>
                <w:sz w:val="13"/>
                <w:szCs w:val="13"/>
                <w:color w:val="auto"/>
              </w:rPr>
            </w:pPr>
          </w:p>
        </w:tc>
        <w:tc>
          <w:tcPr>
            <w:tcW w:w="5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80" w:type="dxa"/>
            <w:vAlign w:val="bottom"/>
            <w:shd w:val="clear" w:color="auto" w:fill="CCEEFF"/>
          </w:tcPr>
          <w:p>
            <w:pPr>
              <w:ind w:left="440"/>
              <w:spacing w:after="0" w:line="154" w:lineRule="exact"/>
              <w:rPr>
                <w:sz w:val="20"/>
                <w:szCs w:val="20"/>
                <w:color w:val="auto"/>
              </w:rPr>
            </w:pPr>
            <w:r>
              <w:rPr>
                <w:rFonts w:ascii="Arial" w:cs="Arial" w:eastAsia="Arial" w:hAnsi="Arial"/>
                <w:sz w:val="14"/>
                <w:szCs w:val="14"/>
                <w:b w:val="1"/>
                <w:bCs w:val="1"/>
                <w:color w:val="auto"/>
              </w:rPr>
              <w:t>Net increase (decrease) in cash, cash equivalents,</w:t>
            </w:r>
          </w:p>
        </w:tc>
        <w:tc>
          <w:tcPr>
            <w:tcW w:w="7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280" w:type="dxa"/>
            <w:vAlign w:val="bottom"/>
            <w:shd w:val="clear" w:color="auto" w:fill="CCEEFF"/>
          </w:tcPr>
          <w:p>
            <w:pPr>
              <w:ind w:left="580"/>
              <w:spacing w:after="0"/>
              <w:rPr>
                <w:sz w:val="20"/>
                <w:szCs w:val="20"/>
                <w:color w:val="auto"/>
              </w:rPr>
            </w:pPr>
            <w:r>
              <w:rPr>
                <w:rFonts w:ascii="Arial" w:cs="Arial" w:eastAsia="Arial" w:hAnsi="Arial"/>
                <w:sz w:val="14"/>
                <w:szCs w:val="14"/>
                <w:b w:val="1"/>
                <w:bCs w:val="1"/>
                <w:color w:val="auto"/>
              </w:rPr>
              <w:t>and restricted cash</w:t>
            </w:r>
          </w:p>
        </w:tc>
        <w:tc>
          <w:tcPr>
            <w:tcW w:w="7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52,272</w:t>
            </w: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(11,062)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7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27,728</w:t>
            </w:r>
          </w:p>
        </w:tc>
        <w:tc>
          <w:tcPr>
            <w:tcW w:w="6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28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Cash, cash equivalents and restricted cash, end of period</w:t>
            </w:r>
          </w:p>
        </w:tc>
        <w:tc>
          <w:tcPr>
            <w:tcW w:w="740" w:type="dxa"/>
            <w:vAlign w:val="bottom"/>
            <w:tcBorders>
              <w:bottom w:val="single" w:sz="8" w:color="auto"/>
            </w:tcBorders>
            <w:shd w:val="clear" w:color="auto" w:fill="CCEEFF"/>
          </w:tcPr>
          <w:p>
            <w:pPr>
              <w:jc w:val="right"/>
              <w:ind w:right="11"/>
              <w:spacing w:after="0" w:line="131"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148"/>
              <w:spacing w:after="0" w:line="131" w:lineRule="exact"/>
              <w:rPr>
                <w:sz w:val="20"/>
                <w:szCs w:val="20"/>
                <w:color w:val="auto"/>
              </w:rPr>
            </w:pPr>
            <w:r>
              <w:rPr>
                <w:rFonts w:ascii="Arial" w:cs="Arial" w:eastAsia="Arial" w:hAnsi="Arial"/>
                <w:sz w:val="14"/>
                <w:szCs w:val="14"/>
                <w:b w:val="1"/>
                <w:bCs w:val="1"/>
                <w:color w:val="auto"/>
              </w:rPr>
              <w:t>80,000</w:t>
            </w:r>
          </w:p>
        </w:tc>
        <w:tc>
          <w:tcPr>
            <w:tcW w:w="62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line="131" w:lineRule="exact"/>
              <w:rPr>
                <w:sz w:val="20"/>
                <w:szCs w:val="20"/>
                <w:color w:val="auto"/>
              </w:rPr>
            </w:pPr>
            <w:r>
              <w:rPr>
                <w:rFonts w:ascii="Arial" w:cs="Arial" w:eastAsia="Arial" w:hAnsi="Arial"/>
                <w:sz w:val="14"/>
                <w:szCs w:val="14"/>
                <w:b w:val="1"/>
                <w:bCs w:val="1"/>
                <w:color w:val="auto"/>
              </w:rPr>
              <w:t>33,002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line="136" w:lineRule="exact"/>
              <w:rPr>
                <w:sz w:val="20"/>
                <w:szCs w:val="20"/>
                <w:color w:val="auto"/>
              </w:rPr>
            </w:pPr>
            <w:r>
              <w:rPr>
                <w:rFonts w:ascii="Arial" w:cs="Arial" w:eastAsia="Arial" w:hAnsi="Arial"/>
                <w:sz w:val="14"/>
                <w:szCs w:val="14"/>
                <w:b w:val="1"/>
                <w:bCs w:val="1"/>
                <w:color w:val="auto"/>
              </w:rPr>
              <w:t>Supplemental disclosure of cash and non-cash operating</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2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4280" w:type="dxa"/>
            <w:vAlign w:val="bottom"/>
          </w:tcPr>
          <w:p>
            <w:pPr>
              <w:ind w:left="140"/>
              <w:spacing w:after="0"/>
              <w:rPr>
                <w:sz w:val="20"/>
                <w:szCs w:val="20"/>
                <w:color w:val="auto"/>
              </w:rPr>
            </w:pPr>
            <w:r>
              <w:rPr>
                <w:rFonts w:ascii="Arial" w:cs="Arial" w:eastAsia="Arial" w:hAnsi="Arial"/>
                <w:sz w:val="14"/>
                <w:szCs w:val="14"/>
                <w:b w:val="1"/>
                <w:bCs w:val="1"/>
                <w:color w:val="auto"/>
              </w:rPr>
              <w:t>activities:</w:t>
            </w: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280" w:type="dxa"/>
            <w:vAlign w:val="bottom"/>
            <w:tcBorders>
              <w:bottom w:val="single" w:sz="8" w:color="CCEEFF"/>
            </w:tcBorders>
            <w:shd w:val="clear" w:color="auto" w:fill="CCEEFF"/>
          </w:tcPr>
          <w:p>
            <w:pPr>
              <w:ind w:left="140"/>
              <w:spacing w:after="0" w:line="133" w:lineRule="exact"/>
              <w:rPr>
                <w:sz w:val="20"/>
                <w:szCs w:val="20"/>
                <w:color w:val="auto"/>
              </w:rPr>
            </w:pPr>
            <w:r>
              <w:rPr>
                <w:rFonts w:ascii="Arial" w:cs="Arial" w:eastAsia="Arial" w:hAnsi="Arial"/>
                <w:sz w:val="14"/>
                <w:szCs w:val="14"/>
                <w:color w:val="auto"/>
              </w:rPr>
              <w:t>Cash paid for interest</w:t>
            </w:r>
          </w:p>
        </w:tc>
        <w:tc>
          <w:tcPr>
            <w:tcW w:w="740" w:type="dxa"/>
            <w:vAlign w:val="bottom"/>
            <w:tcBorders>
              <w:bottom w:val="single" w:sz="8" w:color="auto"/>
            </w:tcBorders>
            <w:shd w:val="clear" w:color="auto" w:fill="CCEEFF"/>
          </w:tcPr>
          <w:p>
            <w:pPr>
              <w:jc w:val="right"/>
              <w:ind w:right="11"/>
              <w:spacing w:after="0" w:line="133"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148"/>
              <w:spacing w:after="0" w:line="133" w:lineRule="exact"/>
              <w:rPr>
                <w:sz w:val="20"/>
                <w:szCs w:val="20"/>
                <w:color w:val="auto"/>
              </w:rPr>
            </w:pPr>
            <w:r>
              <w:rPr>
                <w:rFonts w:ascii="Arial" w:cs="Arial" w:eastAsia="Arial" w:hAnsi="Arial"/>
                <w:sz w:val="14"/>
                <w:szCs w:val="14"/>
                <w:b w:val="1"/>
                <w:bCs w:val="1"/>
                <w:color w:val="auto"/>
              </w:rPr>
              <w:t>239</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line="136" w:lineRule="exact"/>
              <w:rPr>
                <w:sz w:val="20"/>
                <w:szCs w:val="20"/>
                <w:color w:val="auto"/>
              </w:rPr>
            </w:pPr>
            <w:r>
              <w:rPr>
                <w:rFonts w:ascii="Arial" w:cs="Arial" w:eastAsia="Arial" w:hAnsi="Arial"/>
                <w:sz w:val="14"/>
                <w:szCs w:val="14"/>
                <w:b w:val="1"/>
                <w:bCs w:val="1"/>
                <w:color w:val="auto"/>
              </w:rPr>
              <w:t>Supplemental disclosure of non-cash investing and</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2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280" w:type="dxa"/>
            <w:vAlign w:val="bottom"/>
          </w:tcPr>
          <w:p>
            <w:pPr>
              <w:ind w:left="140"/>
              <w:spacing w:after="0"/>
              <w:rPr>
                <w:sz w:val="20"/>
                <w:szCs w:val="20"/>
                <w:color w:val="auto"/>
              </w:rPr>
            </w:pPr>
            <w:r>
              <w:rPr>
                <w:rFonts w:ascii="Arial" w:cs="Arial" w:eastAsia="Arial" w:hAnsi="Arial"/>
                <w:sz w:val="14"/>
                <w:szCs w:val="14"/>
                <w:b w:val="1"/>
                <w:bCs w:val="1"/>
                <w:color w:val="auto"/>
              </w:rPr>
              <w:t>financing activities:</w:t>
            </w: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280" w:type="dxa"/>
            <w:vAlign w:val="bottom"/>
            <w:tcBorders>
              <w:bottom w:val="single" w:sz="8" w:color="CCEEFF"/>
            </w:tcBorders>
            <w:shd w:val="clear" w:color="auto" w:fill="CCEEFF"/>
          </w:tcPr>
          <w:p>
            <w:pPr>
              <w:ind w:left="140"/>
              <w:spacing w:after="0" w:line="152" w:lineRule="exact"/>
              <w:rPr>
                <w:sz w:val="20"/>
                <w:szCs w:val="20"/>
                <w:color w:val="auto"/>
              </w:rPr>
            </w:pPr>
            <w:r>
              <w:rPr>
                <w:rFonts w:ascii="Arial" w:cs="Arial" w:eastAsia="Arial" w:hAnsi="Arial"/>
                <w:sz w:val="14"/>
                <w:szCs w:val="14"/>
                <w:color w:val="auto"/>
              </w:rPr>
              <w:t>Purchase of property and equipment, accrued and unpaid</w:t>
            </w:r>
          </w:p>
        </w:tc>
        <w:tc>
          <w:tcPr>
            <w:tcW w:w="740" w:type="dxa"/>
            <w:vAlign w:val="bottom"/>
            <w:tcBorders>
              <w:bottom w:val="single" w:sz="8" w:color="auto"/>
            </w:tcBorders>
            <w:shd w:val="clear" w:color="auto" w:fill="CCEEFF"/>
          </w:tcPr>
          <w:p>
            <w:pPr>
              <w:jc w:val="right"/>
              <w:ind w:right="11"/>
              <w:spacing w:after="0" w:line="152"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148"/>
              <w:spacing w:after="0" w:line="152" w:lineRule="exact"/>
              <w:rPr>
                <w:sz w:val="20"/>
                <w:szCs w:val="20"/>
                <w:color w:val="auto"/>
              </w:rPr>
            </w:pPr>
            <w:r>
              <w:rPr>
                <w:rFonts w:ascii="Arial" w:cs="Arial" w:eastAsia="Arial" w:hAnsi="Arial"/>
                <w:sz w:val="14"/>
                <w:szCs w:val="14"/>
                <w:b w:val="1"/>
                <w:bCs w:val="1"/>
                <w:color w:val="auto"/>
              </w:rPr>
              <w:t>4,107</w:t>
            </w:r>
          </w:p>
        </w:tc>
        <w:tc>
          <w:tcPr>
            <w:tcW w:w="6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b w:val="1"/>
                <w:bCs w:val="1"/>
                <w:color w:val="auto"/>
              </w:rPr>
              <w:t>569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4"/>
                <w:szCs w:val="14"/>
                <w:color w:val="auto"/>
              </w:rPr>
              <w:t>Deferred offering cost, accrued and unpaid</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80" w:type="dxa"/>
            <w:vAlign w:val="bottom"/>
            <w:vMerge w:val="continue"/>
          </w:tcPr>
          <w:p>
            <w:pPr>
              <w:spacing w:after="0"/>
              <w:rPr>
                <w:sz w:val="13"/>
                <w:szCs w:val="13"/>
                <w:color w:val="auto"/>
              </w:rPr>
            </w:pPr>
          </w:p>
        </w:tc>
        <w:tc>
          <w:tcPr>
            <w:tcW w:w="74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1,565</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-930910</wp:posOffset>
            </wp:positionV>
            <wp:extent cx="2713355"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71335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-2335530</wp:posOffset>
            </wp:positionV>
            <wp:extent cx="2713355"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71335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-3096260</wp:posOffset>
            </wp:positionV>
            <wp:extent cx="2713355"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71335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-4514215</wp:posOffset>
            </wp:positionV>
            <wp:extent cx="2713355"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713355" cy="6985"/>
                    </a:xfrm>
                    <a:prstGeom prst="rect">
                      <a:avLst/>
                    </a:prstGeom>
                    <a:noFill/>
                  </pic:spPr>
                </pic:pic>
              </a:graphicData>
            </a:graphic>
          </wp:anchor>
        </w:drawing>
      </w:r>
    </w:p>
    <w:p>
      <w:pPr>
        <w:spacing w:after="0" w:line="239" w:lineRule="exact"/>
        <w:rPr>
          <w:sz w:val="20"/>
          <w:szCs w:val="20"/>
          <w:color w:val="auto"/>
        </w:rPr>
      </w:pPr>
    </w:p>
    <w:p>
      <w:pPr>
        <w:ind w:left="1220"/>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5" w:name="page246"/>
    <w:bookmarkEnd w:id="245"/>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right="2439"/>
        <w:spacing w:after="0" w:line="223" w:lineRule="auto"/>
        <w:rPr>
          <w:sz w:val="20"/>
          <w:szCs w:val="20"/>
          <w:color w:val="auto"/>
        </w:rPr>
      </w:pPr>
      <w:r>
        <w:rPr>
          <w:rFonts w:ascii="Arial" w:cs="Arial" w:eastAsia="Arial" w:hAnsi="Arial"/>
          <w:sz w:val="23"/>
          <w:szCs w:val="23"/>
          <w:b w:val="1"/>
          <w:bCs w:val="1"/>
          <w:color w:val="auto"/>
        </w:rPr>
        <w:t>Century Therapeutics, Inc. and Subsidiary Notes to the consolidated financial statements (unaudited)</w:t>
      </w:r>
    </w:p>
    <w:p>
      <w:pPr>
        <w:spacing w:after="0" w:line="3"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(In thousands, except share and per share amounts)</w:t>
      </w:r>
    </w:p>
    <w:p>
      <w:pPr>
        <w:spacing w:after="0" w:line="132"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1—Organization and description of the business</w:t>
      </w:r>
    </w:p>
    <w:p>
      <w:pPr>
        <w:spacing w:after="0" w:line="122" w:lineRule="exact"/>
        <w:rPr>
          <w:sz w:val="20"/>
          <w:szCs w:val="20"/>
          <w:color w:val="auto"/>
        </w:rPr>
      </w:pPr>
    </w:p>
    <w:p>
      <w:pPr>
        <w:ind w:left="1220" w:right="1339"/>
        <w:spacing w:after="0" w:line="265" w:lineRule="auto"/>
        <w:rPr>
          <w:sz w:val="20"/>
          <w:szCs w:val="20"/>
          <w:color w:val="auto"/>
        </w:rPr>
      </w:pPr>
      <w:r>
        <w:rPr>
          <w:rFonts w:ascii="Arial" w:cs="Arial" w:eastAsia="Arial" w:hAnsi="Arial"/>
          <w:sz w:val="14"/>
          <w:szCs w:val="14"/>
          <w:color w:val="auto"/>
        </w:rPr>
        <w:t>Century Therapeutics, Inc. (“Prior Century”), was incorporated in the state of Delaware on March 5, 2018. Since inception, Prior Century has devoted substantially all of its time and efforts to performing research and development activities and raising capital.</w:t>
      </w:r>
    </w:p>
    <w:p>
      <w:pPr>
        <w:spacing w:after="0" w:line="103" w:lineRule="exact"/>
        <w:rPr>
          <w:sz w:val="20"/>
          <w:szCs w:val="20"/>
          <w:color w:val="auto"/>
        </w:rPr>
      </w:pPr>
    </w:p>
    <w:p>
      <w:pPr>
        <w:ind w:left="1220" w:right="1379"/>
        <w:spacing w:after="0" w:line="259" w:lineRule="auto"/>
        <w:rPr>
          <w:sz w:val="20"/>
          <w:szCs w:val="20"/>
          <w:color w:val="auto"/>
        </w:rPr>
      </w:pPr>
      <w:r>
        <w:rPr>
          <w:rFonts w:ascii="Arial" w:cs="Arial" w:eastAsia="Arial" w:hAnsi="Arial"/>
          <w:sz w:val="14"/>
          <w:szCs w:val="14"/>
          <w:color w:val="auto"/>
        </w:rPr>
        <w:t>On June 5, 2019, Century Therapeutics, LLC (the “Company”) was formed by Prior Century and entered into an LLC Agreement (“Agreement”). On June 21, 2019, Prior Century, through the execution of a commitment agreement and other transaction documents (altogether the “Commitment Agreement”) with Bayer Health, LLC (“Bayer”), financed the creation of the Company and amended the Agreement to account for the provisions in the Commitment Agreement that outlined the rights, obligations, and capital contributions of both Bayer and Prior Century in accordance with the newly executed and amended Agreement and related Commitment Agreement (the “Transaction”). The Transaction resulted in Prior Century contributing substantially all of its assets, liabilities, and operations in exchange for a retained 72% equity interest in the Company. Subsequent to June 21, 2019, Prior Century had no significant operations and accounted for its interest in the Company under the equity method of accounting.</w:t>
      </w:r>
    </w:p>
    <w:p>
      <w:pPr>
        <w:spacing w:after="0" w:line="279" w:lineRule="exact"/>
        <w:rPr>
          <w:sz w:val="20"/>
          <w:szCs w:val="20"/>
          <w:color w:val="auto"/>
        </w:rPr>
      </w:pPr>
    </w:p>
    <w:p>
      <w:pPr>
        <w:ind w:left="1220" w:right="1519"/>
        <w:spacing w:after="0" w:line="274" w:lineRule="auto"/>
        <w:rPr>
          <w:sz w:val="20"/>
          <w:szCs w:val="20"/>
          <w:color w:val="auto"/>
        </w:rPr>
      </w:pPr>
      <w:r>
        <w:rPr>
          <w:rFonts w:ascii="Arial" w:cs="Arial" w:eastAsia="Arial" w:hAnsi="Arial"/>
          <w:sz w:val="14"/>
          <w:szCs w:val="14"/>
          <w:color w:val="auto"/>
        </w:rPr>
        <w:t>In June 2020, the Company formed Century Therapeutics Canada ULC (“Century Canada”), a wholly owned subsidiary, to acquire the assets of Empirica Therapeutics, Inc. (“Empirica”).</w:t>
      </w:r>
    </w:p>
    <w:p>
      <w:pPr>
        <w:spacing w:after="0" w:line="86" w:lineRule="exact"/>
        <w:rPr>
          <w:sz w:val="20"/>
          <w:szCs w:val="20"/>
          <w:color w:val="auto"/>
        </w:rPr>
      </w:pPr>
    </w:p>
    <w:p>
      <w:pPr>
        <w:ind w:left="1220" w:right="1439"/>
        <w:spacing w:after="0" w:line="260" w:lineRule="auto"/>
        <w:rPr>
          <w:sz w:val="20"/>
          <w:szCs w:val="20"/>
          <w:color w:val="auto"/>
        </w:rPr>
      </w:pPr>
      <w:r>
        <w:rPr>
          <w:rFonts w:ascii="Arial" w:cs="Arial" w:eastAsia="Arial" w:hAnsi="Arial"/>
          <w:sz w:val="14"/>
          <w:szCs w:val="14"/>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w:t>
      </w:r>
    </w:p>
    <w:p>
      <w:pPr>
        <w:spacing w:after="0" w:line="13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36" w:lineRule="exact"/>
        <w:rPr>
          <w:sz w:val="20"/>
          <w:szCs w:val="20"/>
          <w:color w:val="auto"/>
        </w:rPr>
      </w:pPr>
    </w:p>
    <w:p>
      <w:pPr>
        <w:ind w:left="1220" w:right="1779"/>
        <w:spacing w:after="0" w:line="265" w:lineRule="auto"/>
        <w:rPr>
          <w:sz w:val="20"/>
          <w:szCs w:val="20"/>
          <w:color w:val="auto"/>
        </w:rPr>
      </w:pPr>
      <w:r>
        <w:rPr>
          <w:rFonts w:ascii="Arial" w:cs="Arial" w:eastAsia="Arial" w:hAnsi="Arial"/>
          <w:sz w:val="14"/>
          <w:szCs w:val="14"/>
          <w:color w:val="auto"/>
        </w:rPr>
        <w:t>The consolidated financial statements include the consolidated financial position and consolidated results of operations of the Company and Century Canada. All intercompany balances and transactions have been eliminated in consolidation.</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Going concern and liquidity</w:t>
      </w:r>
    </w:p>
    <w:p>
      <w:pPr>
        <w:spacing w:after="0" w:line="136"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pharmaceutical industry. These risks include, but are not limited to, the uncertainty of availability of additional financing and the uncertainty of achieving future profitability.</w:t>
      </w:r>
    </w:p>
    <w:p>
      <w:pPr>
        <w:spacing w:after="0" w:line="96"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Since inception, the Company has incurred net losses and negative cash flows from operations. During the three months ended March 31, 2021, the Company incurred a net loss of $18,348 and used $22,179 of cash for operations. During the three months ended March 31, 2020, the Company incurred a net loss of $9,673 and used $6,884 of cash for operations. Management expects to incur additional losses in the future to fund its operations and conduct product research and development and recognizes the need to raise additional capital to fully implement its business plan. As further described in Note 3, Prior Century obtained a cash capital commitment from Bayer totaling $215,000, from which net proceeds of $74,839 were received in June 2019, $38,100 were received in November 2020 and $31,900 were received in</w:t>
      </w:r>
    </w:p>
    <w:p>
      <w:pPr>
        <w:spacing w:after="0" w:line="164" w:lineRule="exact"/>
        <w:rPr>
          <w:sz w:val="20"/>
          <w:szCs w:val="20"/>
          <w:color w:val="auto"/>
        </w:rPr>
      </w:pPr>
    </w:p>
    <w:p>
      <w:pPr>
        <w:ind w:left="1220" w:right="1639"/>
        <w:spacing w:after="0" w:line="265" w:lineRule="auto"/>
        <w:rPr>
          <w:sz w:val="20"/>
          <w:szCs w:val="20"/>
          <w:color w:val="auto"/>
        </w:rPr>
      </w:pPr>
      <w:r>
        <w:rPr>
          <w:rFonts w:ascii="Arial" w:cs="Arial" w:eastAsia="Arial" w:hAnsi="Arial"/>
          <w:sz w:val="14"/>
          <w:szCs w:val="14"/>
          <w:color w:val="auto"/>
        </w:rPr>
        <w:t>January 2021. Bayer has no continuing obligation to invest any additional amounts under its commitment, which terminated on February 25, 2021. As further described in Note 9, the Company entered into a Loan Agreement pursuant to which it received net proceeds</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6" w:name="page247"/>
    <w:bookmarkEnd w:id="246"/>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79"/>
        <w:spacing w:after="0" w:line="277" w:lineRule="auto"/>
        <w:rPr>
          <w:sz w:val="20"/>
          <w:szCs w:val="20"/>
          <w:color w:val="auto"/>
        </w:rPr>
      </w:pPr>
      <w:r>
        <w:rPr>
          <w:rFonts w:ascii="Arial" w:cs="Arial" w:eastAsia="Arial" w:hAnsi="Arial"/>
          <w:sz w:val="14"/>
          <w:szCs w:val="14"/>
          <w:color w:val="auto"/>
        </w:rPr>
        <w:t>of $9,734 in September 2020. Beginning January 1, 2021 and upon the achievement of certain development milestones and continuing through September 30, 2021 the Company may borrow an additional $10.0 million under the Loan Agreement. As described in Note 10, in February 2021 the Company issued shares of Series C Preferred Stock (“Series C preferred”) resulting in gross proceeds of $160,000. The Company believes it has adequate cash and financial resources to operate for at-least the next 12 months from the date of issuance of these consolidated financial statements.</w:t>
      </w:r>
    </w:p>
    <w:p>
      <w:pPr>
        <w:spacing w:after="0" w:line="304" w:lineRule="exact"/>
        <w:rPr>
          <w:sz w:val="20"/>
          <w:szCs w:val="20"/>
          <w:color w:val="auto"/>
        </w:rPr>
      </w:pPr>
    </w:p>
    <w:p>
      <w:pPr>
        <w:ind w:left="1220" w:right="2199"/>
        <w:spacing w:after="0" w:line="267" w:lineRule="auto"/>
        <w:rPr>
          <w:sz w:val="20"/>
          <w:szCs w:val="20"/>
          <w:color w:val="auto"/>
        </w:rPr>
      </w:pPr>
      <w:r>
        <w:rPr>
          <w:rFonts w:ascii="Arial" w:cs="Arial" w:eastAsia="Arial" w:hAnsi="Arial"/>
          <w:sz w:val="17"/>
          <w:szCs w:val="17"/>
          <w:b w:val="1"/>
          <w:bCs w:val="1"/>
          <w:color w:val="auto"/>
        </w:rPr>
        <w:t>Note 2—Summary of significant accounting policies and basis of presentation</w:t>
      </w:r>
    </w:p>
    <w:p>
      <w:pPr>
        <w:spacing w:after="0" w:line="10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36" w:lineRule="exact"/>
        <w:rPr>
          <w:sz w:val="20"/>
          <w:szCs w:val="20"/>
          <w:color w:val="auto"/>
        </w:rPr>
      </w:pPr>
    </w:p>
    <w:p>
      <w:pPr>
        <w:ind w:left="1220" w:right="1299"/>
        <w:spacing w:after="0" w:line="278" w:lineRule="auto"/>
        <w:rPr>
          <w:sz w:val="20"/>
          <w:szCs w:val="20"/>
          <w:color w:val="auto"/>
        </w:rPr>
      </w:pPr>
      <w:r>
        <w:rPr>
          <w:rFonts w:ascii="Arial" w:cs="Arial" w:eastAsia="Arial" w:hAnsi="Arial"/>
          <w:sz w:val="14"/>
          <w:szCs w:val="14"/>
          <w:color w:val="auto"/>
        </w:rPr>
        <w:t>The accompanying consolidated financial statements have been prepared in conformity with accounting principles generally accepted in the United States of America (“US GAAP”), which contemplate the continued existence of the Company. Since commencing principal activities, the Company has been engaged primarily in research and development activities and raising capital.</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Merger and capital restructuring</w:t>
      </w:r>
    </w:p>
    <w:p>
      <w:pPr>
        <w:spacing w:after="0" w:line="146"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Upon the conversion of the LLC to a corporation and the merger of the newly converted corporation with Prior Century, the existing capital structure of the LLC was restructured with no consideration transferred. In accordance with ASC 505-10-S99-4, such a restructuring requires retroactive effect within the balance sheets presented as the restructuring was affected after the balance sheet date but prior to the effective date of the registration statement. As such, the Company retroactively adjusted its consolidated balance sheets to cancel the existing LLC units and give effect to their conversion into capital stock of the Company as if those effects happened as of January 1, 2020. See note 10 for further information on the Company’s capital restructuring.</w:t>
      </w:r>
    </w:p>
    <w:p>
      <w:pPr>
        <w:spacing w:after="0" w:line="12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Segment information</w:t>
      </w:r>
    </w:p>
    <w:p>
      <w:pPr>
        <w:spacing w:after="0" w:line="146" w:lineRule="exact"/>
        <w:rPr>
          <w:sz w:val="20"/>
          <w:szCs w:val="20"/>
          <w:color w:val="auto"/>
        </w:rPr>
      </w:pPr>
    </w:p>
    <w:p>
      <w:pPr>
        <w:ind w:left="1220" w:right="1439"/>
        <w:spacing w:after="0" w:line="278" w:lineRule="auto"/>
        <w:rPr>
          <w:sz w:val="20"/>
          <w:szCs w:val="20"/>
          <w:color w:val="auto"/>
        </w:rPr>
      </w:pPr>
      <w:r>
        <w:rPr>
          <w:rFonts w:ascii="Arial" w:cs="Arial" w:eastAsia="Arial" w:hAnsi="Arial"/>
          <w:sz w:val="14"/>
          <w:szCs w:val="14"/>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36" w:lineRule="exact"/>
        <w:rPr>
          <w:sz w:val="20"/>
          <w:szCs w:val="20"/>
          <w:color w:val="auto"/>
        </w:rPr>
      </w:pPr>
    </w:p>
    <w:p>
      <w:pPr>
        <w:ind w:left="1220" w:right="1319"/>
        <w:spacing w:after="0" w:line="276" w:lineRule="auto"/>
        <w:rPr>
          <w:sz w:val="20"/>
          <w:szCs w:val="20"/>
          <w:color w:val="auto"/>
        </w:rPr>
      </w:pPr>
      <w:r>
        <w:rPr>
          <w:rFonts w:ascii="Arial" w:cs="Arial" w:eastAsia="Arial" w:hAnsi="Arial"/>
          <w:sz w:val="14"/>
          <w:szCs w:val="14"/>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and the estimation of the incremental borrowing rate for operating leases. If actual results differ from the Company’s estimates, or to the extent these estimates are adjusted in future periods, the Company’s results of operations could either benefit from, or be adversely affected by, any such change in estimate.</w:t>
      </w:r>
    </w:p>
    <w:p>
      <w:pPr>
        <w:spacing w:after="0" w:line="30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Concentration of credit risk and other risks and uncertainties</w:t>
      </w:r>
    </w:p>
    <w:p>
      <w:pPr>
        <w:spacing w:after="0" w:line="146"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March 31, 2021 and 2020, the Company has not experienced any losses on its deposits of cash and cash equivalents.</w:t>
      </w:r>
    </w:p>
    <w:p>
      <w:pPr>
        <w:spacing w:after="0" w:line="108" w:lineRule="exact"/>
        <w:rPr>
          <w:sz w:val="20"/>
          <w:szCs w:val="20"/>
          <w:color w:val="auto"/>
        </w:rPr>
      </w:pPr>
    </w:p>
    <w:p>
      <w:pPr>
        <w:ind w:left="1220" w:right="1379"/>
        <w:spacing w:after="0" w:line="278" w:lineRule="auto"/>
        <w:rPr>
          <w:sz w:val="20"/>
          <w:szCs w:val="20"/>
          <w:color w:val="auto"/>
        </w:rPr>
      </w:pPr>
      <w:r>
        <w:rPr>
          <w:rFonts w:ascii="Arial" w:cs="Arial" w:eastAsia="Arial" w:hAnsi="Arial"/>
          <w:sz w:val="14"/>
          <w:szCs w:val="14"/>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7" w:name="page248"/>
    <w:bookmarkEnd w:id="247"/>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559"/>
        <w:spacing w:after="0" w:line="274" w:lineRule="auto"/>
        <w:rPr>
          <w:sz w:val="20"/>
          <w:szCs w:val="20"/>
          <w:color w:val="auto"/>
        </w:rPr>
      </w:pPr>
      <w:r>
        <w:rPr>
          <w:rFonts w:ascii="Arial" w:cs="Arial" w:eastAsia="Arial" w:hAnsi="Arial"/>
          <w:sz w:val="14"/>
          <w:szCs w:val="14"/>
          <w:color w:val="auto"/>
        </w:rPr>
        <w:t>from substitute products and larger companies, protection of proprietary technology, strategic relationships, and dependence on key individuals.</w:t>
      </w:r>
    </w:p>
    <w:p>
      <w:pPr>
        <w:spacing w:after="0" w:line="86" w:lineRule="exact"/>
        <w:rPr>
          <w:sz w:val="20"/>
          <w:szCs w:val="20"/>
          <w:color w:val="auto"/>
        </w:rPr>
      </w:pPr>
    </w:p>
    <w:p>
      <w:pPr>
        <w:ind w:left="1220" w:right="1319"/>
        <w:spacing w:after="0" w:line="261" w:lineRule="auto"/>
        <w:rPr>
          <w:sz w:val="20"/>
          <w:szCs w:val="20"/>
          <w:color w:val="auto"/>
        </w:rPr>
      </w:pPr>
      <w:r>
        <w:rPr>
          <w:rFonts w:ascii="Arial" w:cs="Arial" w:eastAsia="Arial" w:hAnsi="Arial"/>
          <w:sz w:val="14"/>
          <w:szCs w:val="14"/>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106" w:lineRule="exact"/>
        <w:rPr>
          <w:sz w:val="20"/>
          <w:szCs w:val="20"/>
          <w:color w:val="auto"/>
        </w:rPr>
      </w:pPr>
    </w:p>
    <w:p>
      <w:pPr>
        <w:ind w:left="1220" w:right="1319"/>
        <w:spacing w:after="0" w:line="259" w:lineRule="auto"/>
        <w:rPr>
          <w:sz w:val="20"/>
          <w:szCs w:val="20"/>
          <w:color w:val="auto"/>
        </w:rPr>
      </w:pPr>
      <w:r>
        <w:rPr>
          <w:rFonts w:ascii="Arial" w:cs="Arial" w:eastAsia="Arial" w:hAnsi="Arial"/>
          <w:sz w:val="14"/>
          <w:szCs w:val="14"/>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31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Deferred financing costs</w:t>
      </w:r>
    </w:p>
    <w:p>
      <w:pPr>
        <w:spacing w:after="0" w:line="136"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color w:val="auto"/>
        </w:rPr>
        <w:t>Deferred financing costs represent costs incurred in connection with the issuance of debt instruments and equity financings. Deferred financing costs related to the issuance of debt are amortized over the term of the financing instrument using the effective interest method and are presented in the consolidated balance sheets as an offset against the related debt. Offering costs from equity financings are netted against the gross proceeds received from the equity financings.</w:t>
      </w:r>
    </w:p>
    <w:p>
      <w:pPr>
        <w:spacing w:after="0" w:line="13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Deferred offering costs</w:t>
      </w:r>
    </w:p>
    <w:p>
      <w:pPr>
        <w:spacing w:after="0" w:line="125" w:lineRule="exact"/>
        <w:rPr>
          <w:sz w:val="20"/>
          <w:szCs w:val="20"/>
          <w:color w:val="auto"/>
        </w:rPr>
      </w:pPr>
    </w:p>
    <w:p>
      <w:pPr>
        <w:ind w:left="1220" w:right="1479"/>
        <w:spacing w:after="0" w:line="260" w:lineRule="auto"/>
        <w:rPr>
          <w:sz w:val="20"/>
          <w:szCs w:val="20"/>
          <w:color w:val="auto"/>
        </w:rPr>
      </w:pPr>
      <w:r>
        <w:rPr>
          <w:rFonts w:ascii="Arial" w:cs="Arial" w:eastAsia="Arial" w:hAnsi="Arial"/>
          <w:sz w:val="14"/>
          <w:szCs w:val="14"/>
          <w:color w:val="auto"/>
        </w:rPr>
        <w:t>Deferred offering costs, which primarily consist of direct incremental legal and accounting fees relating to the initial public offering (IPO) of the Company’s common stock are capitalized. The deferred offering costs will be offset against IPO proceeds upon the consummation of the offering. In the event the offering is terminated, deferred offering costs will be expensed. The Company had $2,119 deferred offering costs recorded as of March 31, 2021. There were no deferred offering costs recorded as of December 31, 2020.</w:t>
      </w:r>
    </w:p>
    <w:p>
      <w:pPr>
        <w:spacing w:after="0" w:line="13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36" w:lineRule="exact"/>
        <w:rPr>
          <w:sz w:val="20"/>
          <w:szCs w:val="20"/>
          <w:color w:val="auto"/>
        </w:rPr>
      </w:pPr>
    </w:p>
    <w:p>
      <w:pPr>
        <w:ind w:left="1220" w:right="1279"/>
        <w:spacing w:after="0" w:line="259" w:lineRule="auto"/>
        <w:rPr>
          <w:sz w:val="20"/>
          <w:szCs w:val="20"/>
          <w:color w:val="auto"/>
        </w:rPr>
      </w:pPr>
      <w:r>
        <w:rPr>
          <w:rFonts w:ascii="Arial" w:cs="Arial" w:eastAsia="Arial" w:hAnsi="Arial"/>
          <w:sz w:val="14"/>
          <w:szCs w:val="14"/>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10" w:lineRule="exact"/>
        <w:rPr>
          <w:sz w:val="20"/>
          <w:szCs w:val="20"/>
          <w:color w:val="auto"/>
        </w:rPr>
      </w:pPr>
    </w:p>
    <w:p>
      <w:pPr>
        <w:ind w:left="1740" w:right="1699" w:hanging="517"/>
        <w:spacing w:after="0" w:line="290" w:lineRule="auto"/>
        <w:rPr>
          <w:sz w:val="20"/>
          <w:szCs w:val="20"/>
          <w:color w:val="auto"/>
        </w:rPr>
      </w:pPr>
      <w:r>
        <w:rPr>
          <w:rFonts w:ascii="Arial" w:cs="Arial" w:eastAsia="Arial" w:hAnsi="Arial"/>
          <w:sz w:val="14"/>
          <w:szCs w:val="14"/>
          <w:color w:val="auto"/>
        </w:rPr>
        <w:t>Level 1 Inputs that reflect unadjusted quoted prices in active markets for identical assets or liabilities that the Company has the ability to access at the measurement date;</w:t>
      </w:r>
    </w:p>
    <w:p>
      <w:pPr>
        <w:spacing w:after="0" w:line="96" w:lineRule="exact"/>
        <w:rPr>
          <w:sz w:val="20"/>
          <w:szCs w:val="20"/>
          <w:color w:val="auto"/>
        </w:rPr>
      </w:pPr>
    </w:p>
    <w:p>
      <w:pPr>
        <w:ind w:left="1740" w:right="1319" w:hanging="517"/>
        <w:spacing w:after="0" w:line="290" w:lineRule="auto"/>
        <w:rPr>
          <w:sz w:val="20"/>
          <w:szCs w:val="20"/>
          <w:color w:val="auto"/>
        </w:rPr>
      </w:pPr>
      <w:r>
        <w:rPr>
          <w:rFonts w:ascii="Arial" w:cs="Arial" w:eastAsia="Arial" w:hAnsi="Arial"/>
          <w:sz w:val="14"/>
          <w:szCs w:val="14"/>
          <w:color w:val="auto"/>
        </w:rPr>
        <w:t>Level 2 Inputs other than quoted prices that are observable for the asset or liability either directly or indirectly, including inputs in markets that are not considered to be active;</w:t>
      </w:r>
    </w:p>
    <w:p>
      <w:pPr>
        <w:spacing w:after="0" w:line="86" w:lineRule="exact"/>
        <w:rPr>
          <w:sz w:val="20"/>
          <w:szCs w:val="20"/>
          <w:color w:val="auto"/>
        </w:rPr>
      </w:pPr>
    </w:p>
    <w:p>
      <w:pPr>
        <w:ind w:left="1740" w:right="1339" w:hanging="517"/>
        <w:spacing w:after="0" w:line="290" w:lineRule="auto"/>
        <w:rPr>
          <w:sz w:val="20"/>
          <w:szCs w:val="20"/>
          <w:color w:val="auto"/>
        </w:rPr>
      </w:pPr>
      <w:r>
        <w:rPr>
          <w:rFonts w:ascii="Arial" w:cs="Arial" w:eastAsia="Arial" w:hAnsi="Arial"/>
          <w:sz w:val="14"/>
          <w:szCs w:val="14"/>
          <w:color w:val="auto"/>
        </w:rPr>
        <w:t>Level 3 Inputs are unobservable in which there is little or no market data available, which require the reporting entity to develop its own assumptions that are unobservable.</w:t>
      </w:r>
    </w:p>
    <w:p>
      <w:pPr>
        <w:spacing w:after="0" w:line="86" w:lineRule="exact"/>
        <w:rPr>
          <w:sz w:val="20"/>
          <w:szCs w:val="20"/>
          <w:color w:val="auto"/>
        </w:rPr>
      </w:pPr>
    </w:p>
    <w:p>
      <w:pPr>
        <w:ind w:left="1220" w:right="1299"/>
        <w:spacing w:after="0" w:line="262" w:lineRule="auto"/>
        <w:rPr>
          <w:sz w:val="20"/>
          <w:szCs w:val="20"/>
          <w:color w:val="auto"/>
        </w:rPr>
      </w:pPr>
      <w:r>
        <w:rPr>
          <w:rFonts w:ascii="Arial" w:cs="Arial" w:eastAsia="Arial" w:hAnsi="Arial"/>
          <w:sz w:val="14"/>
          <w:szCs w:val="14"/>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8" w:name="page249"/>
    <w:bookmarkEnd w:id="248"/>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136" w:lineRule="exact"/>
        <w:rPr>
          <w:sz w:val="20"/>
          <w:szCs w:val="20"/>
          <w:color w:val="auto"/>
        </w:rPr>
      </w:pPr>
    </w:p>
    <w:p>
      <w:pPr>
        <w:ind w:left="1220" w:right="1559"/>
        <w:spacing w:after="0" w:line="290" w:lineRule="auto"/>
        <w:rPr>
          <w:sz w:val="20"/>
          <w:szCs w:val="20"/>
          <w:color w:val="auto"/>
        </w:rPr>
      </w:pPr>
      <w:r>
        <w:rPr>
          <w:rFonts w:ascii="Arial" w:cs="Arial" w:eastAsia="Arial" w:hAnsi="Arial"/>
          <w:sz w:val="14"/>
          <w:szCs w:val="14"/>
          <w:color w:val="auto"/>
        </w:rPr>
        <w:t>Management considers all highly liquid investments with an insignificant interest rate risk and original maturities of three months or less to be cash equivalents.</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Restricted cash</w:t>
      </w:r>
    </w:p>
    <w:p>
      <w:pPr>
        <w:spacing w:after="0" w:line="146" w:lineRule="exact"/>
        <w:rPr>
          <w:sz w:val="20"/>
          <w:szCs w:val="20"/>
          <w:color w:val="auto"/>
        </w:rPr>
      </w:pPr>
    </w:p>
    <w:p>
      <w:pPr>
        <w:jc w:val="both"/>
        <w:ind w:left="1220" w:right="1599"/>
        <w:spacing w:after="0" w:line="281" w:lineRule="auto"/>
        <w:rPr>
          <w:sz w:val="20"/>
          <w:szCs w:val="20"/>
          <w:color w:val="auto"/>
        </w:rPr>
      </w:pPr>
      <w:r>
        <w:rPr>
          <w:rFonts w:ascii="Arial" w:cs="Arial" w:eastAsia="Arial" w:hAnsi="Arial"/>
          <w:sz w:val="14"/>
          <w:szCs w:val="14"/>
          <w:color w:val="auto"/>
        </w:rPr>
        <w:t>As of March 31, 2021 and December 31, 2020, the Company had $517 in cash on deposit to secure certain lease commitments. Restricted cash is recorded separately in the Company’s consolidated balance sheets.</w:t>
      </w:r>
    </w:p>
    <w:p>
      <w:pPr>
        <w:spacing w:after="0" w:line="103" w:lineRule="exact"/>
        <w:rPr>
          <w:sz w:val="20"/>
          <w:szCs w:val="20"/>
          <w:color w:val="auto"/>
        </w:rPr>
      </w:pPr>
    </w:p>
    <w:p>
      <w:pPr>
        <w:ind w:left="1220" w:right="1339"/>
        <w:spacing w:after="0" w:line="281" w:lineRule="auto"/>
        <w:rPr>
          <w:sz w:val="20"/>
          <w:szCs w:val="20"/>
          <w:color w:val="auto"/>
        </w:rPr>
      </w:pPr>
      <w:r>
        <w:rPr>
          <w:rFonts w:ascii="Arial" w:cs="Arial" w:eastAsia="Arial" w:hAnsi="Arial"/>
          <w:sz w:val="14"/>
          <w:szCs w:val="14"/>
          <w:color w:val="auto"/>
        </w:rPr>
        <w:t>The following provides a reconciliation of the Company’s cash, cash equivalents, and restricted cash as reported in the consolidated balance sheets to the amounts reported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80010</wp:posOffset>
            </wp:positionV>
            <wp:extent cx="4165600" cy="1397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34"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4140" w:type="dxa"/>
            <w:vAlign w:val="bottom"/>
            <w:tcBorders>
              <w:bottom w:val="single" w:sz="8" w:color="CCEEFF"/>
            </w:tcBorders>
          </w:tcPr>
          <w:p>
            <w:pPr>
              <w:spacing w:after="0"/>
              <w:rPr>
                <w:sz w:val="15"/>
                <w:szCs w:val="15"/>
                <w:color w:val="auto"/>
              </w:rPr>
            </w:pPr>
          </w:p>
        </w:tc>
        <w:tc>
          <w:tcPr>
            <w:tcW w:w="2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March 31, 2021  December 31, 2020</w:t>
            </w:r>
          </w:p>
        </w:tc>
      </w:tr>
      <w:tr>
        <w:trPr>
          <w:trHeight w:val="173"/>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4"/>
                <w:szCs w:val="14"/>
                <w:color w:val="auto"/>
              </w:rPr>
              <w:t>$ 79,483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$ 27,211</w:t>
            </w:r>
          </w:p>
        </w:tc>
      </w:tr>
      <w:tr>
        <w:trPr>
          <w:trHeight w:val="188"/>
        </w:trPr>
        <w:tc>
          <w:tcPr>
            <w:tcW w:w="41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Restricted cash</w:t>
            </w: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517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w:t>
            </w:r>
          </w:p>
        </w:tc>
      </w:tr>
      <w:tr>
        <w:trPr>
          <w:trHeight w:val="227"/>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cash equivalents, and restricted cash</w:t>
            </w:r>
          </w:p>
        </w:tc>
        <w:tc>
          <w:tcPr>
            <w:tcW w:w="14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4"/>
                <w:szCs w:val="14"/>
                <w:color w:val="auto"/>
              </w:rPr>
              <w:t>$ 80,000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$ 27,728</w:t>
            </w: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-163830</wp:posOffset>
            </wp:positionV>
            <wp:extent cx="2617470"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61747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-417195</wp:posOffset>
            </wp:positionV>
            <wp:extent cx="2617470"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617470" cy="6985"/>
                    </a:xfrm>
                    <a:prstGeom prst="rect">
                      <a:avLst/>
                    </a:prstGeom>
                    <a:noFill/>
                  </pic:spPr>
                </pic:pic>
              </a:graphicData>
            </a:graphic>
          </wp:anchor>
        </w:drawing>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Fixed maturity securities</w:t>
      </w:r>
    </w:p>
    <w:p>
      <w:pPr>
        <w:spacing w:after="0" w:line="136" w:lineRule="exact"/>
        <w:rPr>
          <w:sz w:val="20"/>
          <w:szCs w:val="20"/>
          <w:color w:val="auto"/>
        </w:rPr>
      </w:pPr>
    </w:p>
    <w:p>
      <w:pPr>
        <w:ind w:left="1220" w:right="1279"/>
        <w:spacing w:after="0" w:line="275" w:lineRule="auto"/>
        <w:rPr>
          <w:sz w:val="20"/>
          <w:szCs w:val="20"/>
          <w:color w:val="auto"/>
        </w:rPr>
      </w:pPr>
      <w:r>
        <w:rPr>
          <w:rFonts w:ascii="Arial" w:cs="Arial" w:eastAsia="Arial" w:hAnsi="Arial"/>
          <w:sz w:val="14"/>
          <w:szCs w:val="14"/>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Property and equipment, net</w:t>
      </w:r>
    </w:p>
    <w:p>
      <w:pPr>
        <w:spacing w:after="0" w:line="146" w:lineRule="exact"/>
        <w:rPr>
          <w:sz w:val="20"/>
          <w:szCs w:val="20"/>
          <w:color w:val="auto"/>
        </w:rPr>
      </w:pPr>
    </w:p>
    <w:p>
      <w:pPr>
        <w:jc w:val="both"/>
        <w:ind w:left="1220" w:right="1479"/>
        <w:spacing w:after="0" w:line="283" w:lineRule="auto"/>
        <w:rPr>
          <w:sz w:val="20"/>
          <w:szCs w:val="20"/>
          <w:color w:val="auto"/>
        </w:rPr>
      </w:pPr>
      <w:r>
        <w:rPr>
          <w:rFonts w:ascii="Arial" w:cs="Arial" w:eastAsia="Arial" w:hAnsi="Arial"/>
          <w:sz w:val="14"/>
          <w:szCs w:val="14"/>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w:t>
      </w:r>
    </w:p>
    <w:p>
      <w:pPr>
        <w:spacing w:after="0" w:line="283" w:lineRule="exact"/>
        <w:rPr>
          <w:sz w:val="20"/>
          <w:szCs w:val="20"/>
          <w:color w:val="auto"/>
        </w:rPr>
      </w:pPr>
    </w:p>
    <w:p>
      <w:pPr>
        <w:ind w:left="1220" w:right="1339"/>
        <w:spacing w:after="0" w:line="278" w:lineRule="auto"/>
        <w:rPr>
          <w:sz w:val="20"/>
          <w:szCs w:val="20"/>
          <w:color w:val="auto"/>
        </w:rPr>
      </w:pPr>
      <w:r>
        <w:rPr>
          <w:rFonts w:ascii="Arial" w:cs="Arial" w:eastAsia="Arial" w:hAnsi="Arial"/>
          <w:sz w:val="14"/>
          <w:szCs w:val="14"/>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6" w:lineRule="exact"/>
        <w:rPr>
          <w:sz w:val="20"/>
          <w:szCs w:val="20"/>
          <w:color w:val="auto"/>
        </w:rPr>
      </w:pPr>
    </w:p>
    <w:p>
      <w:pPr>
        <w:ind w:left="1220" w:right="1639"/>
        <w:spacing w:after="0" w:line="277" w:lineRule="auto"/>
        <w:rPr>
          <w:sz w:val="20"/>
          <w:szCs w:val="20"/>
          <w:color w:val="auto"/>
        </w:rPr>
      </w:pPr>
      <w:r>
        <w:rPr>
          <w:rFonts w:ascii="Arial" w:cs="Arial" w:eastAsia="Arial" w:hAnsi="Arial"/>
          <w:sz w:val="14"/>
          <w:szCs w:val="14"/>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and the cost of services provided by outside contractors. All costs associated with research and development are expensed as incurred.</w:t>
      </w:r>
    </w:p>
    <w:p>
      <w:pPr>
        <w:spacing w:after="0" w:line="12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46" w:lineRule="exact"/>
        <w:rPr>
          <w:sz w:val="20"/>
          <w:szCs w:val="20"/>
          <w:color w:val="auto"/>
        </w:rPr>
      </w:pPr>
    </w:p>
    <w:p>
      <w:pPr>
        <w:ind w:left="1220" w:right="1359"/>
        <w:spacing w:after="0" w:line="277" w:lineRule="auto"/>
        <w:rPr>
          <w:sz w:val="20"/>
          <w:szCs w:val="20"/>
          <w:color w:val="auto"/>
        </w:rPr>
      </w:pPr>
      <w:r>
        <w:rPr>
          <w:rFonts w:ascii="Arial" w:cs="Arial" w:eastAsia="Arial" w:hAnsi="Arial"/>
          <w:sz w:val="14"/>
          <w:szCs w:val="14"/>
          <w:color w:val="auto"/>
        </w:rPr>
        <w:t>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49" w:name="page250"/>
    <w:bookmarkEnd w:id="249"/>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268" w:lineRule="exact"/>
        <w:rPr>
          <w:sz w:val="20"/>
          <w:szCs w:val="20"/>
          <w:color w:val="auto"/>
        </w:rPr>
      </w:pPr>
    </w:p>
    <w:p>
      <w:pPr>
        <w:ind w:left="1220" w:right="1239"/>
        <w:spacing w:after="0" w:line="257" w:lineRule="auto"/>
        <w:rPr>
          <w:sz w:val="20"/>
          <w:szCs w:val="20"/>
          <w:color w:val="auto"/>
        </w:rPr>
      </w:pPr>
      <w:r>
        <w:rPr>
          <w:rFonts w:ascii="Arial" w:cs="Arial" w:eastAsia="Arial" w:hAnsi="Arial"/>
          <w:sz w:val="14"/>
          <w:szCs w:val="14"/>
          <w:color w:val="auto"/>
        </w:rPr>
        <w:t>Black-Scholes requires inputs based on certain subjective assumptions, including (i) the expected stock price volatility, (ii) the expected term of the award, (iii) the risk-free interest rate and</w:t>
      </w:r>
    </w:p>
    <w:p>
      <w:pPr>
        <w:ind w:left="1220" w:right="1279" w:firstLine="4"/>
        <w:spacing w:after="0" w:line="258" w:lineRule="auto"/>
        <w:tabs>
          <w:tab w:leader="none" w:pos="1478" w:val="left"/>
        </w:tabs>
        <w:numPr>
          <w:ilvl w:val="0"/>
          <w:numId w:val="127"/>
        </w:numPr>
        <w:rPr>
          <w:rFonts w:ascii="Arial" w:cs="Arial" w:eastAsia="Arial" w:hAnsi="Arial"/>
          <w:sz w:val="14"/>
          <w:szCs w:val="14"/>
          <w:color w:val="auto"/>
        </w:rPr>
      </w:pPr>
      <w:r>
        <w:rPr>
          <w:rFonts w:ascii="Arial" w:cs="Arial" w:eastAsia="Arial" w:hAnsi="Arial"/>
          <w:sz w:val="14"/>
          <w:szCs w:val="14"/>
          <w:color w:val="auto"/>
        </w:rPr>
        <w:t>expected dividends. Due to the lack of a public market for the Company’s common stock and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to calculate the expected term for options granted to employees and board members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286" w:lineRule="exact"/>
        <w:rPr>
          <w:sz w:val="20"/>
          <w:szCs w:val="20"/>
          <w:color w:val="auto"/>
        </w:rPr>
      </w:pPr>
    </w:p>
    <w:p>
      <w:pPr>
        <w:ind w:left="1220" w:right="1359"/>
        <w:spacing w:after="0" w:line="258" w:lineRule="auto"/>
        <w:rPr>
          <w:sz w:val="20"/>
          <w:szCs w:val="20"/>
          <w:color w:val="auto"/>
        </w:rPr>
      </w:pPr>
      <w:r>
        <w:rPr>
          <w:rFonts w:ascii="Arial" w:cs="Arial" w:eastAsia="Arial" w:hAnsi="Arial"/>
          <w:sz w:val="14"/>
          <w:szCs w:val="14"/>
          <w:color w:val="auto"/>
        </w:rPr>
        <w:t>Due to the absence of an active market for the Company’s common stock, the Company utilized methodologies in accordance with the framework of the American Institute of Certified Public Accountants Technical Practice Aid, Valuation of Privately-Held Company Equity Securities Issued as Compensation, to estimate the fair value of its common stock. In determining the exercise prices for options granted, the Company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common stock, the effect of the rights and preferences of the preferred shareholders,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spacing w:after="0" w:line="312"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Warrants</w:t>
      </w:r>
    </w:p>
    <w:p>
      <w:pPr>
        <w:spacing w:after="0" w:line="136"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 xml:space="preserve">The Company has issued warrants that have been recognized as equity, and the fair value is recorded into additional paid-in capital in the accompanying consolidated balance sheets. Warrants are accounted for in accordance with applicable accounting guidance provided in ASC Topic 815, </w:t>
      </w:r>
      <w:r>
        <w:rPr>
          <w:rFonts w:ascii="Arial" w:cs="Arial" w:eastAsia="Arial" w:hAnsi="Arial"/>
          <w:sz w:val="14"/>
          <w:szCs w:val="14"/>
          <w:i w:val="1"/>
          <w:iCs w:val="1"/>
          <w:color w:val="auto"/>
        </w:rPr>
        <w:t>Derivatives and Hedging—Contracts in Entity’s Own Equity</w:t>
      </w:r>
      <w:r>
        <w:rPr>
          <w:rFonts w:ascii="Arial" w:cs="Arial" w:eastAsia="Arial" w:hAnsi="Arial"/>
          <w:sz w:val="14"/>
          <w:szCs w:val="14"/>
          <w:color w:val="auto"/>
        </w:rPr>
        <w:t>, as either derivative liabilities or as equity instruments depending on the specific terms of the warrant agreement. The Company’s warrants issued in connection with its long-term debt are equity classified on the accompanying consolidated balance sheets. Equity classified warrants are accounted for at fair value on the issuance date, using Black Scholes, with no changes in fair value recognized after the issuance date.</w:t>
      </w:r>
    </w:p>
    <w:p>
      <w:pPr>
        <w:spacing w:after="0" w:line="31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25" w:lineRule="exact"/>
        <w:rPr>
          <w:sz w:val="20"/>
          <w:szCs w:val="20"/>
          <w:color w:val="auto"/>
        </w:rPr>
      </w:pPr>
    </w:p>
    <w:p>
      <w:pPr>
        <w:ind w:left="1220" w:right="1259"/>
        <w:spacing w:after="0" w:line="260" w:lineRule="auto"/>
        <w:rPr>
          <w:sz w:val="20"/>
          <w:szCs w:val="20"/>
          <w:color w:val="auto"/>
        </w:rPr>
      </w:pPr>
      <w:r>
        <w:rPr>
          <w:rFonts w:ascii="Arial" w:cs="Arial" w:eastAsia="Arial" w:hAnsi="Arial"/>
          <w:sz w:val="14"/>
          <w:szCs w:val="14"/>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0" w:name="page251"/>
    <w:bookmarkEnd w:id="250"/>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19"/>
        <w:spacing w:after="0" w:line="274" w:lineRule="auto"/>
        <w:rPr>
          <w:sz w:val="20"/>
          <w:szCs w:val="20"/>
          <w:color w:val="auto"/>
        </w:rPr>
      </w:pPr>
      <w:r>
        <w:rPr>
          <w:rFonts w:ascii="Arial" w:cs="Arial" w:eastAsia="Arial" w:hAnsi="Arial"/>
          <w:sz w:val="14"/>
          <w:szCs w:val="14"/>
          <w:color w:val="auto"/>
        </w:rPr>
        <w:t>operations and comprehensive loss. The Company has not utilized any foreign currency hedging strategies to mitigate the effect of its foreign currency exposure.</w:t>
      </w:r>
    </w:p>
    <w:p>
      <w:pPr>
        <w:spacing w:after="0" w:line="86" w:lineRule="exact"/>
        <w:rPr>
          <w:sz w:val="20"/>
          <w:szCs w:val="20"/>
          <w:color w:val="auto"/>
        </w:rPr>
      </w:pPr>
    </w:p>
    <w:p>
      <w:pPr>
        <w:ind w:left="1220" w:right="1259"/>
        <w:spacing w:after="0" w:line="262" w:lineRule="auto"/>
        <w:rPr>
          <w:sz w:val="20"/>
          <w:szCs w:val="20"/>
          <w:color w:val="auto"/>
        </w:rPr>
      </w:pPr>
      <w:r>
        <w:rPr>
          <w:rFonts w:ascii="Arial" w:cs="Arial" w:eastAsia="Arial" w:hAnsi="Arial"/>
          <w:sz w:val="14"/>
          <w:szCs w:val="14"/>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Basic and diluted net loss per common shares</w:t>
      </w:r>
    </w:p>
    <w:p>
      <w:pPr>
        <w:spacing w:after="0" w:line="136" w:lineRule="exact"/>
        <w:rPr>
          <w:sz w:val="20"/>
          <w:szCs w:val="20"/>
          <w:color w:val="auto"/>
        </w:rPr>
      </w:pPr>
    </w:p>
    <w:p>
      <w:pPr>
        <w:ind w:left="1220" w:right="1299"/>
        <w:spacing w:after="0" w:line="259" w:lineRule="auto"/>
        <w:rPr>
          <w:sz w:val="20"/>
          <w:szCs w:val="20"/>
          <w:color w:val="auto"/>
        </w:rPr>
      </w:pPr>
      <w:r>
        <w:rPr>
          <w:rFonts w:ascii="Arial" w:cs="Arial" w:eastAsia="Arial" w:hAnsi="Arial"/>
          <w:sz w:val="14"/>
          <w:szCs w:val="14"/>
          <w:color w:val="auto"/>
        </w:rPr>
        <w:t>Basic net loss per common share is computed by dividing net loss applicable to common shareholders by the weighted-average number of common shares outstanding during the period. The Company computes diluted net loss per common share by dividing the net loss applicable to common shareholders by the sum of the weighted-average number of common shares outstanding during the period plus the potential dilutive effects of its warrants, restricted stock and stock options to purchase common shares, but such items are excluded if their effect is anti-dilutive. Because the impact of these items are anti-dilutive during periods of net loss, there were no differences between the Company’s basic and diluted net loss per common share for the three months ended March 31, 2021 and 2020.</w:t>
      </w:r>
    </w:p>
    <w:p>
      <w:pPr>
        <w:spacing w:after="0" w:line="31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Early exercised options</w:t>
      </w:r>
    </w:p>
    <w:p>
      <w:pPr>
        <w:spacing w:after="0" w:line="136" w:lineRule="exact"/>
        <w:rPr>
          <w:sz w:val="20"/>
          <w:szCs w:val="20"/>
          <w:color w:val="auto"/>
        </w:rPr>
      </w:pPr>
    </w:p>
    <w:p>
      <w:pPr>
        <w:ind w:left="1220" w:right="1259"/>
        <w:spacing w:after="0" w:line="258" w:lineRule="auto"/>
        <w:rPr>
          <w:sz w:val="20"/>
          <w:szCs w:val="20"/>
          <w:color w:val="auto"/>
        </w:rPr>
      </w:pPr>
      <w:r>
        <w:rPr>
          <w:rFonts w:ascii="Arial" w:cs="Arial" w:eastAsia="Arial" w:hAnsi="Arial"/>
          <w:sz w:val="14"/>
          <w:szCs w:val="14"/>
          <w:color w:val="auto"/>
        </w:rPr>
        <w:t>The Company allows certain of its employees and its consultants to exercise options granted under the 2018 Plan (Note 15) prior to vesting. The Shares related to early exercised stock options are subject to the Company’s repurchase right upon termination of employment or services at the lesser of the original purchase price or fair market value at the time of repurchase. In order to vest, the holders are required to provide continued service to the Company. The early exercise by an employee or consultant of a stock option is not considered to be a substantive exercise for accounting purposes, and therefore, the payment received by the employer for the exercise price is recognized as a liability. For accounting purposes, unvested early exercised shares are not considered issued and outstanding and therefore not reflected as issued and outstanding in the accompanying consolidated balance sheets or the consolidated statements of changes in convertible preferred stock and stockholders’ equity (deficit) until the awards vest. The deposits received are initially recorded in deposit liability. The liabilities are reclassified to common stock and additional paid-in-capital as the repurchase right lapses. At March 31, 2021, $1,136 was recorded in deposit liability related to shares held by employees and nonemployees that were subject to repurchase. At December 31, 2020, there was no deposit liability as the initial deposit liability was recognized on February 25, 2021 when the merger discussed in Note 2 occurred.</w:t>
      </w:r>
    </w:p>
    <w:p>
      <w:pPr>
        <w:spacing w:after="0" w:line="200" w:lineRule="exact"/>
        <w:rPr>
          <w:sz w:val="20"/>
          <w:szCs w:val="20"/>
          <w:color w:val="auto"/>
        </w:rPr>
      </w:pPr>
    </w:p>
    <w:p>
      <w:pPr>
        <w:spacing w:after="0" w:line="247" w:lineRule="exact"/>
        <w:rPr>
          <w:sz w:val="20"/>
          <w:szCs w:val="20"/>
          <w:color w:val="auto"/>
        </w:rPr>
      </w:pPr>
    </w:p>
    <w:p>
      <w:pPr>
        <w:ind w:left="1220" w:right="1359"/>
        <w:spacing w:after="0" w:line="265" w:lineRule="auto"/>
        <w:rPr>
          <w:sz w:val="20"/>
          <w:szCs w:val="20"/>
          <w:color w:val="auto"/>
        </w:rPr>
      </w:pPr>
      <w:r>
        <w:rPr>
          <w:rFonts w:ascii="Arial" w:cs="Arial" w:eastAsia="Arial" w:hAnsi="Arial"/>
          <w:sz w:val="14"/>
          <w:szCs w:val="14"/>
          <w:color w:val="auto"/>
        </w:rPr>
        <w:t>All shares that were early exercised by the executives of the Company are considered legally issued, however, for accounting purposes, only vested shares are considered issued. Below is a reconciliation of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93345</wp:posOffset>
            </wp:positionV>
            <wp:extent cx="4165600" cy="1397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56"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4140" w:type="dxa"/>
            <w:vAlign w:val="bottom"/>
          </w:tcPr>
          <w:p>
            <w:pPr>
              <w:spacing w:after="0"/>
              <w:rPr>
                <w:sz w:val="15"/>
                <w:szCs w:val="15"/>
                <w:color w:val="auto"/>
              </w:rPr>
            </w:pPr>
          </w:p>
        </w:tc>
        <w:tc>
          <w:tcPr>
            <w:tcW w:w="248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March 31, 2021  December 31, 2020</w:t>
            </w:r>
          </w:p>
        </w:tc>
      </w:tr>
      <w:tr>
        <w:trPr>
          <w:trHeight w:val="173"/>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shares legally outstanding</w:t>
            </w:r>
          </w:p>
        </w:tc>
        <w:tc>
          <w:tcPr>
            <w:tcW w:w="14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4"/>
                <w:szCs w:val="14"/>
                <w:color w:val="auto"/>
              </w:rPr>
              <w:t>24,381,382</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22,307,756</w:t>
            </w:r>
          </w:p>
        </w:tc>
        <w:tc>
          <w:tcPr>
            <w:tcW w:w="60" w:type="dxa"/>
            <w:vAlign w:val="bottom"/>
          </w:tcPr>
          <w:p>
            <w:pPr>
              <w:spacing w:after="0"/>
              <w:rPr>
                <w:sz w:val="15"/>
                <w:szCs w:val="15"/>
                <w:color w:val="auto"/>
              </w:rPr>
            </w:pPr>
          </w:p>
        </w:tc>
      </w:tr>
      <w:tr>
        <w:trPr>
          <w:trHeight w:val="182"/>
        </w:trPr>
        <w:tc>
          <w:tcPr>
            <w:tcW w:w="4140" w:type="dxa"/>
            <w:vAlign w:val="bottom"/>
          </w:tcPr>
          <w:p>
            <w:pPr>
              <w:spacing w:after="0"/>
              <w:rPr>
                <w:sz w:val="20"/>
                <w:szCs w:val="20"/>
                <w:color w:val="auto"/>
              </w:rPr>
            </w:pPr>
            <w:r>
              <w:rPr>
                <w:rFonts w:ascii="Arial" w:cs="Arial" w:eastAsia="Arial" w:hAnsi="Arial"/>
                <w:sz w:val="14"/>
                <w:szCs w:val="14"/>
                <w:color w:val="auto"/>
              </w:rPr>
              <w:t>Less: unvested early exercised shares</w:t>
            </w:r>
          </w:p>
        </w:tc>
        <w:tc>
          <w:tcPr>
            <w:tcW w:w="1400" w:type="dxa"/>
            <w:vAlign w:val="bottom"/>
          </w:tcPr>
          <w:p>
            <w:pPr>
              <w:jc w:val="right"/>
              <w:ind w:right="230"/>
              <w:spacing w:after="0"/>
              <w:rPr>
                <w:sz w:val="20"/>
                <w:szCs w:val="20"/>
                <w:color w:val="auto"/>
              </w:rPr>
            </w:pPr>
            <w:r>
              <w:rPr>
                <w:rFonts w:ascii="Arial" w:cs="Arial" w:eastAsia="Arial" w:hAnsi="Arial"/>
                <w:sz w:val="14"/>
                <w:szCs w:val="14"/>
                <w:color w:val="auto"/>
              </w:rPr>
              <w:t>(2,377,447)</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(831,896)</w:t>
            </w:r>
          </w:p>
        </w:tc>
      </w:tr>
      <w:tr>
        <w:trPr>
          <w:trHeight w:val="23"/>
        </w:trPr>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88"/>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unvested restricted stock</w:t>
            </w:r>
          </w:p>
        </w:tc>
        <w:tc>
          <w:tcPr>
            <w:tcW w:w="1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(2,271,298)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(2,650,724)</w:t>
            </w:r>
          </w:p>
        </w:tc>
        <w:tc>
          <w:tcPr>
            <w:tcW w:w="60" w:type="dxa"/>
            <w:vAlign w:val="bottom"/>
          </w:tcPr>
          <w:p>
            <w:pPr>
              <w:spacing w:after="0"/>
              <w:rPr>
                <w:sz w:val="16"/>
                <w:szCs w:val="16"/>
                <w:color w:val="auto"/>
              </w:rPr>
            </w:pPr>
          </w:p>
        </w:tc>
      </w:tr>
      <w:tr>
        <w:trPr>
          <w:trHeight w:val="179"/>
        </w:trPr>
        <w:tc>
          <w:tcPr>
            <w:tcW w:w="4140" w:type="dxa"/>
            <w:vAlign w:val="bottom"/>
          </w:tcPr>
          <w:p>
            <w:pPr>
              <w:spacing w:after="0"/>
              <w:rPr>
                <w:sz w:val="20"/>
                <w:szCs w:val="20"/>
                <w:color w:val="auto"/>
              </w:rPr>
            </w:pPr>
            <w:r>
              <w:rPr>
                <w:rFonts w:ascii="Arial" w:cs="Arial" w:eastAsia="Arial" w:hAnsi="Arial"/>
                <w:sz w:val="14"/>
                <w:szCs w:val="14"/>
                <w:color w:val="auto"/>
              </w:rPr>
              <w:t>Total shares issued and outstanding</w:t>
            </w:r>
          </w:p>
        </w:tc>
        <w:tc>
          <w:tcPr>
            <w:tcW w:w="1400" w:type="dxa"/>
            <w:vAlign w:val="bottom"/>
          </w:tcPr>
          <w:p>
            <w:pPr>
              <w:jc w:val="right"/>
              <w:ind w:right="290"/>
              <w:spacing w:after="0"/>
              <w:rPr>
                <w:sz w:val="20"/>
                <w:szCs w:val="20"/>
                <w:color w:val="auto"/>
              </w:rPr>
            </w:pPr>
            <w:r>
              <w:rPr>
                <w:rFonts w:ascii="Arial" w:cs="Arial" w:eastAsia="Arial" w:hAnsi="Arial"/>
                <w:sz w:val="14"/>
                <w:szCs w:val="14"/>
                <w:color w:val="auto"/>
              </w:rPr>
              <w:t>19,732,637</w:t>
            </w:r>
          </w:p>
        </w:tc>
        <w:tc>
          <w:tcPr>
            <w:tcW w:w="1020" w:type="dxa"/>
            <w:vAlign w:val="bottom"/>
          </w:tcPr>
          <w:p>
            <w:pPr>
              <w:jc w:val="right"/>
              <w:spacing w:after="0"/>
              <w:rPr>
                <w:sz w:val="20"/>
                <w:szCs w:val="20"/>
                <w:color w:val="auto"/>
              </w:rPr>
            </w:pPr>
            <w:r>
              <w:rPr>
                <w:rFonts w:ascii="Arial" w:cs="Arial" w:eastAsia="Arial" w:hAnsi="Arial"/>
                <w:sz w:val="14"/>
                <w:szCs w:val="14"/>
                <w:color w:val="auto"/>
              </w:rPr>
              <w:t>18,825,136</w:t>
            </w:r>
          </w:p>
        </w:tc>
        <w:tc>
          <w:tcPr>
            <w:tcW w:w="60" w:type="dxa"/>
            <w:vAlign w:val="bottom"/>
          </w:tcPr>
          <w:p>
            <w:pPr>
              <w:spacing w:after="0"/>
              <w:rPr>
                <w:sz w:val="15"/>
                <w:szCs w:val="15"/>
                <w:color w:val="auto"/>
              </w:rPr>
            </w:pPr>
          </w:p>
        </w:tc>
      </w:tr>
      <w:tr>
        <w:trPr>
          <w:trHeight w:val="23"/>
        </w:trPr>
        <w:tc>
          <w:tcPr>
            <w:tcW w:w="4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-547370</wp:posOffset>
            </wp:positionV>
            <wp:extent cx="2617470"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617470" cy="6985"/>
                    </a:xfrm>
                    <a:prstGeom prst="rect">
                      <a:avLst/>
                    </a:prstGeom>
                    <a:noFill/>
                  </pic:spPr>
                </pic:pic>
              </a:graphicData>
            </a:graphic>
          </wp:anchor>
        </w:drawing>
      </w:r>
    </w:p>
    <w:p>
      <w:pPr>
        <w:spacing w:after="0" w:line="11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Restricted stock</w:t>
      </w:r>
    </w:p>
    <w:p>
      <w:pPr>
        <w:spacing w:after="0" w:line="136" w:lineRule="exact"/>
        <w:rPr>
          <w:sz w:val="20"/>
          <w:szCs w:val="20"/>
          <w:color w:val="auto"/>
        </w:rPr>
      </w:pPr>
    </w:p>
    <w:p>
      <w:pPr>
        <w:ind w:left="1220" w:right="1259"/>
        <w:spacing w:after="0" w:line="259" w:lineRule="auto"/>
        <w:rPr>
          <w:sz w:val="20"/>
          <w:szCs w:val="20"/>
          <w:color w:val="auto"/>
        </w:rPr>
      </w:pPr>
      <w:r>
        <w:rPr>
          <w:rFonts w:ascii="Arial" w:cs="Arial" w:eastAsia="Arial" w:hAnsi="Arial"/>
          <w:sz w:val="14"/>
          <w:szCs w:val="14"/>
          <w:color w:val="auto"/>
        </w:rPr>
        <w:t>In 2018, the Company issued 4,288,080 restricted stock awards at a purchase price of $0.01 per share. In 2019, the Company issued 2,139,473 restricted stock awards at a weighted average purchase price of $0.28 per share. In October 2019, the Company repurchased 750,000 shares at $0.41 per share. As of March 31, 2021, the number of restricted stock awards vested were 3,406,255. For accounting purposes, unvested restricted stock awards are not considered issued and outstanding and therefore are not reflected as issued and outstanding in the accompanying consolidated balance sheets or the consolidated statements of changes in convertible preferred stock and stockholders’ equity (deficit) until the awards vest. The Company recorded stock-based</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1" w:name="page252"/>
    <w:bookmarkEnd w:id="251"/>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19"/>
        <w:spacing w:after="0" w:line="274" w:lineRule="auto"/>
        <w:rPr>
          <w:sz w:val="20"/>
          <w:szCs w:val="20"/>
          <w:color w:val="auto"/>
        </w:rPr>
      </w:pPr>
      <w:r>
        <w:rPr>
          <w:rFonts w:ascii="Arial" w:cs="Arial" w:eastAsia="Arial" w:hAnsi="Arial"/>
          <w:sz w:val="14"/>
          <w:szCs w:val="14"/>
          <w:color w:val="auto"/>
        </w:rPr>
        <w:t>compensation expense for these awards of $39, for the three months ended March 31, 2021 and 2020, in the statements of operations and comprehensive loss.</w:t>
      </w:r>
    </w:p>
    <w:p>
      <w:pPr>
        <w:spacing w:after="0" w:line="102"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22"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Recently Adopted Accounting Pronouncements</w:t>
      </w:r>
    </w:p>
    <w:p>
      <w:pPr>
        <w:spacing w:after="0" w:line="101" w:lineRule="exact"/>
        <w:rPr>
          <w:sz w:val="20"/>
          <w:szCs w:val="20"/>
          <w:color w:val="auto"/>
        </w:rPr>
      </w:pPr>
    </w:p>
    <w:p>
      <w:pPr>
        <w:ind w:left="1220" w:right="1239"/>
        <w:spacing w:after="0" w:line="258" w:lineRule="auto"/>
        <w:rPr>
          <w:sz w:val="20"/>
          <w:szCs w:val="20"/>
          <w:color w:val="auto"/>
        </w:rPr>
      </w:pPr>
      <w:r>
        <w:rPr>
          <w:rFonts w:ascii="Arial" w:cs="Arial" w:eastAsia="Arial" w:hAnsi="Arial"/>
          <w:sz w:val="14"/>
          <w:szCs w:val="14"/>
          <w:color w:val="auto"/>
        </w:rPr>
        <w:t>In August 2020, the FASB issued ASU 2020-06, Debt—Debt with Conversion and Other Options (Subtopic 470-20) and Derivatives and Hedging—Contracts in Entity’s Own Equity (Subtopic 815-40): Accounting for Convertible Instruments and Contracts in an Entity’s Own Equity, which simplifies the accounting for convertible debt instruments and convertible preferred stock by reducing the number of accounting models and the number of embedded conversion features that could be recognized separately from the primary contract. The update also requires the application of the if-converted method to calculate the impact of convertible instruments on diluted earnings per share. The new guidance is effective for annual periods beginning after December 15, 2023, including interim periods within those fiscal years. Early adoption is permitted, but no earlier than fiscal years beginning after December 15, 2020. This update can be adopted on either a fully retrospective or a modified retrospective basis. The Company adopted ASU 2020-06, effective January 1, 2021, which did not have a material effect on the Company’s consolidated financial statements.</w:t>
      </w:r>
    </w:p>
    <w:p>
      <w:pPr>
        <w:spacing w:after="0" w:line="294"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Recent Accounting Pronouncements</w:t>
      </w:r>
    </w:p>
    <w:p>
      <w:pPr>
        <w:spacing w:after="0" w:line="101" w:lineRule="exact"/>
        <w:rPr>
          <w:sz w:val="20"/>
          <w:szCs w:val="20"/>
          <w:color w:val="auto"/>
        </w:rPr>
      </w:pPr>
    </w:p>
    <w:p>
      <w:pPr>
        <w:ind w:left="1220" w:right="1319"/>
        <w:spacing w:after="0" w:line="260" w:lineRule="auto"/>
        <w:rPr>
          <w:sz w:val="20"/>
          <w:szCs w:val="20"/>
          <w:color w:val="auto"/>
        </w:rPr>
      </w:pPr>
      <w:r>
        <w:rPr>
          <w:rFonts w:ascii="Arial" w:cs="Arial" w:eastAsia="Arial" w:hAnsi="Arial"/>
          <w:sz w:val="14"/>
          <w:szCs w:val="14"/>
          <w:color w:val="auto"/>
        </w:rPr>
        <w:t>In August 2018, the FASB issued ASU 2018-13, Fair Value Measurement (Topic 820): Disclosure Framework—Changes to the Disclosure Requirements for Fair Value Measurement (“ASU 2018-13”), which eliminates, adds, and modifies certain disclosure requirements for fair value measurements. ASU 2018-13 is effective for the Company for fiscal years beginning after December 15, 2020, and earlier adoption is permitted. The Company adopted this standard on January 1, 2021 and adoption had no impact on its consolidated financial statements.</w:t>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3—Initial capitalization</w:t>
      </w:r>
    </w:p>
    <w:p>
      <w:pPr>
        <w:spacing w:after="0" w:line="101" w:lineRule="exact"/>
        <w:rPr>
          <w:sz w:val="20"/>
          <w:szCs w:val="20"/>
          <w:color w:val="auto"/>
        </w:rPr>
      </w:pPr>
    </w:p>
    <w:p>
      <w:pPr>
        <w:ind w:left="1220" w:right="1459"/>
        <w:spacing w:after="0" w:line="265" w:lineRule="auto"/>
        <w:rPr>
          <w:sz w:val="20"/>
          <w:szCs w:val="20"/>
          <w:color w:val="auto"/>
        </w:rPr>
      </w:pPr>
      <w:r>
        <w:rPr>
          <w:rFonts w:ascii="Arial" w:cs="Arial" w:eastAsia="Arial" w:hAnsi="Arial"/>
          <w:sz w:val="14"/>
          <w:szCs w:val="14"/>
          <w:color w:val="auto"/>
        </w:rPr>
        <w:t>On June 21, 2019, Prior Century and Bayer entered into a Commitment Agreement to initially capitalize the Company. The Commitment Agreement called for capital contributions from Prior Century and Bayer as follows:</w:t>
      </w:r>
    </w:p>
    <w:p>
      <w:pPr>
        <w:spacing w:after="0" w:line="10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Century Capital Contributions</w:t>
      </w:r>
    </w:p>
    <w:p>
      <w:pPr>
        <w:spacing w:after="0" w:line="114" w:lineRule="exact"/>
        <w:rPr>
          <w:sz w:val="20"/>
          <w:szCs w:val="20"/>
          <w:color w:val="auto"/>
        </w:rPr>
      </w:pPr>
    </w:p>
    <w:p>
      <w:pPr>
        <w:ind w:left="1220" w:right="1759"/>
        <w:spacing w:after="0" w:line="265" w:lineRule="auto"/>
        <w:rPr>
          <w:sz w:val="20"/>
          <w:szCs w:val="20"/>
          <w:color w:val="auto"/>
        </w:rPr>
      </w:pPr>
      <w:r>
        <w:rPr>
          <w:rFonts w:ascii="Arial" w:cs="Arial" w:eastAsia="Arial" w:hAnsi="Arial"/>
          <w:sz w:val="14"/>
          <w:szCs w:val="14"/>
          <w:color w:val="auto"/>
        </w:rPr>
        <w:t>In exchange for issuing 67,226,891 common units to Prior Century, the Company acquired substantially all of Prior Century’s assets, assumed all of its liabilities and assumed the operations of Prior Century.</w:t>
      </w:r>
    </w:p>
    <w:p>
      <w:pPr>
        <w:spacing w:after="0" w:line="93" w:lineRule="exact"/>
        <w:rPr>
          <w:sz w:val="20"/>
          <w:szCs w:val="20"/>
          <w:color w:val="auto"/>
        </w:rPr>
      </w:pPr>
    </w:p>
    <w:p>
      <w:pPr>
        <w:ind w:left="1220" w:right="1399"/>
        <w:spacing w:after="0" w:line="260" w:lineRule="auto"/>
        <w:rPr>
          <w:sz w:val="20"/>
          <w:szCs w:val="20"/>
          <w:color w:val="auto"/>
        </w:rPr>
      </w:pPr>
      <w:r>
        <w:rPr>
          <w:rFonts w:ascii="Arial" w:cs="Arial" w:eastAsia="Arial" w:hAnsi="Arial"/>
          <w:sz w:val="14"/>
          <w:szCs w:val="14"/>
          <w:color w:val="auto"/>
        </w:rPr>
        <w:t>The Company evaluated the acquisition under the guidance within ASU 2017-01, “Clarifying the Definition of a Business</w:t>
      </w:r>
      <w:r>
        <w:rPr>
          <w:rFonts w:ascii="Arial" w:cs="Arial" w:eastAsia="Arial" w:hAnsi="Arial"/>
          <w:sz w:val="14"/>
          <w:szCs w:val="14"/>
          <w:i w:val="1"/>
          <w:iCs w:val="1"/>
          <w:color w:val="auto"/>
        </w:rPr>
        <w:t>”</w:t>
      </w:r>
      <w:r>
        <w:rPr>
          <w:rFonts w:ascii="Arial" w:cs="Arial" w:eastAsia="Arial" w:hAnsi="Arial"/>
          <w:sz w:val="14"/>
          <w:szCs w:val="14"/>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assets acquired were concentrated in an in-process research and development (“IPR&amp;D”) asset. In an asset acquisition, the total transaction cost is allocated between the acquired identified tangible and intangible assets based on relative fair value.</w:t>
      </w:r>
    </w:p>
    <w:p>
      <w:pPr>
        <w:spacing w:after="0" w:line="106" w:lineRule="exact"/>
        <w:rPr>
          <w:sz w:val="20"/>
          <w:szCs w:val="20"/>
          <w:color w:val="auto"/>
        </w:rPr>
      </w:pPr>
    </w:p>
    <w:p>
      <w:pPr>
        <w:ind w:left="1220" w:right="1359"/>
        <w:spacing w:after="0" w:line="262" w:lineRule="auto"/>
        <w:rPr>
          <w:sz w:val="20"/>
          <w:szCs w:val="20"/>
          <w:color w:val="auto"/>
        </w:rPr>
      </w:pPr>
      <w:r>
        <w:rPr>
          <w:rFonts w:ascii="Arial" w:cs="Arial" w:eastAsia="Arial" w:hAnsi="Arial"/>
          <w:sz w:val="14"/>
          <w:szCs w:val="14"/>
          <w:color w:val="auto"/>
        </w:rPr>
        <w:t>Total transaction costs for the assets acquired were $252,107, which was the fair value of the equity interests issued to Prior Century, with no additional capitalizable transaction costs. Equity issuance costs related to Prior Century were $407, which were recorded as a reduction to members’ equity. The relative fair value allocation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95250</wp:posOffset>
            </wp:positionV>
            <wp:extent cx="4165600" cy="139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59" w:lineRule="exact"/>
        <w:rPr>
          <w:sz w:val="20"/>
          <w:szCs w:val="20"/>
          <w:color w:val="auto"/>
        </w:rPr>
      </w:pPr>
    </w:p>
    <w:tbl>
      <w:tblPr>
        <w:tblLayout w:type="fixed"/>
        <w:tblInd w:w="220" w:type="dxa"/>
        <w:tblCellMar>
          <w:top w:w="0" w:type="dxa"/>
          <w:left w:w="0" w:type="dxa"/>
          <w:bottom w:w="0" w:type="dxa"/>
          <w:right w:w="0" w:type="dxa"/>
        </w:tblCellMar>
      </w:tblPr>
      <w:tr>
        <w:trPr>
          <w:trHeight w:val="178"/>
        </w:trPr>
        <w:tc>
          <w:tcPr>
            <w:tcW w:w="10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360" w:type="dxa"/>
            <w:vAlign w:val="bottom"/>
            <w:gridSpan w:val="3"/>
          </w:tcPr>
          <w:p>
            <w:pPr>
              <w:ind w:left="100"/>
              <w:spacing w:after="0"/>
              <w:rPr>
                <w:sz w:val="20"/>
                <w:szCs w:val="20"/>
                <w:color w:val="auto"/>
              </w:rPr>
            </w:pPr>
            <w:r>
              <w:rPr>
                <w:rFonts w:ascii="Arial" w:cs="Arial" w:eastAsia="Arial" w:hAnsi="Arial"/>
                <w:sz w:val="13"/>
                <w:szCs w:val="13"/>
                <w:b w:val="1"/>
                <w:bCs w:val="1"/>
                <w:color w:val="auto"/>
              </w:rPr>
              <w:t>As of June 21, 2019</w:t>
            </w:r>
          </w:p>
        </w:tc>
      </w:tr>
      <w:tr>
        <w:trPr>
          <w:trHeight w:val="183"/>
        </w:trPr>
        <w:tc>
          <w:tcPr>
            <w:tcW w:w="1000" w:type="dxa"/>
            <w:vAlign w:val="bottom"/>
          </w:tcPr>
          <w:p>
            <w:pPr>
              <w:spacing w:after="0"/>
              <w:rPr>
                <w:sz w:val="15"/>
                <w:szCs w:val="15"/>
                <w:color w:val="auto"/>
              </w:rPr>
            </w:pPr>
          </w:p>
        </w:tc>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27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25,163</w:t>
            </w:r>
          </w:p>
        </w:tc>
        <w:tc>
          <w:tcPr>
            <w:tcW w:w="1000" w:type="dxa"/>
            <w:vAlign w:val="bottom"/>
          </w:tcPr>
          <w:p>
            <w:pPr>
              <w:spacing w:after="0"/>
              <w:rPr>
                <w:sz w:val="15"/>
                <w:szCs w:val="15"/>
                <w:color w:val="auto"/>
              </w:rPr>
            </w:pPr>
          </w:p>
        </w:tc>
      </w:tr>
      <w:tr>
        <w:trPr>
          <w:trHeight w:val="172"/>
        </w:trPr>
        <w:tc>
          <w:tcPr>
            <w:tcW w:w="100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4"/>
                <w:szCs w:val="14"/>
                <w:color w:val="auto"/>
              </w:rPr>
              <w:t>IPR&amp;D</w:t>
            </w:r>
          </w:p>
        </w:tc>
        <w:tc>
          <w:tcPr>
            <w:tcW w:w="2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225,946</w:t>
            </w:r>
          </w:p>
        </w:tc>
        <w:tc>
          <w:tcPr>
            <w:tcW w:w="1000" w:type="dxa"/>
            <w:vAlign w:val="bottom"/>
          </w:tcPr>
          <w:p>
            <w:pPr>
              <w:spacing w:after="0"/>
              <w:rPr>
                <w:sz w:val="14"/>
                <w:szCs w:val="14"/>
                <w:color w:val="auto"/>
              </w:rPr>
            </w:pPr>
          </w:p>
        </w:tc>
      </w:tr>
      <w:tr>
        <w:trPr>
          <w:trHeight w:val="195"/>
        </w:trPr>
        <w:tc>
          <w:tcPr>
            <w:tcW w:w="1000" w:type="dxa"/>
            <w:vAlign w:val="bottom"/>
          </w:tcPr>
          <w:p>
            <w:pPr>
              <w:spacing w:after="0"/>
              <w:rPr>
                <w:sz w:val="16"/>
                <w:szCs w:val="16"/>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w:t>
            </w:r>
          </w:p>
        </w:tc>
        <w:tc>
          <w:tcPr>
            <w:tcW w:w="27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1000" w:type="dxa"/>
            <w:vAlign w:val="bottom"/>
          </w:tcPr>
          <w:p>
            <w:pPr>
              <w:spacing w:after="0"/>
              <w:rPr>
                <w:sz w:val="16"/>
                <w:szCs w:val="16"/>
                <w:color w:val="auto"/>
              </w:rPr>
            </w:pPr>
          </w:p>
        </w:tc>
      </w:tr>
      <w:tr>
        <w:trPr>
          <w:trHeight w:val="172"/>
        </w:trPr>
        <w:tc>
          <w:tcPr>
            <w:tcW w:w="1000" w:type="dxa"/>
            <w:vAlign w:val="bottom"/>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4"/>
                <w:szCs w:val="14"/>
                <w:color w:val="auto"/>
              </w:rPr>
              <w:t>Other current assets</w:t>
            </w:r>
          </w:p>
        </w:tc>
        <w:tc>
          <w:tcPr>
            <w:tcW w:w="2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578</w:t>
            </w:r>
          </w:p>
        </w:tc>
        <w:tc>
          <w:tcPr>
            <w:tcW w:w="1000" w:type="dxa"/>
            <w:vAlign w:val="bottom"/>
          </w:tcPr>
          <w:p>
            <w:pPr>
              <w:spacing w:after="0"/>
              <w:rPr>
                <w:sz w:val="14"/>
                <w:szCs w:val="14"/>
                <w:color w:val="auto"/>
              </w:rPr>
            </w:pPr>
          </w:p>
        </w:tc>
      </w:tr>
      <w:tr>
        <w:trPr>
          <w:trHeight w:val="195"/>
        </w:trPr>
        <w:tc>
          <w:tcPr>
            <w:tcW w:w="1000" w:type="dxa"/>
            <w:vAlign w:val="bottom"/>
          </w:tcPr>
          <w:p>
            <w:pPr>
              <w:spacing w:after="0"/>
              <w:rPr>
                <w:sz w:val="16"/>
                <w:szCs w:val="16"/>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Other non-current assets</w:t>
            </w:r>
          </w:p>
        </w:tc>
        <w:tc>
          <w:tcPr>
            <w:tcW w:w="27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1000" w:type="dxa"/>
            <w:vAlign w:val="bottom"/>
          </w:tcPr>
          <w:p>
            <w:pPr>
              <w:spacing w:after="0"/>
              <w:rPr>
                <w:sz w:val="16"/>
                <w:szCs w:val="16"/>
                <w:color w:val="auto"/>
              </w:rPr>
            </w:pPr>
          </w:p>
        </w:tc>
      </w:tr>
      <w:tr>
        <w:trPr>
          <w:trHeight w:val="172"/>
        </w:trPr>
        <w:tc>
          <w:tcPr>
            <w:tcW w:w="1000" w:type="dxa"/>
            <w:vAlign w:val="bottom"/>
          </w:tcPr>
          <w:p>
            <w:pPr>
              <w:spacing w:after="0"/>
              <w:rPr>
                <w:sz w:val="14"/>
                <w:szCs w:val="14"/>
                <w:color w:val="auto"/>
              </w:rPr>
            </w:pPr>
          </w:p>
        </w:tc>
        <w:tc>
          <w:tcPr>
            <w:tcW w:w="24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Current liabilities</w:t>
            </w:r>
          </w:p>
        </w:tc>
        <w:tc>
          <w:tcPr>
            <w:tcW w:w="27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w:t>
            </w:r>
          </w:p>
        </w:tc>
        <w:tc>
          <w:tcPr>
            <w:tcW w:w="1000" w:type="dxa"/>
            <w:vAlign w:val="bottom"/>
          </w:tcPr>
          <w:p>
            <w:pPr>
              <w:spacing w:after="0"/>
              <w:rPr>
                <w:sz w:val="14"/>
                <w:szCs w:val="14"/>
                <w:color w:val="auto"/>
              </w:rPr>
            </w:pPr>
          </w:p>
        </w:tc>
      </w:tr>
      <w:tr>
        <w:trPr>
          <w:trHeight w:val="187"/>
        </w:trPr>
        <w:tc>
          <w:tcPr>
            <w:tcW w:w="1000" w:type="dxa"/>
            <w:vAlign w:val="bottom"/>
          </w:tcPr>
          <w:p>
            <w:pPr>
              <w:spacing w:after="0"/>
              <w:rPr>
                <w:sz w:val="16"/>
                <w:szCs w:val="16"/>
                <w:color w:val="auto"/>
              </w:rPr>
            </w:pPr>
          </w:p>
        </w:tc>
        <w:tc>
          <w:tcPr>
            <w:tcW w:w="2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27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252,107</w:t>
            </w:r>
          </w:p>
        </w:tc>
        <w:tc>
          <w:tcPr>
            <w:tcW w:w="1000" w:type="dxa"/>
            <w:vAlign w:val="bottom"/>
          </w:tcPr>
          <w:p>
            <w:pPr>
              <w:spacing w:after="0"/>
              <w:rPr>
                <w:sz w:val="16"/>
                <w:szCs w:val="16"/>
                <w:color w:val="auto"/>
              </w:rPr>
            </w:pPr>
          </w:p>
        </w:tc>
      </w:tr>
      <w:tr>
        <w:trPr>
          <w:trHeight w:val="517"/>
        </w:trPr>
        <w:tc>
          <w:tcPr>
            <w:tcW w:w="10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540" w:type="dxa"/>
            <w:vAlign w:val="bottom"/>
            <w:gridSpan w:val="2"/>
          </w:tcPr>
          <w:p>
            <w:pPr>
              <w:jc w:val="right"/>
              <w:ind w:right="2510"/>
              <w:spacing w:after="0"/>
              <w:rPr>
                <w:sz w:val="20"/>
                <w:szCs w:val="20"/>
                <w:color w:val="auto"/>
              </w:rPr>
            </w:pPr>
            <w:r>
              <w:rPr>
                <w:rFonts w:ascii="Arial" w:cs="Arial" w:eastAsia="Arial" w:hAnsi="Arial"/>
                <w:sz w:val="14"/>
                <w:szCs w:val="14"/>
                <w:color w:val="auto"/>
              </w:rPr>
              <w:t>F-39</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6"/>
        </w:trPr>
        <w:tc>
          <w:tcPr>
            <w:tcW w:w="10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-684530</wp:posOffset>
            </wp:positionV>
            <wp:extent cx="3302635"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30263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-1383665</wp:posOffset>
            </wp:positionV>
            <wp:extent cx="3302635"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302635" cy="6985"/>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-26035</wp:posOffset>
            </wp:positionV>
            <wp:extent cx="32385" cy="393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-26035</wp:posOffset>
            </wp:positionV>
            <wp:extent cx="32385" cy="393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2" w:name="page253"/>
    <w:bookmarkEnd w:id="252"/>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319"/>
        <w:spacing w:after="0" w:line="277" w:lineRule="auto"/>
        <w:rPr>
          <w:sz w:val="20"/>
          <w:szCs w:val="20"/>
          <w:color w:val="auto"/>
        </w:rPr>
      </w:pPr>
      <w:r>
        <w:rPr>
          <w:rFonts w:ascii="Arial" w:cs="Arial" w:eastAsia="Arial" w:hAnsi="Arial"/>
          <w:sz w:val="14"/>
          <w:szCs w:val="14"/>
          <w:color w:val="auto"/>
        </w:rPr>
        <w:t>Under the asset acquisition model, an entity that acquires IPR&amp;D assets follows the guidance in ASC 730, which requires that both tangible and intangible identifiable research and development assets with no alternative future use be initially allocated a portion of the consideration transferred and then charged to expense at the acquisition date. The IPR&amp;D asset acquired was Prior Century's comprehensive allogenic cell therapy platform. As the IPR&amp;D asset has no alternative future use to the Company, the Company charged $225,946 to expense within its consolidated statements of operations.</w:t>
      </w:r>
    </w:p>
    <w:p>
      <w:pPr>
        <w:spacing w:after="0" w:line="30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Bayer Capital Contributions</w:t>
      </w:r>
    </w:p>
    <w:p>
      <w:pPr>
        <w:spacing w:after="0" w:line="136" w:lineRule="exact"/>
        <w:rPr>
          <w:sz w:val="20"/>
          <w:szCs w:val="20"/>
          <w:color w:val="auto"/>
        </w:rPr>
      </w:pPr>
    </w:p>
    <w:p>
      <w:pPr>
        <w:ind w:left="1220" w:right="1359"/>
        <w:spacing w:after="0" w:line="278" w:lineRule="auto"/>
        <w:rPr>
          <w:sz w:val="20"/>
          <w:szCs w:val="20"/>
          <w:color w:val="auto"/>
        </w:rPr>
      </w:pPr>
      <w:r>
        <w:rPr>
          <w:rFonts w:ascii="Arial" w:cs="Arial" w:eastAsia="Arial" w:hAnsi="Arial"/>
          <w:sz w:val="14"/>
          <w:szCs w:val="14"/>
          <w:color w:val="auto"/>
        </w:rPr>
        <w:t>In accordance with the Commitment Agreement, Bayer agreed to provide an aggregate cash capital contribution of $215,000. The Bayer cash commitment is split into capital contributions of $145,000 (“Tranche 1”) and $70,000 (“Tranche 2”). The funding of Tranche 2 is dependent on certain contingent events and, as a result, is not recorded as a subscription receivable as of March 31, 2021. Tranche 2 was eliminated in connection with the Series C preferred financing. See Note 10.</w:t>
      </w:r>
    </w:p>
    <w:p>
      <w:pPr>
        <w:spacing w:after="0" w:line="30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Bayer Rights</w:t>
      </w:r>
    </w:p>
    <w:p>
      <w:pPr>
        <w:spacing w:after="0" w:line="146" w:lineRule="exact"/>
        <w:rPr>
          <w:sz w:val="20"/>
          <w:szCs w:val="20"/>
          <w:color w:val="auto"/>
        </w:rPr>
      </w:pPr>
    </w:p>
    <w:p>
      <w:pPr>
        <w:jc w:val="both"/>
        <w:ind w:left="1220" w:right="1259"/>
        <w:spacing w:after="0" w:line="281" w:lineRule="auto"/>
        <w:rPr>
          <w:sz w:val="20"/>
          <w:szCs w:val="20"/>
          <w:color w:val="auto"/>
        </w:rPr>
      </w:pPr>
      <w:r>
        <w:rPr>
          <w:rFonts w:ascii="Arial" w:cs="Arial" w:eastAsia="Arial" w:hAnsi="Arial"/>
          <w:sz w:val="14"/>
          <w:szCs w:val="14"/>
          <w:color w:val="auto"/>
        </w:rPr>
        <w:t>In connection with the Commitment Agreement, Bayer was granted approval and veto rights over certain decisions related to the operations of the Company through its manager representation on the Company’s Board of Managers. Prior Century holds similar rights.</w:t>
      </w:r>
    </w:p>
    <w:p>
      <w:pPr>
        <w:spacing w:after="0" w:line="103" w:lineRule="exact"/>
        <w:rPr>
          <w:sz w:val="20"/>
          <w:szCs w:val="20"/>
          <w:color w:val="auto"/>
        </w:rPr>
      </w:pPr>
    </w:p>
    <w:p>
      <w:pPr>
        <w:ind w:left="1220" w:right="1299"/>
        <w:spacing w:after="0" w:line="295" w:lineRule="auto"/>
        <w:rPr>
          <w:sz w:val="20"/>
          <w:szCs w:val="20"/>
          <w:color w:val="auto"/>
        </w:rPr>
      </w:pPr>
      <w:r>
        <w:rPr>
          <w:rFonts w:ascii="Arial" w:cs="Arial" w:eastAsia="Arial" w:hAnsi="Arial"/>
          <w:sz w:val="14"/>
          <w:szCs w:val="14"/>
          <w:color w:val="auto"/>
        </w:rPr>
        <w:t>Tranche 1 was funded in exchange for 26,143,790 common units, with $75,000 paid at closing and the remaining $70,000 due upon the Company meeting certain development milestones or in 3 years.</w:t>
      </w:r>
    </w:p>
    <w:p>
      <w:pPr>
        <w:spacing w:after="0" w:line="26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During 2019, the Company received $74,839 from Tranche 1, net of equity issuance costs of</w:t>
      </w:r>
    </w:p>
    <w:p>
      <w:pPr>
        <w:spacing w:after="0" w:line="22" w:lineRule="exact"/>
        <w:rPr>
          <w:sz w:val="20"/>
          <w:szCs w:val="20"/>
          <w:color w:val="auto"/>
        </w:rPr>
      </w:pPr>
    </w:p>
    <w:p>
      <w:pPr>
        <w:ind w:left="1220" w:right="1339"/>
        <w:spacing w:after="0" w:line="281" w:lineRule="auto"/>
        <w:rPr>
          <w:sz w:val="20"/>
          <w:szCs w:val="20"/>
          <w:color w:val="auto"/>
        </w:rPr>
      </w:pPr>
      <w:r>
        <w:rPr>
          <w:rFonts w:ascii="Arial" w:cs="Arial" w:eastAsia="Arial" w:hAnsi="Arial"/>
          <w:sz w:val="14"/>
          <w:szCs w:val="14"/>
          <w:color w:val="auto"/>
        </w:rPr>
        <w:t>$161. The Company accounts for the $70,000 as a subscription receivable, which is recorded as contra-equity within its consolidated statements of changes in convertible preferred stock and stockholders’ deficit.</w:t>
      </w:r>
    </w:p>
    <w:p>
      <w:pPr>
        <w:spacing w:after="0" w:line="103" w:lineRule="exact"/>
        <w:rPr>
          <w:sz w:val="20"/>
          <w:szCs w:val="20"/>
          <w:color w:val="auto"/>
        </w:rPr>
      </w:pPr>
    </w:p>
    <w:p>
      <w:pPr>
        <w:ind w:left="1220" w:right="1299"/>
        <w:spacing w:after="0" w:line="276" w:lineRule="auto"/>
        <w:rPr>
          <w:sz w:val="20"/>
          <w:szCs w:val="20"/>
          <w:color w:val="auto"/>
        </w:rPr>
      </w:pPr>
      <w:r>
        <w:rPr>
          <w:rFonts w:ascii="Arial" w:cs="Arial" w:eastAsia="Arial" w:hAnsi="Arial"/>
          <w:sz w:val="14"/>
          <w:szCs w:val="14"/>
          <w:color w:val="auto"/>
        </w:rPr>
        <w:t>On June 18, 2020, the Company, Prior Century and Bayer executed an amendment to the Commitment Agreement to modify the terms for the Company to receive the remaining Tranche 1 subscription receivable of $70,000. In November 2020, the Company received proceeds of $38,100 of the Tranche 1 subscription receivable. The remaining $31,900 was received in January 2021. The Commitment Agreement terminated in connection with the Series C Preferred financing, and Bayer has no obligation to invest any additional amounts.</w:t>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Bayer Option Agreement</w:t>
      </w:r>
    </w:p>
    <w:p>
      <w:pPr>
        <w:spacing w:after="0" w:line="146" w:lineRule="exact"/>
        <w:rPr>
          <w:sz w:val="20"/>
          <w:szCs w:val="20"/>
          <w:color w:val="auto"/>
        </w:rPr>
      </w:pPr>
    </w:p>
    <w:p>
      <w:pPr>
        <w:ind w:left="1220" w:right="1439"/>
        <w:spacing w:after="0" w:line="281" w:lineRule="auto"/>
        <w:rPr>
          <w:sz w:val="20"/>
          <w:szCs w:val="20"/>
          <w:color w:val="auto"/>
        </w:rPr>
      </w:pPr>
      <w:r>
        <w:rPr>
          <w:rFonts w:ascii="Arial" w:cs="Arial" w:eastAsia="Arial" w:hAnsi="Arial"/>
          <w:sz w:val="14"/>
          <w:szCs w:val="14"/>
          <w:color w:val="auto"/>
        </w:rPr>
        <w:t>As a condition of the Tranche 1 closing, Bayer and Prior Century were required to enter into an Option Agreement, pursuant to which Bayer was provided the right of first refusal to acquire certain products researched and developed by the Company.</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4—Asset purchase by Century Therapeutics Canada ULC</w:t>
      </w:r>
    </w:p>
    <w:p>
      <w:pPr>
        <w:spacing w:after="0" w:line="133" w:lineRule="exact"/>
        <w:rPr>
          <w:sz w:val="20"/>
          <w:szCs w:val="20"/>
          <w:color w:val="auto"/>
        </w:rPr>
      </w:pPr>
    </w:p>
    <w:p>
      <w:pPr>
        <w:ind w:left="1220" w:right="1319"/>
        <w:spacing w:after="0" w:line="275" w:lineRule="auto"/>
        <w:rPr>
          <w:sz w:val="20"/>
          <w:szCs w:val="20"/>
          <w:color w:val="auto"/>
        </w:rPr>
      </w:pPr>
      <w:r>
        <w:rPr>
          <w:rFonts w:ascii="Arial" w:cs="Arial" w:eastAsia="Arial" w:hAnsi="Arial"/>
          <w:sz w:val="14"/>
          <w:szCs w:val="14"/>
          <w:color w:val="auto"/>
        </w:rPr>
        <w:t>On June 9, 2020, Century Canada and the Company entered into an agreement with Empirica, a company focused on the development of adoptive immunotherapies against aggressive and treatment-resistant forms of cancers, including glioblastoma and brain metastasis. Under the terms of the Empirica Agreement, the Company acquired an IPR&amp;D asset. Cash of $4,519 was paid at closing and transaction expenses totaled $203. The Company also deposited $1,506 in escrow (the “Escrow Deposit”). Release of the Escrow Deposit is subject to the terms of a promissory note, which provides for the funds to be released in equal annual installments over a three-year period related to continuing services by certain Empirica shareholders who are employed by the Company. As of March 31, 2021 and December 31, 2020, accrued compensation expense on the promissory note was $407 and $282, which is presented within accrued expenses and other liabilities on the consolidated balance sheets.</w:t>
      </w:r>
    </w:p>
    <w:p>
      <w:pPr>
        <w:spacing w:after="0" w:line="29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Total consideration of the asset acquisition was as follows:</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3" w:name="page254"/>
    <w:bookmarkEnd w:id="253"/>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417195</wp:posOffset>
            </wp:positionV>
            <wp:extent cx="4165600" cy="139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56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9, 2020</w:t>
            </w:r>
          </w:p>
        </w:tc>
      </w:tr>
      <w:tr>
        <w:trPr>
          <w:trHeight w:val="173"/>
        </w:trPr>
        <w:tc>
          <w:tcPr>
            <w:tcW w:w="20" w:type="dxa"/>
            <w:vAlign w:val="bottom"/>
          </w:tcPr>
          <w:p>
            <w:pPr>
              <w:spacing w:after="0"/>
              <w:rPr>
                <w:sz w:val="15"/>
                <w:szCs w:val="15"/>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to Sellers at close</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$ 4,516</w:t>
            </w:r>
          </w:p>
        </w:tc>
      </w:tr>
      <w:tr>
        <w:trPr>
          <w:trHeight w:val="182"/>
        </w:trPr>
        <w:tc>
          <w:tcPr>
            <w:tcW w:w="5660" w:type="dxa"/>
            <w:vAlign w:val="bottom"/>
            <w:gridSpan w:val="2"/>
          </w:tcPr>
          <w:p>
            <w:pPr>
              <w:spacing w:after="0"/>
              <w:rPr>
                <w:sz w:val="20"/>
                <w:szCs w:val="20"/>
                <w:color w:val="auto"/>
              </w:rPr>
            </w:pPr>
            <w:r>
              <w:rPr>
                <w:rFonts w:ascii="Arial" w:cs="Arial" w:eastAsia="Arial" w:hAnsi="Arial"/>
                <w:sz w:val="14"/>
                <w:szCs w:val="14"/>
                <w:color w:val="auto"/>
              </w:rPr>
              <w:t>Seller expenses paid by the Company</w:t>
            </w: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3"/>
        </w:trPr>
        <w:tc>
          <w:tcPr>
            <w:tcW w:w="56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Buyer transaction expenses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r>
      <w:tr>
        <w:trPr>
          <w:trHeight w:val="175"/>
        </w:trPr>
        <w:tc>
          <w:tcPr>
            <w:tcW w:w="20" w:type="dxa"/>
            <w:vAlign w:val="bottom"/>
          </w:tcPr>
          <w:p>
            <w:pPr>
              <w:spacing w:after="0"/>
              <w:rPr>
                <w:sz w:val="15"/>
                <w:szCs w:val="15"/>
                <w:color w:val="auto"/>
              </w:rPr>
            </w:pPr>
          </w:p>
        </w:tc>
        <w:tc>
          <w:tcPr>
            <w:tcW w:w="56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consideration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$ 4,722</w:t>
            </w:r>
          </w:p>
        </w:tc>
      </w:tr>
      <w:tr>
        <w:trPr>
          <w:trHeight w:val="181"/>
        </w:trPr>
        <w:tc>
          <w:tcPr>
            <w:tcW w:w="20" w:type="dxa"/>
            <w:vAlign w:val="bottom"/>
          </w:tcPr>
          <w:p>
            <w:pPr>
              <w:spacing w:after="0"/>
              <w:rPr>
                <w:sz w:val="15"/>
                <w:szCs w:val="15"/>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IPR&amp;D</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$ 4,722</w:t>
            </w:r>
          </w:p>
        </w:tc>
      </w:tr>
      <w:tr>
        <w:trPr>
          <w:trHeight w:val="22"/>
        </w:trPr>
        <w:tc>
          <w:tcPr>
            <w:tcW w:w="20" w:type="dxa"/>
            <w:vAlign w:val="bottom"/>
          </w:tcPr>
          <w:p>
            <w:pPr>
              <w:spacing w:after="0" w:line="20" w:lineRule="exact"/>
              <w:rPr>
                <w:sz w:val="1"/>
                <w:szCs w:val="1"/>
                <w:color w:val="auto"/>
              </w:rPr>
            </w:pPr>
          </w:p>
        </w:tc>
        <w:tc>
          <w:tcPr>
            <w:tcW w:w="5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-149860</wp:posOffset>
            </wp:positionV>
            <wp:extent cx="3590290"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59029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-657225</wp:posOffset>
            </wp:positionV>
            <wp:extent cx="3590290"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590290" cy="6985"/>
                    </a:xfrm>
                    <a:prstGeom prst="rect">
                      <a:avLst/>
                    </a:prstGeom>
                    <a:noFill/>
                  </pic:spPr>
                </pic:pic>
              </a:graphicData>
            </a:graphic>
          </wp:anchor>
        </w:drawing>
      </w:r>
    </w:p>
    <w:p>
      <w:pPr>
        <w:spacing w:after="0" w:line="98" w:lineRule="exact"/>
        <w:rPr>
          <w:sz w:val="20"/>
          <w:szCs w:val="20"/>
          <w:color w:val="auto"/>
        </w:rPr>
      </w:pPr>
    </w:p>
    <w:p>
      <w:pPr>
        <w:ind w:left="1220" w:right="1399"/>
        <w:spacing w:after="0" w:line="277" w:lineRule="auto"/>
        <w:rPr>
          <w:sz w:val="20"/>
          <w:szCs w:val="20"/>
          <w:color w:val="auto"/>
        </w:rPr>
      </w:pPr>
      <w:r>
        <w:rPr>
          <w:rFonts w:ascii="Arial" w:cs="Arial" w:eastAsia="Arial" w:hAnsi="Arial"/>
          <w:sz w:val="14"/>
          <w:szCs w:val="14"/>
          <w:color w:val="auto"/>
        </w:rPr>
        <w:t>The Company evaluated the acquisition under the guidance within ASU 2017-01, “Clarifying the Definition of a Business</w:t>
      </w:r>
      <w:r>
        <w:rPr>
          <w:rFonts w:ascii="Arial" w:cs="Arial" w:eastAsia="Arial" w:hAnsi="Arial"/>
          <w:sz w:val="14"/>
          <w:szCs w:val="14"/>
          <w:i w:val="1"/>
          <w:iCs w:val="1"/>
          <w:color w:val="auto"/>
        </w:rPr>
        <w:t>”</w:t>
      </w:r>
      <w:r>
        <w:rPr>
          <w:rFonts w:ascii="Arial" w:cs="Arial" w:eastAsia="Arial" w:hAnsi="Arial"/>
          <w:sz w:val="14"/>
          <w:szCs w:val="14"/>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 acquired was concentrated in an IPR&amp;D asset.</w:t>
      </w:r>
    </w:p>
    <w:p>
      <w:pPr>
        <w:spacing w:after="0" w:line="107" w:lineRule="exact"/>
        <w:rPr>
          <w:sz w:val="20"/>
          <w:szCs w:val="20"/>
          <w:color w:val="auto"/>
        </w:rPr>
      </w:pPr>
    </w:p>
    <w:p>
      <w:pPr>
        <w:ind w:left="1220" w:right="1479"/>
        <w:spacing w:after="0" w:line="283" w:lineRule="auto"/>
        <w:rPr>
          <w:sz w:val="20"/>
          <w:szCs w:val="20"/>
          <w:color w:val="auto"/>
        </w:rPr>
      </w:pPr>
      <w:r>
        <w:rPr>
          <w:rFonts w:ascii="Arial" w:cs="Arial" w:eastAsia="Arial" w:hAnsi="Arial"/>
          <w:sz w:val="14"/>
          <w:szCs w:val="14"/>
          <w:color w:val="auto"/>
        </w:rPr>
        <w:t>As the IPR&amp;D asset has no alternative future use, the Company charged $4,722 to expense within its consolidated statements of operations for the year ended December 31, 2020. There was no write off of in-process research and development asset for the three months ended March 31, 2021 and 2020.</w:t>
      </w:r>
    </w:p>
    <w:p>
      <w:pPr>
        <w:spacing w:after="0" w:line="30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5—Financial instruments and fair value measurements</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sets forth the Company’s assets that were measured at fair value as of</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March 31, 2021,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37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Level 1</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2</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3</w:t>
            </w: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3"/>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$75,686</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75,686</w:t>
            </w:r>
          </w:p>
        </w:tc>
      </w:tr>
      <w:tr>
        <w:trPr>
          <w:trHeight w:val="182"/>
        </w:trPr>
        <w:tc>
          <w:tcPr>
            <w:tcW w:w="3700" w:type="dxa"/>
            <w:vAlign w:val="bottom"/>
          </w:tcPr>
          <w:p>
            <w:pPr>
              <w:spacing w:after="0"/>
              <w:rPr>
                <w:sz w:val="20"/>
                <w:szCs w:val="20"/>
                <w:color w:val="auto"/>
              </w:rPr>
            </w:pPr>
            <w:r>
              <w:rPr>
                <w:rFonts w:ascii="Arial" w:cs="Arial" w:eastAsia="Arial" w:hAnsi="Arial"/>
                <w:sz w:val="14"/>
                <w:szCs w:val="14"/>
                <w:color w:val="auto"/>
              </w:rPr>
              <w:t>U.S. Treasury</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11,999</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11,999</w:t>
            </w:r>
          </w:p>
        </w:tc>
      </w:tr>
      <w:tr>
        <w:trPr>
          <w:trHeight w:val="23"/>
        </w:trPr>
        <w:tc>
          <w:tcPr>
            <w:tcW w:w="3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8"/>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154,598</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154,598</w:t>
            </w:r>
          </w:p>
        </w:tc>
      </w:tr>
      <w:tr>
        <w:trPr>
          <w:trHeight w:val="179"/>
        </w:trPr>
        <w:tc>
          <w:tcPr>
            <w:tcW w:w="3700" w:type="dxa"/>
            <w:vAlign w:val="bottom"/>
          </w:tcPr>
          <w:p>
            <w:pPr>
              <w:spacing w:after="0"/>
              <w:rPr>
                <w:sz w:val="20"/>
                <w:szCs w:val="20"/>
                <w:color w:val="auto"/>
              </w:rPr>
            </w:pPr>
            <w:r>
              <w:rPr>
                <w:rFonts w:ascii="Arial" w:cs="Arial" w:eastAsia="Arial" w:hAnsi="Arial"/>
                <w:sz w:val="14"/>
                <w:szCs w:val="14"/>
                <w:color w:val="auto"/>
              </w:rPr>
              <w:t>Total</w:t>
            </w: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$87,685</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$154,598</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 —</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242,283</w:t>
            </w:r>
          </w:p>
        </w:tc>
      </w:tr>
      <w:tr>
        <w:trPr>
          <w:trHeight w:val="23"/>
        </w:trPr>
        <w:tc>
          <w:tcPr>
            <w:tcW w:w="3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-547370</wp:posOffset>
            </wp:positionV>
            <wp:extent cx="2343150"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343150" cy="6985"/>
                    </a:xfrm>
                    <a:prstGeom prst="rect">
                      <a:avLst/>
                    </a:prstGeom>
                    <a:noFill/>
                  </pic:spPr>
                </pic:pic>
              </a:graphicData>
            </a:graphic>
          </wp:anchor>
        </w:drawing>
      </w:r>
    </w:p>
    <w:p>
      <w:pPr>
        <w:spacing w:after="0" w:line="98"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sets forth the Company’s assets that were measured at fair value as of</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December 31, 2020, by level within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8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1</w:t>
            </w:r>
          </w:p>
        </w:tc>
        <w:tc>
          <w:tcPr>
            <w:tcW w:w="7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3"/>
                <w:szCs w:val="13"/>
                <w:b w:val="1"/>
                <w:bCs w:val="1"/>
                <w:color w:val="auto"/>
              </w:rPr>
              <w:t>Level 2</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Level 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equivalents</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$24,284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$24,284</w:t>
            </w:r>
          </w:p>
        </w:tc>
      </w:tr>
      <w:tr>
        <w:trPr>
          <w:trHeight w:val="182"/>
        </w:trPr>
        <w:tc>
          <w:tcPr>
            <w:tcW w:w="3880" w:type="dxa"/>
            <w:vAlign w:val="bottom"/>
            <w:gridSpan w:val="2"/>
          </w:tcPr>
          <w:p>
            <w:pPr>
              <w:spacing w:after="0"/>
              <w:rPr>
                <w:sz w:val="20"/>
                <w:szCs w:val="20"/>
                <w:color w:val="auto"/>
              </w:rPr>
            </w:pPr>
            <w:r>
              <w:rPr>
                <w:rFonts w:ascii="Arial" w:cs="Arial" w:eastAsia="Arial" w:hAnsi="Arial"/>
                <w:sz w:val="14"/>
                <w:szCs w:val="14"/>
                <w:color w:val="auto"/>
              </w:rPr>
              <w:t>U.S. Treasury</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9,525</w:t>
            </w:r>
          </w:p>
        </w:tc>
        <w:tc>
          <w:tcPr>
            <w:tcW w:w="18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9,525</w:t>
            </w:r>
          </w:p>
        </w:tc>
      </w:tr>
      <w:tr>
        <w:trPr>
          <w:trHeight w:val="23"/>
        </w:trPr>
        <w:tc>
          <w:tcPr>
            <w:tcW w:w="38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7"/>
              </w:rPr>
              <w:t>40,070</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40,070</w:t>
            </w:r>
          </w:p>
        </w:tc>
      </w:tr>
      <w:tr>
        <w:trPr>
          <w:trHeight w:val="169"/>
        </w:trPr>
        <w:tc>
          <w:tcPr>
            <w:tcW w:w="2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Arial" w:cs="Arial" w:eastAsia="Arial" w:hAnsi="Arial"/>
                <w:sz w:val="14"/>
                <w:szCs w:val="14"/>
                <w:color w:val="auto"/>
              </w:rPr>
              <w:t>Total</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$33,809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w w:val="97"/>
              </w:rPr>
              <w:t>40,070</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$73,879</w:t>
            </w:r>
          </w:p>
        </w:tc>
      </w:tr>
      <w:tr>
        <w:trPr>
          <w:trHeight w:val="34"/>
        </w:trPr>
        <w:tc>
          <w:tcPr>
            <w:tcW w:w="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-534035</wp:posOffset>
            </wp:positionV>
            <wp:extent cx="2453005"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453005" cy="6985"/>
                    </a:xfrm>
                    <a:prstGeom prst="rect">
                      <a:avLst/>
                    </a:prstGeom>
                    <a:noFill/>
                  </pic:spPr>
                </pic:pic>
              </a:graphicData>
            </a:graphic>
          </wp:anchor>
        </w:drawing>
      </w:r>
    </w:p>
    <w:p>
      <w:pPr>
        <w:spacing w:after="0" w:line="98" w:lineRule="exact"/>
        <w:rPr>
          <w:sz w:val="20"/>
          <w:szCs w:val="20"/>
          <w:color w:val="auto"/>
        </w:rPr>
      </w:pPr>
    </w:p>
    <w:p>
      <w:pPr>
        <w:ind w:left="1220" w:right="1259"/>
        <w:spacing w:after="0" w:line="281" w:lineRule="auto"/>
        <w:rPr>
          <w:sz w:val="20"/>
          <w:szCs w:val="20"/>
          <w:color w:val="auto"/>
        </w:rPr>
      </w:pPr>
      <w:r>
        <w:rPr>
          <w:rFonts w:ascii="Arial" w:cs="Arial" w:eastAsia="Arial" w:hAnsi="Arial"/>
          <w:sz w:val="14"/>
          <w:szCs w:val="14"/>
          <w:color w:val="auto"/>
        </w:rPr>
        <w:t>There were no transfers between levels during the period ended March 31, 2021. The Company uses the services of its investment manager, which uses widely accepted models for assumptions in valuing securities with inputs from major third-party data providers.</w:t>
      </w:r>
    </w:p>
    <w:p>
      <w:pPr>
        <w:spacing w:after="0" w:line="103" w:lineRule="exact"/>
        <w:rPr>
          <w:sz w:val="20"/>
          <w:szCs w:val="20"/>
          <w:color w:val="auto"/>
        </w:rPr>
      </w:pPr>
    </w:p>
    <w:p>
      <w:pPr>
        <w:ind w:left="1220" w:right="1519"/>
        <w:spacing w:after="0" w:line="290" w:lineRule="auto"/>
        <w:rPr>
          <w:sz w:val="20"/>
          <w:szCs w:val="20"/>
          <w:color w:val="auto"/>
        </w:rPr>
      </w:pPr>
      <w:r>
        <w:rPr>
          <w:rFonts w:ascii="Arial" w:cs="Arial" w:eastAsia="Arial" w:hAnsi="Arial"/>
          <w:sz w:val="14"/>
          <w:szCs w:val="14"/>
          <w:color w:val="auto"/>
        </w:rPr>
        <w:t>The Company classifies all of its investments in fixed maturity debt securities as available-for-sale and, accordingly, are carried at estimated fair value.</w:t>
      </w:r>
    </w:p>
    <w:p>
      <w:pPr>
        <w:spacing w:after="0" w:line="96" w:lineRule="exact"/>
        <w:rPr>
          <w:sz w:val="20"/>
          <w:szCs w:val="20"/>
          <w:color w:val="auto"/>
        </w:rPr>
      </w:pPr>
    </w:p>
    <w:p>
      <w:pPr>
        <w:ind w:left="1220" w:right="1579"/>
        <w:spacing w:after="0" w:line="290" w:lineRule="auto"/>
        <w:rPr>
          <w:sz w:val="20"/>
          <w:szCs w:val="20"/>
          <w:color w:val="auto"/>
        </w:rPr>
      </w:pPr>
      <w:r>
        <w:rPr>
          <w:rFonts w:ascii="Arial" w:cs="Arial" w:eastAsia="Arial" w:hAnsi="Arial"/>
          <w:sz w:val="14"/>
          <w:szCs w:val="14"/>
          <w:color w:val="auto"/>
        </w:rPr>
        <w:t>The amortized cost, gross unrealized gains and losses, and fair value of investments in fixed maturity securities are as follows as of March 31, 2021:</w:t>
      </w:r>
    </w:p>
    <w:p>
      <w:pPr>
        <w:spacing w:after="0" w:line="99"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1000" w:type="dxa"/>
            <w:vAlign w:val="bottom"/>
          </w:tcPr>
          <w:p>
            <w:pPr>
              <w:spacing w:after="0"/>
              <w:rPr>
                <w:sz w:val="13"/>
                <w:szCs w:val="13"/>
                <w:color w:val="auto"/>
              </w:rPr>
            </w:pPr>
          </w:p>
        </w:tc>
        <w:tc>
          <w:tcPr>
            <w:tcW w:w="29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Gross</w:t>
            </w:r>
          </w:p>
        </w:tc>
        <w:tc>
          <w:tcPr>
            <w:tcW w:w="920" w:type="dxa"/>
            <w:vAlign w:val="bottom"/>
            <w:tcBorders>
              <w:top w:val="single" w:sz="8" w:color="auto"/>
            </w:tcBorders>
          </w:tcPr>
          <w:p>
            <w:pPr>
              <w:jc w:val="right"/>
              <w:ind w:right="92"/>
              <w:spacing w:after="0"/>
              <w:rPr>
                <w:sz w:val="20"/>
                <w:szCs w:val="20"/>
                <w:color w:val="auto"/>
              </w:rPr>
            </w:pPr>
            <w:r>
              <w:rPr>
                <w:rFonts w:ascii="Arial" w:cs="Arial" w:eastAsia="Arial" w:hAnsi="Arial"/>
                <w:sz w:val="13"/>
                <w:szCs w:val="13"/>
                <w:b w:val="1"/>
                <w:bCs w:val="1"/>
                <w:color w:val="auto"/>
              </w:rPr>
              <w:t>Gross</w:t>
            </w:r>
          </w:p>
        </w:tc>
        <w:tc>
          <w:tcPr>
            <w:tcW w:w="700" w:type="dxa"/>
            <w:vAlign w:val="bottom"/>
            <w:tcBorders>
              <w:top w:val="single" w:sz="8" w:color="auto"/>
            </w:tcBorders>
          </w:tcPr>
          <w:p>
            <w:pPr>
              <w:spacing w:after="0"/>
              <w:rPr>
                <w:sz w:val="13"/>
                <w:szCs w:val="13"/>
                <w:color w:val="auto"/>
              </w:rPr>
            </w:pPr>
          </w:p>
        </w:tc>
        <w:tc>
          <w:tcPr>
            <w:tcW w:w="1000" w:type="dxa"/>
            <w:vAlign w:val="bottom"/>
          </w:tcPr>
          <w:p>
            <w:pPr>
              <w:spacing w:after="0"/>
              <w:rPr>
                <w:sz w:val="13"/>
                <w:szCs w:val="13"/>
                <w:color w:val="auto"/>
              </w:rPr>
            </w:pPr>
          </w:p>
        </w:tc>
      </w:tr>
      <w:tr>
        <w:trPr>
          <w:trHeight w:val="151"/>
        </w:trPr>
        <w:tc>
          <w:tcPr>
            <w:tcW w:w="10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jc w:val="right"/>
              <w:ind w:right="52"/>
              <w:spacing w:after="0"/>
              <w:rPr>
                <w:sz w:val="20"/>
                <w:szCs w:val="20"/>
                <w:color w:val="auto"/>
              </w:rPr>
            </w:pPr>
            <w:r>
              <w:rPr>
                <w:rFonts w:ascii="Arial" w:cs="Arial" w:eastAsia="Arial" w:hAnsi="Arial"/>
                <w:sz w:val="13"/>
                <w:szCs w:val="13"/>
                <w:b w:val="1"/>
                <w:bCs w:val="1"/>
                <w:color w:val="auto"/>
              </w:rPr>
              <w:t>Unrealized</w:t>
            </w:r>
          </w:p>
        </w:tc>
        <w:tc>
          <w:tcPr>
            <w:tcW w:w="920" w:type="dxa"/>
            <w:vAlign w:val="bottom"/>
          </w:tcPr>
          <w:p>
            <w:pPr>
              <w:jc w:val="right"/>
              <w:ind w:right="92"/>
              <w:spacing w:after="0"/>
              <w:rPr>
                <w:sz w:val="20"/>
                <w:szCs w:val="20"/>
                <w:color w:val="auto"/>
              </w:rPr>
            </w:pPr>
            <w:r>
              <w:rPr>
                <w:rFonts w:ascii="Arial" w:cs="Arial" w:eastAsia="Arial" w:hAnsi="Arial"/>
                <w:sz w:val="13"/>
                <w:szCs w:val="13"/>
                <w:b w:val="1"/>
                <w:bCs w:val="1"/>
                <w:color w:val="auto"/>
              </w:rPr>
              <w:t>Unrealized</w:t>
            </w: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8"/>
        </w:trPr>
        <w:tc>
          <w:tcPr>
            <w:tcW w:w="1000" w:type="dxa"/>
            <w:vAlign w:val="bottom"/>
          </w:tcPr>
          <w:p>
            <w:pPr>
              <w:spacing w:after="0"/>
              <w:rPr>
                <w:sz w:val="15"/>
                <w:szCs w:val="15"/>
                <w:color w:val="auto"/>
              </w:rPr>
            </w:pPr>
          </w:p>
        </w:tc>
        <w:tc>
          <w:tcPr>
            <w:tcW w:w="29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Gains</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Fair Value</w:t>
            </w:r>
          </w:p>
        </w:tc>
        <w:tc>
          <w:tcPr>
            <w:tcW w:w="100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U.S. Treasury</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   11,996</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11,999</w:t>
            </w:r>
          </w:p>
        </w:tc>
        <w:tc>
          <w:tcPr>
            <w:tcW w:w="1000" w:type="dxa"/>
            <w:vAlign w:val="bottom"/>
          </w:tcPr>
          <w:p>
            <w:pPr>
              <w:spacing w:after="0"/>
              <w:rPr>
                <w:sz w:val="15"/>
                <w:szCs w:val="15"/>
                <w:color w:val="auto"/>
              </w:rPr>
            </w:pPr>
          </w:p>
        </w:tc>
      </w:tr>
      <w:tr>
        <w:trPr>
          <w:trHeight w:val="172"/>
        </w:trPr>
        <w:tc>
          <w:tcPr>
            <w:tcW w:w="100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Arial" w:cs="Arial" w:eastAsia="Arial" w:hAnsi="Arial"/>
                <w:sz w:val="14"/>
                <w:szCs w:val="14"/>
                <w:color w:val="auto"/>
              </w:rPr>
              <w:t>Corporate bonds</w:t>
            </w:r>
          </w:p>
        </w:tc>
        <w:tc>
          <w:tcPr>
            <w:tcW w:w="1160" w:type="dxa"/>
            <w:vAlign w:val="bottom"/>
          </w:tcPr>
          <w:p>
            <w:pPr>
              <w:jc w:val="right"/>
              <w:ind w:right="10"/>
              <w:spacing w:after="0"/>
              <w:rPr>
                <w:sz w:val="20"/>
                <w:szCs w:val="20"/>
                <w:color w:val="auto"/>
              </w:rPr>
            </w:pPr>
            <w:r>
              <w:rPr>
                <w:rFonts w:ascii="Arial" w:cs="Arial" w:eastAsia="Arial" w:hAnsi="Arial"/>
                <w:sz w:val="14"/>
                <w:szCs w:val="14"/>
                <w:color w:val="auto"/>
              </w:rPr>
              <w:t>154,628</w:t>
            </w: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920" w:type="dxa"/>
            <w:vAlign w:val="bottom"/>
          </w:tcPr>
          <w:p>
            <w:pPr>
              <w:jc w:val="right"/>
              <w:spacing w:after="0"/>
              <w:rPr>
                <w:sz w:val="20"/>
                <w:szCs w:val="20"/>
                <w:color w:val="auto"/>
              </w:rPr>
            </w:pPr>
            <w:r>
              <w:rPr>
                <w:rFonts w:ascii="Arial" w:cs="Arial" w:eastAsia="Arial" w:hAnsi="Arial"/>
                <w:sz w:val="14"/>
                <w:szCs w:val="14"/>
                <w:color w:val="auto"/>
              </w:rPr>
              <w:t>(40)</w:t>
            </w:r>
          </w:p>
        </w:tc>
        <w:tc>
          <w:tcPr>
            <w:tcW w:w="700" w:type="dxa"/>
            <w:vAlign w:val="bottom"/>
          </w:tcPr>
          <w:p>
            <w:pPr>
              <w:jc w:val="right"/>
              <w:spacing w:after="0"/>
              <w:rPr>
                <w:sz w:val="20"/>
                <w:szCs w:val="20"/>
                <w:color w:val="auto"/>
              </w:rPr>
            </w:pPr>
            <w:r>
              <w:rPr>
                <w:rFonts w:ascii="Arial" w:cs="Arial" w:eastAsia="Arial" w:hAnsi="Arial"/>
                <w:sz w:val="14"/>
                <w:szCs w:val="14"/>
                <w:color w:val="auto"/>
              </w:rPr>
              <w:t>154,598</w:t>
            </w:r>
          </w:p>
        </w:tc>
        <w:tc>
          <w:tcPr>
            <w:tcW w:w="1000" w:type="dxa"/>
            <w:vAlign w:val="bottom"/>
          </w:tcPr>
          <w:p>
            <w:pPr>
              <w:spacing w:after="0"/>
              <w:rPr>
                <w:sz w:val="14"/>
                <w:szCs w:val="14"/>
                <w:color w:val="auto"/>
              </w:rPr>
            </w:pPr>
          </w:p>
        </w:tc>
      </w:tr>
      <w:tr>
        <w:trPr>
          <w:trHeight w:val="24"/>
        </w:trPr>
        <w:tc>
          <w:tcPr>
            <w:tcW w:w="100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r>
      <w:tr>
        <w:trPr>
          <w:trHeight w:val="517"/>
        </w:trPr>
        <w:tc>
          <w:tcPr>
            <w:tcW w:w="10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60" w:type="dxa"/>
            <w:vAlign w:val="bottom"/>
          </w:tcPr>
          <w:p>
            <w:pPr>
              <w:jc w:val="right"/>
              <w:ind w:right="570"/>
              <w:spacing w:after="0"/>
              <w:rPr>
                <w:sz w:val="20"/>
                <w:szCs w:val="20"/>
                <w:color w:val="auto"/>
              </w:rPr>
            </w:pPr>
            <w:r>
              <w:rPr>
                <w:rFonts w:ascii="Arial" w:cs="Arial" w:eastAsia="Arial" w:hAnsi="Arial"/>
                <w:sz w:val="14"/>
                <w:szCs w:val="14"/>
                <w:color w:val="auto"/>
              </w:rPr>
              <w:t>F-41</w:t>
            </w: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6"/>
        </w:trPr>
        <w:tc>
          <w:tcPr>
            <w:tcW w:w="10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-800735</wp:posOffset>
            </wp:positionV>
            <wp:extent cx="1836420"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836420" cy="6985"/>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-26035</wp:posOffset>
            </wp:positionV>
            <wp:extent cx="32385" cy="3937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-26035</wp:posOffset>
            </wp:positionV>
            <wp:extent cx="32385" cy="3937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4" w:name="page255"/>
    <w:bookmarkEnd w:id="254"/>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9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Gross</w:t>
            </w:r>
          </w:p>
        </w:tc>
        <w:tc>
          <w:tcPr>
            <w:tcW w:w="920" w:type="dxa"/>
            <w:vAlign w:val="bottom"/>
            <w:tcBorders>
              <w:top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Gross</w:t>
            </w:r>
          </w:p>
        </w:tc>
        <w:tc>
          <w:tcPr>
            <w:tcW w:w="700" w:type="dxa"/>
            <w:vAlign w:val="bottom"/>
            <w:tcBorders>
              <w:top w:val="single" w:sz="8" w:color="auto"/>
            </w:tcBorders>
          </w:tcPr>
          <w:p>
            <w:pPr>
              <w:spacing w:after="0"/>
              <w:rPr>
                <w:sz w:val="14"/>
                <w:szCs w:val="14"/>
                <w:color w:val="auto"/>
              </w:rPr>
            </w:pPr>
          </w:p>
        </w:tc>
      </w:tr>
      <w:tr>
        <w:trPr>
          <w:trHeight w:val="151"/>
        </w:trPr>
        <w:tc>
          <w:tcPr>
            <w:tcW w:w="2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b w:val="1"/>
                <w:bCs w:val="1"/>
                <w:color w:val="auto"/>
              </w:rPr>
              <w:t>Unrealized</w:t>
            </w:r>
          </w:p>
        </w:tc>
        <w:tc>
          <w:tcPr>
            <w:tcW w:w="920" w:type="dxa"/>
            <w:vAlign w:val="bottom"/>
          </w:tcPr>
          <w:p>
            <w:pPr>
              <w:jc w:val="right"/>
              <w:ind w:right="93"/>
              <w:spacing w:after="0"/>
              <w:rPr>
                <w:sz w:val="20"/>
                <w:szCs w:val="20"/>
                <w:color w:val="auto"/>
              </w:rPr>
            </w:pPr>
            <w:r>
              <w:rPr>
                <w:rFonts w:ascii="Arial" w:cs="Arial" w:eastAsia="Arial" w:hAnsi="Arial"/>
                <w:sz w:val="13"/>
                <w:szCs w:val="13"/>
                <w:b w:val="1"/>
                <w:bCs w:val="1"/>
                <w:color w:val="auto"/>
              </w:rPr>
              <w:t>Unrealized</w:t>
            </w:r>
          </w:p>
        </w:tc>
        <w:tc>
          <w:tcPr>
            <w:tcW w:w="700" w:type="dxa"/>
            <w:vAlign w:val="bottom"/>
          </w:tcPr>
          <w:p>
            <w:pPr>
              <w:spacing w:after="0"/>
              <w:rPr>
                <w:sz w:val="13"/>
                <w:szCs w:val="13"/>
                <w:color w:val="auto"/>
              </w:rPr>
            </w:pPr>
          </w:p>
        </w:tc>
      </w:tr>
      <w:tr>
        <w:trPr>
          <w:trHeight w:val="179"/>
        </w:trPr>
        <w:tc>
          <w:tcPr>
            <w:tcW w:w="29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Gains</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Fair Value</w:t>
            </w:r>
          </w:p>
        </w:tc>
      </w:tr>
      <w:tr>
        <w:trPr>
          <w:trHeight w:val="173"/>
        </w:trPr>
        <w:tc>
          <w:tcPr>
            <w:tcW w:w="2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  166,624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(40)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$ 166,597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-129540</wp:posOffset>
            </wp:positionV>
            <wp:extent cx="1842770"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842770" cy="6985"/>
                    </a:xfrm>
                    <a:prstGeom prst="rect">
                      <a:avLst/>
                    </a:prstGeom>
                    <a:noFill/>
                  </pic:spPr>
                </pic:pic>
              </a:graphicData>
            </a:graphic>
          </wp:anchor>
        </w:drawing>
      </w:r>
    </w:p>
    <w:p>
      <w:pPr>
        <w:spacing w:after="0" w:line="109" w:lineRule="exact"/>
        <w:rPr>
          <w:sz w:val="20"/>
          <w:szCs w:val="20"/>
          <w:color w:val="auto"/>
        </w:rPr>
      </w:pPr>
    </w:p>
    <w:p>
      <w:pPr>
        <w:ind w:left="1220" w:right="1579"/>
        <w:spacing w:after="0" w:line="306" w:lineRule="auto"/>
        <w:rPr>
          <w:sz w:val="20"/>
          <w:szCs w:val="20"/>
          <w:color w:val="auto"/>
        </w:rPr>
      </w:pPr>
      <w:r>
        <w:rPr>
          <w:rFonts w:ascii="Arial" w:cs="Arial" w:eastAsia="Arial" w:hAnsi="Arial"/>
          <w:sz w:val="14"/>
          <w:szCs w:val="14"/>
          <w:color w:val="auto"/>
        </w:rPr>
        <w:t>The amortized cost, gross unrealized gains and losses, and fair value of investments in fixed maturity securities are as follows as of December 31, 2020:</w:t>
      </w:r>
    </w:p>
    <w:p>
      <w:pPr>
        <w:spacing w:after="0" w:line="110"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9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center"/>
              <w:ind w:left="192"/>
              <w:spacing w:after="0"/>
              <w:rPr>
                <w:sz w:val="20"/>
                <w:szCs w:val="20"/>
                <w:color w:val="auto"/>
              </w:rPr>
            </w:pPr>
            <w:r>
              <w:rPr>
                <w:rFonts w:ascii="Arial" w:cs="Arial" w:eastAsia="Arial" w:hAnsi="Arial"/>
                <w:sz w:val="13"/>
                <w:szCs w:val="13"/>
                <w:b w:val="1"/>
                <w:bCs w:val="1"/>
                <w:color w:val="auto"/>
              </w:rPr>
              <w:t>Gross</w:t>
            </w:r>
          </w:p>
        </w:tc>
        <w:tc>
          <w:tcPr>
            <w:tcW w:w="920" w:type="dxa"/>
            <w:vAlign w:val="bottom"/>
            <w:tcBorders>
              <w:top w:val="single" w:sz="8" w:color="auto"/>
            </w:tcBorders>
          </w:tcPr>
          <w:p>
            <w:pPr>
              <w:jc w:val="right"/>
              <w:ind w:right="92"/>
              <w:spacing w:after="0"/>
              <w:rPr>
                <w:sz w:val="20"/>
                <w:szCs w:val="20"/>
                <w:color w:val="auto"/>
              </w:rPr>
            </w:pPr>
            <w:r>
              <w:rPr>
                <w:rFonts w:ascii="Arial" w:cs="Arial" w:eastAsia="Arial" w:hAnsi="Arial"/>
                <w:sz w:val="13"/>
                <w:szCs w:val="13"/>
                <w:b w:val="1"/>
                <w:bCs w:val="1"/>
                <w:color w:val="auto"/>
              </w:rPr>
              <w:t>Gross</w:t>
            </w: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r>
      <w:tr>
        <w:trPr>
          <w:trHeight w:val="151"/>
        </w:trPr>
        <w:tc>
          <w:tcPr>
            <w:tcW w:w="2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2"/>
          </w:tcPr>
          <w:p>
            <w:pPr>
              <w:jc w:val="right"/>
              <w:ind w:right="48"/>
              <w:spacing w:after="0"/>
              <w:rPr>
                <w:sz w:val="20"/>
                <w:szCs w:val="20"/>
                <w:color w:val="auto"/>
              </w:rPr>
            </w:pPr>
            <w:r>
              <w:rPr>
                <w:rFonts w:ascii="Arial" w:cs="Arial" w:eastAsia="Arial" w:hAnsi="Arial"/>
                <w:sz w:val="13"/>
                <w:szCs w:val="13"/>
                <w:b w:val="1"/>
                <w:bCs w:val="1"/>
                <w:color w:val="auto"/>
              </w:rPr>
              <w:t>Unrealized</w:t>
            </w:r>
          </w:p>
        </w:tc>
        <w:tc>
          <w:tcPr>
            <w:tcW w:w="920" w:type="dxa"/>
            <w:vAlign w:val="bottom"/>
          </w:tcPr>
          <w:p>
            <w:pPr>
              <w:jc w:val="right"/>
              <w:ind w:right="92"/>
              <w:spacing w:after="0"/>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79"/>
        </w:trPr>
        <w:tc>
          <w:tcPr>
            <w:tcW w:w="29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Amortized Cost</w:t>
            </w:r>
          </w:p>
        </w:tc>
        <w:tc>
          <w:tcPr>
            <w:tcW w:w="8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Gains</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Losses</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r>
      <w:tr>
        <w:trPr>
          <w:trHeight w:val="173"/>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U.S. Treasury</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9,518</w:t>
            </w:r>
          </w:p>
        </w:tc>
        <w:tc>
          <w:tcPr>
            <w:tcW w:w="620" w:type="dxa"/>
            <w:vAlign w:val="bottom"/>
            <w:tcBorders>
              <w:bottom w:val="single" w:sz="8" w:color="CCEEFF"/>
            </w:tcBorders>
            <w:shd w:val="clear" w:color="auto" w:fill="CCEEFF"/>
          </w:tcPr>
          <w:p>
            <w:pPr>
              <w:jc w:val="center"/>
              <w:ind w:left="43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 —</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9,525</w:t>
            </w:r>
          </w:p>
        </w:tc>
      </w:tr>
      <w:tr>
        <w:trPr>
          <w:trHeight w:val="188"/>
        </w:trPr>
        <w:tc>
          <w:tcPr>
            <w:tcW w:w="29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Corporate bonds</w:t>
            </w:r>
          </w:p>
        </w:tc>
        <w:tc>
          <w:tcPr>
            <w:tcW w:w="6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40,069</w:t>
            </w: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40,070</w:t>
            </w:r>
          </w:p>
        </w:tc>
      </w:tr>
      <w:tr>
        <w:trPr>
          <w:trHeight w:val="227"/>
        </w:trPr>
        <w:tc>
          <w:tcPr>
            <w:tcW w:w="2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49,587</w:t>
            </w:r>
          </w:p>
        </w:tc>
        <w:tc>
          <w:tcPr>
            <w:tcW w:w="620" w:type="dxa"/>
            <w:vAlign w:val="bottom"/>
            <w:tcBorders>
              <w:bottom w:val="single" w:sz="8" w:color="CCEEFF"/>
            </w:tcBorders>
            <w:shd w:val="clear" w:color="auto" w:fill="CCEEFF"/>
          </w:tcPr>
          <w:p>
            <w:pPr>
              <w:jc w:val="center"/>
              <w:ind w:left="432"/>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49,595</w:t>
            </w:r>
          </w:p>
        </w:tc>
      </w:tr>
      <w:tr>
        <w:trPr>
          <w:trHeight w:val="20"/>
        </w:trPr>
        <w:tc>
          <w:tcPr>
            <w:tcW w:w="2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-163830</wp:posOffset>
            </wp:positionV>
            <wp:extent cx="1836420"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83642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-417195</wp:posOffset>
            </wp:positionV>
            <wp:extent cx="1836420"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836420" cy="6985"/>
                    </a:xfrm>
                    <a:prstGeom prst="rect">
                      <a:avLst/>
                    </a:prstGeom>
                    <a:noFill/>
                  </pic:spPr>
                </pic:pic>
              </a:graphicData>
            </a:graphic>
          </wp:anchor>
        </w:drawing>
      </w:r>
    </w:p>
    <w:p>
      <w:pPr>
        <w:spacing w:after="0" w:line="109"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provides the maturities of our fixed maturity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4100" w:type="dxa"/>
            <w:vAlign w:val="bottom"/>
            <w:tcBorders>
              <w:bottom w:val="single" w:sz="8" w:color="CCEEFF"/>
            </w:tcBorders>
          </w:tcPr>
          <w:p>
            <w:pPr>
              <w:spacing w:after="0"/>
              <w:rPr>
                <w:sz w:val="15"/>
                <w:szCs w:val="15"/>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 2021   December 31, 2020</w:t>
            </w:r>
          </w:p>
        </w:tc>
      </w:tr>
      <w:tr>
        <w:trPr>
          <w:trHeight w:val="173"/>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than one year</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103,459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$ 48,542</w:t>
            </w:r>
          </w:p>
        </w:tc>
      </w:tr>
      <w:tr>
        <w:trPr>
          <w:trHeight w:val="188"/>
        </w:trPr>
        <w:tc>
          <w:tcPr>
            <w:tcW w:w="41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One to five years</w:t>
            </w:r>
          </w:p>
        </w:tc>
        <w:tc>
          <w:tcPr>
            <w:tcW w:w="5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63,138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1,053</w:t>
            </w:r>
          </w:p>
        </w:tc>
      </w:tr>
      <w:tr>
        <w:trPr>
          <w:trHeight w:val="182"/>
        </w:trPr>
        <w:tc>
          <w:tcPr>
            <w:tcW w:w="4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166,597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$ 49,595</w:t>
            </w:r>
          </w:p>
        </w:tc>
      </w:tr>
      <w:tr>
        <w:trPr>
          <w:trHeight w:val="20"/>
        </w:trPr>
        <w:tc>
          <w:tcPr>
            <w:tcW w:w="4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-143510</wp:posOffset>
            </wp:positionV>
            <wp:extent cx="2596515"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59651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-396875</wp:posOffset>
            </wp:positionV>
            <wp:extent cx="2596515"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596515" cy="6985"/>
                    </a:xfrm>
                    <a:prstGeom prst="rect">
                      <a:avLst/>
                    </a:prstGeom>
                    <a:noFill/>
                  </pic:spPr>
                </pic:pic>
              </a:graphicData>
            </a:graphic>
          </wp:anchor>
        </w:drawing>
      </w:r>
    </w:p>
    <w:p>
      <w:pPr>
        <w:spacing w:after="0" w:line="120" w:lineRule="exact"/>
        <w:rPr>
          <w:sz w:val="20"/>
          <w:szCs w:val="20"/>
          <w:color w:val="auto"/>
        </w:rPr>
      </w:pPr>
    </w:p>
    <w:p>
      <w:pPr>
        <w:ind w:left="1220" w:right="1259"/>
        <w:spacing w:after="0" w:line="297" w:lineRule="auto"/>
        <w:rPr>
          <w:sz w:val="20"/>
          <w:szCs w:val="20"/>
          <w:color w:val="auto"/>
        </w:rPr>
      </w:pPr>
      <w:r>
        <w:rPr>
          <w:rFonts w:ascii="Arial" w:cs="Arial" w:eastAsia="Arial" w:hAnsi="Arial"/>
          <w:sz w:val="14"/>
          <w:szCs w:val="14"/>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31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6—Prepaid expenses and other current assets</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is a summary of prepaid expenses and other current assets:</w:t>
      </w:r>
    </w:p>
    <w:p>
      <w:pPr>
        <w:spacing w:after="0" w:line="154"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47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right"/>
              <w:ind w:right="49"/>
              <w:spacing w:after="0"/>
              <w:rPr>
                <w:sz w:val="20"/>
                <w:szCs w:val="20"/>
                <w:color w:val="auto"/>
              </w:rPr>
            </w:pPr>
            <w:r>
              <w:rPr>
                <w:rFonts w:ascii="Arial" w:cs="Arial" w:eastAsia="Arial" w:hAnsi="Arial"/>
                <w:sz w:val="13"/>
                <w:szCs w:val="13"/>
                <w:b w:val="1"/>
                <w:bCs w:val="1"/>
                <w:color w:val="auto"/>
              </w:rPr>
              <w:t>March 31,</w:t>
            </w: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December 31,</w:t>
            </w:r>
          </w:p>
        </w:tc>
      </w:tr>
      <w:tr>
        <w:trPr>
          <w:trHeight w:val="179"/>
        </w:trPr>
        <w:tc>
          <w:tcPr>
            <w:tcW w:w="47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Research and development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130</w:t>
            </w:r>
          </w:p>
        </w:tc>
        <w:tc>
          <w:tcPr>
            <w:tcW w:w="60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w:t>
            </w:r>
          </w:p>
        </w:tc>
      </w:tr>
      <w:tr>
        <w:trPr>
          <w:trHeight w:val="182"/>
        </w:trPr>
        <w:tc>
          <w:tcPr>
            <w:tcW w:w="4740" w:type="dxa"/>
            <w:vAlign w:val="bottom"/>
          </w:tcPr>
          <w:p>
            <w:pPr>
              <w:spacing w:after="0"/>
              <w:rPr>
                <w:sz w:val="20"/>
                <w:szCs w:val="20"/>
                <w:color w:val="auto"/>
              </w:rPr>
            </w:pPr>
            <w:r>
              <w:rPr>
                <w:rFonts w:ascii="Arial" w:cs="Arial" w:eastAsia="Arial" w:hAnsi="Arial"/>
                <w:sz w:val="14"/>
                <w:szCs w:val="14"/>
                <w:color w:val="auto"/>
              </w:rPr>
              <w:t>Software licenses and other</w:t>
            </w:r>
          </w:p>
        </w:tc>
        <w:tc>
          <w:tcPr>
            <w:tcW w:w="34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1,145</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760</w:t>
            </w:r>
          </w:p>
        </w:tc>
      </w:tr>
      <w:tr>
        <w:trPr>
          <w:trHeight w:val="23"/>
        </w:trPr>
        <w:tc>
          <w:tcPr>
            <w:tcW w:w="4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5"/>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Reimbursement receivable</w:t>
            </w:r>
          </w:p>
        </w:tc>
        <w:tc>
          <w:tcPr>
            <w:tcW w:w="3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137</w:t>
            </w:r>
          </w:p>
        </w:tc>
        <w:tc>
          <w:tcPr>
            <w:tcW w:w="6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908</w:t>
            </w:r>
          </w:p>
        </w:tc>
      </w:tr>
      <w:tr>
        <w:trPr>
          <w:trHeight w:val="182"/>
        </w:trPr>
        <w:tc>
          <w:tcPr>
            <w:tcW w:w="4740" w:type="dxa"/>
            <w:vAlign w:val="bottom"/>
          </w:tcPr>
          <w:p>
            <w:pPr>
              <w:spacing w:after="0"/>
              <w:rPr>
                <w:sz w:val="20"/>
                <w:szCs w:val="20"/>
                <w:color w:val="auto"/>
              </w:rPr>
            </w:pPr>
            <w:r>
              <w:rPr>
                <w:rFonts w:ascii="Arial" w:cs="Arial" w:eastAsia="Arial" w:hAnsi="Arial"/>
                <w:sz w:val="14"/>
                <w:szCs w:val="14"/>
                <w:color w:val="auto"/>
              </w:rPr>
              <w:t>Warranties</w:t>
            </w:r>
          </w:p>
        </w:tc>
        <w:tc>
          <w:tcPr>
            <w:tcW w:w="34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299</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240</w:t>
            </w:r>
          </w:p>
        </w:tc>
      </w:tr>
      <w:tr>
        <w:trPr>
          <w:trHeight w:val="23"/>
        </w:trPr>
        <w:tc>
          <w:tcPr>
            <w:tcW w:w="4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8"/>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269</w:t>
            </w:r>
          </w:p>
        </w:tc>
        <w:tc>
          <w:tcPr>
            <w:tcW w:w="6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r>
      <w:tr>
        <w:trPr>
          <w:trHeight w:val="179"/>
        </w:trPr>
        <w:tc>
          <w:tcPr>
            <w:tcW w:w="4740" w:type="dxa"/>
            <w:vAlign w:val="bottom"/>
          </w:tcPr>
          <w:p>
            <w:pPr>
              <w:spacing w:after="0"/>
              <w:rPr>
                <w:sz w:val="20"/>
                <w:szCs w:val="20"/>
                <w:color w:val="auto"/>
              </w:rPr>
            </w:pPr>
            <w:r>
              <w:rPr>
                <w:rFonts w:ascii="Arial" w:cs="Arial" w:eastAsia="Arial" w:hAnsi="Arial"/>
                <w:sz w:val="14"/>
                <w:szCs w:val="14"/>
                <w:color w:val="auto"/>
              </w:rPr>
              <w:t>Total prepaid expenses and other current assets</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1,980</w:t>
            </w:r>
          </w:p>
        </w:tc>
        <w:tc>
          <w:tcPr>
            <w:tcW w:w="600" w:type="dxa"/>
            <w:vAlign w:val="bottom"/>
          </w:tcPr>
          <w:p>
            <w:pPr>
              <w:jc w:val="center"/>
              <w:ind w:left="37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2,261</w:t>
            </w:r>
          </w:p>
        </w:tc>
      </w:tr>
      <w:tr>
        <w:trPr>
          <w:trHeight w:val="23"/>
        </w:trPr>
        <w:tc>
          <w:tcPr>
            <w:tcW w:w="4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-807720</wp:posOffset>
            </wp:positionV>
            <wp:extent cx="3001010"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0010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5" w:name="page256"/>
    <w:bookmarkEnd w:id="255"/>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7—Property and equipment, net</w:t>
      </w:r>
    </w:p>
    <w:p>
      <w:pPr>
        <w:spacing w:after="0" w:line="133"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is a summary of property and equipment, net:</w:t>
      </w:r>
    </w:p>
    <w:p>
      <w:pPr>
        <w:spacing w:after="0" w:line="154"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6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2"/>
          </w:tcPr>
          <w:p>
            <w:pPr>
              <w:jc w:val="right"/>
              <w:ind w:right="89"/>
              <w:spacing w:after="0"/>
              <w:rPr>
                <w:sz w:val="20"/>
                <w:szCs w:val="20"/>
                <w:color w:val="auto"/>
              </w:rPr>
            </w:pPr>
            <w:r>
              <w:rPr>
                <w:rFonts w:ascii="Arial" w:cs="Arial" w:eastAsia="Arial" w:hAnsi="Arial"/>
                <w:sz w:val="13"/>
                <w:szCs w:val="13"/>
                <w:b w:val="1"/>
                <w:bCs w:val="1"/>
                <w:color w:val="auto"/>
              </w:rPr>
              <w:t>March 31,</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4"/>
                <w:szCs w:val="14"/>
                <w:color w:val="auto"/>
              </w:rPr>
            </w:pPr>
          </w:p>
        </w:tc>
      </w:tr>
      <w:tr>
        <w:trPr>
          <w:trHeight w:val="179"/>
        </w:trPr>
        <w:tc>
          <w:tcPr>
            <w:tcW w:w="20" w:type="dxa"/>
            <w:vAlign w:val="bottom"/>
          </w:tcPr>
          <w:p>
            <w:pPr>
              <w:spacing w:after="0"/>
              <w:rPr>
                <w:sz w:val="15"/>
                <w:szCs w:val="15"/>
                <w:color w:val="auto"/>
              </w:rPr>
            </w:pPr>
          </w:p>
        </w:tc>
        <w:tc>
          <w:tcPr>
            <w:tcW w:w="46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Lab equipment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11,427</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8,941</w:t>
            </w:r>
          </w:p>
        </w:tc>
        <w:tc>
          <w:tcPr>
            <w:tcW w:w="60" w:type="dxa"/>
            <w:vAlign w:val="bottom"/>
          </w:tcPr>
          <w:p>
            <w:pPr>
              <w:spacing w:after="0"/>
              <w:rPr>
                <w:sz w:val="15"/>
                <w:szCs w:val="15"/>
                <w:color w:val="auto"/>
              </w:rPr>
            </w:pPr>
          </w:p>
        </w:tc>
      </w:tr>
      <w:tr>
        <w:trPr>
          <w:trHeight w:val="182"/>
        </w:trPr>
        <w:tc>
          <w:tcPr>
            <w:tcW w:w="4700" w:type="dxa"/>
            <w:vAlign w:val="bottom"/>
            <w:gridSpan w:val="2"/>
          </w:tcPr>
          <w:p>
            <w:pPr>
              <w:spacing w:after="0"/>
              <w:rPr>
                <w:sz w:val="20"/>
                <w:szCs w:val="20"/>
                <w:color w:val="auto"/>
              </w:rPr>
            </w:pPr>
            <w:r>
              <w:rPr>
                <w:rFonts w:ascii="Arial" w:cs="Arial" w:eastAsia="Arial" w:hAnsi="Arial"/>
                <w:sz w:val="14"/>
                <w:szCs w:val="14"/>
                <w:color w:val="auto"/>
              </w:rPr>
              <w:t>Leasehold improvements</w:t>
            </w:r>
          </w:p>
        </w:tc>
        <w:tc>
          <w:tcPr>
            <w:tcW w:w="26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7,746</w:t>
            </w:r>
          </w:p>
        </w:tc>
        <w:tc>
          <w:tcPr>
            <w:tcW w:w="4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1,964</w:t>
            </w:r>
          </w:p>
        </w:tc>
        <w:tc>
          <w:tcPr>
            <w:tcW w:w="60" w:type="dxa"/>
            <w:vAlign w:val="bottom"/>
          </w:tcPr>
          <w:p>
            <w:pPr>
              <w:spacing w:after="0"/>
              <w:rPr>
                <w:sz w:val="15"/>
                <w:szCs w:val="15"/>
                <w:color w:val="auto"/>
              </w:rPr>
            </w:pPr>
          </w:p>
        </w:tc>
      </w:tr>
      <w:tr>
        <w:trPr>
          <w:trHeight w:val="23"/>
        </w:trPr>
        <w:tc>
          <w:tcPr>
            <w:tcW w:w="4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Construction in progress</w:t>
            </w: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3,401</w:t>
            </w:r>
          </w:p>
        </w:tc>
        <w:tc>
          <w:tcPr>
            <w:tcW w:w="4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5,771</w:t>
            </w:r>
          </w:p>
        </w:tc>
        <w:tc>
          <w:tcPr>
            <w:tcW w:w="60" w:type="dxa"/>
            <w:vAlign w:val="bottom"/>
          </w:tcPr>
          <w:p>
            <w:pPr>
              <w:spacing w:after="0"/>
              <w:rPr>
                <w:sz w:val="16"/>
                <w:szCs w:val="16"/>
                <w:color w:val="auto"/>
              </w:rPr>
            </w:pPr>
          </w:p>
        </w:tc>
      </w:tr>
      <w:tr>
        <w:trPr>
          <w:trHeight w:val="182"/>
        </w:trPr>
        <w:tc>
          <w:tcPr>
            <w:tcW w:w="4700" w:type="dxa"/>
            <w:vAlign w:val="bottom"/>
            <w:gridSpan w:val="2"/>
          </w:tcPr>
          <w:p>
            <w:pPr>
              <w:spacing w:after="0"/>
              <w:rPr>
                <w:sz w:val="20"/>
                <w:szCs w:val="20"/>
                <w:color w:val="auto"/>
              </w:rPr>
            </w:pPr>
            <w:r>
              <w:rPr>
                <w:rFonts w:ascii="Arial" w:cs="Arial" w:eastAsia="Arial" w:hAnsi="Arial"/>
                <w:sz w:val="14"/>
                <w:szCs w:val="14"/>
                <w:color w:val="auto"/>
              </w:rPr>
              <w:t>Computer software and equipment</w:t>
            </w:r>
          </w:p>
        </w:tc>
        <w:tc>
          <w:tcPr>
            <w:tcW w:w="26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228</w:t>
            </w:r>
          </w:p>
        </w:tc>
        <w:tc>
          <w:tcPr>
            <w:tcW w:w="4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214</w:t>
            </w:r>
          </w:p>
        </w:tc>
        <w:tc>
          <w:tcPr>
            <w:tcW w:w="60" w:type="dxa"/>
            <w:vAlign w:val="bottom"/>
          </w:tcPr>
          <w:p>
            <w:pPr>
              <w:spacing w:after="0"/>
              <w:rPr>
                <w:sz w:val="15"/>
                <w:szCs w:val="15"/>
                <w:color w:val="auto"/>
              </w:rPr>
            </w:pPr>
          </w:p>
        </w:tc>
      </w:tr>
      <w:tr>
        <w:trPr>
          <w:trHeight w:val="23"/>
        </w:trPr>
        <w:tc>
          <w:tcPr>
            <w:tcW w:w="4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Furniture and fixtures</w:t>
            </w:r>
          </w:p>
        </w:tc>
        <w:tc>
          <w:tcPr>
            <w:tcW w:w="2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153</w:t>
            </w:r>
          </w:p>
        </w:tc>
        <w:tc>
          <w:tcPr>
            <w:tcW w:w="4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6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14"/>
                <w:szCs w:val="14"/>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22,955</w:t>
            </w:r>
          </w:p>
        </w:tc>
        <w:tc>
          <w:tcPr>
            <w:tcW w:w="4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16,966</w:t>
            </w:r>
          </w:p>
        </w:tc>
        <w:tc>
          <w:tcPr>
            <w:tcW w:w="60" w:type="dxa"/>
            <w:vAlign w:val="bottom"/>
          </w:tcPr>
          <w:p>
            <w:pPr>
              <w:spacing w:after="0"/>
              <w:rPr>
                <w:sz w:val="14"/>
                <w:szCs w:val="14"/>
                <w:color w:val="auto"/>
              </w:rPr>
            </w:pPr>
          </w:p>
        </w:tc>
      </w:tr>
      <w:tr>
        <w:trPr>
          <w:trHeight w:val="22"/>
        </w:trPr>
        <w:tc>
          <w:tcPr>
            <w:tcW w:w="4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Accumulated depreciation</w:t>
            </w:r>
          </w:p>
        </w:tc>
        <w:tc>
          <w:tcPr>
            <w:tcW w:w="2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(2,298)</w:t>
            </w:r>
          </w:p>
        </w:tc>
        <w:tc>
          <w:tcPr>
            <w:tcW w:w="4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6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20,657</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15,385</w:t>
            </w:r>
          </w:p>
        </w:tc>
        <w:tc>
          <w:tcPr>
            <w:tcW w:w="60" w:type="dxa"/>
            <w:vAlign w:val="bottom"/>
          </w:tcPr>
          <w:p>
            <w:pPr>
              <w:spacing w:after="0"/>
              <w:rPr>
                <w:sz w:val="14"/>
                <w:szCs w:val="1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-1047750</wp:posOffset>
            </wp:positionV>
            <wp:extent cx="2980690"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980690" cy="6985"/>
                    </a:xfrm>
                    <a:prstGeom prst="rect">
                      <a:avLst/>
                    </a:prstGeom>
                    <a:noFill/>
                  </pic:spPr>
                </pic:pic>
              </a:graphicData>
            </a:graphic>
          </wp:anchor>
        </w:drawing>
      </w:r>
    </w:p>
    <w:p>
      <w:pPr>
        <w:spacing w:after="0" w:line="98" w:lineRule="exact"/>
        <w:rPr>
          <w:sz w:val="20"/>
          <w:szCs w:val="20"/>
          <w:color w:val="auto"/>
        </w:rPr>
      </w:pPr>
    </w:p>
    <w:p>
      <w:pPr>
        <w:ind w:left="1220" w:right="1299"/>
        <w:spacing w:after="0" w:line="290" w:lineRule="auto"/>
        <w:rPr>
          <w:sz w:val="20"/>
          <w:szCs w:val="20"/>
          <w:color w:val="auto"/>
        </w:rPr>
      </w:pPr>
      <w:r>
        <w:rPr>
          <w:rFonts w:ascii="Arial" w:cs="Arial" w:eastAsia="Arial" w:hAnsi="Arial"/>
          <w:sz w:val="14"/>
          <w:szCs w:val="14"/>
          <w:color w:val="auto"/>
        </w:rPr>
        <w:t>Depreciation expense was $718 and $200 for the three months ended March 31, 2021 and 2020, respectively.</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8—Accrued expenses and other liabilities</w:t>
      </w:r>
    </w:p>
    <w:p>
      <w:pPr>
        <w:spacing w:after="0" w:line="14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is a summary of accrued expenses:</w:t>
      </w:r>
    </w:p>
    <w:p>
      <w:pPr>
        <w:spacing w:after="0" w:line="154"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47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right"/>
              <w:ind w:right="49"/>
              <w:spacing w:after="0"/>
              <w:rPr>
                <w:sz w:val="20"/>
                <w:szCs w:val="20"/>
                <w:color w:val="auto"/>
              </w:rPr>
            </w:pPr>
            <w:r>
              <w:rPr>
                <w:rFonts w:ascii="Arial" w:cs="Arial" w:eastAsia="Arial" w:hAnsi="Arial"/>
                <w:sz w:val="13"/>
                <w:szCs w:val="13"/>
                <w:b w:val="1"/>
                <w:bCs w:val="1"/>
                <w:color w:val="auto"/>
              </w:rPr>
              <w:t>March 31</w:t>
            </w: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December 31,</w:t>
            </w:r>
          </w:p>
        </w:tc>
      </w:tr>
      <w:tr>
        <w:trPr>
          <w:trHeight w:val="179"/>
        </w:trPr>
        <w:tc>
          <w:tcPr>
            <w:tcW w:w="47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2021</w:t>
            </w: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Payroll and bonuses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868</w:t>
            </w:r>
          </w:p>
        </w:tc>
        <w:tc>
          <w:tcPr>
            <w:tcW w:w="60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3,132</w:t>
            </w:r>
          </w:p>
        </w:tc>
      </w:tr>
      <w:tr>
        <w:trPr>
          <w:trHeight w:val="182"/>
        </w:trPr>
        <w:tc>
          <w:tcPr>
            <w:tcW w:w="4780" w:type="dxa"/>
            <w:vAlign w:val="bottom"/>
          </w:tcPr>
          <w:p>
            <w:pPr>
              <w:spacing w:after="0"/>
              <w:rPr>
                <w:sz w:val="20"/>
                <w:szCs w:val="20"/>
                <w:color w:val="auto"/>
              </w:rPr>
            </w:pPr>
            <w:r>
              <w:rPr>
                <w:rFonts w:ascii="Arial" w:cs="Arial" w:eastAsia="Arial" w:hAnsi="Arial"/>
                <w:sz w:val="14"/>
                <w:szCs w:val="14"/>
                <w:color w:val="auto"/>
              </w:rPr>
              <w:t>Interest</w:t>
            </w:r>
          </w:p>
        </w:tc>
        <w:tc>
          <w:tcPr>
            <w:tcW w:w="30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82</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3"/>
        </w:trPr>
        <w:tc>
          <w:tcPr>
            <w:tcW w:w="4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5"/>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Professional and legal fees</w:t>
            </w:r>
          </w:p>
        </w:tc>
        <w:tc>
          <w:tcPr>
            <w:tcW w:w="3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2,213</w:t>
            </w:r>
          </w:p>
        </w:tc>
        <w:tc>
          <w:tcPr>
            <w:tcW w:w="6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524</w:t>
            </w:r>
          </w:p>
        </w:tc>
      </w:tr>
      <w:tr>
        <w:trPr>
          <w:trHeight w:val="182"/>
        </w:trPr>
        <w:tc>
          <w:tcPr>
            <w:tcW w:w="4780" w:type="dxa"/>
            <w:vAlign w:val="bottom"/>
          </w:tcPr>
          <w:p>
            <w:pPr>
              <w:spacing w:after="0"/>
              <w:rPr>
                <w:sz w:val="20"/>
                <w:szCs w:val="20"/>
                <w:color w:val="auto"/>
              </w:rPr>
            </w:pPr>
            <w:r>
              <w:rPr>
                <w:rFonts w:ascii="Arial" w:cs="Arial" w:eastAsia="Arial" w:hAnsi="Arial"/>
                <w:sz w:val="14"/>
                <w:szCs w:val="14"/>
                <w:color w:val="auto"/>
              </w:rPr>
              <w:t>Operating lease liability, current</w:t>
            </w:r>
          </w:p>
        </w:tc>
        <w:tc>
          <w:tcPr>
            <w:tcW w:w="30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596</w:t>
            </w:r>
          </w:p>
        </w:tc>
        <w:tc>
          <w:tcPr>
            <w:tcW w:w="6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240</w:t>
            </w:r>
          </w:p>
        </w:tc>
      </w:tr>
      <w:tr>
        <w:trPr>
          <w:trHeight w:val="23"/>
        </w:trPr>
        <w:tc>
          <w:tcPr>
            <w:tcW w:w="4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8"/>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56</w:t>
            </w:r>
          </w:p>
        </w:tc>
        <w:tc>
          <w:tcPr>
            <w:tcW w:w="6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79"/>
        </w:trPr>
        <w:tc>
          <w:tcPr>
            <w:tcW w:w="4780" w:type="dxa"/>
            <w:vAlign w:val="bottom"/>
          </w:tcPr>
          <w:p>
            <w:pPr>
              <w:spacing w:after="0"/>
              <w:rPr>
                <w:sz w:val="20"/>
                <w:szCs w:val="20"/>
                <w:color w:val="auto"/>
              </w:rPr>
            </w:pPr>
            <w:r>
              <w:rPr>
                <w:rFonts w:ascii="Arial" w:cs="Arial" w:eastAsia="Arial" w:hAnsi="Arial"/>
                <w:sz w:val="14"/>
                <w:szCs w:val="14"/>
                <w:color w:val="auto"/>
              </w:rPr>
              <w:t>Total accrued expenses and other liabilities</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3,815</w:t>
            </w:r>
          </w:p>
        </w:tc>
        <w:tc>
          <w:tcPr>
            <w:tcW w:w="600" w:type="dxa"/>
            <w:vAlign w:val="bottom"/>
          </w:tcPr>
          <w:p>
            <w:pPr>
              <w:jc w:val="center"/>
              <w:ind w:left="37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4,030</w:t>
            </w:r>
          </w:p>
        </w:tc>
      </w:tr>
      <w:tr>
        <w:trPr>
          <w:trHeight w:val="23"/>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-807720</wp:posOffset>
            </wp:positionV>
            <wp:extent cx="3028315"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028315" cy="6985"/>
                    </a:xfrm>
                    <a:prstGeom prst="rect">
                      <a:avLst/>
                    </a:prstGeom>
                    <a:noFill/>
                  </pic:spPr>
                </pic:pic>
              </a:graphicData>
            </a:graphic>
          </wp:anchor>
        </w:drawing>
      </w:r>
    </w:p>
    <w:p>
      <w:pPr>
        <w:spacing w:after="0" w:line="11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9—Long-term debt</w:t>
      </w:r>
    </w:p>
    <w:p>
      <w:pPr>
        <w:spacing w:after="0" w:line="14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is a summary of the Company’s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103505</wp:posOffset>
            </wp:positionV>
            <wp:extent cx="4165600" cy="1397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72"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4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0" w:type="dxa"/>
            <w:vAlign w:val="bottom"/>
            <w:gridSpan w:val="5"/>
          </w:tcPr>
          <w:p>
            <w:pPr>
              <w:jc w:val="right"/>
              <w:ind w:right="60"/>
              <w:spacing w:after="0"/>
              <w:rPr>
                <w:sz w:val="20"/>
                <w:szCs w:val="20"/>
                <w:color w:val="auto"/>
              </w:rPr>
            </w:pPr>
            <w:r>
              <w:rPr>
                <w:rFonts w:ascii="Arial" w:cs="Arial" w:eastAsia="Arial" w:hAnsi="Arial"/>
                <w:sz w:val="13"/>
                <w:szCs w:val="13"/>
                <w:b w:val="1"/>
                <w:bCs w:val="1"/>
                <w:color w:val="auto"/>
              </w:rPr>
              <w:t>March 31, 2021  December 31, 2020</w:t>
            </w:r>
          </w:p>
        </w:tc>
      </w:tr>
      <w:tr>
        <w:trPr>
          <w:trHeight w:val="173"/>
        </w:trPr>
        <w:tc>
          <w:tcPr>
            <w:tcW w:w="4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Principal</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10,000</w:t>
            </w: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60" w:type="dxa"/>
            <w:vAlign w:val="bottom"/>
          </w:tcPr>
          <w:p>
            <w:pPr>
              <w:spacing w:after="0"/>
              <w:rPr>
                <w:sz w:val="15"/>
                <w:szCs w:val="15"/>
                <w:color w:val="auto"/>
              </w:rPr>
            </w:pPr>
          </w:p>
        </w:tc>
      </w:tr>
      <w:tr>
        <w:trPr>
          <w:trHeight w:val="182"/>
        </w:trPr>
        <w:tc>
          <w:tcPr>
            <w:tcW w:w="4220" w:type="dxa"/>
            <w:vAlign w:val="bottom"/>
            <w:gridSpan w:val="2"/>
          </w:tcPr>
          <w:p>
            <w:pPr>
              <w:spacing w:after="0"/>
              <w:rPr>
                <w:sz w:val="20"/>
                <w:szCs w:val="20"/>
                <w:color w:val="auto"/>
              </w:rPr>
            </w:pPr>
            <w:r>
              <w:rPr>
                <w:rFonts w:ascii="Arial" w:cs="Arial" w:eastAsia="Arial" w:hAnsi="Arial"/>
                <w:sz w:val="14"/>
                <w:szCs w:val="14"/>
                <w:color w:val="auto"/>
              </w:rPr>
              <w:t>Less: Debt discount attributable to warrants, net of accretion</w:t>
            </w:r>
          </w:p>
        </w:tc>
        <w:tc>
          <w:tcPr>
            <w:tcW w:w="540" w:type="dxa"/>
            <w:vAlign w:val="bottom"/>
          </w:tcPr>
          <w:p>
            <w:pPr>
              <w:spacing w:after="0"/>
              <w:rPr>
                <w:sz w:val="15"/>
                <w:szCs w:val="15"/>
                <w:color w:val="auto"/>
              </w:rPr>
            </w:pPr>
          </w:p>
        </w:tc>
        <w:tc>
          <w:tcPr>
            <w:tcW w:w="880" w:type="dxa"/>
            <w:vAlign w:val="bottom"/>
          </w:tcPr>
          <w:p>
            <w:pPr>
              <w:jc w:val="right"/>
              <w:ind w:right="288"/>
              <w:spacing w:after="0"/>
              <w:rPr>
                <w:sz w:val="20"/>
                <w:szCs w:val="20"/>
                <w:color w:val="auto"/>
              </w:rPr>
            </w:pPr>
            <w:r>
              <w:rPr>
                <w:rFonts w:ascii="Arial" w:cs="Arial" w:eastAsia="Arial" w:hAnsi="Arial"/>
                <w:sz w:val="14"/>
                <w:szCs w:val="14"/>
                <w:color w:val="auto"/>
              </w:rPr>
              <w:t>(39)</w:t>
            </w:r>
          </w:p>
        </w:tc>
        <w:tc>
          <w:tcPr>
            <w:tcW w:w="46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(43)</w:t>
            </w:r>
          </w:p>
        </w:tc>
      </w:tr>
      <w:tr>
        <w:trPr>
          <w:trHeight w:val="23"/>
        </w:trPr>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188"/>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Unamortized deferred financing cost, net of accretion</w:t>
            </w:r>
          </w:p>
        </w:tc>
        <w:tc>
          <w:tcPr>
            <w:tcW w:w="4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(250)</w:t>
            </w:r>
          </w:p>
        </w:tc>
        <w:tc>
          <w:tcPr>
            <w:tcW w:w="4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60" w:type="dxa"/>
            <w:vAlign w:val="bottom"/>
          </w:tcPr>
          <w:p>
            <w:pPr>
              <w:spacing w:after="0"/>
              <w:rPr>
                <w:sz w:val="16"/>
                <w:szCs w:val="16"/>
                <w:color w:val="auto"/>
              </w:rPr>
            </w:pPr>
          </w:p>
        </w:tc>
      </w:tr>
      <w:tr>
        <w:trPr>
          <w:trHeight w:val="179"/>
        </w:trPr>
        <w:tc>
          <w:tcPr>
            <w:tcW w:w="4220" w:type="dxa"/>
            <w:vAlign w:val="bottom"/>
            <w:gridSpan w:val="2"/>
          </w:tcPr>
          <w:p>
            <w:pPr>
              <w:spacing w:after="0"/>
              <w:rPr>
                <w:sz w:val="20"/>
                <w:szCs w:val="20"/>
                <w:color w:val="auto"/>
              </w:rPr>
            </w:pPr>
            <w:r>
              <w:rPr>
                <w:rFonts w:ascii="Arial" w:cs="Arial" w:eastAsia="Arial" w:hAnsi="Arial"/>
                <w:sz w:val="14"/>
                <w:szCs w:val="14"/>
                <w:color w:val="auto"/>
              </w:rPr>
              <w:t>Long-term debt, net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9,711</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9,636</w:t>
            </w:r>
          </w:p>
        </w:tc>
        <w:tc>
          <w:tcPr>
            <w:tcW w:w="60" w:type="dxa"/>
            <w:vAlign w:val="bottom"/>
          </w:tcPr>
          <w:p>
            <w:pPr>
              <w:spacing w:after="0"/>
              <w:rPr>
                <w:sz w:val="15"/>
                <w:szCs w:val="15"/>
                <w:color w:val="auto"/>
              </w:rPr>
            </w:pPr>
          </w:p>
        </w:tc>
      </w:tr>
      <w:tr>
        <w:trPr>
          <w:trHeight w:val="23"/>
        </w:trPr>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4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-163830</wp:posOffset>
            </wp:positionV>
            <wp:extent cx="27305"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730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-547370</wp:posOffset>
            </wp:positionV>
            <wp:extent cx="2672080"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672080" cy="6985"/>
                    </a:xfrm>
                    <a:prstGeom prst="rect">
                      <a:avLst/>
                    </a:prstGeom>
                    <a:noFill/>
                  </pic:spPr>
                </pic:pic>
              </a:graphicData>
            </a:graphic>
          </wp:anchor>
        </w:drawing>
      </w:r>
    </w:p>
    <w:p>
      <w:pPr>
        <w:spacing w:after="0" w:line="109"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On September 14, 2020, the Company entered into a $10.0 million Term Loan Agreement (the “Loan Agreement”) with Hercules Capital, Inc. (“Hercules”). Pursuant to the terms of the Loan Agreement, the Company borrowed $10.0 million (the “Tranche 1 Advance”) from the Lenders at closing. Beginning January 1, 2021 and upon the achievement of certain development milestones and continuing through September 30, 2021 the Company may borrow an additional $10.0 million (the “Tranche 2 Advance”). The remaining $10.0 million tranche (“Tranche 3 Advance”) is subject to Hercules’ investment committee’s sole discretion.</w:t>
      </w:r>
    </w:p>
    <w:p>
      <w:pPr>
        <w:spacing w:after="0" w:line="96" w:lineRule="exact"/>
        <w:rPr>
          <w:sz w:val="20"/>
          <w:szCs w:val="20"/>
          <w:color w:val="auto"/>
        </w:rPr>
      </w:pPr>
    </w:p>
    <w:p>
      <w:pPr>
        <w:ind w:left="1220" w:right="1399"/>
        <w:spacing w:after="0" w:line="277" w:lineRule="auto"/>
        <w:rPr>
          <w:sz w:val="20"/>
          <w:szCs w:val="20"/>
          <w:color w:val="auto"/>
        </w:rPr>
      </w:pPr>
      <w:r>
        <w:rPr>
          <w:rFonts w:ascii="Arial" w:cs="Arial" w:eastAsia="Arial" w:hAnsi="Arial"/>
          <w:sz w:val="14"/>
          <w:szCs w:val="14"/>
          <w:color w:val="auto"/>
        </w:rPr>
        <w:t>The Loan Agreement has a four-year term, has a minimum cash covenant and an interest-only period of up to 24 months. If the Tranche 2 Advance is not drawn or the Company has achieved certain development milestones by September 30, 2021, then there is no minimum cash requirement. The Company was in compliance with all provisions of the Loan Agreement as of March 31, 2021. Amounts borrowed under the Loan Agreement accrue</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6" w:name="page257"/>
    <w:bookmarkEnd w:id="256"/>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339"/>
        <w:spacing w:after="0" w:line="262" w:lineRule="auto"/>
        <w:rPr>
          <w:sz w:val="20"/>
          <w:szCs w:val="20"/>
          <w:color w:val="auto"/>
        </w:rPr>
      </w:pPr>
      <w:r>
        <w:rPr>
          <w:rFonts w:ascii="Arial" w:cs="Arial" w:eastAsia="Arial" w:hAnsi="Arial"/>
          <w:sz w:val="14"/>
          <w:szCs w:val="14"/>
          <w:color w:val="auto"/>
        </w:rPr>
        <w:t xml:space="preserve">interest at a floating rate per annum (based on a year of 360 days) equal to (i) the sum of (a) the greater of 6.30% plus (b) the prime rate as reported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on the last business day of the month that immediately precedes the month in which the interest will accrue or (ii) 9.55%. The interest rate as of March 31, 2021 was 9.55%.</w:t>
      </w:r>
    </w:p>
    <w:p>
      <w:pPr>
        <w:spacing w:after="0" w:line="106" w:lineRule="exact"/>
        <w:rPr>
          <w:sz w:val="20"/>
          <w:szCs w:val="20"/>
          <w:color w:val="auto"/>
        </w:rPr>
      </w:pPr>
    </w:p>
    <w:p>
      <w:pPr>
        <w:ind w:left="1220" w:right="1259"/>
        <w:spacing w:after="0" w:line="277" w:lineRule="auto"/>
        <w:rPr>
          <w:sz w:val="20"/>
          <w:szCs w:val="20"/>
          <w:color w:val="auto"/>
        </w:rPr>
      </w:pPr>
      <w:r>
        <w:rPr>
          <w:rFonts w:ascii="Arial" w:cs="Arial" w:eastAsia="Arial" w:hAnsi="Arial"/>
          <w:sz w:val="14"/>
          <w:szCs w:val="14"/>
          <w:color w:val="auto"/>
        </w:rPr>
        <w:t>The Company incurred $410 in deferred financing costs. The Company is also required to pay the Lenders an end of term fee of 3.95% of loan proceeds upon repayment or prepayment of any loans made under the Loan Agreement. The end of term fee is being recognized as interest expense and accreted over the term of the Loan Agreement using the effective interest method. The Company is also required to pay Hercules a prepayment charge equal to 2.00% of the loan amounts prepaid during the interest-only period and 1.00% thereafter on any loans made under the Loan Agreement.</w:t>
      </w:r>
    </w:p>
    <w:p>
      <w:pPr>
        <w:spacing w:after="0" w:line="288" w:lineRule="exact"/>
        <w:rPr>
          <w:sz w:val="20"/>
          <w:szCs w:val="20"/>
          <w:color w:val="auto"/>
        </w:rPr>
      </w:pPr>
    </w:p>
    <w:p>
      <w:pPr>
        <w:ind w:left="1220" w:right="1539"/>
        <w:spacing w:after="0" w:line="290" w:lineRule="auto"/>
        <w:rPr>
          <w:sz w:val="20"/>
          <w:szCs w:val="20"/>
          <w:color w:val="auto"/>
        </w:rPr>
      </w:pPr>
      <w:r>
        <w:rPr>
          <w:rFonts w:ascii="Arial" w:cs="Arial" w:eastAsia="Arial" w:hAnsi="Arial"/>
          <w:sz w:val="14"/>
          <w:szCs w:val="14"/>
          <w:color w:val="auto"/>
        </w:rPr>
        <w:t>The Company granted Hercules a lien on substantially all of the Company’s assets, excluding intellectual property.</w:t>
      </w:r>
    </w:p>
    <w:p>
      <w:pPr>
        <w:spacing w:after="0" w:line="96"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The Company issued to Hercules warrants to purchase up to an aggregate of 40,540 shares of common stock. The warrants are exercisable for a period of ten years from the date of the issuance of each warrant at a per-unit exercise price equal to $5.55,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contra-liability on the consolidated balance sheet and amortized to interest expense. If the Company borrows on the remaining two tranche advances outlined above, the Company will be required to issue warrants to Hercules equal to 2.25% of the aggregate amount funded.</w:t>
      </w:r>
    </w:p>
    <w:p>
      <w:pPr>
        <w:spacing w:after="0" w:line="278"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Interest expense of the Loan Agreement is as follows:</w:t>
      </w:r>
    </w:p>
    <w:p>
      <w:pPr>
        <w:spacing w:after="0" w:line="154"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43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For the Three</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For the Three</w:t>
            </w:r>
          </w:p>
        </w:tc>
      </w:tr>
      <w:tr>
        <w:trPr>
          <w:trHeight w:val="151"/>
        </w:trPr>
        <w:tc>
          <w:tcPr>
            <w:tcW w:w="4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ind w:right="52"/>
              <w:spacing w:after="0"/>
              <w:rPr>
                <w:sz w:val="20"/>
                <w:szCs w:val="20"/>
                <w:color w:val="auto"/>
              </w:rPr>
            </w:pPr>
            <w:r>
              <w:rPr>
                <w:rFonts w:ascii="Arial" w:cs="Arial" w:eastAsia="Arial" w:hAnsi="Arial"/>
                <w:sz w:val="13"/>
                <w:szCs w:val="13"/>
                <w:b w:val="1"/>
                <w:bCs w:val="1"/>
                <w:color w:val="auto"/>
              </w:rPr>
              <w:t>Months Ended</w:t>
            </w:r>
          </w:p>
        </w:tc>
        <w:tc>
          <w:tcPr>
            <w:tcW w:w="1040" w:type="dxa"/>
            <w:vAlign w:val="bottom"/>
          </w:tcPr>
          <w:p>
            <w:pPr>
              <w:ind w:left="80"/>
              <w:spacing w:after="0"/>
              <w:rPr>
                <w:sz w:val="20"/>
                <w:szCs w:val="20"/>
                <w:color w:val="auto"/>
              </w:rPr>
            </w:pPr>
            <w:r>
              <w:rPr>
                <w:rFonts w:ascii="Arial" w:cs="Arial" w:eastAsia="Arial" w:hAnsi="Arial"/>
                <w:sz w:val="13"/>
                <w:szCs w:val="13"/>
                <w:b w:val="1"/>
                <w:bCs w:val="1"/>
                <w:color w:val="auto"/>
              </w:rPr>
              <w:t>Months Ended</w:t>
            </w:r>
          </w:p>
        </w:tc>
      </w:tr>
      <w:tr>
        <w:trPr>
          <w:trHeight w:val="179"/>
        </w:trPr>
        <w:tc>
          <w:tcPr>
            <w:tcW w:w="43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March 31, 2021</w:t>
            </w: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March 31, 2020</w:t>
            </w:r>
          </w:p>
        </w:tc>
      </w:tr>
      <w:tr>
        <w:trPr>
          <w:trHeight w:val="173"/>
        </w:trPr>
        <w:tc>
          <w:tcPr>
            <w:tcW w:w="4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Interest expense for loan</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$ 239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2"/>
        </w:trPr>
        <w:tc>
          <w:tcPr>
            <w:tcW w:w="4420" w:type="dxa"/>
            <w:vAlign w:val="bottom"/>
            <w:gridSpan w:val="2"/>
          </w:tcPr>
          <w:p>
            <w:pPr>
              <w:spacing w:after="0"/>
              <w:rPr>
                <w:sz w:val="20"/>
                <w:szCs w:val="20"/>
                <w:color w:val="auto"/>
              </w:rPr>
            </w:pPr>
            <w:r>
              <w:rPr>
                <w:rFonts w:ascii="Arial" w:cs="Arial" w:eastAsia="Arial" w:hAnsi="Arial"/>
                <w:sz w:val="14"/>
                <w:szCs w:val="14"/>
                <w:color w:val="auto"/>
              </w:rPr>
              <w:t>Amortization of debt issuance costs, including end of term fee</w:t>
            </w: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
        </w:trPr>
        <w:tc>
          <w:tcPr>
            <w:tcW w:w="4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8"/>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accretion</w:t>
            </w:r>
          </w:p>
        </w:tc>
        <w:tc>
          <w:tcPr>
            <w:tcW w:w="6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4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$ 314</w:t>
            </w:r>
          </w:p>
        </w:tc>
        <w:tc>
          <w:tcPr>
            <w:tcW w:w="10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33"/>
        </w:trPr>
        <w:tc>
          <w:tcPr>
            <w:tcW w:w="4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-143510</wp:posOffset>
            </wp:positionV>
            <wp:extent cx="34290"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-527050</wp:posOffset>
            </wp:positionV>
            <wp:extent cx="2795270"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795270" cy="6985"/>
                    </a:xfrm>
                    <a:prstGeom prst="rect">
                      <a:avLst/>
                    </a:prstGeom>
                    <a:noFill/>
                  </pic:spPr>
                </pic:pic>
              </a:graphicData>
            </a:graphic>
          </wp:anchor>
        </w:drawing>
      </w:r>
    </w:p>
    <w:p>
      <w:pPr>
        <w:spacing w:after="0" w:line="98" w:lineRule="exact"/>
        <w:rPr>
          <w:sz w:val="20"/>
          <w:szCs w:val="20"/>
          <w:color w:val="auto"/>
        </w:rPr>
      </w:pPr>
    </w:p>
    <w:p>
      <w:pPr>
        <w:ind w:left="1220" w:right="1319"/>
        <w:spacing w:after="0" w:line="290" w:lineRule="auto"/>
        <w:rPr>
          <w:sz w:val="20"/>
          <w:szCs w:val="20"/>
          <w:color w:val="auto"/>
        </w:rPr>
      </w:pPr>
      <w:r>
        <w:rPr>
          <w:rFonts w:ascii="Arial" w:cs="Arial" w:eastAsia="Arial" w:hAnsi="Arial"/>
          <w:sz w:val="14"/>
          <w:szCs w:val="14"/>
          <w:color w:val="auto"/>
        </w:rPr>
        <w:t>Included in accrued expenses in the accompanying consolidated balance sheets as of March 31, 2021 and December 31, 2020 were both $82 of accrued interest.</w:t>
      </w:r>
    </w:p>
    <w:p>
      <w:pPr>
        <w:spacing w:after="0" w:line="96" w:lineRule="exact"/>
        <w:rPr>
          <w:sz w:val="20"/>
          <w:szCs w:val="20"/>
          <w:color w:val="auto"/>
        </w:rPr>
      </w:pPr>
    </w:p>
    <w:p>
      <w:pPr>
        <w:ind w:left="1220" w:right="1379"/>
        <w:spacing w:after="0" w:line="290" w:lineRule="auto"/>
        <w:rPr>
          <w:sz w:val="20"/>
          <w:szCs w:val="20"/>
          <w:color w:val="auto"/>
        </w:rPr>
      </w:pPr>
      <w:r>
        <w:rPr>
          <w:rFonts w:ascii="Arial" w:cs="Arial" w:eastAsia="Arial" w:hAnsi="Arial"/>
          <w:sz w:val="14"/>
          <w:szCs w:val="14"/>
          <w:color w:val="auto"/>
        </w:rPr>
        <w:t>Future principal payments due (including the end of term fee) under the Loan Agreement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75565</wp:posOffset>
            </wp:positionV>
            <wp:extent cx="4165600" cy="1397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27"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5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Principal Payments</w:t>
            </w:r>
          </w:p>
        </w:tc>
      </w:tr>
      <w:tr>
        <w:trPr>
          <w:trHeight w:val="173"/>
        </w:trPr>
        <w:tc>
          <w:tcPr>
            <w:tcW w:w="5220" w:type="dxa"/>
            <w:vAlign w:val="bottom"/>
            <w:tcBorders>
              <w:bottom w:val="single" w:sz="8" w:color="CCEEFF"/>
            </w:tcBorders>
            <w:shd w:val="clear" w:color="auto" w:fill="CCEEFF"/>
          </w:tcPr>
          <w:p>
            <w:pPr>
              <w:jc w:val="right"/>
              <w:ind w:right="4808"/>
              <w:spacing w:after="0"/>
              <w:rPr>
                <w:sz w:val="20"/>
                <w:szCs w:val="20"/>
                <w:color w:val="auto"/>
              </w:rPr>
            </w:pPr>
            <w:r>
              <w:rPr>
                <w:rFonts w:ascii="Arial" w:cs="Arial" w:eastAsia="Arial" w:hAnsi="Arial"/>
                <w:sz w:val="14"/>
                <w:szCs w:val="14"/>
                <w:color w:val="auto"/>
              </w:rPr>
              <w:t>2021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5220" w:type="dxa"/>
            <w:vAlign w:val="bottom"/>
          </w:tcPr>
          <w:p>
            <w:pPr>
              <w:jc w:val="right"/>
              <w:ind w:right="4808"/>
              <w:spacing w:after="0"/>
              <w:rPr>
                <w:sz w:val="20"/>
                <w:szCs w:val="20"/>
                <w:color w:val="auto"/>
              </w:rPr>
            </w:pPr>
            <w:r>
              <w:rPr>
                <w:rFonts w:ascii="Arial" w:cs="Arial" w:eastAsia="Arial" w:hAnsi="Arial"/>
                <w:sz w:val="14"/>
                <w:szCs w:val="14"/>
                <w:color w:val="auto"/>
              </w:rPr>
              <w:t>2022</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1,039</w:t>
            </w:r>
          </w:p>
        </w:tc>
      </w:tr>
      <w:tr>
        <w:trPr>
          <w:trHeight w:val="23"/>
        </w:trPr>
        <w:tc>
          <w:tcPr>
            <w:tcW w:w="5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5"/>
        </w:trPr>
        <w:tc>
          <w:tcPr>
            <w:tcW w:w="5220" w:type="dxa"/>
            <w:vAlign w:val="bottom"/>
            <w:tcBorders>
              <w:bottom w:val="single" w:sz="8" w:color="CCEEFF"/>
            </w:tcBorders>
            <w:shd w:val="clear" w:color="auto" w:fill="CCEEFF"/>
          </w:tcPr>
          <w:p>
            <w:pPr>
              <w:jc w:val="right"/>
              <w:ind w:right="4808"/>
              <w:spacing w:after="0"/>
              <w:rPr>
                <w:sz w:val="20"/>
                <w:szCs w:val="20"/>
                <w:color w:val="auto"/>
              </w:rPr>
            </w:pPr>
            <w:r>
              <w:rPr>
                <w:rFonts w:ascii="Arial" w:cs="Arial" w:eastAsia="Arial" w:hAnsi="Arial"/>
                <w:sz w:val="14"/>
                <w:szCs w:val="14"/>
                <w:color w:val="auto"/>
              </w:rPr>
              <w:t>2023</w:t>
            </w:r>
          </w:p>
        </w:tc>
        <w:tc>
          <w:tcPr>
            <w:tcW w:w="8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6,603</w:t>
            </w:r>
          </w:p>
        </w:tc>
      </w:tr>
      <w:tr>
        <w:trPr>
          <w:trHeight w:val="182"/>
        </w:trPr>
        <w:tc>
          <w:tcPr>
            <w:tcW w:w="5220" w:type="dxa"/>
            <w:vAlign w:val="bottom"/>
          </w:tcPr>
          <w:p>
            <w:pPr>
              <w:jc w:val="right"/>
              <w:ind w:right="4808"/>
              <w:spacing w:after="0"/>
              <w:rPr>
                <w:sz w:val="20"/>
                <w:szCs w:val="20"/>
                <w:color w:val="auto"/>
              </w:rPr>
            </w:pPr>
            <w:r>
              <w:rPr>
                <w:rFonts w:ascii="Arial" w:cs="Arial" w:eastAsia="Arial" w:hAnsi="Arial"/>
                <w:sz w:val="14"/>
                <w:szCs w:val="14"/>
                <w:color w:val="auto"/>
              </w:rPr>
              <w:t>2024</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2,753</w:t>
            </w:r>
          </w:p>
        </w:tc>
      </w:tr>
      <w:tr>
        <w:trPr>
          <w:trHeight w:val="23"/>
        </w:trPr>
        <w:tc>
          <w:tcPr>
            <w:tcW w:w="5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8"/>
        </w:trPr>
        <w:tc>
          <w:tcPr>
            <w:tcW w:w="5220" w:type="dxa"/>
            <w:vAlign w:val="bottom"/>
            <w:tcBorders>
              <w:bottom w:val="single" w:sz="8" w:color="CCEEFF"/>
            </w:tcBorders>
            <w:shd w:val="clear" w:color="auto" w:fill="CCEEFF"/>
          </w:tcPr>
          <w:p>
            <w:pPr>
              <w:jc w:val="right"/>
              <w:ind w:right="4808"/>
              <w:spacing w:after="0"/>
              <w:rPr>
                <w:sz w:val="20"/>
                <w:szCs w:val="20"/>
                <w:color w:val="auto"/>
              </w:rPr>
            </w:pPr>
            <w:r>
              <w:rPr>
                <w:rFonts w:ascii="Arial" w:cs="Arial" w:eastAsia="Arial" w:hAnsi="Arial"/>
                <w:sz w:val="14"/>
                <w:szCs w:val="14"/>
                <w:color w:val="auto"/>
              </w:rPr>
              <w:t>2025</w:t>
            </w:r>
          </w:p>
        </w:tc>
        <w:tc>
          <w:tcPr>
            <w:tcW w:w="8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5220" w:type="dxa"/>
            <w:vAlign w:val="bottom"/>
          </w:tcPr>
          <w:p>
            <w:pPr>
              <w:jc w:val="right"/>
              <w:ind w:right="3548"/>
              <w:spacing w:after="0"/>
              <w:rPr>
                <w:sz w:val="20"/>
                <w:szCs w:val="20"/>
                <w:color w:val="auto"/>
              </w:rPr>
            </w:pPr>
            <w:r>
              <w:rPr>
                <w:rFonts w:ascii="Arial" w:cs="Arial" w:eastAsia="Arial" w:hAnsi="Arial"/>
                <w:sz w:val="14"/>
                <w:szCs w:val="14"/>
                <w:color w:val="auto"/>
              </w:rPr>
              <w:t>Total future payments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10,395</w:t>
            </w:r>
          </w:p>
        </w:tc>
      </w:tr>
      <w:tr>
        <w:trPr>
          <w:trHeight w:val="34"/>
        </w:trPr>
        <w:tc>
          <w:tcPr>
            <w:tcW w:w="5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10—Stockholders’ Equity</w:t>
      </w:r>
    </w:p>
    <w:p>
      <w:pPr>
        <w:spacing w:after="0" w:line="133" w:lineRule="exact"/>
        <w:rPr>
          <w:sz w:val="20"/>
          <w:szCs w:val="20"/>
          <w:color w:val="auto"/>
        </w:rPr>
      </w:pPr>
    </w:p>
    <w:p>
      <w:pPr>
        <w:ind w:left="1220" w:right="1539"/>
        <w:spacing w:after="0" w:line="278" w:lineRule="auto"/>
        <w:rPr>
          <w:sz w:val="20"/>
          <w:szCs w:val="20"/>
          <w:color w:val="auto"/>
        </w:rPr>
      </w:pPr>
      <w:r>
        <w:rPr>
          <w:rFonts w:ascii="Arial" w:cs="Arial" w:eastAsia="Arial" w:hAnsi="Arial"/>
          <w:sz w:val="14"/>
          <w:szCs w:val="14"/>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changed its name to “Century</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7" w:name="page258"/>
    <w:bookmarkEnd w:id="257"/>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339"/>
        <w:spacing w:after="0" w:line="278" w:lineRule="auto"/>
        <w:rPr>
          <w:sz w:val="20"/>
          <w:szCs w:val="20"/>
          <w:color w:val="auto"/>
        </w:rPr>
      </w:pPr>
      <w:r>
        <w:rPr>
          <w:rFonts w:ascii="Arial" w:cs="Arial" w:eastAsia="Arial" w:hAnsi="Arial"/>
          <w:sz w:val="14"/>
          <w:szCs w:val="14"/>
          <w:color w:val="auto"/>
        </w:rPr>
        <w:t>Therapeutics, Inc.” In connection with this merger, 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w:t>
      </w:r>
    </w:p>
    <w:p>
      <w:pPr>
        <w:spacing w:after="0" w:line="96" w:lineRule="exact"/>
        <w:rPr>
          <w:sz w:val="20"/>
          <w:szCs w:val="20"/>
          <w:color w:val="auto"/>
        </w:rPr>
      </w:pPr>
    </w:p>
    <w:p>
      <w:pPr>
        <w:ind w:left="1220" w:right="1259"/>
        <w:spacing w:after="0" w:line="278" w:lineRule="auto"/>
        <w:rPr>
          <w:sz w:val="20"/>
          <w:szCs w:val="20"/>
          <w:color w:val="auto"/>
        </w:rPr>
      </w:pPr>
      <w:r>
        <w:rPr>
          <w:rFonts w:ascii="Arial" w:cs="Arial" w:eastAsia="Arial" w:hAnsi="Arial"/>
          <w:sz w:val="14"/>
          <w:szCs w:val="14"/>
          <w:color w:val="auto"/>
        </w:rPr>
        <w:t>Upon the execution of the preceding conversion on February 25, 2021, the Company entered into a stock purchase agreement with existing and new investors whereby the Company issued and sold 24,721,999 shares of Series C Preferred Stock with a par value of $0.0001, to investors at a price of $6.4720 per shares for gross proceeds of $160,000.</w:t>
      </w:r>
    </w:p>
    <w:p>
      <w:pPr>
        <w:spacing w:after="0" w:line="106" w:lineRule="exact"/>
        <w:rPr>
          <w:sz w:val="20"/>
          <w:szCs w:val="20"/>
          <w:color w:val="auto"/>
        </w:rPr>
      </w:pPr>
    </w:p>
    <w:p>
      <w:pPr>
        <w:ind w:left="1220" w:right="1299"/>
        <w:spacing w:after="0" w:line="277" w:lineRule="auto"/>
        <w:rPr>
          <w:sz w:val="20"/>
          <w:szCs w:val="20"/>
          <w:color w:val="auto"/>
        </w:rPr>
      </w:pPr>
      <w:r>
        <w:rPr>
          <w:rFonts w:ascii="Arial" w:cs="Arial" w:eastAsia="Arial" w:hAnsi="Arial"/>
          <w:sz w:val="14"/>
          <w:szCs w:val="14"/>
          <w:color w:val="auto"/>
        </w:rPr>
        <w:t>Pursuant to its Amended Articles of Incorporation filed on February 25, 2021, the Company is now authorized to issue 125,236,190 shares of $0.0001 par value common stock and 85,865,789 shares of $0.0001 par value Preferred Stock. Of the Preferred Stock, 35,000,000 shares are designated as Series A Preferred Stock, 26,143,790 are designated as Series B Preferred Stock and 24,721,999 are designated as Series C Preferred Stock.</w:t>
      </w:r>
    </w:p>
    <w:p>
      <w:pPr>
        <w:spacing w:after="0" w:line="107" w:lineRule="exact"/>
        <w:rPr>
          <w:sz w:val="20"/>
          <w:szCs w:val="20"/>
          <w:color w:val="auto"/>
        </w:rPr>
      </w:pPr>
    </w:p>
    <w:p>
      <w:pPr>
        <w:ind w:left="1220" w:right="1239"/>
        <w:spacing w:after="0" w:line="276" w:lineRule="auto"/>
        <w:rPr>
          <w:sz w:val="20"/>
          <w:szCs w:val="20"/>
          <w:color w:val="auto"/>
        </w:rPr>
      </w:pPr>
      <w:r>
        <w:rPr>
          <w:rFonts w:ascii="Arial" w:cs="Arial" w:eastAsia="Arial" w:hAnsi="Arial"/>
          <w:sz w:val="14"/>
          <w:szCs w:val="14"/>
          <w:color w:val="auto"/>
        </w:rPr>
        <w:t>The holders of Series A and Series C Preferred Stock are entitled to receive non-cumulative dividends prior to and in preference to any declaration of payment of dividends on Common Stock or any other class of Preferred Stock, at an annual rate of 8% of the original issuance price, when and if declared by the Board of Directors. The original issuance price per share for the Series A, B and C Preferred Stock is $1.00, $5.55 and $6.4720, respectively. No dividends have been declared or paid as of December 31, 2020.</w:t>
      </w:r>
    </w:p>
    <w:p>
      <w:pPr>
        <w:spacing w:after="0" w:line="98"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In the event of any liquidation, dissolution or winding up of the Company, whether voluntary or involuntary, the holders of Preferred Stock have liquidation preferences, before any distribution or payment is made to holders of Common Stock, in an amount per share equal to the original issue price, plus any dividends declared but unpaid. If the assets and funds to be distributed among the holders of Preferred Stock are insufficient to permit the payment to such holders, then the entire assets and funds of the Company legally available for distribution will be distributed ratably among the holders of Preferred Stock in proportion to the preferential amount each such holder is otherwise entitled to receive.</w:t>
      </w:r>
    </w:p>
    <w:p>
      <w:pPr>
        <w:spacing w:after="0" w:line="290" w:lineRule="exact"/>
        <w:rPr>
          <w:sz w:val="20"/>
          <w:szCs w:val="20"/>
          <w:color w:val="auto"/>
        </w:rPr>
      </w:pPr>
    </w:p>
    <w:p>
      <w:pPr>
        <w:ind w:left="1220" w:right="1419"/>
        <w:spacing w:after="0" w:line="278" w:lineRule="auto"/>
        <w:rPr>
          <w:sz w:val="20"/>
          <w:szCs w:val="20"/>
          <w:color w:val="auto"/>
        </w:rPr>
      </w:pPr>
      <w:r>
        <w:rPr>
          <w:rFonts w:ascii="Arial" w:cs="Arial" w:eastAsia="Arial" w:hAnsi="Arial"/>
          <w:sz w:val="14"/>
          <w:szCs w:val="14"/>
          <w:color w:val="auto"/>
        </w:rPr>
        <w:t>Upon completion of the payment of the full liquidation preference of Preferred Stock, the remaining assets of the Company, if any, shall be distributed ratably to the holders of Common Stock and Preferred Stock, with the Preferred Stock being treated as if the Preferred Stock had been converted to shares of Common Stock at the then applicable conversion rate.</w:t>
      </w:r>
    </w:p>
    <w:p>
      <w:pPr>
        <w:spacing w:after="0" w:line="106" w:lineRule="exact"/>
        <w:rPr>
          <w:sz w:val="20"/>
          <w:szCs w:val="20"/>
          <w:color w:val="auto"/>
        </w:rPr>
      </w:pPr>
    </w:p>
    <w:p>
      <w:pPr>
        <w:ind w:left="1220" w:right="1319"/>
        <w:spacing w:after="0" w:line="277" w:lineRule="auto"/>
        <w:rPr>
          <w:sz w:val="20"/>
          <w:szCs w:val="20"/>
          <w:color w:val="auto"/>
        </w:rPr>
      </w:pPr>
      <w:r>
        <w:rPr>
          <w:rFonts w:ascii="Arial" w:cs="Arial" w:eastAsia="Arial" w:hAnsi="Arial"/>
          <w:sz w:val="14"/>
          <w:szCs w:val="14"/>
          <w:color w:val="auto"/>
        </w:rPr>
        <w:t>The holders of each share of Preferred Stock are entitled to voting rights equal to the number of shares of Common Stock into which the shares could be converted. The holders of Series A Preferred Stock are entitled to elect two directors, the holders of Series B Preferred Stock are entitled to elect one director and the holders of Series C Preferred Stock are entitled to elect one director. The holders of Common Stock are entitled to elect one director.</w:t>
      </w:r>
    </w:p>
    <w:p>
      <w:pPr>
        <w:spacing w:after="0" w:line="96" w:lineRule="exact"/>
        <w:rPr>
          <w:sz w:val="20"/>
          <w:szCs w:val="20"/>
          <w:color w:val="auto"/>
        </w:rPr>
      </w:pPr>
    </w:p>
    <w:p>
      <w:pPr>
        <w:ind w:left="1220" w:right="1239"/>
        <w:spacing w:after="0" w:line="278" w:lineRule="auto"/>
        <w:rPr>
          <w:sz w:val="20"/>
          <w:szCs w:val="20"/>
          <w:color w:val="auto"/>
        </w:rPr>
      </w:pPr>
      <w:r>
        <w:rPr>
          <w:rFonts w:ascii="Arial" w:cs="Arial" w:eastAsia="Arial" w:hAnsi="Arial"/>
          <w:sz w:val="14"/>
          <w:szCs w:val="14"/>
          <w:color w:val="auto"/>
        </w:rPr>
        <w:t>Each share of Preferred Stock is convertible into shares of Common Stock, at the option of the holder, at any time after the date of issuance. Such conversion is mandatory upon the closing of a public offering at a price of at least $6.472 per share (subject to adjustment for stock splits) in a firm commitment underwritten public offering, resulting in at least $50 million of net proceeds.</w:t>
      </w:r>
    </w:p>
    <w:p>
      <w:pPr>
        <w:spacing w:after="0" w:line="106" w:lineRule="exact"/>
        <w:rPr>
          <w:sz w:val="20"/>
          <w:szCs w:val="20"/>
          <w:color w:val="auto"/>
        </w:rPr>
      </w:pPr>
    </w:p>
    <w:p>
      <w:pPr>
        <w:ind w:left="1220" w:right="1439"/>
        <w:spacing w:after="0" w:line="281" w:lineRule="auto"/>
        <w:rPr>
          <w:sz w:val="20"/>
          <w:szCs w:val="20"/>
          <w:color w:val="auto"/>
        </w:rPr>
      </w:pPr>
      <w:r>
        <w:rPr>
          <w:rFonts w:ascii="Arial" w:cs="Arial" w:eastAsia="Arial" w:hAnsi="Arial"/>
          <w:sz w:val="14"/>
          <w:szCs w:val="14"/>
          <w:color w:val="auto"/>
        </w:rPr>
        <w:t>The Preferred Stock is not mandatorily redeemable. Upon certain change in control events that are outside of the Company’s control, including liquidation, sale or transfer of control of the Company, the Preferred Stock is contingently redeemable.</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11—Commitments and contingencies</w:t>
      </w:r>
    </w:p>
    <w:p>
      <w:pPr>
        <w:spacing w:after="0" w:line="144" w:lineRule="exact"/>
        <w:rPr>
          <w:sz w:val="20"/>
          <w:szCs w:val="20"/>
          <w:color w:val="auto"/>
        </w:rPr>
      </w:pPr>
    </w:p>
    <w:p>
      <w:pPr>
        <w:ind w:left="1220" w:right="1399"/>
        <w:spacing w:after="0" w:line="281" w:lineRule="auto"/>
        <w:rPr>
          <w:sz w:val="20"/>
          <w:szCs w:val="20"/>
          <w:color w:val="auto"/>
        </w:rPr>
      </w:pPr>
      <w:r>
        <w:rPr>
          <w:rFonts w:ascii="Arial" w:cs="Arial" w:eastAsia="Arial" w:hAnsi="Arial"/>
          <w:sz w:val="14"/>
          <w:szCs w:val="14"/>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8" w:name="page259"/>
    <w:bookmarkEnd w:id="258"/>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Distributed Bio Master Service Agreement</w:t>
      </w:r>
    </w:p>
    <w:p>
      <w:pPr>
        <w:spacing w:after="0" w:line="103"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w:t>
      </w:r>
    </w:p>
    <w:p>
      <w:pPr>
        <w:spacing w:after="0" w:line="97" w:lineRule="exact"/>
        <w:rPr>
          <w:sz w:val="20"/>
          <w:szCs w:val="20"/>
          <w:color w:val="auto"/>
        </w:rPr>
      </w:pPr>
    </w:p>
    <w:p>
      <w:pPr>
        <w:ind w:left="1220" w:right="1339"/>
        <w:spacing w:after="0" w:line="265" w:lineRule="auto"/>
        <w:rPr>
          <w:sz w:val="20"/>
          <w:szCs w:val="20"/>
          <w:color w:val="auto"/>
        </w:rPr>
      </w:pPr>
      <w:r>
        <w:rPr>
          <w:rFonts w:ascii="Arial" w:cs="Arial" w:eastAsia="Arial" w:hAnsi="Arial"/>
          <w:sz w:val="14"/>
          <w:szCs w:val="14"/>
          <w:color w:val="auto"/>
        </w:rPr>
        <w:t>The Company had accrued expenses of $420 and $244 within accrued expenses and other liabilities as of March 31, 2021 and December 31, 2020, respectively, in its consolidated balance sheets related to the Master Service Agreement.</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iCELL Inc. Sublicense Agreement</w:t>
      </w:r>
    </w:p>
    <w:p>
      <w:pPr>
        <w:spacing w:after="0" w:line="114" w:lineRule="exact"/>
        <w:rPr>
          <w:sz w:val="20"/>
          <w:szCs w:val="20"/>
          <w:color w:val="auto"/>
        </w:rPr>
      </w:pPr>
    </w:p>
    <w:p>
      <w:pPr>
        <w:ind w:left="1220" w:right="1299"/>
        <w:spacing w:after="0" w:line="260" w:lineRule="auto"/>
        <w:rPr>
          <w:sz w:val="20"/>
          <w:szCs w:val="20"/>
          <w:color w:val="auto"/>
        </w:rPr>
      </w:pPr>
      <w:r>
        <w:rPr>
          <w:rFonts w:ascii="Arial" w:cs="Arial" w:eastAsia="Arial" w:hAnsi="Arial"/>
          <w:sz w:val="14"/>
          <w:szCs w:val="14"/>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one-time sales milestones for the first time sales of the licensed product exceeding thresholds in a single calendar year, to a maximum of $70,000. iCELL will receive payments of up to $4,250 in development and regulatory approval milestone payments.</w:t>
      </w:r>
    </w:p>
    <w:p>
      <w:pPr>
        <w:spacing w:after="0" w:line="308"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12—Leases</w:t>
      </w:r>
    </w:p>
    <w:p>
      <w:pPr>
        <w:spacing w:after="0" w:line="101" w:lineRule="exact"/>
        <w:rPr>
          <w:sz w:val="20"/>
          <w:szCs w:val="20"/>
          <w:color w:val="auto"/>
        </w:rPr>
      </w:pPr>
    </w:p>
    <w:p>
      <w:pPr>
        <w:ind w:left="1220" w:right="1299"/>
        <w:spacing w:after="0" w:line="261" w:lineRule="auto"/>
        <w:rPr>
          <w:sz w:val="20"/>
          <w:szCs w:val="20"/>
          <w:color w:val="auto"/>
        </w:rPr>
      </w:pPr>
      <w:r>
        <w:rPr>
          <w:rFonts w:ascii="Arial" w:cs="Arial" w:eastAsia="Arial" w:hAnsi="Arial"/>
          <w:sz w:val="14"/>
          <w:szCs w:val="14"/>
          <w:color w:val="auto"/>
        </w:rPr>
        <w:t>The Company has commitments under operating leases for certain facilities used in its operations. The Company maintains security deposits on certain leases in the amounts of $1,142 and $909 within security deposits in its consolidated balance sheets at March 31, 2021 and December 31, 2020, respectively. The Company’s leases have initial lease terms ranging from 5 to 16 years. Certain lease agreements contain provisions for future rent increases.</w:t>
      </w:r>
    </w:p>
    <w:p>
      <w:pPr>
        <w:spacing w:after="0" w:line="10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reflects the components of lease expense:</w:t>
      </w:r>
    </w:p>
    <w:p>
      <w:pPr>
        <w:spacing w:after="0" w:line="154"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356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3"/>
                <w:szCs w:val="13"/>
                <w:b w:val="1"/>
                <w:bCs w:val="1"/>
                <w:color w:val="auto"/>
              </w:rPr>
              <w:t>For the</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For the</w:t>
            </w:r>
          </w:p>
        </w:tc>
      </w:tr>
      <w:tr>
        <w:trPr>
          <w:trHeight w:val="151"/>
        </w:trPr>
        <w:tc>
          <w:tcPr>
            <w:tcW w:w="3560" w:type="dxa"/>
            <w:vAlign w:val="bottom"/>
          </w:tcPr>
          <w:p>
            <w:pPr>
              <w:spacing w:after="0"/>
              <w:rPr>
                <w:sz w:val="13"/>
                <w:szCs w:val="13"/>
                <w:color w:val="auto"/>
              </w:rPr>
            </w:pPr>
          </w:p>
        </w:tc>
        <w:tc>
          <w:tcPr>
            <w:tcW w:w="1540" w:type="dxa"/>
            <w:vAlign w:val="bottom"/>
            <w:gridSpan w:val="2"/>
          </w:tcPr>
          <w:p>
            <w:pPr>
              <w:jc w:val="right"/>
              <w:ind w:right="48"/>
              <w:spacing w:after="0"/>
              <w:rPr>
                <w:sz w:val="20"/>
                <w:szCs w:val="20"/>
                <w:color w:val="auto"/>
              </w:rPr>
            </w:pPr>
            <w:r>
              <w:rPr>
                <w:rFonts w:ascii="Arial" w:cs="Arial" w:eastAsia="Arial" w:hAnsi="Arial"/>
                <w:sz w:val="13"/>
                <w:szCs w:val="13"/>
                <w:b w:val="1"/>
                <w:bCs w:val="1"/>
                <w:color w:val="auto"/>
              </w:rPr>
              <w:t>Three Months Ended</w:t>
            </w: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rPr>
              <w:t>Three Months Ended</w:t>
            </w:r>
          </w:p>
        </w:tc>
      </w:tr>
      <w:tr>
        <w:trPr>
          <w:trHeight w:val="179"/>
        </w:trPr>
        <w:tc>
          <w:tcPr>
            <w:tcW w:w="356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2"/>
          </w:tcPr>
          <w:p>
            <w:pPr>
              <w:jc w:val="center"/>
              <w:ind w:left="332"/>
              <w:spacing w:after="0"/>
              <w:rPr>
                <w:sz w:val="20"/>
                <w:szCs w:val="20"/>
                <w:color w:val="auto"/>
              </w:rPr>
            </w:pPr>
            <w:r>
              <w:rPr>
                <w:rFonts w:ascii="Arial" w:cs="Arial" w:eastAsia="Arial" w:hAnsi="Arial"/>
                <w:sz w:val="13"/>
                <w:szCs w:val="13"/>
                <w:b w:val="1"/>
                <w:bCs w:val="1"/>
                <w:color w:val="auto"/>
              </w:rPr>
              <w:t>March 31, 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2020</w:t>
            </w:r>
          </w:p>
        </w:tc>
      </w:tr>
      <w:tr>
        <w:trPr>
          <w:trHeight w:val="173"/>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lease expense:</w:t>
            </w:r>
          </w:p>
        </w:tc>
        <w:tc>
          <w:tcPr>
            <w:tcW w:w="10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82"/>
        </w:trPr>
        <w:tc>
          <w:tcPr>
            <w:tcW w:w="3560" w:type="dxa"/>
            <w:vAlign w:val="bottom"/>
          </w:tcPr>
          <w:p>
            <w:pPr>
              <w:ind w:left="140"/>
              <w:spacing w:after="0"/>
              <w:rPr>
                <w:sz w:val="20"/>
                <w:szCs w:val="20"/>
                <w:color w:val="auto"/>
              </w:rPr>
            </w:pPr>
            <w:r>
              <w:rPr>
                <w:rFonts w:ascii="Arial" w:cs="Arial" w:eastAsia="Arial" w:hAnsi="Arial"/>
                <w:sz w:val="14"/>
                <w:szCs w:val="14"/>
                <w:color w:val="auto"/>
              </w:rPr>
              <w:t>Fixed lease cost</w:t>
            </w:r>
          </w:p>
        </w:tc>
        <w:tc>
          <w:tcPr>
            <w:tcW w:w="1040" w:type="dxa"/>
            <w:vAlign w:val="bottom"/>
          </w:tcPr>
          <w:p>
            <w:pPr>
              <w:jc w:val="center"/>
              <w:ind w:left="812"/>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548</w:t>
            </w:r>
          </w:p>
        </w:tc>
        <w:tc>
          <w:tcPr>
            <w:tcW w:w="1460" w:type="dxa"/>
            <w:vAlign w:val="bottom"/>
          </w:tcPr>
          <w:p>
            <w:pPr>
              <w:jc w:val="right"/>
              <w:spacing w:after="0"/>
              <w:rPr>
                <w:sz w:val="20"/>
                <w:szCs w:val="20"/>
                <w:color w:val="auto"/>
              </w:rPr>
            </w:pPr>
            <w:r>
              <w:rPr>
                <w:rFonts w:ascii="Arial" w:cs="Arial" w:eastAsia="Arial" w:hAnsi="Arial"/>
                <w:sz w:val="14"/>
                <w:szCs w:val="14"/>
                <w:color w:val="auto"/>
              </w:rPr>
              <w:t>$ 126</w:t>
            </w:r>
          </w:p>
        </w:tc>
      </w:tr>
      <w:tr>
        <w:trPr>
          <w:trHeight w:val="23"/>
        </w:trPr>
        <w:tc>
          <w:tcPr>
            <w:tcW w:w="3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5"/>
        </w:trPr>
        <w:tc>
          <w:tcPr>
            <w:tcW w:w="3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Variable lease cost</w:t>
            </w:r>
          </w:p>
        </w:tc>
        <w:tc>
          <w:tcPr>
            <w:tcW w:w="10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3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Short term lease expense</w:t>
            </w:r>
          </w:p>
        </w:tc>
        <w:tc>
          <w:tcPr>
            <w:tcW w:w="10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w:t>
            </w:r>
          </w:p>
        </w:tc>
      </w:tr>
      <w:tr>
        <w:trPr>
          <w:trHeight w:val="227"/>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operating lease expense</w:t>
            </w:r>
          </w:p>
        </w:tc>
        <w:tc>
          <w:tcPr>
            <w:tcW w:w="1040" w:type="dxa"/>
            <w:vAlign w:val="bottom"/>
            <w:tcBorders>
              <w:bottom w:val="single" w:sz="8" w:color="CCEEFF"/>
            </w:tcBorders>
            <w:shd w:val="clear" w:color="auto" w:fill="CCEEFF"/>
          </w:tcPr>
          <w:p>
            <w:pPr>
              <w:jc w:val="center"/>
              <w:ind w:left="812"/>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1,488</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$ 622</w:t>
            </w:r>
          </w:p>
        </w:tc>
      </w:tr>
      <w:tr>
        <w:trPr>
          <w:trHeight w:val="20"/>
        </w:trPr>
        <w:tc>
          <w:tcPr>
            <w:tcW w:w="3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-163830</wp:posOffset>
            </wp:positionV>
            <wp:extent cx="2261235"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26123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-677545</wp:posOffset>
            </wp:positionV>
            <wp:extent cx="2261235"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261235" cy="6985"/>
                    </a:xfrm>
                    <a:prstGeom prst="rect">
                      <a:avLst/>
                    </a:prstGeom>
                    <a:noFill/>
                  </pic:spPr>
                </pic:pic>
              </a:graphicData>
            </a:graphic>
          </wp:anchor>
        </w:drawing>
      </w:r>
    </w:p>
    <w:p>
      <w:pPr>
        <w:spacing w:after="0" w:line="7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reflects supplemental balance sheet information related to leases:</w:t>
      </w:r>
    </w:p>
    <w:p>
      <w:pPr>
        <w:spacing w:after="0" w:line="154"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24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5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As of</w:t>
            </w:r>
          </w:p>
        </w:tc>
        <w:tc>
          <w:tcPr>
            <w:tcW w:w="2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As of</w:t>
            </w:r>
          </w:p>
        </w:tc>
      </w:tr>
      <w:tr>
        <w:trPr>
          <w:trHeight w:val="151"/>
        </w:trPr>
        <w:tc>
          <w:tcPr>
            <w:tcW w:w="2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20" w:type="dxa"/>
            <w:vAlign w:val="bottom"/>
            <w:gridSpan w:val="4"/>
          </w:tcPr>
          <w:p>
            <w:pPr>
              <w:jc w:val="right"/>
              <w:spacing w:after="0"/>
              <w:rPr>
                <w:sz w:val="20"/>
                <w:szCs w:val="20"/>
                <w:color w:val="auto"/>
              </w:rPr>
            </w:pPr>
            <w:r>
              <w:rPr>
                <w:rFonts w:ascii="Arial" w:cs="Arial" w:eastAsia="Arial" w:hAnsi="Arial"/>
                <w:sz w:val="13"/>
                <w:szCs w:val="13"/>
                <w:b w:val="1"/>
                <w:bCs w:val="1"/>
                <w:color w:val="auto"/>
              </w:rPr>
              <w:t>March 31, December 31,</w:t>
            </w:r>
          </w:p>
        </w:tc>
      </w:tr>
      <w:tr>
        <w:trPr>
          <w:trHeight w:val="179"/>
        </w:trPr>
        <w:tc>
          <w:tcPr>
            <w:tcW w:w="24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760" w:type="dxa"/>
            <w:vAlign w:val="bottom"/>
            <w:tcBorders>
              <w:bottom w:val="single" w:sz="8" w:color="auto"/>
            </w:tcBorders>
            <w:gridSpan w:val="2"/>
          </w:tcPr>
          <w:p>
            <w:pPr>
              <w:ind w:left="880"/>
              <w:spacing w:after="0"/>
              <w:rPr>
                <w:sz w:val="20"/>
                <w:szCs w:val="20"/>
                <w:color w:val="auto"/>
              </w:rPr>
            </w:pPr>
            <w:r>
              <w:rPr>
                <w:rFonts w:ascii="Arial" w:cs="Arial" w:eastAsia="Arial" w:hAnsi="Arial"/>
                <w:sz w:val="13"/>
                <w:szCs w:val="13"/>
                <w:b w:val="1"/>
                <w:bCs w:val="1"/>
                <w:color w:val="auto"/>
              </w:rPr>
              <w:t>Location in Balance Sheet</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5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Operating lease right-of-use asset, netOperating lease right-of-use asset, net $</w:t>
            </w: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12,460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9,392</w:t>
            </w:r>
          </w:p>
        </w:tc>
      </w:tr>
      <w:tr>
        <w:trPr>
          <w:trHeight w:val="182"/>
        </w:trPr>
        <w:tc>
          <w:tcPr>
            <w:tcW w:w="2440" w:type="dxa"/>
            <w:vAlign w:val="bottom"/>
          </w:tcPr>
          <w:p>
            <w:pPr>
              <w:spacing w:after="0"/>
              <w:rPr>
                <w:sz w:val="20"/>
                <w:szCs w:val="20"/>
                <w:color w:val="auto"/>
              </w:rPr>
            </w:pPr>
            <w:r>
              <w:rPr>
                <w:rFonts w:ascii="Arial" w:cs="Arial" w:eastAsia="Arial" w:hAnsi="Arial"/>
                <w:sz w:val="14"/>
                <w:szCs w:val="14"/>
                <w:color w:val="auto"/>
              </w:rPr>
              <w:t>Operating lease liability, current</w:t>
            </w:r>
          </w:p>
        </w:tc>
        <w:tc>
          <w:tcPr>
            <w:tcW w:w="2920" w:type="dxa"/>
            <w:vAlign w:val="bottom"/>
            <w:gridSpan w:val="3"/>
          </w:tcPr>
          <w:p>
            <w:pPr>
              <w:ind w:left="160"/>
              <w:spacing w:after="0"/>
              <w:rPr>
                <w:sz w:val="20"/>
                <w:szCs w:val="20"/>
                <w:color w:val="auto"/>
              </w:rPr>
            </w:pPr>
            <w:r>
              <w:rPr>
                <w:rFonts w:ascii="Arial" w:cs="Arial" w:eastAsia="Arial" w:hAnsi="Arial"/>
                <w:sz w:val="14"/>
                <w:szCs w:val="14"/>
                <w:color w:val="auto"/>
              </w:rPr>
              <w:t>Accrued expenses and other liabilities</w:t>
            </w:r>
          </w:p>
        </w:tc>
        <w:tc>
          <w:tcPr>
            <w:tcW w:w="660" w:type="dxa"/>
            <w:vAlign w:val="bottom"/>
          </w:tcPr>
          <w:p>
            <w:pPr>
              <w:jc w:val="right"/>
              <w:ind w:right="90"/>
              <w:spacing w:after="0"/>
              <w:rPr>
                <w:sz w:val="20"/>
                <w:szCs w:val="20"/>
                <w:color w:val="auto"/>
              </w:rPr>
            </w:pPr>
            <w:r>
              <w:rPr>
                <w:rFonts w:ascii="Arial" w:cs="Arial" w:eastAsia="Arial" w:hAnsi="Arial"/>
                <w:sz w:val="14"/>
                <w:szCs w:val="14"/>
                <w:color w:val="auto"/>
              </w:rPr>
              <w:t>596</w:t>
            </w:r>
          </w:p>
        </w:tc>
        <w:tc>
          <w:tcPr>
            <w:tcW w:w="2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240</w:t>
            </w:r>
          </w:p>
        </w:tc>
      </w:tr>
      <w:tr>
        <w:trPr>
          <w:trHeight w:val="23"/>
        </w:trPr>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8"/>
        </w:trPr>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liability, long-term</w:t>
            </w:r>
          </w:p>
        </w:tc>
        <w:tc>
          <w:tcPr>
            <w:tcW w:w="160" w:type="dxa"/>
            <w:vAlign w:val="bottom"/>
            <w:shd w:val="clear" w:color="auto" w:fill="CCEEFF"/>
          </w:tcPr>
          <w:p>
            <w:pPr>
              <w:spacing w:after="0"/>
              <w:rPr>
                <w:sz w:val="16"/>
                <w:szCs w:val="16"/>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lease liability, long-term</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14,745</w:t>
            </w: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11,679</w:t>
            </w:r>
          </w:p>
        </w:tc>
      </w:tr>
      <w:tr>
        <w:trPr>
          <w:trHeight w:val="179"/>
        </w:trPr>
        <w:tc>
          <w:tcPr>
            <w:tcW w:w="244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Total operating lease liability</w:t>
            </w:r>
          </w:p>
        </w:tc>
        <w:tc>
          <w:tcPr>
            <w:tcW w:w="160" w:type="dxa"/>
            <w:vAlign w:val="bottom"/>
            <w:tcBorders>
              <w:top w:val="single" w:sz="8" w:color="CCEEFF"/>
            </w:tcBorders>
          </w:tcPr>
          <w:p>
            <w:pPr>
              <w:spacing w:after="0"/>
              <w:rPr>
                <w:sz w:val="15"/>
                <w:szCs w:val="15"/>
                <w:color w:val="auto"/>
              </w:rPr>
            </w:pPr>
          </w:p>
        </w:tc>
        <w:tc>
          <w:tcPr>
            <w:tcW w:w="25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15,341</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11,919</w:t>
            </w:r>
          </w:p>
        </w:tc>
      </w:tr>
      <w:tr>
        <w:trPr>
          <w:trHeight w:val="23"/>
        </w:trPr>
        <w:tc>
          <w:tcPr>
            <w:tcW w:w="2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0"/>
        </w:trPr>
        <w:tc>
          <w:tcPr>
            <w:tcW w:w="2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-547370</wp:posOffset>
            </wp:positionV>
            <wp:extent cx="1644650"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644650" cy="6985"/>
                    </a:xfrm>
                    <a:prstGeom prst="rect">
                      <a:avLst/>
                    </a:prstGeom>
                    <a:noFill/>
                  </pic:spPr>
                </pic:pic>
              </a:graphicData>
            </a:graphic>
          </wp:anchor>
        </w:drawing>
      </w:r>
    </w:p>
    <w:p>
      <w:pPr>
        <w:spacing w:after="0" w:line="66" w:lineRule="exact"/>
        <w:rPr>
          <w:sz w:val="20"/>
          <w:szCs w:val="20"/>
          <w:color w:val="auto"/>
        </w:rPr>
      </w:pPr>
    </w:p>
    <w:p>
      <w:pPr>
        <w:ind w:left="1220" w:right="1739"/>
        <w:spacing w:after="0" w:line="290" w:lineRule="auto"/>
        <w:rPr>
          <w:sz w:val="20"/>
          <w:szCs w:val="20"/>
          <w:color w:val="auto"/>
        </w:rPr>
      </w:pPr>
      <w:r>
        <w:rPr>
          <w:rFonts w:ascii="Arial" w:cs="Arial" w:eastAsia="Arial" w:hAnsi="Arial"/>
          <w:sz w:val="14"/>
          <w:szCs w:val="14"/>
          <w:color w:val="auto"/>
        </w:rPr>
        <w:t>The following table reflects supplement lease term and discount rate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82550</wp:posOffset>
            </wp:positionV>
            <wp:extent cx="4439920" cy="1397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439920" cy="13970"/>
                    </a:xfrm>
                    <a:prstGeom prst="rect">
                      <a:avLst/>
                    </a:prstGeom>
                    <a:noFill/>
                  </pic:spPr>
                </pic:pic>
              </a:graphicData>
            </a:graphic>
          </wp:anchor>
        </w:drawing>
      </w:r>
    </w:p>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178"/>
        </w:trPr>
        <w:tc>
          <w:tcPr>
            <w:tcW w:w="1000" w:type="dxa"/>
            <w:vAlign w:val="bottom"/>
          </w:tcPr>
          <w:p>
            <w:pPr>
              <w:spacing w:after="0"/>
              <w:rPr>
                <w:sz w:val="15"/>
                <w:szCs w:val="15"/>
                <w:color w:val="auto"/>
              </w:rPr>
            </w:pPr>
          </w:p>
        </w:tc>
        <w:tc>
          <w:tcPr>
            <w:tcW w:w="4040" w:type="dxa"/>
            <w:vAlign w:val="bottom"/>
            <w:tcBorders>
              <w:bottom w:val="single" w:sz="8" w:color="CCEEFF"/>
            </w:tcBorders>
          </w:tcPr>
          <w:p>
            <w:pPr>
              <w:spacing w:after="0"/>
              <w:rPr>
                <w:sz w:val="15"/>
                <w:szCs w:val="15"/>
                <w:color w:val="auto"/>
              </w:rPr>
            </w:pPr>
          </w:p>
        </w:tc>
        <w:tc>
          <w:tcPr>
            <w:tcW w:w="29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As of March 31, 2021As of December 31, 2020</w:t>
            </w:r>
          </w:p>
        </w:tc>
        <w:tc>
          <w:tcPr>
            <w:tcW w:w="56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remaining lease terms—operating leases</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8.74 years</w:t>
            </w:r>
          </w:p>
        </w:tc>
        <w:tc>
          <w:tcPr>
            <w:tcW w:w="15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10.2 years</w:t>
            </w:r>
          </w:p>
        </w:tc>
        <w:tc>
          <w:tcPr>
            <w:tcW w:w="560" w:type="dxa"/>
            <w:vAlign w:val="bottom"/>
          </w:tcPr>
          <w:p>
            <w:pPr>
              <w:spacing w:after="0"/>
              <w:rPr>
                <w:sz w:val="15"/>
                <w:szCs w:val="15"/>
                <w:color w:val="auto"/>
              </w:rPr>
            </w:pPr>
          </w:p>
        </w:tc>
      </w:tr>
      <w:tr>
        <w:trPr>
          <w:trHeight w:val="172"/>
        </w:trPr>
        <w:tc>
          <w:tcPr>
            <w:tcW w:w="100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Arial" w:cs="Arial" w:eastAsia="Arial" w:hAnsi="Arial"/>
                <w:sz w:val="14"/>
                <w:szCs w:val="14"/>
                <w:color w:val="auto"/>
              </w:rPr>
              <w:t>Weighted-average discount rate—operating leases</w:t>
            </w:r>
          </w:p>
        </w:tc>
        <w:tc>
          <w:tcPr>
            <w:tcW w:w="1400" w:type="dxa"/>
            <w:vAlign w:val="bottom"/>
          </w:tcPr>
          <w:p>
            <w:pPr>
              <w:jc w:val="right"/>
              <w:ind w:right="550"/>
              <w:spacing w:after="0"/>
              <w:rPr>
                <w:sz w:val="20"/>
                <w:szCs w:val="20"/>
                <w:color w:val="auto"/>
              </w:rPr>
            </w:pPr>
            <w:r>
              <w:rPr>
                <w:rFonts w:ascii="Arial" w:cs="Arial" w:eastAsia="Arial" w:hAnsi="Arial"/>
                <w:sz w:val="14"/>
                <w:szCs w:val="14"/>
                <w:color w:val="auto"/>
              </w:rPr>
              <w:t>9%</w:t>
            </w:r>
          </w:p>
        </w:tc>
        <w:tc>
          <w:tcPr>
            <w:tcW w:w="1560" w:type="dxa"/>
            <w:vAlign w:val="bottom"/>
          </w:tcPr>
          <w:p>
            <w:pPr>
              <w:jc w:val="right"/>
              <w:ind w:right="628"/>
              <w:spacing w:after="0"/>
              <w:rPr>
                <w:sz w:val="20"/>
                <w:szCs w:val="20"/>
                <w:color w:val="auto"/>
              </w:rPr>
            </w:pPr>
            <w:r>
              <w:rPr>
                <w:rFonts w:ascii="Arial" w:cs="Arial" w:eastAsia="Arial" w:hAnsi="Arial"/>
                <w:sz w:val="14"/>
                <w:szCs w:val="14"/>
                <w:color w:val="auto"/>
              </w:rPr>
              <w:t>9%</w:t>
            </w:r>
          </w:p>
        </w:tc>
        <w:tc>
          <w:tcPr>
            <w:tcW w:w="560" w:type="dxa"/>
            <w:vAlign w:val="bottom"/>
          </w:tcPr>
          <w:p>
            <w:pPr>
              <w:spacing w:after="0"/>
              <w:rPr>
                <w:sz w:val="14"/>
                <w:szCs w:val="14"/>
                <w:color w:val="auto"/>
              </w:rPr>
            </w:pPr>
          </w:p>
        </w:tc>
      </w:tr>
      <w:tr>
        <w:trPr>
          <w:trHeight w:val="22"/>
        </w:trPr>
        <w:tc>
          <w:tcPr>
            <w:tcW w:w="1000" w:type="dxa"/>
            <w:vAlign w:val="bottom"/>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08"/>
        </w:trPr>
        <w:tc>
          <w:tcPr>
            <w:tcW w:w="1000" w:type="dxa"/>
            <w:vAlign w:val="bottom"/>
          </w:tcPr>
          <w:p>
            <w:pPr>
              <w:spacing w:after="0"/>
              <w:rPr>
                <w:sz w:val="24"/>
                <w:szCs w:val="24"/>
                <w:color w:val="auto"/>
              </w:rPr>
            </w:pPr>
          </w:p>
        </w:tc>
        <w:tc>
          <w:tcPr>
            <w:tcW w:w="4040" w:type="dxa"/>
            <w:vAlign w:val="bottom"/>
          </w:tcPr>
          <w:p>
            <w:pPr>
              <w:ind w:left="3100"/>
              <w:spacing w:after="0"/>
              <w:rPr>
                <w:sz w:val="20"/>
                <w:szCs w:val="20"/>
                <w:color w:val="auto"/>
              </w:rPr>
            </w:pPr>
            <w:r>
              <w:rPr>
                <w:rFonts w:ascii="Arial" w:cs="Arial" w:eastAsia="Arial" w:hAnsi="Arial"/>
                <w:sz w:val="14"/>
                <w:szCs w:val="14"/>
                <w:color w:val="auto"/>
              </w:rPr>
              <w:t>F-46</w:t>
            </w: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6"/>
        </w:trPr>
        <w:tc>
          <w:tcPr>
            <w:tcW w:w="10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-794385</wp:posOffset>
            </wp:positionV>
            <wp:extent cx="2555875"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55875" cy="6985"/>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-26035</wp:posOffset>
            </wp:positionV>
            <wp:extent cx="32385" cy="3937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-26035</wp:posOffset>
            </wp:positionV>
            <wp:extent cx="32385" cy="3937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59" w:name="page260"/>
    <w:bookmarkEnd w:id="259"/>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59"/>
        <w:spacing w:after="0" w:line="290" w:lineRule="auto"/>
        <w:rPr>
          <w:sz w:val="20"/>
          <w:szCs w:val="20"/>
          <w:color w:val="auto"/>
        </w:rPr>
      </w:pPr>
      <w:r>
        <w:rPr>
          <w:rFonts w:ascii="Arial" w:cs="Arial" w:eastAsia="Arial" w:hAnsi="Arial"/>
          <w:sz w:val="14"/>
          <w:szCs w:val="14"/>
          <w:color w:val="auto"/>
        </w:rPr>
        <w:t>The following table reflects supplemental cash flow information related to leases as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75565</wp:posOffset>
            </wp:positionV>
            <wp:extent cx="4241165" cy="1397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241165" cy="13970"/>
                    </a:xfrm>
                    <a:prstGeom prst="rect">
                      <a:avLst/>
                    </a:prstGeom>
                    <a:noFill/>
                  </pic:spPr>
                </pic:pic>
              </a:graphicData>
            </a:graphic>
          </wp:anchor>
        </w:drawing>
      </w:r>
    </w:p>
    <w:p>
      <w:pPr>
        <w:spacing w:after="0" w:line="117" w:lineRule="exact"/>
        <w:rPr>
          <w:sz w:val="20"/>
          <w:szCs w:val="20"/>
          <w:color w:val="auto"/>
        </w:rPr>
      </w:pPr>
    </w:p>
    <w:p>
      <w:pPr>
        <w:ind w:left="6000"/>
        <w:spacing w:after="0"/>
        <w:tabs>
          <w:tab w:leader="none" w:pos="6980" w:val="left"/>
        </w:tabs>
        <w:rPr>
          <w:sz w:val="20"/>
          <w:szCs w:val="20"/>
          <w:color w:val="auto"/>
        </w:rPr>
      </w:pPr>
      <w:r>
        <w:rPr>
          <w:rFonts w:ascii="Arial" w:cs="Arial" w:eastAsia="Arial" w:hAnsi="Arial"/>
          <w:sz w:val="13"/>
          <w:szCs w:val="13"/>
          <w:b w:val="1"/>
          <w:bCs w:val="1"/>
          <w:color w:val="auto"/>
        </w:rPr>
        <w:t>For the Three</w:t>
        <w:tab/>
        <w:t>For the Three</w:t>
      </w:r>
    </w:p>
    <w:p>
      <w:pPr>
        <w:spacing w:after="0" w:line="18" w:lineRule="exact"/>
        <w:rPr>
          <w:sz w:val="20"/>
          <w:szCs w:val="20"/>
          <w:color w:val="auto"/>
        </w:rPr>
      </w:pPr>
    </w:p>
    <w:p>
      <w:pPr>
        <w:ind w:left="5940"/>
        <w:spacing w:after="0"/>
        <w:rPr>
          <w:sz w:val="20"/>
          <w:szCs w:val="20"/>
          <w:color w:val="auto"/>
        </w:rPr>
      </w:pPr>
      <w:r>
        <w:rPr>
          <w:rFonts w:ascii="Arial" w:cs="Arial" w:eastAsia="Arial" w:hAnsi="Arial"/>
          <w:sz w:val="13"/>
          <w:szCs w:val="13"/>
          <w:b w:val="1"/>
          <w:bCs w:val="1"/>
          <w:color w:val="auto"/>
        </w:rPr>
        <w:t>Months Ended Months Ended</w:t>
      </w:r>
    </w:p>
    <w:p>
      <w:pPr>
        <w:spacing w:after="0" w:line="2" w:lineRule="exact"/>
        <w:rPr>
          <w:sz w:val="20"/>
          <w:szCs w:val="20"/>
          <w:color w:val="auto"/>
        </w:rPr>
      </w:pPr>
    </w:p>
    <w:p>
      <w:pPr>
        <w:jc w:val="right"/>
        <w:ind w:right="1119"/>
        <w:spacing w:after="0"/>
        <w:rPr>
          <w:sz w:val="20"/>
          <w:szCs w:val="20"/>
          <w:color w:val="auto"/>
        </w:rPr>
      </w:pPr>
      <w:r>
        <w:rPr>
          <w:rFonts w:ascii="Arial" w:cs="Arial" w:eastAsia="Arial" w:hAnsi="Arial"/>
          <w:sz w:val="13"/>
          <w:szCs w:val="13"/>
          <w:b w:val="1"/>
          <w:bCs w:val="1"/>
          <w:color w:val="auto"/>
        </w:rPr>
        <w:t>March 31, 2021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13970</wp:posOffset>
            </wp:positionV>
            <wp:extent cx="2994025"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994025" cy="6985"/>
                    </a:xfrm>
                    <a:prstGeom prst="rect">
                      <a:avLst/>
                    </a:prstGeom>
                    <a:noFill/>
                  </pic:spPr>
                </pic:pic>
              </a:graphicData>
            </a:graphic>
          </wp:anchor>
        </w:drawing>
      </w:r>
    </w:p>
    <w:tbl>
      <w:tblPr>
        <w:tblLayout w:type="fixed"/>
        <w:tblInd w:w="1220" w:type="dxa"/>
        <w:tblCellMar>
          <w:top w:w="0" w:type="dxa"/>
          <w:left w:w="0" w:type="dxa"/>
          <w:bottom w:w="0" w:type="dxa"/>
          <w:right w:w="0" w:type="dxa"/>
        </w:tblCellMar>
      </w:tblPr>
      <w:tr>
        <w:trPr>
          <w:trHeight w:val="201"/>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6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r>
      <w:tr>
        <w:trPr>
          <w:trHeight w:val="182"/>
        </w:trPr>
        <w:tc>
          <w:tcPr>
            <w:tcW w:w="4720" w:type="dxa"/>
            <w:vAlign w:val="bottom"/>
          </w:tcPr>
          <w:p>
            <w:pPr>
              <w:spacing w:after="0"/>
              <w:rPr>
                <w:sz w:val="20"/>
                <w:szCs w:val="20"/>
                <w:color w:val="auto"/>
              </w:rPr>
            </w:pPr>
            <w:r>
              <w:rPr>
                <w:rFonts w:ascii="Arial" w:cs="Arial" w:eastAsia="Arial" w:hAnsi="Arial"/>
                <w:sz w:val="14"/>
                <w:szCs w:val="14"/>
                <w:color w:val="auto"/>
              </w:rPr>
              <w:t>Operating cash flows from operating leases</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127</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3"/>
        </w:trPr>
        <w:tc>
          <w:tcPr>
            <w:tcW w:w="4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Right-of-use assets obtained in exchange for lease obligations: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3,295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2,998</w:t>
            </w:r>
          </w:p>
        </w:tc>
      </w:tr>
      <w:tr>
        <w:trPr>
          <w:trHeight w:val="20"/>
        </w:trPr>
        <w:tc>
          <w:tcPr>
            <w:tcW w:w="47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bl>
    <w:p>
      <w:pPr>
        <w:spacing w:after="0" w:line="140"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reflects future minimum lease payments under noncancelable leases as of</w:t>
      </w:r>
    </w:p>
    <w:p>
      <w:pPr>
        <w:spacing w:after="0" w:line="22"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5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Operating Leases</w:t>
            </w:r>
          </w:p>
        </w:tc>
      </w:tr>
      <w:tr>
        <w:trPr>
          <w:trHeight w:val="173"/>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1,869</w:t>
            </w:r>
          </w:p>
        </w:tc>
        <w:tc>
          <w:tcPr>
            <w:tcW w:w="60" w:type="dxa"/>
            <w:vAlign w:val="bottom"/>
          </w:tcPr>
          <w:p>
            <w:pPr>
              <w:spacing w:after="0"/>
              <w:rPr>
                <w:sz w:val="15"/>
                <w:szCs w:val="15"/>
                <w:color w:val="auto"/>
              </w:rPr>
            </w:pPr>
          </w:p>
        </w:tc>
      </w:tr>
      <w:tr>
        <w:trPr>
          <w:trHeight w:val="182"/>
        </w:trPr>
        <w:tc>
          <w:tcPr>
            <w:tcW w:w="5240" w:type="dxa"/>
            <w:vAlign w:val="bottom"/>
          </w:tcPr>
          <w:p>
            <w:pPr>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2,813</w:t>
            </w:r>
          </w:p>
        </w:tc>
        <w:tc>
          <w:tcPr>
            <w:tcW w:w="60" w:type="dxa"/>
            <w:vAlign w:val="bottom"/>
          </w:tcPr>
          <w:p>
            <w:pPr>
              <w:spacing w:after="0"/>
              <w:rPr>
                <w:sz w:val="15"/>
                <w:szCs w:val="15"/>
                <w:color w:val="auto"/>
              </w:rPr>
            </w:pPr>
          </w:p>
        </w:tc>
      </w:tr>
      <w:tr>
        <w:trPr>
          <w:trHeight w:val="23"/>
        </w:trPr>
        <w:tc>
          <w:tcPr>
            <w:tcW w:w="5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2,678</w:t>
            </w:r>
          </w:p>
        </w:tc>
        <w:tc>
          <w:tcPr>
            <w:tcW w:w="60" w:type="dxa"/>
            <w:vAlign w:val="bottom"/>
          </w:tcPr>
          <w:p>
            <w:pPr>
              <w:spacing w:after="0"/>
              <w:rPr>
                <w:sz w:val="16"/>
                <w:szCs w:val="16"/>
                <w:color w:val="auto"/>
              </w:rPr>
            </w:pPr>
          </w:p>
        </w:tc>
      </w:tr>
      <w:tr>
        <w:trPr>
          <w:trHeight w:val="182"/>
        </w:trPr>
        <w:tc>
          <w:tcPr>
            <w:tcW w:w="5240" w:type="dxa"/>
            <w:vAlign w:val="bottom"/>
          </w:tcPr>
          <w:p>
            <w:pPr>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2,708</w:t>
            </w:r>
          </w:p>
        </w:tc>
        <w:tc>
          <w:tcPr>
            <w:tcW w:w="60" w:type="dxa"/>
            <w:vAlign w:val="bottom"/>
          </w:tcPr>
          <w:p>
            <w:pPr>
              <w:spacing w:after="0"/>
              <w:rPr>
                <w:sz w:val="15"/>
                <w:szCs w:val="15"/>
                <w:color w:val="auto"/>
              </w:rPr>
            </w:pPr>
          </w:p>
        </w:tc>
      </w:tr>
      <w:tr>
        <w:trPr>
          <w:trHeight w:val="23"/>
        </w:trPr>
        <w:tc>
          <w:tcPr>
            <w:tcW w:w="5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2025</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2,743</w:t>
            </w:r>
          </w:p>
        </w:tc>
        <w:tc>
          <w:tcPr>
            <w:tcW w:w="60" w:type="dxa"/>
            <w:vAlign w:val="bottom"/>
          </w:tcPr>
          <w:p>
            <w:pPr>
              <w:spacing w:after="0"/>
              <w:rPr>
                <w:sz w:val="16"/>
                <w:szCs w:val="16"/>
                <w:color w:val="auto"/>
              </w:rPr>
            </w:pPr>
          </w:p>
        </w:tc>
      </w:tr>
      <w:tr>
        <w:trPr>
          <w:trHeight w:val="188"/>
        </w:trPr>
        <w:tc>
          <w:tcPr>
            <w:tcW w:w="53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Thereafter</w:t>
            </w:r>
          </w:p>
        </w:tc>
        <w:tc>
          <w:tcPr>
            <w:tcW w:w="7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18,300</w:t>
            </w:r>
          </w:p>
        </w:tc>
        <w:tc>
          <w:tcPr>
            <w:tcW w:w="60" w:type="dxa"/>
            <w:vAlign w:val="bottom"/>
          </w:tcPr>
          <w:p>
            <w:pPr>
              <w:spacing w:after="0"/>
              <w:rPr>
                <w:sz w:val="16"/>
                <w:szCs w:val="16"/>
                <w:color w:val="auto"/>
              </w:rPr>
            </w:pPr>
          </w:p>
        </w:tc>
      </w:tr>
      <w:tr>
        <w:trPr>
          <w:trHeight w:val="171"/>
        </w:trPr>
        <w:tc>
          <w:tcPr>
            <w:tcW w:w="5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lease payments</w:t>
            </w:r>
          </w:p>
        </w:tc>
        <w:tc>
          <w:tcPr>
            <w:tcW w:w="7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31,111</w:t>
            </w:r>
          </w:p>
        </w:tc>
        <w:tc>
          <w:tcPr>
            <w:tcW w:w="60" w:type="dxa"/>
            <w:vAlign w:val="bottom"/>
          </w:tcPr>
          <w:p>
            <w:pPr>
              <w:spacing w:after="0"/>
              <w:rPr>
                <w:sz w:val="14"/>
                <w:szCs w:val="14"/>
                <w:color w:val="auto"/>
              </w:rPr>
            </w:pPr>
          </w:p>
        </w:tc>
      </w:tr>
      <w:tr>
        <w:trPr>
          <w:trHeight w:val="182"/>
        </w:trPr>
        <w:tc>
          <w:tcPr>
            <w:tcW w:w="5320" w:type="dxa"/>
            <w:vAlign w:val="bottom"/>
            <w:gridSpan w:val="2"/>
          </w:tcPr>
          <w:p>
            <w:pPr>
              <w:spacing w:after="0"/>
              <w:rPr>
                <w:sz w:val="20"/>
                <w:szCs w:val="20"/>
                <w:color w:val="auto"/>
              </w:rPr>
            </w:pPr>
            <w:r>
              <w:rPr>
                <w:rFonts w:ascii="Arial" w:cs="Arial" w:eastAsia="Arial" w:hAnsi="Arial"/>
                <w:sz w:val="14"/>
                <w:szCs w:val="14"/>
                <w:color w:val="auto"/>
              </w:rPr>
              <w:t>Less: imputed Interest</w:t>
            </w:r>
          </w:p>
        </w:tc>
        <w:tc>
          <w:tcPr>
            <w:tcW w:w="70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(12,065)</w:t>
            </w:r>
          </w:p>
        </w:tc>
      </w:tr>
      <w:tr>
        <w:trPr>
          <w:trHeight w:val="23"/>
        </w:trPr>
        <w:tc>
          <w:tcPr>
            <w:tcW w:w="5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188"/>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Less: tenant incentive receivable</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(3,705)</w:t>
            </w:r>
          </w:p>
        </w:tc>
        <w:tc>
          <w:tcPr>
            <w:tcW w:w="60" w:type="dxa"/>
            <w:vAlign w:val="bottom"/>
          </w:tcPr>
          <w:p>
            <w:pPr>
              <w:spacing w:after="0"/>
              <w:rPr>
                <w:sz w:val="16"/>
                <w:szCs w:val="16"/>
                <w:color w:val="auto"/>
              </w:rPr>
            </w:pPr>
          </w:p>
        </w:tc>
      </w:tr>
      <w:tr>
        <w:trPr>
          <w:trHeight w:val="179"/>
        </w:trPr>
        <w:tc>
          <w:tcPr>
            <w:tcW w:w="5320" w:type="dxa"/>
            <w:vAlign w:val="bottom"/>
            <w:gridSpan w:val="2"/>
          </w:tcPr>
          <w:p>
            <w:pPr>
              <w:spacing w:after="0"/>
              <w:rPr>
                <w:sz w:val="20"/>
                <w:szCs w:val="20"/>
                <w:color w:val="auto"/>
              </w:rPr>
            </w:pPr>
            <w:r>
              <w:rPr>
                <w:rFonts w:ascii="Arial" w:cs="Arial" w:eastAsia="Arial" w:hAnsi="Arial"/>
                <w:sz w:val="14"/>
                <w:szCs w:val="14"/>
                <w:color w:val="auto"/>
              </w:rPr>
              <w:t>Total</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15,341</w:t>
            </w:r>
          </w:p>
        </w:tc>
        <w:tc>
          <w:tcPr>
            <w:tcW w:w="60" w:type="dxa"/>
            <w:vAlign w:val="bottom"/>
          </w:tcPr>
          <w:p>
            <w:pPr>
              <w:spacing w:after="0"/>
              <w:rPr>
                <w:sz w:val="15"/>
                <w:szCs w:val="15"/>
                <w:color w:val="auto"/>
              </w:rPr>
            </w:pPr>
          </w:p>
        </w:tc>
      </w:tr>
      <w:tr>
        <w:trPr>
          <w:trHeight w:val="23"/>
        </w:trPr>
        <w:tc>
          <w:tcPr>
            <w:tcW w:w="5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-547370</wp:posOffset>
            </wp:positionV>
            <wp:extent cx="3377565"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37756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-1321435</wp:posOffset>
            </wp:positionV>
            <wp:extent cx="3377565"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377565" cy="6985"/>
                    </a:xfrm>
                    <a:prstGeom prst="rect">
                      <a:avLst/>
                    </a:prstGeom>
                    <a:noFill/>
                  </pic:spPr>
                </pic:pic>
              </a:graphicData>
            </a:graphic>
          </wp:anchor>
        </w:drawing>
      </w:r>
    </w:p>
    <w:p>
      <w:pPr>
        <w:spacing w:after="0" w:line="109" w:lineRule="exact"/>
        <w:rPr>
          <w:sz w:val="20"/>
          <w:szCs w:val="20"/>
          <w:color w:val="auto"/>
        </w:rPr>
      </w:pPr>
    </w:p>
    <w:p>
      <w:pPr>
        <w:ind w:left="1220" w:right="1299"/>
        <w:spacing w:after="0" w:line="301" w:lineRule="auto"/>
        <w:rPr>
          <w:sz w:val="20"/>
          <w:szCs w:val="20"/>
          <w:color w:val="auto"/>
        </w:rPr>
      </w:pPr>
      <w:r>
        <w:rPr>
          <w:rFonts w:ascii="Arial" w:cs="Arial" w:eastAsia="Arial" w:hAnsi="Arial"/>
          <w:sz w:val="14"/>
          <w:szCs w:val="14"/>
          <w:color w:val="auto"/>
        </w:rPr>
        <w:t>The Company entered into one lease that had not commenced at March 31, 2021. As a result, future lease payments of approximately $17.3 million are not recorded on the Company’s consolidated balance sheets. The lease commences in January 2022 with a non-cancelable term of 10 years.</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13—Basic and diluted net loss per common share</w:t>
      </w:r>
    </w:p>
    <w:p>
      <w:pPr>
        <w:spacing w:after="0" w:line="14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Basic and diluted net loss per common share is calculated as follows:</w:t>
      </w:r>
    </w:p>
    <w:p>
      <w:pPr>
        <w:spacing w:after="0" w:line="143"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46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3"/>
                <w:szCs w:val="13"/>
                <w:b w:val="1"/>
                <w:bCs w:val="1"/>
                <w:color w:val="auto"/>
              </w:rPr>
              <w:t>Three Months</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Three Months</w:t>
            </w:r>
          </w:p>
        </w:tc>
        <w:tc>
          <w:tcPr>
            <w:tcW w:w="60" w:type="dxa"/>
            <w:vAlign w:val="bottom"/>
          </w:tcPr>
          <w:p>
            <w:pPr>
              <w:spacing w:after="0"/>
              <w:rPr>
                <w:sz w:val="14"/>
                <w:szCs w:val="14"/>
                <w:color w:val="auto"/>
              </w:rPr>
            </w:pPr>
          </w:p>
        </w:tc>
      </w:tr>
      <w:tr>
        <w:trPr>
          <w:trHeight w:val="151"/>
        </w:trPr>
        <w:tc>
          <w:tcPr>
            <w:tcW w:w="4680" w:type="dxa"/>
            <w:vAlign w:val="bottom"/>
          </w:tcPr>
          <w:p>
            <w:pPr>
              <w:spacing w:after="0"/>
              <w:rPr>
                <w:sz w:val="13"/>
                <w:szCs w:val="13"/>
                <w:color w:val="auto"/>
              </w:rPr>
            </w:pPr>
          </w:p>
        </w:tc>
        <w:tc>
          <w:tcPr>
            <w:tcW w:w="2320" w:type="dxa"/>
            <w:vAlign w:val="bottom"/>
            <w:gridSpan w:val="6"/>
          </w:tcPr>
          <w:p>
            <w:pPr>
              <w:jc w:val="right"/>
              <w:ind w:right="100"/>
              <w:spacing w:after="0"/>
              <w:rPr>
                <w:sz w:val="20"/>
                <w:szCs w:val="20"/>
                <w:color w:val="auto"/>
              </w:rPr>
            </w:pPr>
            <w:r>
              <w:rPr>
                <w:rFonts w:ascii="Arial" w:cs="Arial" w:eastAsia="Arial" w:hAnsi="Arial"/>
                <w:sz w:val="13"/>
                <w:szCs w:val="13"/>
                <w:b w:val="1"/>
                <w:bCs w:val="1"/>
                <w:color w:val="auto"/>
              </w:rPr>
              <w:t>Ended March 31, Ended March 31,</w:t>
            </w:r>
          </w:p>
        </w:tc>
      </w:tr>
      <w:tr>
        <w:trPr>
          <w:trHeight w:val="179"/>
        </w:trPr>
        <w:tc>
          <w:tcPr>
            <w:tcW w:w="4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5"/>
                <w:szCs w:val="15"/>
                <w:color w:val="auto"/>
              </w:rPr>
            </w:pPr>
          </w:p>
        </w:tc>
      </w:tr>
      <w:tr>
        <w:trPr>
          <w:trHeight w:val="173"/>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Numerator</w:t>
            </w: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4680" w:type="dxa"/>
            <w:vAlign w:val="bottom"/>
          </w:tcPr>
          <w:p>
            <w:pPr>
              <w:ind w:left="300"/>
              <w:spacing w:after="0"/>
              <w:rPr>
                <w:sz w:val="20"/>
                <w:szCs w:val="20"/>
                <w:color w:val="auto"/>
              </w:rPr>
            </w:pPr>
            <w:r>
              <w:rPr>
                <w:rFonts w:ascii="Arial" w:cs="Arial" w:eastAsia="Arial" w:hAnsi="Arial"/>
                <w:sz w:val="14"/>
                <w:szCs w:val="14"/>
                <w:color w:val="auto"/>
              </w:rPr>
              <w:t>Net loss</w:t>
            </w:r>
          </w:p>
        </w:tc>
        <w:tc>
          <w:tcPr>
            <w:tcW w:w="34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(18,348)</w:t>
            </w:r>
          </w:p>
        </w:tc>
        <w:tc>
          <w:tcPr>
            <w:tcW w:w="2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(9,673)</w:t>
            </w:r>
          </w:p>
        </w:tc>
      </w:tr>
      <w:tr>
        <w:trPr>
          <w:trHeight w:val="23"/>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5"/>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Denominator</w:t>
            </w: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172"/>
        </w:trPr>
        <w:tc>
          <w:tcPr>
            <w:tcW w:w="4680" w:type="dxa"/>
            <w:vAlign w:val="bottom"/>
          </w:tcPr>
          <w:p>
            <w:pPr>
              <w:ind w:left="140"/>
              <w:spacing w:after="0"/>
              <w:rPr>
                <w:sz w:val="20"/>
                <w:szCs w:val="20"/>
                <w:color w:val="auto"/>
              </w:rPr>
            </w:pPr>
            <w:r>
              <w:rPr>
                <w:rFonts w:ascii="Arial" w:cs="Arial" w:eastAsia="Arial" w:hAnsi="Arial"/>
                <w:sz w:val="14"/>
                <w:szCs w:val="14"/>
                <w:color w:val="auto"/>
              </w:rPr>
              <w:t>Weighted-average common share for basic and diluted net loss per</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4680" w:type="dxa"/>
            <w:vAlign w:val="bottom"/>
          </w:tcPr>
          <w:p>
            <w:pPr>
              <w:ind w:left="300"/>
              <w:spacing w:after="0"/>
              <w:rPr>
                <w:sz w:val="20"/>
                <w:szCs w:val="20"/>
                <w:color w:val="auto"/>
              </w:rPr>
            </w:pPr>
            <w:r>
              <w:rPr>
                <w:rFonts w:ascii="Arial" w:cs="Arial" w:eastAsia="Arial" w:hAnsi="Arial"/>
                <w:sz w:val="14"/>
                <w:szCs w:val="14"/>
                <w:color w:val="auto"/>
              </w:rPr>
              <w:t>share</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19,278,887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18,825,136</w:t>
            </w:r>
          </w:p>
        </w:tc>
        <w:tc>
          <w:tcPr>
            <w:tcW w:w="60" w:type="dxa"/>
            <w:vAlign w:val="bottom"/>
          </w:tcPr>
          <w:p>
            <w:pPr>
              <w:spacing w:after="0"/>
              <w:rPr>
                <w:sz w:val="14"/>
                <w:szCs w:val="14"/>
                <w:color w:val="auto"/>
              </w:rPr>
            </w:pPr>
          </w:p>
        </w:tc>
      </w:tr>
      <w:tr>
        <w:trPr>
          <w:trHeight w:val="23"/>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21"/>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Basic and diluted net loss per common share</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(0.95)</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60" w:type="dxa"/>
            <w:vAlign w:val="bottom"/>
          </w:tcPr>
          <w:p>
            <w:pPr>
              <w:spacing w:after="0"/>
              <w:rPr>
                <w:sz w:val="18"/>
                <w:szCs w:val="18"/>
                <w:color w:val="auto"/>
              </w:rPr>
            </w:pPr>
          </w:p>
        </w:tc>
      </w:tr>
      <w:tr>
        <w:trPr>
          <w:trHeight w:val="20"/>
        </w:trPr>
        <w:tc>
          <w:tcPr>
            <w:tcW w:w="4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-163830</wp:posOffset>
            </wp:positionV>
            <wp:extent cx="2980690"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980690" cy="6985"/>
                    </a:xfrm>
                    <a:prstGeom prst="rect">
                      <a:avLst/>
                    </a:prstGeom>
                    <a:noFill/>
                  </pic:spPr>
                </pic:pic>
              </a:graphicData>
            </a:graphic>
          </wp:anchor>
        </w:drawing>
      </w:r>
    </w:p>
    <w:p>
      <w:pPr>
        <w:spacing w:after="0" w:line="120" w:lineRule="exact"/>
        <w:rPr>
          <w:sz w:val="20"/>
          <w:szCs w:val="20"/>
          <w:color w:val="auto"/>
        </w:rPr>
      </w:pPr>
    </w:p>
    <w:p>
      <w:pPr>
        <w:ind w:left="1220" w:right="1299"/>
        <w:spacing w:after="0" w:line="292" w:lineRule="auto"/>
        <w:rPr>
          <w:sz w:val="20"/>
          <w:szCs w:val="20"/>
          <w:color w:val="auto"/>
        </w:rPr>
      </w:pPr>
      <w:r>
        <w:rPr>
          <w:rFonts w:ascii="Arial" w:cs="Arial" w:eastAsia="Arial" w:hAnsi="Arial"/>
          <w:sz w:val="14"/>
          <w:szCs w:val="14"/>
          <w:color w:val="auto"/>
        </w:rPr>
        <w:t>The Company’s potentially dilutive securities, which include the Preferred Stock, restricted stock, warrants, early exercised stock options and options to purchase shares of the Company’s common stock, have been excluded from the computation of dilutive net loss per share as the effect would be antidilutive. Therefore, the weighted-average number of shares of common stock outstanding used to calculate both basic and diluted net loss per share is the same. The Company excluded the following potential shares of common stock presented based on amounts outstanding at each stated period end, from the computation of diluted net loss per share for the three months ended March 31, 2021 and 2020 because including them would have had an anti-dilutive effect.</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60" w:name="page261"/>
    <w:bookmarkEnd w:id="260"/>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4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Three Months</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Three Months</w:t>
            </w:r>
          </w:p>
        </w:tc>
      </w:tr>
      <w:tr>
        <w:trPr>
          <w:trHeight w:val="151"/>
        </w:trPr>
        <w:tc>
          <w:tcPr>
            <w:tcW w:w="4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jc w:val="right"/>
              <w:ind w:right="30"/>
              <w:spacing w:after="0"/>
              <w:rPr>
                <w:sz w:val="20"/>
                <w:szCs w:val="20"/>
                <w:color w:val="auto"/>
              </w:rPr>
            </w:pPr>
            <w:r>
              <w:rPr>
                <w:rFonts w:ascii="Arial" w:cs="Arial" w:eastAsia="Arial" w:hAnsi="Arial"/>
                <w:sz w:val="13"/>
                <w:szCs w:val="13"/>
                <w:b w:val="1"/>
                <w:bCs w:val="1"/>
                <w:color w:val="auto"/>
              </w:rPr>
              <w:t>Ended March 31,</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Ended March 31,</w:t>
            </w:r>
          </w:p>
        </w:tc>
      </w:tr>
      <w:tr>
        <w:trPr>
          <w:trHeight w:val="179"/>
        </w:trPr>
        <w:tc>
          <w:tcPr>
            <w:tcW w:w="4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r>
      <w:tr>
        <w:trPr>
          <w:trHeight w:val="173"/>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Stock options to purchase common stock</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8,603,052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6,100,045</w:t>
            </w:r>
          </w:p>
        </w:tc>
      </w:tr>
      <w:tr>
        <w:trPr>
          <w:trHeight w:val="182"/>
        </w:trPr>
        <w:tc>
          <w:tcPr>
            <w:tcW w:w="4160" w:type="dxa"/>
            <w:vAlign w:val="bottom"/>
            <w:gridSpan w:val="2"/>
          </w:tcPr>
          <w:p>
            <w:pPr>
              <w:spacing w:after="0"/>
              <w:rPr>
                <w:sz w:val="20"/>
                <w:szCs w:val="20"/>
                <w:color w:val="auto"/>
              </w:rPr>
            </w:pPr>
            <w:r>
              <w:rPr>
                <w:rFonts w:ascii="Arial" w:cs="Arial" w:eastAsia="Arial" w:hAnsi="Arial"/>
                <w:sz w:val="14"/>
                <w:szCs w:val="14"/>
                <w:color w:val="auto"/>
              </w:rPr>
              <w:t>Early exercised stock options subject to future vesting</w:t>
            </w:r>
          </w:p>
        </w:tc>
        <w:tc>
          <w:tcPr>
            <w:tcW w:w="1220" w:type="dxa"/>
            <w:vAlign w:val="bottom"/>
          </w:tcPr>
          <w:p>
            <w:pPr>
              <w:jc w:val="right"/>
              <w:spacing w:after="0"/>
              <w:rPr>
                <w:sz w:val="20"/>
                <w:szCs w:val="20"/>
                <w:color w:val="auto"/>
              </w:rPr>
            </w:pPr>
            <w:r>
              <w:rPr>
                <w:rFonts w:ascii="Arial" w:cs="Arial" w:eastAsia="Arial" w:hAnsi="Arial"/>
                <w:sz w:val="14"/>
                <w:szCs w:val="14"/>
                <w:color w:val="auto"/>
              </w:rPr>
              <w:t>2,377,447</w:t>
            </w:r>
          </w:p>
        </w:tc>
        <w:tc>
          <w:tcPr>
            <w:tcW w:w="1180" w:type="dxa"/>
            <w:vAlign w:val="bottom"/>
          </w:tcPr>
          <w:p>
            <w:pPr>
              <w:jc w:val="right"/>
              <w:spacing w:after="0"/>
              <w:rPr>
                <w:sz w:val="20"/>
                <w:szCs w:val="20"/>
                <w:color w:val="auto"/>
              </w:rPr>
            </w:pPr>
            <w:r>
              <w:rPr>
                <w:rFonts w:ascii="Arial" w:cs="Arial" w:eastAsia="Arial" w:hAnsi="Arial"/>
                <w:sz w:val="14"/>
                <w:szCs w:val="14"/>
                <w:color w:val="auto"/>
              </w:rPr>
              <w:t>560,224</w:t>
            </w:r>
          </w:p>
        </w:tc>
      </w:tr>
      <w:tr>
        <w:trPr>
          <w:trHeight w:val="23"/>
        </w:trPr>
        <w:tc>
          <w:tcPr>
            <w:tcW w:w="4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5"/>
        </w:trPr>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Restricted stock award subject to future vesting</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2,271,298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3,865,577</w:t>
            </w:r>
          </w:p>
        </w:tc>
      </w:tr>
      <w:tr>
        <w:trPr>
          <w:trHeight w:val="182"/>
        </w:trPr>
        <w:tc>
          <w:tcPr>
            <w:tcW w:w="4160" w:type="dxa"/>
            <w:vAlign w:val="bottom"/>
            <w:gridSpan w:val="2"/>
          </w:tcPr>
          <w:p>
            <w:pPr>
              <w:spacing w:after="0"/>
              <w:rPr>
                <w:sz w:val="20"/>
                <w:szCs w:val="20"/>
                <w:color w:val="auto"/>
              </w:rPr>
            </w:pPr>
            <w:r>
              <w:rPr>
                <w:rFonts w:ascii="Arial" w:cs="Arial" w:eastAsia="Arial" w:hAnsi="Arial"/>
                <w:sz w:val="14"/>
                <w:szCs w:val="14"/>
                <w:color w:val="auto"/>
              </w:rPr>
              <w:t>Warrants on long term debt</w:t>
            </w:r>
          </w:p>
        </w:tc>
        <w:tc>
          <w:tcPr>
            <w:tcW w:w="1220" w:type="dxa"/>
            <w:vAlign w:val="bottom"/>
          </w:tcPr>
          <w:p>
            <w:pPr>
              <w:jc w:val="right"/>
              <w:spacing w:after="0"/>
              <w:rPr>
                <w:sz w:val="20"/>
                <w:szCs w:val="20"/>
                <w:color w:val="auto"/>
              </w:rPr>
            </w:pPr>
            <w:r>
              <w:rPr>
                <w:rFonts w:ascii="Arial" w:cs="Arial" w:eastAsia="Arial" w:hAnsi="Arial"/>
                <w:sz w:val="14"/>
                <w:szCs w:val="14"/>
                <w:color w:val="auto"/>
              </w:rPr>
              <w:t>40,540</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4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8"/>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Convertible preferred stock</w:t>
            </w:r>
          </w:p>
        </w:tc>
        <w:tc>
          <w:tcPr>
            <w:tcW w:w="60" w:type="dxa"/>
            <w:vAlign w:val="bottom"/>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85,865,789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61,143,790</w:t>
            </w:r>
          </w:p>
        </w:tc>
      </w:tr>
      <w:tr>
        <w:trPr>
          <w:trHeight w:val="179"/>
        </w:trPr>
        <w:tc>
          <w:tcPr>
            <w:tcW w:w="4160" w:type="dxa"/>
            <w:vAlign w:val="bottom"/>
            <w:gridSpan w:val="2"/>
          </w:tcPr>
          <w:p>
            <w:pPr>
              <w:spacing w:after="0"/>
              <w:rPr>
                <w:sz w:val="20"/>
                <w:szCs w:val="20"/>
                <w:color w:val="auto"/>
              </w:rPr>
            </w:pPr>
            <w:r>
              <w:rPr>
                <w:rFonts w:ascii="Arial" w:cs="Arial" w:eastAsia="Arial" w:hAnsi="Arial"/>
                <w:sz w:val="14"/>
                <w:szCs w:val="14"/>
                <w:color w:val="auto"/>
              </w:rPr>
              <w:t>Total</w:t>
            </w:r>
          </w:p>
        </w:tc>
        <w:tc>
          <w:tcPr>
            <w:tcW w:w="1220" w:type="dxa"/>
            <w:vAlign w:val="bottom"/>
          </w:tcPr>
          <w:p>
            <w:pPr>
              <w:jc w:val="right"/>
              <w:spacing w:after="0"/>
              <w:rPr>
                <w:sz w:val="20"/>
                <w:szCs w:val="20"/>
                <w:color w:val="auto"/>
              </w:rPr>
            </w:pPr>
            <w:r>
              <w:rPr>
                <w:rFonts w:ascii="Arial" w:cs="Arial" w:eastAsia="Arial" w:hAnsi="Arial"/>
                <w:sz w:val="14"/>
                <w:szCs w:val="14"/>
                <w:color w:val="auto"/>
              </w:rPr>
              <w:t>99,158,126</w:t>
            </w:r>
          </w:p>
        </w:tc>
        <w:tc>
          <w:tcPr>
            <w:tcW w:w="1180" w:type="dxa"/>
            <w:vAlign w:val="bottom"/>
          </w:tcPr>
          <w:p>
            <w:pPr>
              <w:jc w:val="right"/>
              <w:spacing w:after="0"/>
              <w:rPr>
                <w:sz w:val="20"/>
                <w:szCs w:val="20"/>
                <w:color w:val="auto"/>
              </w:rPr>
            </w:pPr>
            <w:r>
              <w:rPr>
                <w:rFonts w:ascii="Arial" w:cs="Arial" w:eastAsia="Arial" w:hAnsi="Arial"/>
                <w:sz w:val="14"/>
                <w:szCs w:val="14"/>
                <w:color w:val="auto"/>
              </w:rPr>
              <w:t>71,669,636</w:t>
            </w:r>
          </w:p>
        </w:tc>
      </w:tr>
      <w:tr>
        <w:trPr>
          <w:trHeight w:val="23"/>
        </w:trPr>
        <w:tc>
          <w:tcPr>
            <w:tcW w:w="4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-163830</wp:posOffset>
            </wp:positionV>
            <wp:extent cx="34290"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29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-807720</wp:posOffset>
            </wp:positionV>
            <wp:extent cx="2637790"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637790" cy="6985"/>
                    </a:xfrm>
                    <a:prstGeom prst="rect">
                      <a:avLst/>
                    </a:prstGeom>
                    <a:noFill/>
                  </pic:spPr>
                </pic:pic>
              </a:graphicData>
            </a:graphic>
          </wp:anchor>
        </w:drawing>
      </w:r>
    </w:p>
    <w:p>
      <w:pPr>
        <w:spacing w:after="0" w:line="115"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14—Defined contribution plan</w:t>
      </w:r>
    </w:p>
    <w:p>
      <w:pPr>
        <w:spacing w:after="0" w:line="122" w:lineRule="exact"/>
        <w:rPr>
          <w:sz w:val="20"/>
          <w:szCs w:val="20"/>
          <w:color w:val="auto"/>
        </w:rPr>
      </w:pPr>
    </w:p>
    <w:p>
      <w:pPr>
        <w:ind w:left="1220" w:right="1339"/>
        <w:spacing w:after="0" w:line="260" w:lineRule="auto"/>
        <w:rPr>
          <w:sz w:val="20"/>
          <w:szCs w:val="20"/>
          <w:color w:val="auto"/>
        </w:rPr>
      </w:pPr>
      <w:r>
        <w:rPr>
          <w:rFonts w:ascii="Arial" w:cs="Arial" w:eastAsia="Arial" w:hAnsi="Arial"/>
          <w:sz w:val="14"/>
          <w:szCs w:val="14"/>
          <w:color w:val="auto"/>
        </w:rPr>
        <w:t>The Company has a 401(k) Employee Savings Plan (“401(k) Plan”) that is available to all employees of the Company. The Company has elected a Safe-Harbor provision for the 401(k) Plan in which participants are always fully vested in their employer contributions. Prior Century matches 100% of the first 3% of participating employee contributions and 50% of the next 2% of participating employee contributions. Contributions are made in cash. Contributions were approximately $212 and $63 for the three months ended March 31, 2021 and 2020, respectively. Such contribution expense has been recognized in the consolidated statement of operations for each period.</w:t>
      </w:r>
    </w:p>
    <w:p>
      <w:pPr>
        <w:spacing w:after="0" w:line="306"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15—Stock-based compensation</w:t>
      </w:r>
    </w:p>
    <w:p>
      <w:pPr>
        <w:spacing w:after="0" w:line="122" w:lineRule="exact"/>
        <w:rPr>
          <w:sz w:val="20"/>
          <w:szCs w:val="20"/>
          <w:color w:val="auto"/>
        </w:rPr>
      </w:pPr>
    </w:p>
    <w:p>
      <w:pPr>
        <w:ind w:left="1220" w:right="1339"/>
        <w:spacing w:after="0" w:line="259" w:lineRule="auto"/>
        <w:rPr>
          <w:sz w:val="20"/>
          <w:szCs w:val="20"/>
          <w:color w:val="auto"/>
        </w:rPr>
      </w:pPr>
      <w:r>
        <w:rPr>
          <w:rFonts w:ascii="Arial" w:cs="Arial" w:eastAsia="Arial" w:hAnsi="Arial"/>
          <w:sz w:val="14"/>
          <w:szCs w:val="14"/>
          <w:color w:val="auto"/>
        </w:rPr>
        <w:t>As part of the merger discussed in Note 2 above, the Company adopted from Prior Century, the 2018 Stock Option and Grant Plan (the “Plan”). The Plan provides for the Company to sell or issue common stock or restricted common stock, or to grant incentive stock options or nonqualified stock options for the purchase of common stock, to employees, members of the Board of Directors, and consultants of the Company under terms and provisions established by the Board of Directors. Under the terms of the Plan, options may be granted at an exercise price not less than fair market value. the Company generally grants stock-based awards with service conditions only. Stock awards granted typically vest over a four-year period but may be granted with different vesting terms. As of March 31, 2021 the Company had 23,498,781 shares authorized for issuance under the Plan.</w:t>
      </w:r>
    </w:p>
    <w:p>
      <w:pPr>
        <w:spacing w:after="0" w:line="271" w:lineRule="exact"/>
        <w:rPr>
          <w:sz w:val="20"/>
          <w:szCs w:val="20"/>
          <w:color w:val="auto"/>
        </w:rPr>
      </w:pPr>
    </w:p>
    <w:p>
      <w:pPr>
        <w:ind w:left="1220" w:right="1479"/>
        <w:spacing w:after="0" w:line="257" w:lineRule="auto"/>
        <w:rPr>
          <w:sz w:val="20"/>
          <w:szCs w:val="20"/>
          <w:color w:val="auto"/>
        </w:rPr>
      </w:pPr>
      <w:r>
        <w:rPr>
          <w:rFonts w:ascii="Arial" w:cs="Arial" w:eastAsia="Arial" w:hAnsi="Arial"/>
          <w:sz w:val="14"/>
          <w:szCs w:val="14"/>
          <w:color w:val="auto"/>
        </w:rPr>
        <w:t>The Company recognizes the costs of the stock-based payments as the employees vest in the awards. For the three months ended March 31, 2021, the Company recognized $95 of stock-based compensation expense within the consolidated statement of operations. For the</w:t>
      </w:r>
    </w:p>
    <w:p>
      <w:pPr>
        <w:spacing w:after="0" w:line="1" w:lineRule="exact"/>
        <w:rPr>
          <w:sz w:val="20"/>
          <w:szCs w:val="20"/>
          <w:color w:val="auto"/>
        </w:rPr>
      </w:pPr>
    </w:p>
    <w:p>
      <w:pPr>
        <w:ind w:left="1220" w:right="2199"/>
        <w:spacing w:after="0" w:line="274" w:lineRule="auto"/>
        <w:rPr>
          <w:sz w:val="20"/>
          <w:szCs w:val="20"/>
          <w:color w:val="auto"/>
        </w:rPr>
      </w:pPr>
      <w:r>
        <w:rPr>
          <w:rFonts w:ascii="Arial" w:cs="Arial" w:eastAsia="Arial" w:hAnsi="Arial"/>
          <w:sz w:val="14"/>
          <w:szCs w:val="14"/>
          <w:color w:val="auto"/>
        </w:rPr>
        <w:t>three months ended March 31, 2020, the Company recognized $221 of stock-based compensation expense within the consolidated statement of operations.</w:t>
      </w:r>
    </w:p>
    <w:p>
      <w:pPr>
        <w:spacing w:after="0" w:line="1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Stock Options</w:t>
      </w:r>
    </w:p>
    <w:p>
      <w:pPr>
        <w:spacing w:after="0" w:line="13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following table summarizes stock option activity for the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110490</wp:posOffset>
            </wp:positionV>
            <wp:extent cx="4165600" cy="1397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83" w:lineRule="exact"/>
        <w:rPr>
          <w:sz w:val="20"/>
          <w:szCs w:val="20"/>
          <w:color w:val="auto"/>
        </w:rPr>
      </w:pPr>
    </w:p>
    <w:tbl>
      <w:tblPr>
        <w:tblLayout w:type="fixed"/>
        <w:tblInd w:w="220" w:type="dxa"/>
        <w:tblCellMar>
          <w:top w:w="0" w:type="dxa"/>
          <w:left w:w="0" w:type="dxa"/>
          <w:bottom w:w="0" w:type="dxa"/>
          <w:right w:w="0" w:type="dxa"/>
        </w:tblCellMar>
      </w:tblPr>
      <w:tr>
        <w:trPr>
          <w:trHeight w:val="166"/>
        </w:trPr>
        <w:tc>
          <w:tcPr>
            <w:tcW w:w="10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Weighted Average</w:t>
            </w:r>
          </w:p>
        </w:tc>
        <w:tc>
          <w:tcPr>
            <w:tcW w:w="1000" w:type="dxa"/>
            <w:vAlign w:val="bottom"/>
          </w:tcPr>
          <w:p>
            <w:pPr>
              <w:spacing w:after="0"/>
              <w:rPr>
                <w:sz w:val="14"/>
                <w:szCs w:val="14"/>
                <w:color w:val="auto"/>
              </w:rPr>
            </w:pPr>
          </w:p>
        </w:tc>
      </w:tr>
      <w:tr>
        <w:trPr>
          <w:trHeight w:val="127"/>
        </w:trPr>
        <w:tc>
          <w:tcPr>
            <w:tcW w:w="10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tcPr>
          <w:p>
            <w:pPr>
              <w:jc w:val="right"/>
              <w:spacing w:after="0" w:line="128" w:lineRule="exact"/>
              <w:rPr>
                <w:sz w:val="20"/>
                <w:szCs w:val="20"/>
                <w:color w:val="auto"/>
              </w:rPr>
            </w:pPr>
            <w:r>
              <w:rPr>
                <w:rFonts w:ascii="Arial" w:cs="Arial" w:eastAsia="Arial" w:hAnsi="Arial"/>
                <w:sz w:val="13"/>
                <w:szCs w:val="13"/>
                <w:b w:val="1"/>
                <w:bCs w:val="1"/>
                <w:color w:val="auto"/>
              </w:rPr>
              <w:t>Remaining</w:t>
            </w:r>
          </w:p>
        </w:tc>
        <w:tc>
          <w:tcPr>
            <w:tcW w:w="1000" w:type="dxa"/>
            <w:vAlign w:val="bottom"/>
          </w:tcPr>
          <w:p>
            <w:pPr>
              <w:spacing w:after="0"/>
              <w:rPr>
                <w:sz w:val="11"/>
                <w:szCs w:val="11"/>
                <w:color w:val="auto"/>
              </w:rPr>
            </w:pPr>
          </w:p>
        </w:tc>
      </w:tr>
      <w:tr>
        <w:trPr>
          <w:trHeight w:val="151"/>
        </w:trPr>
        <w:tc>
          <w:tcPr>
            <w:tcW w:w="10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Contractual Term</w:t>
            </w:r>
          </w:p>
        </w:tc>
        <w:tc>
          <w:tcPr>
            <w:tcW w:w="1000" w:type="dxa"/>
            <w:vAlign w:val="bottom"/>
          </w:tcPr>
          <w:p>
            <w:pPr>
              <w:spacing w:after="0"/>
              <w:rPr>
                <w:sz w:val="13"/>
                <w:szCs w:val="13"/>
                <w:color w:val="auto"/>
              </w:rPr>
            </w:pPr>
          </w:p>
        </w:tc>
      </w:tr>
      <w:tr>
        <w:trPr>
          <w:trHeight w:val="171"/>
        </w:trPr>
        <w:tc>
          <w:tcPr>
            <w:tcW w:w="1000" w:type="dxa"/>
            <w:vAlign w:val="bottom"/>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Shares</w:t>
            </w:r>
          </w:p>
        </w:tc>
        <w:tc>
          <w:tcPr>
            <w:tcW w:w="10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Exercise Price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(years)</w:t>
            </w:r>
          </w:p>
        </w:tc>
        <w:tc>
          <w:tcPr>
            <w:tcW w:w="1000" w:type="dxa"/>
            <w:vAlign w:val="bottom"/>
          </w:tcPr>
          <w:p>
            <w:pPr>
              <w:spacing w:after="0"/>
              <w:rPr>
                <w:sz w:val="14"/>
                <w:szCs w:val="14"/>
                <w:color w:val="auto"/>
              </w:rPr>
            </w:pPr>
          </w:p>
        </w:tc>
      </w:tr>
      <w:tr>
        <w:trPr>
          <w:trHeight w:val="179"/>
        </w:trPr>
        <w:tc>
          <w:tcPr>
            <w:tcW w:w="1000" w:type="dxa"/>
            <w:vAlign w:val="bottom"/>
          </w:tcPr>
          <w:p>
            <w:pPr>
              <w:spacing w:after="0"/>
              <w:rPr>
                <w:sz w:val="15"/>
                <w:szCs w:val="15"/>
                <w:color w:val="auto"/>
              </w:rPr>
            </w:pPr>
          </w:p>
        </w:tc>
        <w:tc>
          <w:tcPr>
            <w:tcW w:w="26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Outstanding January 1, 2021</w:t>
            </w:r>
          </w:p>
        </w:tc>
        <w:tc>
          <w:tcPr>
            <w:tcW w:w="760" w:type="dxa"/>
            <w:vAlign w:val="bottom"/>
            <w:gridSpan w:val="2"/>
            <w:shd w:val="clear" w:color="auto" w:fill="CCEEFF"/>
          </w:tcPr>
          <w:p>
            <w:pPr>
              <w:spacing w:after="0"/>
              <w:rPr>
                <w:sz w:val="15"/>
                <w:szCs w:val="15"/>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9,768,326</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0.42</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000" w:type="dxa"/>
            <w:vAlign w:val="bottom"/>
          </w:tcPr>
          <w:p>
            <w:pPr>
              <w:spacing w:after="0"/>
              <w:rPr>
                <w:sz w:val="15"/>
                <w:szCs w:val="15"/>
                <w:color w:val="auto"/>
              </w:rPr>
            </w:pPr>
          </w:p>
        </w:tc>
      </w:tr>
      <w:tr>
        <w:trPr>
          <w:trHeight w:val="172"/>
        </w:trPr>
        <w:tc>
          <w:tcPr>
            <w:tcW w:w="1000" w:type="dxa"/>
            <w:vAlign w:val="bottom"/>
          </w:tcPr>
          <w:p>
            <w:pPr>
              <w:spacing w:after="0"/>
              <w:rPr>
                <w:sz w:val="14"/>
                <w:szCs w:val="14"/>
                <w:color w:val="auto"/>
              </w:rPr>
            </w:pPr>
          </w:p>
        </w:tc>
        <w:tc>
          <w:tcPr>
            <w:tcW w:w="2620" w:type="dxa"/>
            <w:vAlign w:val="bottom"/>
          </w:tcPr>
          <w:p>
            <w:pPr>
              <w:spacing w:after="0"/>
              <w:rPr>
                <w:sz w:val="20"/>
                <w:szCs w:val="20"/>
                <w:color w:val="auto"/>
              </w:rPr>
            </w:pPr>
            <w:r>
              <w:rPr>
                <w:rFonts w:ascii="Arial" w:cs="Arial" w:eastAsia="Arial" w:hAnsi="Arial"/>
                <w:sz w:val="14"/>
                <w:szCs w:val="14"/>
                <w:color w:val="auto"/>
              </w:rPr>
              <w:t>Granted</w:t>
            </w:r>
          </w:p>
        </w:tc>
        <w:tc>
          <w:tcPr>
            <w:tcW w:w="1620" w:type="dxa"/>
            <w:vAlign w:val="bottom"/>
            <w:gridSpan w:val="3"/>
          </w:tcPr>
          <w:p>
            <w:pPr>
              <w:jc w:val="right"/>
              <w:ind w:right="10"/>
              <w:spacing w:after="0"/>
              <w:rPr>
                <w:sz w:val="20"/>
                <w:szCs w:val="20"/>
                <w:color w:val="auto"/>
              </w:rPr>
            </w:pPr>
            <w:r>
              <w:rPr>
                <w:rFonts w:ascii="Arial" w:cs="Arial" w:eastAsia="Arial" w:hAnsi="Arial"/>
                <w:sz w:val="14"/>
                <w:szCs w:val="14"/>
                <w:color w:val="auto"/>
              </w:rPr>
              <w:t>1,059,066</w:t>
            </w:r>
          </w:p>
        </w:tc>
        <w:tc>
          <w:tcPr>
            <w:tcW w:w="680" w:type="dxa"/>
            <w:vAlign w:val="bottom"/>
          </w:tcPr>
          <w:p>
            <w:pPr>
              <w:spacing w:after="0"/>
              <w:rPr>
                <w:sz w:val="14"/>
                <w:szCs w:val="14"/>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2.89</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r>
      <w:tr>
        <w:trPr>
          <w:trHeight w:val="195"/>
        </w:trPr>
        <w:tc>
          <w:tcPr>
            <w:tcW w:w="100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Exercised—vested</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(435,007)</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0.42</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r>
      <w:tr>
        <w:trPr>
          <w:trHeight w:val="172"/>
        </w:trPr>
        <w:tc>
          <w:tcPr>
            <w:tcW w:w="1000" w:type="dxa"/>
            <w:vAlign w:val="bottom"/>
          </w:tcPr>
          <w:p>
            <w:pPr>
              <w:spacing w:after="0"/>
              <w:rPr>
                <w:sz w:val="14"/>
                <w:szCs w:val="14"/>
                <w:color w:val="auto"/>
              </w:rPr>
            </w:pPr>
          </w:p>
        </w:tc>
        <w:tc>
          <w:tcPr>
            <w:tcW w:w="2620" w:type="dxa"/>
            <w:vAlign w:val="bottom"/>
          </w:tcPr>
          <w:p>
            <w:pPr>
              <w:spacing w:after="0"/>
              <w:rPr>
                <w:sz w:val="20"/>
                <w:szCs w:val="20"/>
                <w:color w:val="auto"/>
              </w:rPr>
            </w:pPr>
            <w:r>
              <w:rPr>
                <w:rFonts w:ascii="Arial" w:cs="Arial" w:eastAsia="Arial" w:hAnsi="Arial"/>
                <w:sz w:val="14"/>
                <w:szCs w:val="14"/>
                <w:color w:val="auto"/>
              </w:rPr>
              <w:t>Exercised—unvested</w:t>
            </w:r>
          </w:p>
        </w:tc>
        <w:tc>
          <w:tcPr>
            <w:tcW w:w="1620" w:type="dxa"/>
            <w:vAlign w:val="bottom"/>
            <w:gridSpan w:val="3"/>
          </w:tcPr>
          <w:p>
            <w:pPr>
              <w:jc w:val="right"/>
              <w:spacing w:after="0"/>
              <w:rPr>
                <w:sz w:val="20"/>
                <w:szCs w:val="20"/>
                <w:color w:val="auto"/>
              </w:rPr>
            </w:pPr>
            <w:r>
              <w:rPr>
                <w:rFonts w:ascii="Arial" w:cs="Arial" w:eastAsia="Arial" w:hAnsi="Arial"/>
                <w:sz w:val="14"/>
                <w:szCs w:val="14"/>
                <w:color w:val="auto"/>
              </w:rPr>
              <w:t>(1,733,311)</w:t>
            </w:r>
          </w:p>
        </w:tc>
        <w:tc>
          <w:tcPr>
            <w:tcW w:w="680" w:type="dxa"/>
            <w:vAlign w:val="bottom"/>
          </w:tcPr>
          <w:p>
            <w:pPr>
              <w:spacing w:after="0"/>
              <w:rPr>
                <w:sz w:val="14"/>
                <w:szCs w:val="14"/>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0.56</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r>
      <w:tr>
        <w:trPr>
          <w:trHeight w:val="195"/>
        </w:trPr>
        <w:tc>
          <w:tcPr>
            <w:tcW w:w="1000" w:type="dxa"/>
            <w:vAlign w:val="bottom"/>
          </w:tcPr>
          <w:p>
            <w:pPr>
              <w:spacing w:after="0"/>
              <w:rPr>
                <w:sz w:val="16"/>
                <w:szCs w:val="16"/>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Forfeited</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(56,022)</w:t>
            </w: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0.41</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r>
      <w:tr>
        <w:trPr>
          <w:trHeight w:val="162"/>
        </w:trPr>
        <w:tc>
          <w:tcPr>
            <w:tcW w:w="1000" w:type="dxa"/>
            <w:vAlign w:val="bottom"/>
          </w:tcPr>
          <w:p>
            <w:pPr>
              <w:spacing w:after="0"/>
              <w:rPr>
                <w:sz w:val="14"/>
                <w:szCs w:val="14"/>
                <w:color w:val="auto"/>
              </w:rPr>
            </w:pPr>
          </w:p>
        </w:tc>
        <w:tc>
          <w:tcPr>
            <w:tcW w:w="2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Cancelled</w:t>
            </w:r>
          </w:p>
        </w:tc>
        <w:tc>
          <w:tcPr>
            <w:tcW w:w="7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r>
      <w:tr>
        <w:trPr>
          <w:trHeight w:val="153"/>
        </w:trPr>
        <w:tc>
          <w:tcPr>
            <w:tcW w:w="1000" w:type="dxa"/>
            <w:vAlign w:val="bottom"/>
          </w:tcPr>
          <w:p>
            <w:pPr>
              <w:spacing w:after="0"/>
              <w:rPr>
                <w:sz w:val="13"/>
                <w:szCs w:val="13"/>
                <w:color w:val="auto"/>
              </w:rPr>
            </w:pPr>
          </w:p>
        </w:tc>
        <w:tc>
          <w:tcPr>
            <w:tcW w:w="2620" w:type="dxa"/>
            <w:vAlign w:val="bottom"/>
            <w:tcBorders>
              <w:bottom w:val="single" w:sz="8" w:color="CCEEFF"/>
            </w:tcBorders>
            <w:shd w:val="clear" w:color="auto" w:fill="CCEEFF"/>
          </w:tcPr>
          <w:p>
            <w:pPr>
              <w:spacing w:after="0" w:line="153" w:lineRule="exact"/>
              <w:rPr>
                <w:sz w:val="20"/>
                <w:szCs w:val="20"/>
                <w:color w:val="auto"/>
              </w:rPr>
            </w:pPr>
            <w:r>
              <w:rPr>
                <w:rFonts w:ascii="Arial" w:cs="Arial" w:eastAsia="Arial" w:hAnsi="Arial"/>
                <w:sz w:val="14"/>
                <w:szCs w:val="14"/>
                <w:b w:val="1"/>
                <w:bCs w:val="1"/>
                <w:color w:val="auto"/>
              </w:rPr>
              <w:t>Outstanding, March 31, 2021</w:t>
            </w:r>
          </w:p>
        </w:tc>
        <w:tc>
          <w:tcPr>
            <w:tcW w:w="7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10"/>
              <w:spacing w:after="0" w:line="153" w:lineRule="exact"/>
              <w:rPr>
                <w:sz w:val="20"/>
                <w:szCs w:val="20"/>
                <w:color w:val="auto"/>
              </w:rPr>
            </w:pPr>
            <w:r>
              <w:rPr>
                <w:rFonts w:ascii="Arial" w:cs="Arial" w:eastAsia="Arial" w:hAnsi="Arial"/>
                <w:sz w:val="14"/>
                <w:szCs w:val="14"/>
                <w:color w:val="auto"/>
              </w:rPr>
              <w:t>8,603,052</w:t>
            </w:r>
          </w:p>
        </w:tc>
        <w:tc>
          <w:tcPr>
            <w:tcW w:w="68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rPr>
              <w:t>0.73</w:t>
            </w:r>
          </w:p>
        </w:tc>
        <w:tc>
          <w:tcPr>
            <w:tcW w:w="12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8.94</w:t>
            </w:r>
          </w:p>
        </w:tc>
        <w:tc>
          <w:tcPr>
            <w:tcW w:w="1000" w:type="dxa"/>
            <w:vAlign w:val="bottom"/>
          </w:tcPr>
          <w:p>
            <w:pPr>
              <w:spacing w:after="0"/>
              <w:rPr>
                <w:sz w:val="13"/>
                <w:szCs w:val="13"/>
                <w:color w:val="auto"/>
              </w:rPr>
            </w:pPr>
          </w:p>
        </w:tc>
      </w:tr>
      <w:tr>
        <w:trPr>
          <w:trHeight w:val="187"/>
        </w:trPr>
        <w:tc>
          <w:tcPr>
            <w:tcW w:w="1000" w:type="dxa"/>
            <w:vAlign w:val="bottom"/>
          </w:tcPr>
          <w:p>
            <w:pPr>
              <w:spacing w:after="0"/>
              <w:rPr>
                <w:sz w:val="16"/>
                <w:szCs w:val="16"/>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Exercisable at March 31, 2021</w:t>
            </w: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5,087,456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0.89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w:t>
            </w:r>
          </w:p>
        </w:tc>
        <w:tc>
          <w:tcPr>
            <w:tcW w:w="1000" w:type="dxa"/>
            <w:vAlign w:val="bottom"/>
          </w:tcPr>
          <w:p>
            <w:pPr>
              <w:spacing w:after="0"/>
              <w:rPr>
                <w:sz w:val="16"/>
                <w:szCs w:val="16"/>
                <w:color w:val="auto"/>
              </w:rPr>
            </w:pPr>
          </w:p>
        </w:tc>
      </w:tr>
      <w:tr>
        <w:trPr>
          <w:trHeight w:val="517"/>
        </w:trPr>
        <w:tc>
          <w:tcPr>
            <w:tcW w:w="10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20" w:type="dxa"/>
            <w:vAlign w:val="bottom"/>
            <w:gridSpan w:val="3"/>
          </w:tcPr>
          <w:p>
            <w:pPr>
              <w:jc w:val="right"/>
              <w:ind w:right="750"/>
              <w:spacing w:after="0"/>
              <w:rPr>
                <w:sz w:val="20"/>
                <w:szCs w:val="20"/>
                <w:color w:val="auto"/>
              </w:rPr>
            </w:pPr>
            <w:r>
              <w:rPr>
                <w:rFonts w:ascii="Arial" w:cs="Arial" w:eastAsia="Arial" w:hAnsi="Arial"/>
                <w:sz w:val="14"/>
                <w:szCs w:val="14"/>
                <w:color w:val="auto"/>
              </w:rPr>
              <w:t>F-48</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6"/>
        </w:trPr>
        <w:tc>
          <w:tcPr>
            <w:tcW w:w="100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-794385</wp:posOffset>
            </wp:positionV>
            <wp:extent cx="2144395"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14439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-1485900</wp:posOffset>
            </wp:positionV>
            <wp:extent cx="2144395"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144395" cy="6985"/>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-26035</wp:posOffset>
            </wp:positionV>
            <wp:extent cx="32385" cy="3937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-26035</wp:posOffset>
            </wp:positionV>
            <wp:extent cx="32385" cy="3937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61" w:name="page262"/>
    <w:bookmarkEnd w:id="261"/>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20" w:right="1259"/>
        <w:spacing w:after="0" w:line="262" w:lineRule="auto"/>
        <w:rPr>
          <w:sz w:val="20"/>
          <w:szCs w:val="20"/>
          <w:color w:val="auto"/>
        </w:rPr>
      </w:pPr>
      <w:r>
        <w:rPr>
          <w:rFonts w:ascii="Arial" w:cs="Arial" w:eastAsia="Arial" w:hAnsi="Arial"/>
          <w:sz w:val="14"/>
          <w:szCs w:val="14"/>
          <w:color w:val="auto"/>
        </w:rPr>
        <w:t>The weighted average grant date fair value of awards for options granted during the period ended March 31, 2021 was $1.80. As of March 31, 2021, there was $3,553 of total unrecognized compensation expense related to unvested stock options with time-based vesting terms, which is expected to be recognized over a weighted average period of 2.74 years.</w:t>
      </w:r>
    </w:p>
    <w:p>
      <w:pPr>
        <w:spacing w:after="0" w:line="95" w:lineRule="exact"/>
        <w:rPr>
          <w:sz w:val="20"/>
          <w:szCs w:val="20"/>
          <w:color w:val="auto"/>
        </w:rPr>
      </w:pPr>
    </w:p>
    <w:p>
      <w:pPr>
        <w:ind w:left="1220" w:right="1279"/>
        <w:spacing w:after="0" w:line="261" w:lineRule="auto"/>
        <w:rPr>
          <w:sz w:val="20"/>
          <w:szCs w:val="20"/>
          <w:color w:val="auto"/>
        </w:rPr>
      </w:pPr>
      <w:r>
        <w:rPr>
          <w:rFonts w:ascii="Arial" w:cs="Arial" w:eastAsia="Arial" w:hAnsi="Arial"/>
          <w:sz w:val="14"/>
          <w:szCs w:val="14"/>
          <w:color w:val="auto"/>
        </w:rPr>
        <w:t>During 2020, the Company issued 537,500 performance-based awards, respectively, that vest upon contingent events. The Company determined the performance condition for these awards is not probable of being achieved. As a result, the Company has not recorded any compensation cost related to the awards. As of March 31, 2021, there was $213 of total unrecognized compensation expense related to the performance-based awards.</w:t>
      </w:r>
    </w:p>
    <w:p>
      <w:pPr>
        <w:spacing w:after="0" w:line="106" w:lineRule="exact"/>
        <w:rPr>
          <w:sz w:val="20"/>
          <w:szCs w:val="20"/>
          <w:color w:val="auto"/>
        </w:rPr>
      </w:pPr>
    </w:p>
    <w:p>
      <w:pPr>
        <w:ind w:left="1220" w:right="1239"/>
        <w:spacing w:after="0" w:line="259" w:lineRule="auto"/>
        <w:rPr>
          <w:sz w:val="20"/>
          <w:szCs w:val="20"/>
          <w:color w:val="auto"/>
        </w:rPr>
      </w:pPr>
      <w:r>
        <w:rPr>
          <w:rFonts w:ascii="Arial" w:cs="Arial" w:eastAsia="Arial" w:hAnsi="Arial"/>
          <w:sz w:val="14"/>
          <w:szCs w:val="14"/>
          <w:color w:val="auto"/>
        </w:rPr>
        <w:t>The Company estimates the fair value of its option awards to employees and directors using Black-Scholes, which requires inputs and subjective assumptions, including (i) the expected stock price volatility, (ii) the calculation of the expected term of the award, (iii) the risk-free interest rate and (iv) expected dividends. Due to the lack of substantial company-specific historical and implied volatility data of its common stock, the Company has based its estimate of expected volatility on the historical volatility of a group of similar public companies. When selecting these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term of the stock-based awards. The Company will continue to apply this process until a sufficient amount of historical information regarding the volatility of its own stock price becomes available.</w:t>
      </w:r>
    </w:p>
    <w:p>
      <w:pPr>
        <w:spacing w:after="0" w:line="107" w:lineRule="exact"/>
        <w:rPr>
          <w:sz w:val="20"/>
          <w:szCs w:val="20"/>
          <w:color w:val="auto"/>
        </w:rPr>
      </w:pPr>
    </w:p>
    <w:p>
      <w:pPr>
        <w:jc w:val="both"/>
        <w:ind w:left="1220" w:right="1439"/>
        <w:spacing w:after="0" w:line="260" w:lineRule="auto"/>
        <w:rPr>
          <w:sz w:val="20"/>
          <w:szCs w:val="20"/>
          <w:color w:val="auto"/>
        </w:rPr>
      </w:pPr>
      <w:r>
        <w:rPr>
          <w:rFonts w:ascii="Arial" w:cs="Arial" w:eastAsia="Arial" w:hAnsi="Arial"/>
          <w:sz w:val="14"/>
          <w:szCs w:val="14"/>
          <w:color w:val="auto"/>
        </w:rPr>
        <w:t>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the expected term of the option are based on the U.S. Treasury securities with a maturity date commensurate with the expected term of the associated award. The Company will account for actual forfeitures as they occur.</w:t>
      </w:r>
    </w:p>
    <w:p>
      <w:pPr>
        <w:spacing w:after="0" w:line="108" w:lineRule="exact"/>
        <w:rPr>
          <w:sz w:val="20"/>
          <w:szCs w:val="20"/>
          <w:color w:val="auto"/>
        </w:rPr>
      </w:pPr>
    </w:p>
    <w:p>
      <w:pPr>
        <w:ind w:left="1220" w:right="1379"/>
        <w:spacing w:after="0" w:line="290" w:lineRule="auto"/>
        <w:rPr>
          <w:sz w:val="20"/>
          <w:szCs w:val="20"/>
          <w:color w:val="auto"/>
        </w:rPr>
      </w:pPr>
      <w:r>
        <w:rPr>
          <w:rFonts w:ascii="Arial" w:cs="Arial" w:eastAsia="Arial" w:hAnsi="Arial"/>
          <w:sz w:val="14"/>
          <w:szCs w:val="14"/>
          <w:color w:val="auto"/>
        </w:rPr>
        <w:t>The weighted-average assumptions used to calculate the fair value of stock options granted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82550</wp:posOffset>
            </wp:positionV>
            <wp:extent cx="4165600" cy="139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38"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55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March 31, 2021</w:t>
            </w:r>
          </w:p>
        </w:tc>
      </w:tr>
      <w:tr>
        <w:trPr>
          <w:trHeight w:val="173"/>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Expected dividend rate</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r>
      <w:tr>
        <w:trPr>
          <w:trHeight w:val="182"/>
        </w:trPr>
        <w:tc>
          <w:tcPr>
            <w:tcW w:w="5500" w:type="dxa"/>
            <w:vAlign w:val="bottom"/>
          </w:tcPr>
          <w:p>
            <w:pPr>
              <w:spacing w:after="0"/>
              <w:rPr>
                <w:sz w:val="20"/>
                <w:szCs w:val="20"/>
                <w:color w:val="auto"/>
              </w:rPr>
            </w:pPr>
            <w:r>
              <w:rPr>
                <w:rFonts w:ascii="Arial" w:cs="Arial" w:eastAsia="Arial" w:hAnsi="Arial"/>
                <w:sz w:val="14"/>
                <w:szCs w:val="14"/>
                <w:color w:val="auto"/>
              </w:rPr>
              <w:t>Expected option term (years)</w:t>
            </w:r>
          </w:p>
        </w:tc>
        <w:tc>
          <w:tcPr>
            <w:tcW w:w="1060" w:type="dxa"/>
            <w:vAlign w:val="bottom"/>
          </w:tcPr>
          <w:p>
            <w:pPr>
              <w:jc w:val="right"/>
              <w:spacing w:after="0"/>
              <w:rPr>
                <w:sz w:val="20"/>
                <w:szCs w:val="20"/>
                <w:color w:val="auto"/>
              </w:rPr>
            </w:pPr>
            <w:r>
              <w:rPr>
                <w:rFonts w:ascii="Arial" w:cs="Arial" w:eastAsia="Arial" w:hAnsi="Arial"/>
                <w:sz w:val="14"/>
                <w:szCs w:val="14"/>
                <w:color w:val="auto"/>
              </w:rPr>
              <w:t>6.04</w:t>
            </w:r>
          </w:p>
        </w:tc>
        <w:tc>
          <w:tcPr>
            <w:tcW w:w="140" w:type="dxa"/>
            <w:vAlign w:val="bottom"/>
          </w:tcPr>
          <w:p>
            <w:pPr>
              <w:spacing w:after="0"/>
              <w:rPr>
                <w:sz w:val="15"/>
                <w:szCs w:val="15"/>
                <w:color w:val="auto"/>
              </w:rPr>
            </w:pPr>
          </w:p>
        </w:tc>
      </w:tr>
      <w:tr>
        <w:trPr>
          <w:trHeight w:val="205"/>
        </w:trPr>
        <w:tc>
          <w:tcPr>
            <w:tcW w:w="5500" w:type="dxa"/>
            <w:vAlign w:val="bottom"/>
          </w:tcPr>
          <w:p>
            <w:pPr>
              <w:spacing w:after="0"/>
              <w:rPr>
                <w:sz w:val="20"/>
                <w:szCs w:val="20"/>
                <w:color w:val="auto"/>
              </w:rPr>
            </w:pPr>
            <w:r>
              <w:rPr>
                <w:rFonts w:ascii="Arial" w:cs="Arial" w:eastAsia="Arial" w:hAnsi="Arial"/>
                <w:sz w:val="14"/>
                <w:szCs w:val="14"/>
                <w:color w:val="auto"/>
              </w:rPr>
              <w:t>Expected volatility</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69.81%</w:t>
            </w:r>
          </w:p>
        </w:tc>
      </w:tr>
      <w:tr>
        <w:trPr>
          <w:trHeight w:val="205"/>
        </w:trPr>
        <w:tc>
          <w:tcPr>
            <w:tcW w:w="5500" w:type="dxa"/>
            <w:vAlign w:val="bottom"/>
          </w:tcPr>
          <w:p>
            <w:pPr>
              <w:spacing w:after="0"/>
              <w:rPr>
                <w:sz w:val="20"/>
                <w:szCs w:val="20"/>
                <w:color w:val="auto"/>
              </w:rPr>
            </w:pPr>
            <w:r>
              <w:rPr>
                <w:rFonts w:ascii="Arial" w:cs="Arial" w:eastAsia="Arial" w:hAnsi="Arial"/>
                <w:sz w:val="14"/>
                <w:szCs w:val="14"/>
                <w:color w:val="auto"/>
              </w:rPr>
              <w:t>Risk-free interest rate</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1.07%</w:t>
            </w:r>
          </w:p>
        </w:tc>
      </w:tr>
      <w:tr>
        <w:trPr>
          <w:trHeight w:val="34"/>
        </w:trPr>
        <w:tc>
          <w:tcPr>
            <w:tcW w:w="5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-273685</wp:posOffset>
            </wp:positionV>
            <wp:extent cx="4165600" cy="13017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165600" cy="13017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-534035</wp:posOffset>
            </wp:positionV>
            <wp:extent cx="3487420"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487420" cy="6985"/>
                    </a:xfrm>
                    <a:prstGeom prst="rect">
                      <a:avLst/>
                    </a:prstGeom>
                    <a:noFill/>
                  </pic:spPr>
                </pic:pic>
              </a:graphicData>
            </a:graphic>
          </wp:anchor>
        </w:drawing>
      </w:r>
    </w:p>
    <w:p>
      <w:pPr>
        <w:spacing w:after="0" w:line="71"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Restricted Stock</w:t>
      </w:r>
    </w:p>
    <w:p>
      <w:pPr>
        <w:spacing w:after="0" w:line="114" w:lineRule="exact"/>
        <w:rPr>
          <w:sz w:val="20"/>
          <w:szCs w:val="20"/>
          <w:color w:val="auto"/>
        </w:rPr>
      </w:pPr>
    </w:p>
    <w:p>
      <w:pPr>
        <w:ind w:left="1220" w:right="1339"/>
        <w:spacing w:after="0" w:line="265" w:lineRule="auto"/>
        <w:rPr>
          <w:sz w:val="20"/>
          <w:szCs w:val="20"/>
          <w:color w:val="auto"/>
        </w:rPr>
      </w:pPr>
      <w:r>
        <w:rPr>
          <w:rFonts w:ascii="Arial" w:cs="Arial" w:eastAsia="Arial" w:hAnsi="Arial"/>
          <w:sz w:val="14"/>
          <w:szCs w:val="14"/>
          <w:color w:val="auto"/>
        </w:rPr>
        <w:t>The following table summarizes restricted stock activity as of March 31, 2021 and December 31, 2020:</w:t>
      </w:r>
    </w:p>
    <w:p>
      <w:pPr>
        <w:spacing w:after="0" w:line="321" w:lineRule="exact"/>
        <w:rPr>
          <w:sz w:val="20"/>
          <w:szCs w:val="20"/>
          <w:color w:val="auto"/>
        </w:rPr>
      </w:pPr>
    </w:p>
    <w:tbl>
      <w:tblPr>
        <w:tblLayout w:type="fixed"/>
        <w:tblInd w:w="1220" w:type="dxa"/>
        <w:tblCellMar>
          <w:top w:w="0" w:type="dxa"/>
          <w:left w:w="0" w:type="dxa"/>
          <w:bottom w:w="0" w:type="dxa"/>
          <w:right w:w="0" w:type="dxa"/>
        </w:tblCellMar>
      </w:tblPr>
      <w:tr>
        <w:trPr>
          <w:trHeight w:val="169"/>
        </w:trPr>
        <w:tc>
          <w:tcPr>
            <w:tcW w:w="4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Weighted Average</w:t>
            </w:r>
          </w:p>
        </w:tc>
      </w:tr>
      <w:tr>
        <w:trPr>
          <w:trHeight w:val="179"/>
        </w:trPr>
        <w:tc>
          <w:tcPr>
            <w:tcW w:w="42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Shares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Grant Date Fair Value</w:t>
            </w:r>
          </w:p>
        </w:tc>
      </w:tr>
      <w:tr>
        <w:trPr>
          <w:trHeight w:val="173"/>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Unvested December 31, 2020</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2,650,724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0.14</w:t>
            </w:r>
          </w:p>
        </w:tc>
      </w:tr>
      <w:tr>
        <w:trPr>
          <w:trHeight w:val="188"/>
        </w:trPr>
        <w:tc>
          <w:tcPr>
            <w:tcW w:w="42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Vested</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(379,426)</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0.10</w:t>
            </w:r>
          </w:p>
        </w:tc>
      </w:tr>
      <w:tr>
        <w:trPr>
          <w:trHeight w:val="182"/>
        </w:trPr>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Unvested March 31, 2021</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2,271,298</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0.15</w:t>
            </w:r>
          </w:p>
        </w:tc>
      </w:tr>
      <w:tr>
        <w:trPr>
          <w:trHeight w:val="20"/>
        </w:trPr>
        <w:tc>
          <w:tcPr>
            <w:tcW w:w="4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-143510</wp:posOffset>
            </wp:positionV>
            <wp:extent cx="2699385"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69938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-396875</wp:posOffset>
            </wp:positionV>
            <wp:extent cx="2699385" cy="69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699385" cy="6985"/>
                    </a:xfrm>
                    <a:prstGeom prst="rect">
                      <a:avLst/>
                    </a:prstGeom>
                    <a:noFill/>
                  </pic:spPr>
                </pic:pic>
              </a:graphicData>
            </a:graphic>
          </wp:anchor>
        </w:drawing>
      </w:r>
    </w:p>
    <w:p>
      <w:pPr>
        <w:spacing w:after="0" w:line="55" w:lineRule="exact"/>
        <w:rPr>
          <w:sz w:val="20"/>
          <w:szCs w:val="20"/>
          <w:color w:val="auto"/>
        </w:rPr>
      </w:pPr>
    </w:p>
    <w:p>
      <w:pPr>
        <w:ind w:left="1220" w:right="1659"/>
        <w:spacing w:after="0" w:line="274" w:lineRule="auto"/>
        <w:rPr>
          <w:sz w:val="20"/>
          <w:szCs w:val="20"/>
          <w:color w:val="auto"/>
        </w:rPr>
      </w:pPr>
      <w:r>
        <w:rPr>
          <w:rFonts w:ascii="Arial" w:cs="Arial" w:eastAsia="Arial" w:hAnsi="Arial"/>
          <w:sz w:val="14"/>
          <w:szCs w:val="14"/>
          <w:color w:val="auto"/>
        </w:rPr>
        <w:t>Pursuant to certain stock purchase agreements containing vesting and other provisions, the Company has the right to repurchase unvested shares.</w:t>
      </w:r>
    </w:p>
    <w:p>
      <w:pPr>
        <w:spacing w:after="0" w:line="86" w:lineRule="exact"/>
        <w:rPr>
          <w:sz w:val="20"/>
          <w:szCs w:val="20"/>
          <w:color w:val="auto"/>
        </w:rPr>
      </w:pPr>
    </w:p>
    <w:p>
      <w:pPr>
        <w:jc w:val="both"/>
        <w:ind w:left="1220" w:right="1259"/>
        <w:spacing w:after="0" w:line="265" w:lineRule="auto"/>
        <w:rPr>
          <w:sz w:val="20"/>
          <w:szCs w:val="20"/>
          <w:color w:val="auto"/>
        </w:rPr>
      </w:pPr>
      <w:r>
        <w:rPr>
          <w:rFonts w:ascii="Arial" w:cs="Arial" w:eastAsia="Arial" w:hAnsi="Arial"/>
          <w:sz w:val="14"/>
          <w:szCs w:val="14"/>
          <w:color w:val="auto"/>
        </w:rPr>
        <w:t>As of March 31, 2021, there was $333 of total unrecognized compensation expense related to the unvested restricted stock with time-based vesting terms, which is expected to be recognized over a weighted average period of 1.71 years. All restricted stock vests over a four-year period.</w:t>
      </w:r>
    </w:p>
    <w:p>
      <w:pPr>
        <w:spacing w:after="0" w:line="13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Early-Exercise of Unvested Equity Awards</w:t>
      </w:r>
    </w:p>
    <w:p>
      <w:pPr>
        <w:spacing w:after="0" w:line="103" w:lineRule="exact"/>
        <w:rPr>
          <w:sz w:val="20"/>
          <w:szCs w:val="20"/>
          <w:color w:val="auto"/>
        </w:rPr>
      </w:pPr>
    </w:p>
    <w:p>
      <w:pPr>
        <w:ind w:left="1220" w:right="1279"/>
        <w:spacing w:after="0" w:line="265" w:lineRule="auto"/>
        <w:rPr>
          <w:sz w:val="20"/>
          <w:szCs w:val="20"/>
          <w:color w:val="auto"/>
        </w:rPr>
      </w:pPr>
      <w:r>
        <w:rPr>
          <w:rFonts w:ascii="Arial" w:cs="Arial" w:eastAsia="Arial" w:hAnsi="Arial"/>
          <w:sz w:val="14"/>
          <w:szCs w:val="14"/>
          <w:color w:val="auto"/>
        </w:rPr>
        <w:t>As part of the merger, the Company assumed a deposit liability from Prior Century. Certain equity award holders early exercised unvested equity awards. The cash received upon early exercise of options of $1,136 was recorded as a deposit liability on the Company’s balance sheet as of March 31, 2021.</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62" w:name="page263"/>
    <w:bookmarkEnd w:id="262"/>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16—Related party transactions</w:t>
      </w:r>
    </w:p>
    <w:p>
      <w:pPr>
        <w:spacing w:after="0" w:line="160" w:lineRule="exact"/>
        <w:rPr>
          <w:sz w:val="20"/>
          <w:szCs w:val="20"/>
          <w:color w:val="auto"/>
        </w:rPr>
      </w:pPr>
    </w:p>
    <w:p>
      <w:pPr>
        <w:ind w:left="1220" w:right="1579"/>
        <w:spacing w:after="0" w:line="265" w:lineRule="auto"/>
        <w:rPr>
          <w:sz w:val="20"/>
          <w:szCs w:val="20"/>
          <w:color w:val="auto"/>
        </w:rPr>
      </w:pPr>
      <w:r>
        <w:rPr>
          <w:rFonts w:ascii="Arial" w:cs="Arial" w:eastAsia="Arial" w:hAnsi="Arial"/>
          <w:sz w:val="14"/>
          <w:szCs w:val="14"/>
          <w:b w:val="1"/>
          <w:bCs w:val="1"/>
          <w:i w:val="1"/>
          <w:iCs w:val="1"/>
          <w:color w:val="auto"/>
        </w:rPr>
        <w:t>License Agreements and Collaborative Agreements with Shareholder of Equity Method Investor</w:t>
      </w:r>
    </w:p>
    <w:p>
      <w:pPr>
        <w:spacing w:after="0" w:line="92" w:lineRule="exact"/>
        <w:rPr>
          <w:sz w:val="20"/>
          <w:szCs w:val="20"/>
          <w:color w:val="auto"/>
        </w:rPr>
      </w:pPr>
    </w:p>
    <w:p>
      <w:pPr>
        <w:ind w:left="1220" w:right="1299"/>
        <w:spacing w:after="0" w:line="278" w:lineRule="auto"/>
        <w:rPr>
          <w:sz w:val="20"/>
          <w:szCs w:val="20"/>
          <w:color w:val="auto"/>
        </w:rPr>
      </w:pPr>
      <w:r>
        <w:rPr>
          <w:rFonts w:ascii="Arial" w:cs="Arial" w:eastAsia="Arial" w:hAnsi="Arial"/>
          <w:sz w:val="14"/>
          <w:szCs w:val="14"/>
          <w:color w:val="auto"/>
        </w:rPr>
        <w:t>As part of the Commitment Agreement, the Company acquired licenses and other contracts from Prior Century that were originally entered into by Prior Century and FUJIFILM Cellular Dynamics, Inc. (“FCDI”). FCDI is a shareholder of Century. The acquired licenses and other contracts with FCDI are as follows:</w:t>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FCDI Licenses</w:t>
      </w:r>
    </w:p>
    <w:p>
      <w:pPr>
        <w:spacing w:after="0" w:line="144"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The Company acquired from Prior Century a non-exclusive license agreement with FCDI. The license provides the Company with certain patents and know-how related to the reprogramming of human somatic cells to induce pluripotent stem cell(s) (“iPSCs”)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08" w:lineRule="exact"/>
        <w:rPr>
          <w:sz w:val="20"/>
          <w:szCs w:val="20"/>
          <w:color w:val="auto"/>
        </w:rPr>
      </w:pPr>
    </w:p>
    <w:p>
      <w:pPr>
        <w:ind w:left="1220" w:right="1419"/>
        <w:spacing w:after="0" w:line="281" w:lineRule="auto"/>
        <w:rPr>
          <w:sz w:val="20"/>
          <w:szCs w:val="20"/>
          <w:color w:val="auto"/>
        </w:rPr>
      </w:pPr>
      <w:r>
        <w:rPr>
          <w:rFonts w:ascii="Arial" w:cs="Arial" w:eastAsia="Arial" w:hAnsi="Arial"/>
          <w:sz w:val="14"/>
          <w:szCs w:val="14"/>
          <w:color w:val="auto"/>
        </w:rPr>
        <w:t>The Company also acquired from Prior Century an exclusive license agreement with FCDI. The license provides the Company with patents and know-how related to human iPSC exclusively manufactured by FCDI.</w:t>
      </w:r>
    </w:p>
    <w:p>
      <w:pPr>
        <w:spacing w:after="0" w:line="93" w:lineRule="exact"/>
        <w:rPr>
          <w:sz w:val="20"/>
          <w:szCs w:val="20"/>
          <w:color w:val="auto"/>
        </w:rPr>
      </w:pPr>
    </w:p>
    <w:p>
      <w:pPr>
        <w:ind w:left="1220" w:right="1599"/>
        <w:spacing w:after="0" w:line="290" w:lineRule="auto"/>
        <w:rPr>
          <w:sz w:val="20"/>
          <w:szCs w:val="20"/>
          <w:color w:val="auto"/>
        </w:rPr>
      </w:pPr>
      <w:r>
        <w:rPr>
          <w:rFonts w:ascii="Arial" w:cs="Arial" w:eastAsia="Arial" w:hAnsi="Arial"/>
          <w:sz w:val="14"/>
          <w:szCs w:val="14"/>
          <w:color w:val="auto"/>
        </w:rPr>
        <w:t>The potential development and regulatory milestone payments to be paid by the Company to FCDI are $6,000.</w:t>
      </w:r>
    </w:p>
    <w:p>
      <w:pPr>
        <w:spacing w:after="0" w:line="11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FCDI Collaboration Agreement</w:t>
      </w:r>
    </w:p>
    <w:p>
      <w:pPr>
        <w:spacing w:after="0" w:line="144" w:lineRule="exact"/>
        <w:rPr>
          <w:sz w:val="20"/>
          <w:szCs w:val="20"/>
          <w:color w:val="auto"/>
        </w:rPr>
      </w:pPr>
    </w:p>
    <w:p>
      <w:pPr>
        <w:ind w:left="1220" w:right="1339"/>
        <w:spacing w:after="0" w:line="277" w:lineRule="auto"/>
        <w:rPr>
          <w:sz w:val="20"/>
          <w:szCs w:val="20"/>
          <w:color w:val="auto"/>
        </w:rPr>
      </w:pPr>
      <w:r>
        <w:rPr>
          <w:rFonts w:ascii="Arial" w:cs="Arial" w:eastAsia="Arial" w:hAnsi="Arial"/>
          <w:sz w:val="14"/>
          <w:szCs w:val="14"/>
          <w:color w:val="auto"/>
        </w:rPr>
        <w:t>In October 2019, the Company entered into the Master Collaboration Agreement with FCDI, whereby FCDI will provide certain services to the Company to develop and manufacture iPSCs and immune cells derived therefrom. FCDI will provide services in accordance with the approved research plan and related research budget. The initial research plan covers the period from October 2019 through March 31, 2022, with the related research budget totaling $30,400.</w:t>
      </w:r>
    </w:p>
    <w:p>
      <w:pPr>
        <w:spacing w:after="0" w:line="107" w:lineRule="exact"/>
        <w:rPr>
          <w:sz w:val="20"/>
          <w:szCs w:val="20"/>
          <w:color w:val="auto"/>
        </w:rPr>
      </w:pPr>
    </w:p>
    <w:p>
      <w:pPr>
        <w:ind w:left="1220" w:right="1339"/>
        <w:spacing w:after="0" w:line="277" w:lineRule="auto"/>
        <w:rPr>
          <w:sz w:val="20"/>
          <w:szCs w:val="20"/>
          <w:color w:val="auto"/>
        </w:rPr>
      </w:pPr>
      <w:r>
        <w:rPr>
          <w:rFonts w:ascii="Arial" w:cs="Arial" w:eastAsia="Arial" w:hAnsi="Arial"/>
          <w:sz w:val="14"/>
          <w:szCs w:val="14"/>
          <w:color w:val="auto"/>
        </w:rPr>
        <w:t>During the three months ended March 31, 2021, the Company made payments of $3,223 and incurred research and development expenses of $2,781 and legal fees of $21 recorded within general and administrative expenses in its consolidated statements of operations and comprehensive loss. As of March 31, 2021, there was $1,423 in accounts payable related to this agreement on the consolidated balance sheets.</w:t>
      </w:r>
    </w:p>
    <w:p>
      <w:pPr>
        <w:spacing w:after="0" w:line="96" w:lineRule="exact"/>
        <w:rPr>
          <w:sz w:val="20"/>
          <w:szCs w:val="20"/>
          <w:color w:val="auto"/>
        </w:rPr>
      </w:pPr>
    </w:p>
    <w:p>
      <w:pPr>
        <w:ind w:left="1220" w:right="1619"/>
        <w:spacing w:after="0" w:line="283" w:lineRule="auto"/>
        <w:rPr>
          <w:sz w:val="20"/>
          <w:szCs w:val="20"/>
          <w:color w:val="auto"/>
        </w:rPr>
      </w:pPr>
      <w:r>
        <w:rPr>
          <w:rFonts w:ascii="Arial" w:cs="Arial" w:eastAsia="Arial" w:hAnsi="Arial"/>
          <w:sz w:val="14"/>
          <w:szCs w:val="14"/>
          <w:color w:val="auto"/>
        </w:rPr>
        <w:t>During the three months ended March 31, 2020, the Company made payments of $35 and incurred research and development expenses of $2,877 and legal fees of $3 recorded within general and administrative expenses in its consolidated statements of operations and comprehensive loss.</w:t>
      </w:r>
    </w:p>
    <w:p>
      <w:pPr>
        <w:spacing w:after="0" w:line="29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Consulting Arrangements with Shareholders of Equity Method Investor</w:t>
      </w:r>
    </w:p>
    <w:p>
      <w:pPr>
        <w:spacing w:after="0" w:line="146"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In 2019, the Company entered into arrangements with two shareholders of the Company, wherein the shareholders provide consulting services to the Company. As compensation for the consulting services, the shareholders are entitled to an annual retainer fee of $125, payable quarterly, along with payment of reasonable expenses associated with providing the consulting services. The Company paid $38 and $13 related to these consulting arrangements that were included in research and development expenses in the consolidated statements of operations and comprehensive loss for the three months ended March 31, 2021 and March 31, 2020, respectively.</w:t>
      </w:r>
    </w:p>
    <w:p>
      <w:pPr>
        <w:spacing w:after="0" w:line="307"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Note 17—Subsequent Events</w:t>
      </w:r>
    </w:p>
    <w:p>
      <w:pPr>
        <w:spacing w:after="0" w:line="144" w:lineRule="exact"/>
        <w:rPr>
          <w:sz w:val="20"/>
          <w:szCs w:val="20"/>
          <w:color w:val="auto"/>
        </w:rPr>
      </w:pPr>
    </w:p>
    <w:p>
      <w:pPr>
        <w:jc w:val="both"/>
        <w:ind w:left="1220" w:right="1799"/>
        <w:spacing w:after="0" w:line="281" w:lineRule="auto"/>
        <w:rPr>
          <w:sz w:val="20"/>
          <w:szCs w:val="20"/>
          <w:color w:val="auto"/>
        </w:rPr>
      </w:pPr>
      <w:r>
        <w:rPr>
          <w:rFonts w:ascii="Arial" w:cs="Arial" w:eastAsia="Arial" w:hAnsi="Arial"/>
          <w:sz w:val="14"/>
          <w:szCs w:val="14"/>
          <w:color w:val="auto"/>
        </w:rPr>
        <w:t>The Company has evaluated subsequent events as of March 31, 2021—the date of these consolidated financial statements—through May 5, 2021, which represents the date these consolidated financial statements were issued.</w:t>
      </w:r>
    </w:p>
    <w:p>
      <w:pPr>
        <w:spacing w:after="0" w:line="122"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Stock Plan</w:t>
      </w:r>
    </w:p>
    <w:p>
      <w:pPr>
        <w:spacing w:after="0" w:line="134" w:lineRule="exact"/>
        <w:rPr>
          <w:sz w:val="20"/>
          <w:szCs w:val="20"/>
          <w:color w:val="auto"/>
        </w:rPr>
      </w:pPr>
    </w:p>
    <w:p>
      <w:pPr>
        <w:jc w:val="both"/>
        <w:ind w:left="1220" w:right="1799"/>
        <w:spacing w:after="0" w:line="290" w:lineRule="auto"/>
        <w:rPr>
          <w:sz w:val="20"/>
          <w:szCs w:val="20"/>
          <w:color w:val="auto"/>
        </w:rPr>
      </w:pPr>
      <w:r>
        <w:rPr>
          <w:rFonts w:ascii="Arial" w:cs="Arial" w:eastAsia="Arial" w:hAnsi="Arial"/>
          <w:sz w:val="14"/>
          <w:szCs w:val="14"/>
          <w:color w:val="auto"/>
        </w:rPr>
        <w:t>The Board of Directors of the Company, pursuant to a meeting held in April 2021, granted 5,105,425 options to new and existing employees at an exercise price of $2.89 per share.</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63" w:name="page264"/>
    <w:bookmarkEnd w:id="263"/>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238760</wp:posOffset>
            </wp:positionV>
            <wp:extent cx="4165600" cy="203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165600" cy="20320"/>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293370</wp:posOffset>
            </wp:positionV>
            <wp:extent cx="4165600" cy="69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165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660"/>
        <w:spacing w:after="0"/>
        <w:rPr>
          <w:sz w:val="20"/>
          <w:szCs w:val="20"/>
          <w:color w:val="auto"/>
        </w:rPr>
      </w:pPr>
      <w:r>
        <w:rPr>
          <w:rFonts w:ascii="Arial" w:cs="Arial" w:eastAsia="Arial" w:hAnsi="Arial"/>
          <w:sz w:val="26"/>
          <w:szCs w:val="26"/>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424815</wp:posOffset>
            </wp:positionV>
            <wp:extent cx="2350135" cy="6305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35013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35"/>
          <w:szCs w:val="35"/>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J.P. Morgan  BofA Securities SVB Leerink Piper Sandler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 2021</w:t>
      </w:r>
    </w:p>
    <w:p>
      <w:pPr>
        <w:spacing w:after="0" w:line="200" w:lineRule="exact"/>
        <w:rPr>
          <w:sz w:val="20"/>
          <w:szCs w:val="20"/>
          <w:color w:val="auto"/>
        </w:rPr>
      </w:pPr>
    </w:p>
    <w:p>
      <w:pPr>
        <w:spacing w:after="0" w:line="312" w:lineRule="exact"/>
        <w:rPr>
          <w:sz w:val="20"/>
          <w:szCs w:val="20"/>
          <w:color w:val="auto"/>
        </w:rPr>
      </w:pPr>
    </w:p>
    <w:p>
      <w:pPr>
        <w:ind w:left="1220"/>
        <w:spacing w:after="0"/>
        <w:tabs>
          <w:tab w:leader="none" w:pos="3720" w:val="left"/>
        </w:tabs>
        <w:rPr>
          <w:sz w:val="20"/>
          <w:szCs w:val="20"/>
          <w:color w:val="auto"/>
        </w:rPr>
      </w:pPr>
      <w:r>
        <w:rPr>
          <w:rFonts w:ascii="Arial" w:cs="Arial" w:eastAsia="Arial" w:hAnsi="Arial"/>
          <w:sz w:val="14"/>
          <w:szCs w:val="14"/>
          <w:b w:val="1"/>
          <w:bCs w:val="1"/>
          <w:color w:val="auto"/>
        </w:rPr>
        <w:t>Through and including</w:t>
      </w:r>
      <w:r>
        <w:rPr>
          <w:sz w:val="20"/>
          <w:szCs w:val="20"/>
          <w:color w:val="auto"/>
        </w:rPr>
        <w:tab/>
      </w:r>
      <w:r>
        <w:rPr>
          <w:rFonts w:ascii="Arial" w:cs="Arial" w:eastAsia="Arial" w:hAnsi="Arial"/>
          <w:sz w:val="14"/>
          <w:szCs w:val="14"/>
          <w:b w:val="1"/>
          <w:bCs w:val="1"/>
          <w:color w:val="auto"/>
        </w:rPr>
        <w:t>, 2021 (the 25th day after the commencement of this</w:t>
      </w:r>
    </w:p>
    <w:p>
      <w:pPr>
        <w:spacing w:after="0" w:line="29" w:lineRule="exact"/>
        <w:rPr>
          <w:sz w:val="20"/>
          <w:szCs w:val="20"/>
          <w:color w:val="auto"/>
        </w:rPr>
      </w:pPr>
    </w:p>
    <w:p>
      <w:pPr>
        <w:ind w:left="1220" w:right="1279"/>
        <w:spacing w:after="0" w:line="263" w:lineRule="auto"/>
        <w:rPr>
          <w:sz w:val="20"/>
          <w:szCs w:val="20"/>
          <w:color w:val="auto"/>
        </w:rPr>
      </w:pPr>
      <w:r>
        <w:rPr>
          <w:rFonts w:ascii="Arial" w:cs="Arial" w:eastAsia="Arial" w:hAnsi="Arial"/>
          <w:sz w:val="14"/>
          <w:szCs w:val="14"/>
          <w:b w:val="1"/>
          <w:bCs w:val="1"/>
          <w:color w:val="auto"/>
        </w:rPr>
        <w:t>offering), all dealers that buy, sell or trade shares of our common stock,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80010</wp:posOffset>
            </wp:positionV>
            <wp:extent cx="4165600" cy="698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16560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121285</wp:posOffset>
            </wp:positionV>
            <wp:extent cx="4165600" cy="203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165600" cy="20320"/>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327660</wp:posOffset>
            </wp:positionV>
            <wp:extent cx="5458460" cy="3937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64" w:name="page265"/>
    <w:bookmarkEnd w:id="264"/>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Part II</w:t>
      </w:r>
    </w:p>
    <w:p>
      <w:pPr>
        <w:spacing w:after="0" w:line="146"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Information not required in prospectus</w:t>
      </w:r>
    </w:p>
    <w:p>
      <w:pPr>
        <w:spacing w:after="0" w:line="16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122" w:lineRule="exact"/>
        <w:rPr>
          <w:sz w:val="20"/>
          <w:szCs w:val="20"/>
          <w:color w:val="auto"/>
        </w:rPr>
      </w:pPr>
    </w:p>
    <w:p>
      <w:pPr>
        <w:ind w:left="1220" w:right="1359"/>
        <w:spacing w:after="0" w:line="262" w:lineRule="auto"/>
        <w:rPr>
          <w:sz w:val="20"/>
          <w:szCs w:val="20"/>
          <w:color w:val="auto"/>
        </w:rPr>
      </w:pPr>
      <w:r>
        <w:rPr>
          <w:rFonts w:ascii="Arial" w:cs="Arial" w:eastAsia="Arial" w:hAnsi="Arial"/>
          <w:sz w:val="14"/>
          <w:szCs w:val="14"/>
          <w:color w:val="auto"/>
        </w:rPr>
        <w:t>The following table sets forth the costs and expenses, other than the underwriting discounts and commissions, payable by Century Therapeutics, Inc., or the Registrant, in connection with the sale of our common stock being registered. All amounts are estimates except for the SEC, registration fee, FINRA, filing fee and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95250</wp:posOffset>
            </wp:positionV>
            <wp:extent cx="4165600" cy="1397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159" w:lineRule="exact"/>
        <w:rPr>
          <w:sz w:val="20"/>
          <w:szCs w:val="20"/>
          <w:color w:val="auto"/>
        </w:rPr>
      </w:pPr>
    </w:p>
    <w:tbl>
      <w:tblPr>
        <w:tblLayout w:type="fixed"/>
        <w:tblInd w:w="1220" w:type="dxa"/>
        <w:tblCellMar>
          <w:top w:w="0" w:type="dxa"/>
          <w:left w:w="0" w:type="dxa"/>
          <w:bottom w:w="0" w:type="dxa"/>
          <w:right w:w="0" w:type="dxa"/>
        </w:tblCellMar>
      </w:tblPr>
      <w:tr>
        <w:trPr>
          <w:trHeight w:val="179"/>
        </w:trPr>
        <w:tc>
          <w:tcPr>
            <w:tcW w:w="58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Item</w:t>
            </w: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r>
      <w:tr>
        <w:trPr>
          <w:trHeight w:val="173"/>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SEC registration fee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5840" w:type="dxa"/>
            <w:vAlign w:val="bottom"/>
          </w:tcPr>
          <w:p>
            <w:pPr>
              <w:spacing w:after="0"/>
              <w:rPr>
                <w:sz w:val="20"/>
                <w:szCs w:val="20"/>
                <w:color w:val="auto"/>
              </w:rPr>
            </w:pPr>
            <w:r>
              <w:rPr>
                <w:rFonts w:ascii="Arial" w:cs="Arial" w:eastAsia="Arial" w:hAnsi="Arial"/>
                <w:sz w:val="14"/>
                <w:szCs w:val="14"/>
                <w:color w:val="auto"/>
              </w:rPr>
              <w:t>FINRA filing fee</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5"/>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Nasdaq Global Select Market listing fee</w:t>
            </w:r>
          </w:p>
        </w:tc>
        <w:tc>
          <w:tcPr>
            <w:tcW w:w="2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5840" w:type="dxa"/>
            <w:vAlign w:val="bottom"/>
          </w:tcPr>
          <w:p>
            <w:pPr>
              <w:spacing w:after="0"/>
              <w:rPr>
                <w:sz w:val="20"/>
                <w:szCs w:val="20"/>
                <w:color w:val="auto"/>
              </w:rPr>
            </w:pPr>
            <w:r>
              <w:rPr>
                <w:rFonts w:ascii="Arial" w:cs="Arial" w:eastAsia="Arial" w:hAnsi="Arial"/>
                <w:sz w:val="14"/>
                <w:szCs w:val="14"/>
                <w:color w:val="auto"/>
              </w:rPr>
              <w:t>Printing expenses</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5"/>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Legal fees and expenses</w:t>
            </w:r>
          </w:p>
        </w:tc>
        <w:tc>
          <w:tcPr>
            <w:tcW w:w="2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5840" w:type="dxa"/>
            <w:vAlign w:val="bottom"/>
          </w:tcPr>
          <w:p>
            <w:pPr>
              <w:spacing w:after="0"/>
              <w:rPr>
                <w:sz w:val="20"/>
                <w:szCs w:val="20"/>
                <w:color w:val="auto"/>
              </w:rPr>
            </w:pPr>
            <w:r>
              <w:rPr>
                <w:rFonts w:ascii="Arial" w:cs="Arial" w:eastAsia="Arial" w:hAnsi="Arial"/>
                <w:sz w:val="14"/>
                <w:szCs w:val="14"/>
                <w:color w:val="auto"/>
              </w:rPr>
              <w:t>Accounting fees and expenses</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5"/>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Blue Sky, qualification fees and expenses</w:t>
            </w:r>
          </w:p>
        </w:tc>
        <w:tc>
          <w:tcPr>
            <w:tcW w:w="2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5840" w:type="dxa"/>
            <w:vAlign w:val="bottom"/>
          </w:tcPr>
          <w:p>
            <w:pPr>
              <w:spacing w:after="0"/>
              <w:rPr>
                <w:sz w:val="20"/>
                <w:szCs w:val="20"/>
                <w:color w:val="auto"/>
              </w:rPr>
            </w:pPr>
            <w:r>
              <w:rPr>
                <w:rFonts w:ascii="Arial" w:cs="Arial" w:eastAsia="Arial" w:hAnsi="Arial"/>
                <w:sz w:val="14"/>
                <w:szCs w:val="14"/>
                <w:color w:val="auto"/>
              </w:rPr>
              <w:t>Transfer agent fees and expenses</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8"/>
        </w:trPr>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Miscellaneous expenses</w:t>
            </w:r>
          </w:p>
        </w:tc>
        <w:tc>
          <w:tcPr>
            <w:tcW w:w="2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9"/>
        </w:trPr>
        <w:tc>
          <w:tcPr>
            <w:tcW w:w="5840" w:type="dxa"/>
            <w:vAlign w:val="bottom"/>
          </w:tcPr>
          <w:p>
            <w:pPr>
              <w:ind w:left="14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20955</wp:posOffset>
            </wp:positionV>
            <wp:extent cx="4165600" cy="69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165600" cy="6985"/>
                    </a:xfrm>
                    <a:prstGeom prst="rect">
                      <a:avLst/>
                    </a:prstGeom>
                    <a:noFill/>
                  </pic:spPr>
                </pic:pic>
              </a:graphicData>
            </a:graphic>
          </wp:anchor>
        </w:drawing>
      </w:r>
    </w:p>
    <w:p>
      <w:pPr>
        <w:spacing w:after="0" w:line="66" w:lineRule="exact"/>
        <w:rPr>
          <w:sz w:val="20"/>
          <w:szCs w:val="20"/>
          <w:color w:val="auto"/>
        </w:rPr>
      </w:pPr>
    </w:p>
    <w:p>
      <w:pPr>
        <w:ind w:left="1220"/>
        <w:spacing w:after="0"/>
        <w:tabs>
          <w:tab w:leader="none" w:pos="1340" w:val="left"/>
        </w:tabs>
        <w:rPr>
          <w:sz w:val="20"/>
          <w:szCs w:val="20"/>
          <w:color w:val="auto"/>
        </w:rPr>
      </w:pPr>
      <w:r>
        <w:rPr>
          <w:rFonts w:ascii="Arial" w:cs="Arial" w:eastAsia="Arial" w:hAnsi="Arial"/>
          <w:sz w:val="11"/>
          <w:szCs w:val="11"/>
          <w:color w:val="auto"/>
        </w:rPr>
        <w:t>*</w:t>
        <w:tab/>
        <w:t>To be filed by amendment.</w:t>
      </w:r>
    </w:p>
    <w:p>
      <w:pPr>
        <w:spacing w:after="0" w:line="14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133" w:lineRule="exact"/>
        <w:rPr>
          <w:sz w:val="20"/>
          <w:szCs w:val="20"/>
          <w:color w:val="auto"/>
        </w:rPr>
      </w:pPr>
    </w:p>
    <w:p>
      <w:pPr>
        <w:ind w:left="1220" w:right="1279"/>
        <w:spacing w:after="0" w:line="260" w:lineRule="auto"/>
        <w:rPr>
          <w:sz w:val="20"/>
          <w:szCs w:val="20"/>
          <w:color w:val="auto"/>
        </w:rPr>
      </w:pPr>
      <w:r>
        <w:rPr>
          <w:rFonts w:ascii="Arial" w:cs="Arial" w:eastAsia="Arial" w:hAnsi="Arial"/>
          <w:sz w:val="14"/>
          <w:szCs w:val="14"/>
          <w:color w:val="auto"/>
        </w:rPr>
        <w:t>As permitted by Section 102 of the DGCL, our second amended and restated certificate of incorporation and amended and restated bylaws to be in effect immediately prior to the closing of this offering will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257" w:lineRule="exact"/>
        <w:rPr>
          <w:sz w:val="20"/>
          <w:szCs w:val="20"/>
          <w:color w:val="auto"/>
        </w:rPr>
      </w:pPr>
    </w:p>
    <w:p>
      <w:pPr>
        <w:ind w:left="1340" w:hanging="116"/>
        <w:spacing w:after="0"/>
        <w:tabs>
          <w:tab w:leader="none" w:pos="13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any breach of the director’s duty of loyalty to us or our stockholders;</w:t>
      </w:r>
    </w:p>
    <w:p>
      <w:pPr>
        <w:spacing w:after="0" w:line="11" w:lineRule="exact"/>
        <w:rPr>
          <w:rFonts w:ascii="Arial" w:cs="Arial" w:eastAsia="Arial" w:hAnsi="Arial"/>
          <w:sz w:val="14"/>
          <w:szCs w:val="14"/>
          <w:color w:val="auto"/>
        </w:rPr>
      </w:pPr>
    </w:p>
    <w:p>
      <w:pPr>
        <w:ind w:left="1340" w:right="1739" w:hanging="116"/>
        <w:spacing w:after="0" w:line="273" w:lineRule="auto"/>
        <w:tabs>
          <w:tab w:leader="none" w:pos="13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any act or omission not in good faith or that involves intentional misconduct or a knowing violation of law;</w:t>
      </w:r>
    </w:p>
    <w:p>
      <w:pPr>
        <w:ind w:left="1340" w:right="1279" w:hanging="116"/>
        <w:spacing w:after="0" w:line="273" w:lineRule="auto"/>
        <w:tabs>
          <w:tab w:leader="none" w:pos="13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any act related to unlawful stock repurchases, redemptions, or other distributions or payment of dividends; or</w:t>
      </w:r>
    </w:p>
    <w:p>
      <w:pPr>
        <w:ind w:left="1340" w:hanging="116"/>
        <w:spacing w:after="0"/>
        <w:tabs>
          <w:tab w:leader="none" w:pos="13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any transaction from which the director derived an improper personal benefit.</w:t>
      </w:r>
    </w:p>
    <w:p>
      <w:pPr>
        <w:spacing w:after="0" w:line="120" w:lineRule="exact"/>
        <w:rPr>
          <w:sz w:val="20"/>
          <w:szCs w:val="20"/>
          <w:color w:val="auto"/>
        </w:rPr>
      </w:pPr>
    </w:p>
    <w:p>
      <w:pPr>
        <w:ind w:left="1220" w:right="1419" w:firstLine="259"/>
        <w:spacing w:after="0" w:line="265" w:lineRule="auto"/>
        <w:rPr>
          <w:sz w:val="20"/>
          <w:szCs w:val="20"/>
          <w:color w:val="auto"/>
        </w:rPr>
      </w:pPr>
      <w:r>
        <w:rPr>
          <w:rFonts w:ascii="Arial" w:cs="Arial" w:eastAsia="Arial" w:hAnsi="Arial"/>
          <w:sz w:val="14"/>
          <w:szCs w:val="14"/>
          <w:color w:val="auto"/>
        </w:rPr>
        <w:t>These limitations of liability do not affect the availability of equitable remedies such as injunctive relief or rescission. Our second amended and restated certificate of incorporation will authorize us to indemnify our officers, directors and other agents to the fullest extent permitted under Delaware law.</w:t>
      </w:r>
    </w:p>
    <w:p>
      <w:pPr>
        <w:spacing w:after="0" w:line="28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As permitted by Section 145 of the DGCL, our amended and restated bylaws will provide that:</w:t>
      </w:r>
    </w:p>
    <w:p>
      <w:pPr>
        <w:spacing w:after="0" w:line="109" w:lineRule="exact"/>
        <w:rPr>
          <w:sz w:val="20"/>
          <w:szCs w:val="20"/>
          <w:color w:val="auto"/>
        </w:rPr>
      </w:pPr>
    </w:p>
    <w:p>
      <w:pPr>
        <w:ind w:left="1340" w:right="1439" w:hanging="116"/>
        <w:spacing w:after="0" w:line="290" w:lineRule="auto"/>
        <w:tabs>
          <w:tab w:leader="none" w:pos="1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we may indemnify our directors, officers, and employees to the fullest extent permitted by the DGCL, subject to limited exceptions;</w:t>
      </w:r>
    </w:p>
    <w:p>
      <w:pPr>
        <w:spacing w:after="0" w:line="64" w:lineRule="exact"/>
        <w:rPr>
          <w:rFonts w:ascii="Arial" w:cs="Arial" w:eastAsia="Arial" w:hAnsi="Arial"/>
          <w:sz w:val="14"/>
          <w:szCs w:val="14"/>
          <w:color w:val="auto"/>
        </w:rPr>
      </w:pPr>
    </w:p>
    <w:p>
      <w:pPr>
        <w:ind w:left="1340" w:right="1379" w:hanging="116"/>
        <w:spacing w:after="0" w:line="290" w:lineRule="auto"/>
        <w:tabs>
          <w:tab w:leader="none" w:pos="1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we may advance expenses to our directors, officers, and employees in connection with a legal proceeding to the fullest extent permitted by the DGCL, subject to limited exceptions; and</w:t>
      </w:r>
    </w:p>
    <w:p>
      <w:pPr>
        <w:spacing w:after="0" w:line="53" w:lineRule="exact"/>
        <w:rPr>
          <w:rFonts w:ascii="Arial" w:cs="Arial" w:eastAsia="Arial" w:hAnsi="Arial"/>
          <w:sz w:val="14"/>
          <w:szCs w:val="14"/>
          <w:color w:val="auto"/>
        </w:rPr>
      </w:pPr>
    </w:p>
    <w:p>
      <w:pPr>
        <w:ind w:left="1340" w:hanging="116"/>
        <w:spacing w:after="0"/>
        <w:tabs>
          <w:tab w:leader="none" w:pos="13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rights provided in our amended and restated bylaws are not exclusive.</w:t>
      </w:r>
    </w:p>
    <w:p>
      <w:pPr>
        <w:spacing w:after="0" w:line="130" w:lineRule="exact"/>
        <w:rPr>
          <w:sz w:val="20"/>
          <w:szCs w:val="20"/>
          <w:color w:val="auto"/>
        </w:rPr>
      </w:pPr>
    </w:p>
    <w:p>
      <w:pPr>
        <w:ind w:left="1220" w:right="1319"/>
        <w:spacing w:after="0" w:line="265" w:lineRule="auto"/>
        <w:rPr>
          <w:sz w:val="20"/>
          <w:szCs w:val="20"/>
          <w:color w:val="auto"/>
        </w:rPr>
      </w:pPr>
      <w:r>
        <w:rPr>
          <w:rFonts w:ascii="Arial" w:cs="Arial" w:eastAsia="Arial" w:hAnsi="Arial"/>
          <w:sz w:val="14"/>
          <w:szCs w:val="14"/>
          <w:color w:val="auto"/>
        </w:rPr>
        <w:t>Our second amended and restated certificate of incorporation and our amended and restated bylaws will provide for the indemnification provisions described above and elsewhere herein. We have entered into, and intend to</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65" w:name="page266"/>
    <w:bookmarkEnd w:id="265"/>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right="1259"/>
        <w:spacing w:after="0" w:line="275" w:lineRule="auto"/>
        <w:rPr>
          <w:sz w:val="20"/>
          <w:szCs w:val="20"/>
          <w:color w:val="auto"/>
        </w:rPr>
      </w:pPr>
      <w:r>
        <w:rPr>
          <w:rFonts w:ascii="Arial" w:cs="Arial" w:eastAsia="Arial" w:hAnsi="Arial"/>
          <w:sz w:val="14"/>
          <w:szCs w:val="14"/>
          <w:color w:val="auto"/>
        </w:rPr>
        <w:t>continue to enter into, separate indemnification agreements with our directors and officers that may be broader than the specific indemnification provisions contained in the DGCL.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w:t>
      </w:r>
    </w:p>
    <w:p>
      <w:pPr>
        <w:spacing w:after="0" w:line="282" w:lineRule="exact"/>
        <w:rPr>
          <w:sz w:val="20"/>
          <w:szCs w:val="20"/>
          <w:color w:val="auto"/>
        </w:rPr>
      </w:pPr>
    </w:p>
    <w:p>
      <w:pPr>
        <w:ind w:left="1220" w:right="1339"/>
        <w:spacing w:after="0" w:line="283" w:lineRule="auto"/>
        <w:rPr>
          <w:sz w:val="20"/>
          <w:szCs w:val="20"/>
          <w:color w:val="auto"/>
        </w:rPr>
      </w:pPr>
      <w:r>
        <w:rPr>
          <w:rFonts w:ascii="Arial" w:cs="Arial" w:eastAsia="Arial" w:hAnsi="Arial"/>
          <w:sz w:val="14"/>
          <w:szCs w:val="14"/>
          <w:color w:val="auto"/>
        </w:rPr>
        <w:t>We have purchased and currently intend to maintain insurance on behalf of each and every person who is or was a director or officer of the company against any loss arising from any claim asserted against him or her and incurred by him or her in any such capacity, subject to certain exclusions.</w:t>
      </w:r>
    </w:p>
    <w:p>
      <w:pPr>
        <w:spacing w:after="0" w:line="283" w:lineRule="exact"/>
        <w:rPr>
          <w:sz w:val="20"/>
          <w:szCs w:val="20"/>
          <w:color w:val="auto"/>
        </w:rPr>
      </w:pPr>
    </w:p>
    <w:p>
      <w:pPr>
        <w:ind w:left="1220" w:right="1399"/>
        <w:spacing w:after="0" w:line="281" w:lineRule="auto"/>
        <w:rPr>
          <w:sz w:val="20"/>
          <w:szCs w:val="20"/>
          <w:color w:val="auto"/>
        </w:rPr>
      </w:pPr>
      <w:r>
        <w:rPr>
          <w:rFonts w:ascii="Arial" w:cs="Arial" w:eastAsia="Arial" w:hAnsi="Arial"/>
          <w:sz w:val="14"/>
          <w:szCs w:val="14"/>
          <w:color w:val="auto"/>
        </w:rPr>
        <w:t>The form of underwriting agreement for this initial public offering provides for indemnification by the underwriters of us and our officers and directors who sign this registration statement for specified liabilities, including matters arising under the Securities Act.</w:t>
      </w:r>
    </w:p>
    <w:p>
      <w:pPr>
        <w:spacing w:after="0" w:line="1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144" w:lineRule="exact"/>
        <w:rPr>
          <w:sz w:val="20"/>
          <w:szCs w:val="20"/>
          <w:color w:val="auto"/>
        </w:rPr>
      </w:pPr>
    </w:p>
    <w:p>
      <w:pPr>
        <w:ind w:left="1220" w:right="1719" w:firstLine="259"/>
        <w:spacing w:after="0" w:line="278" w:lineRule="auto"/>
        <w:rPr>
          <w:sz w:val="20"/>
          <w:szCs w:val="20"/>
          <w:color w:val="auto"/>
        </w:rPr>
      </w:pPr>
      <w:r>
        <w:rPr>
          <w:rFonts w:ascii="Arial" w:cs="Arial" w:eastAsia="Arial" w:hAnsi="Arial"/>
          <w:sz w:val="14"/>
          <w:szCs w:val="14"/>
          <w:color w:val="auto"/>
        </w:rPr>
        <w:t>Set forth below is information regarding all unregistered securities sold by us since our inception in 2018. Also included is the consideration received by us for such securities and information relating to the section of the Securities Act, or rule of the SEC, under which exemption from registration was claimed.</w:t>
      </w:r>
    </w:p>
    <w:p>
      <w:pPr>
        <w:spacing w:after="0" w:line="123" w:lineRule="exact"/>
        <w:rPr>
          <w:sz w:val="20"/>
          <w:szCs w:val="20"/>
          <w:color w:val="auto"/>
        </w:rPr>
      </w:pPr>
    </w:p>
    <w:p>
      <w:pPr>
        <w:ind w:left="1480" w:right="2559" w:hanging="256"/>
        <w:spacing w:after="0" w:line="446" w:lineRule="auto"/>
        <w:tabs>
          <w:tab w:leader="none" w:pos="1479" w:val="left"/>
        </w:tabs>
        <w:numPr>
          <w:ilvl w:val="0"/>
          <w:numId w:val="13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Units in Century Therapeutics, LLC (prior to the 2021 Reorganization) </w:t>
      </w:r>
      <w:r>
        <w:rPr>
          <w:rFonts w:ascii="Arial" w:cs="Arial" w:eastAsia="Arial" w:hAnsi="Arial"/>
          <w:sz w:val="14"/>
          <w:szCs w:val="14"/>
          <w:i w:val="1"/>
          <w:iCs w:val="1"/>
          <w:color w:val="auto"/>
        </w:rPr>
        <w:t>a. Century Therapeutics, Inc. and Bayer HealthCare LLC</w:t>
      </w:r>
    </w:p>
    <w:p>
      <w:pPr>
        <w:ind w:left="1220" w:right="1339"/>
        <w:spacing w:after="0" w:line="276" w:lineRule="auto"/>
        <w:rPr>
          <w:sz w:val="20"/>
          <w:szCs w:val="20"/>
          <w:color w:val="auto"/>
        </w:rPr>
      </w:pPr>
      <w:r>
        <w:rPr>
          <w:rFonts w:ascii="Arial" w:cs="Arial" w:eastAsia="Arial" w:hAnsi="Arial"/>
          <w:sz w:val="14"/>
          <w:szCs w:val="14"/>
          <w:color w:val="auto"/>
        </w:rPr>
        <w:t>On June 21, 2019, we issued 26,143,790 units to Bayer and 67,226,891 units to Prior Century in connection with the Commitment Agreement. Pursuant to the Commitment Agreement, Bayer agreed to make an aggregate cash contribution to us in the amount of $145 million as consideration for the 26,143,790 units issued to Bayer. Pursuant to the Commitment Agreement and a Contribution Agreement between Prior Century and us, dated June 21, 2019, or the Contribution Agreement, Prior Century contributed substantially all of its assets including contracts, intellectual property and research and development assets, as consideration for the 67,226,891 units issued to Prior Century.</w:t>
      </w:r>
    </w:p>
    <w:p>
      <w:pPr>
        <w:spacing w:after="0" w:line="276" w:lineRule="exact"/>
        <w:rPr>
          <w:sz w:val="20"/>
          <w:szCs w:val="20"/>
          <w:color w:val="auto"/>
        </w:rPr>
      </w:pPr>
    </w:p>
    <w:p>
      <w:pPr>
        <w:ind w:left="1480"/>
        <w:spacing w:after="0"/>
        <w:tabs>
          <w:tab w:leader="none" w:pos="1720" w:val="left"/>
        </w:tabs>
        <w:rPr>
          <w:sz w:val="20"/>
          <w:szCs w:val="20"/>
          <w:color w:val="auto"/>
        </w:rPr>
      </w:pPr>
      <w:r>
        <w:rPr>
          <w:rFonts w:ascii="Arial" w:cs="Arial" w:eastAsia="Arial" w:hAnsi="Arial"/>
          <w:sz w:val="14"/>
          <w:szCs w:val="14"/>
          <w:i w:val="1"/>
          <w:iCs w:val="1"/>
          <w:color w:val="auto"/>
        </w:rPr>
        <w:t>b.</w:t>
        <w:tab/>
        <w:t>Hercules Capital, Inc.</w:t>
      </w:r>
    </w:p>
    <w:p>
      <w:pPr>
        <w:spacing w:after="0" w:line="144" w:lineRule="exact"/>
        <w:rPr>
          <w:sz w:val="20"/>
          <w:szCs w:val="20"/>
          <w:color w:val="auto"/>
        </w:rPr>
      </w:pPr>
    </w:p>
    <w:p>
      <w:pPr>
        <w:ind w:left="1220" w:right="1259"/>
        <w:spacing w:after="0" w:line="274" w:lineRule="auto"/>
        <w:rPr>
          <w:sz w:val="20"/>
          <w:szCs w:val="20"/>
          <w:color w:val="auto"/>
        </w:rPr>
      </w:pPr>
      <w:r>
        <w:rPr>
          <w:rFonts w:ascii="Arial" w:cs="Arial" w:eastAsia="Arial" w:hAnsi="Arial"/>
          <w:sz w:val="14"/>
          <w:szCs w:val="14"/>
          <w:color w:val="auto"/>
        </w:rPr>
        <w:t>On September 14, 2020, we issued a warrant, or the Hercules Warrant, to purchase units at an exercise price of $5.55 per unit to Hercules Technology Management Co II, Inc., in connection with a Loan and Security Agreement by and between Hercules Capital, Inc., or together with Hercules Technology Management Co II, Inc., Hercules, and us, or the Loan and Security Agreement, whereby Hercules acted as administrative agent and collateral agent for a loan in an aggregate principal amount of up to $30 million. In connection with the 2021 Reorganization, the Hercules Warrant converted to a warrant to purchase shares of our common stock. The Hercules Warrant provides for warrant coverage of 2.25% of the aggregate principal amount of the term loan advances made to us under the Loan and Security Agreement. There are three $10 million tranches available under the Loan and Security Agreement. As of April 30, 2021, the aggregate principal amount outstanding under the Loan and Security Agreement is $10 million, providing for warrant coverage of 40,450 shares. If we draw on any additional tranches under the Loan and Security Agreement, the number of shares of our common stock underlying the Hercules Warrant will increase proportionally, up to a maximum aggregate amount of 121,620 shares. The issuance of shares upon exercise by Hercules will constitute a transaction exempt from the registration requirements of Section 5 of the Securities Act, in reliance upon Section 4(a)(2) thereof.</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66" w:name="page267"/>
    <w:bookmarkEnd w:id="266"/>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740" w:hanging="257"/>
        <w:spacing w:after="0"/>
        <w:tabs>
          <w:tab w:leader="none" w:pos="1740" w:val="left"/>
        </w:tabs>
        <w:numPr>
          <w:ilvl w:val="0"/>
          <w:numId w:val="131"/>
        </w:numPr>
        <w:rPr>
          <w:rFonts w:ascii="Arial" w:cs="Arial" w:eastAsia="Arial" w:hAnsi="Arial"/>
          <w:sz w:val="14"/>
          <w:szCs w:val="14"/>
          <w:color w:val="auto"/>
        </w:rPr>
      </w:pPr>
      <w:r>
        <w:rPr>
          <w:rFonts w:ascii="Arial" w:cs="Arial" w:eastAsia="Arial" w:hAnsi="Arial"/>
          <w:sz w:val="14"/>
          <w:szCs w:val="14"/>
          <w:i w:val="1"/>
          <w:iCs w:val="1"/>
          <w:color w:val="auto"/>
        </w:rPr>
        <w:t>Century Therapeutics, Inc.</w:t>
      </w:r>
    </w:p>
    <w:p>
      <w:pPr>
        <w:spacing w:after="0" w:line="144" w:lineRule="exact"/>
        <w:rPr>
          <w:sz w:val="20"/>
          <w:szCs w:val="20"/>
          <w:color w:val="auto"/>
        </w:rPr>
      </w:pPr>
    </w:p>
    <w:p>
      <w:pPr>
        <w:ind w:left="1220" w:right="1259"/>
        <w:spacing w:after="0" w:line="276" w:lineRule="auto"/>
        <w:rPr>
          <w:sz w:val="20"/>
          <w:szCs w:val="20"/>
          <w:color w:val="auto"/>
        </w:rPr>
      </w:pPr>
      <w:r>
        <w:rPr>
          <w:rFonts w:ascii="Arial" w:cs="Arial" w:eastAsia="Arial" w:hAnsi="Arial"/>
          <w:sz w:val="14"/>
          <w:szCs w:val="14"/>
          <w:color w:val="auto"/>
        </w:rPr>
        <w:t>Following the determination of the board of managers of Century Therapeutics, LLC that the available shares of Prior Century common stock authorized for issuance under the 2018 Plan was insufficient to incentivize and encourage the current and prospective employees, consultants, independent contractors and other persons providing services to us, on January 1, 2021, we issued 3,021,890 units to Prior Century pursuant to Section 8.14 of our Amended and Restated Limited Liability Company Agreement, as amended. Following the issuance of such units to Prior Century, the number of shares of common stock of Prior Century reserved for issuance under the 2018 Plan was increased by 3,021,890.</w:t>
      </w:r>
    </w:p>
    <w:p>
      <w:pPr>
        <w:spacing w:after="0" w:line="306" w:lineRule="exact"/>
        <w:rPr>
          <w:sz w:val="20"/>
          <w:szCs w:val="20"/>
          <w:color w:val="auto"/>
        </w:rPr>
      </w:pPr>
    </w:p>
    <w:p>
      <w:pPr>
        <w:ind w:left="1480" w:hanging="256"/>
        <w:spacing w:after="0"/>
        <w:tabs>
          <w:tab w:leader="none" w:pos="1480" w:val="left"/>
        </w:tabs>
        <w:numPr>
          <w:ilvl w:val="0"/>
          <w:numId w:val="13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Corporate Reorganization</w:t>
      </w:r>
    </w:p>
    <w:p>
      <w:pPr>
        <w:spacing w:after="0" w:line="113" w:lineRule="exact"/>
        <w:rPr>
          <w:rFonts w:ascii="Arial" w:cs="Arial" w:eastAsia="Arial" w:hAnsi="Arial"/>
          <w:sz w:val="14"/>
          <w:szCs w:val="14"/>
          <w:b w:val="1"/>
          <w:bCs w:val="1"/>
          <w:i w:val="1"/>
          <w:iCs w:val="1"/>
          <w:color w:val="auto"/>
        </w:rPr>
      </w:pPr>
    </w:p>
    <w:p>
      <w:pPr>
        <w:ind w:left="1740" w:right="1319" w:hanging="257"/>
        <w:spacing w:after="0" w:line="275" w:lineRule="auto"/>
        <w:tabs>
          <w:tab w:leader="none" w:pos="1740" w:val="left"/>
        </w:tabs>
        <w:numPr>
          <w:ilvl w:val="1"/>
          <w:numId w:val="132"/>
        </w:numPr>
        <w:rPr>
          <w:rFonts w:ascii="Arial" w:cs="Arial" w:eastAsia="Arial" w:hAnsi="Arial"/>
          <w:sz w:val="14"/>
          <w:szCs w:val="14"/>
          <w:color w:val="auto"/>
        </w:rPr>
      </w:pPr>
      <w:r>
        <w:rPr>
          <w:rFonts w:ascii="Arial" w:cs="Arial" w:eastAsia="Arial" w:hAnsi="Arial"/>
          <w:sz w:val="14"/>
          <w:szCs w:val="14"/>
          <w:color w:val="auto"/>
        </w:rPr>
        <w:t>In connection with the 2021 Reorganization, all units held by Bayer were converted into an aggregate of 26,143,790 shares of our Series B preferred stock, and the units held by Prior Century were converted into 35,000,000 shares of our Class 1 Series A preferred stock and 35,248,781 shares of our Class 1 common stock. Immediately upon the completion of the 2021 Reorganization, Prior Century merged with and into us, and all shares of Class 1 Series A preferred stock and Class 1 common stock were cancelled for no consideration, and the holders of equity interests in Prior Century exchanged all of such equity interests in Prior Century for an aggregate of 35,000,000 shares of our Series A preferred stock and 24,381,382 shares of our common stock.</w:t>
      </w:r>
    </w:p>
    <w:p>
      <w:pPr>
        <w:spacing w:after="0" w:line="125" w:lineRule="exact"/>
        <w:rPr>
          <w:rFonts w:ascii="Arial" w:cs="Arial" w:eastAsia="Arial" w:hAnsi="Arial"/>
          <w:sz w:val="14"/>
          <w:szCs w:val="14"/>
          <w:color w:val="auto"/>
        </w:rPr>
      </w:pPr>
    </w:p>
    <w:p>
      <w:pPr>
        <w:ind w:left="1480" w:hanging="256"/>
        <w:spacing w:after="0"/>
        <w:tabs>
          <w:tab w:leader="none" w:pos="1480" w:val="left"/>
        </w:tabs>
        <w:numPr>
          <w:ilvl w:val="0"/>
          <w:numId w:val="13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Series C Preferred Stock</w:t>
      </w:r>
    </w:p>
    <w:p>
      <w:pPr>
        <w:spacing w:after="0" w:line="113" w:lineRule="exact"/>
        <w:rPr>
          <w:rFonts w:ascii="Arial" w:cs="Arial" w:eastAsia="Arial" w:hAnsi="Arial"/>
          <w:sz w:val="14"/>
          <w:szCs w:val="14"/>
          <w:b w:val="1"/>
          <w:bCs w:val="1"/>
          <w:i w:val="1"/>
          <w:iCs w:val="1"/>
          <w:color w:val="auto"/>
        </w:rPr>
      </w:pPr>
    </w:p>
    <w:p>
      <w:pPr>
        <w:ind w:left="1740" w:right="1259" w:hanging="257"/>
        <w:spacing w:after="0" w:line="283" w:lineRule="auto"/>
        <w:tabs>
          <w:tab w:leader="none" w:pos="1740" w:val="left"/>
        </w:tabs>
        <w:numPr>
          <w:ilvl w:val="1"/>
          <w:numId w:val="132"/>
        </w:numPr>
        <w:rPr>
          <w:rFonts w:ascii="Arial" w:cs="Arial" w:eastAsia="Arial" w:hAnsi="Arial"/>
          <w:sz w:val="14"/>
          <w:szCs w:val="14"/>
          <w:color w:val="auto"/>
        </w:rPr>
      </w:pPr>
      <w:r>
        <w:rPr>
          <w:rFonts w:ascii="Arial" w:cs="Arial" w:eastAsia="Arial" w:hAnsi="Arial"/>
          <w:sz w:val="14"/>
          <w:szCs w:val="14"/>
          <w:color w:val="auto"/>
        </w:rPr>
        <w:t>On February 25, 2021, we completed an offering of Series C preferred stock to various institutional investors. We issued a total of 24,721,999 shares of Series C preferred stock, at a price per share of approximately $6.472, for total gross proceeds of approximately $160 million.</w:t>
      </w:r>
    </w:p>
    <w:p>
      <w:pPr>
        <w:spacing w:after="0" w:line="299" w:lineRule="exact"/>
        <w:rPr>
          <w:rFonts w:ascii="Arial" w:cs="Arial" w:eastAsia="Arial" w:hAnsi="Arial"/>
          <w:sz w:val="14"/>
          <w:szCs w:val="14"/>
          <w:color w:val="auto"/>
        </w:rPr>
      </w:pPr>
    </w:p>
    <w:p>
      <w:pPr>
        <w:ind w:left="1480" w:hanging="256"/>
        <w:spacing w:after="0"/>
        <w:tabs>
          <w:tab w:leader="none" w:pos="1480" w:val="left"/>
        </w:tabs>
        <w:numPr>
          <w:ilvl w:val="0"/>
          <w:numId w:val="13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Equity Awards</w:t>
      </w:r>
    </w:p>
    <w:p>
      <w:pPr>
        <w:spacing w:after="0" w:line="113" w:lineRule="exact"/>
        <w:rPr>
          <w:rFonts w:ascii="Arial" w:cs="Arial" w:eastAsia="Arial" w:hAnsi="Arial"/>
          <w:sz w:val="14"/>
          <w:szCs w:val="14"/>
          <w:b w:val="1"/>
          <w:bCs w:val="1"/>
          <w:i w:val="1"/>
          <w:iCs w:val="1"/>
          <w:color w:val="auto"/>
        </w:rPr>
      </w:pPr>
    </w:p>
    <w:p>
      <w:pPr>
        <w:jc w:val="both"/>
        <w:ind w:left="1740" w:right="1339" w:hanging="257"/>
        <w:spacing w:after="0" w:line="278" w:lineRule="auto"/>
        <w:tabs>
          <w:tab w:leader="none" w:pos="1740" w:val="left"/>
        </w:tabs>
        <w:numPr>
          <w:ilvl w:val="1"/>
          <w:numId w:val="132"/>
        </w:numPr>
        <w:rPr>
          <w:rFonts w:ascii="Arial" w:cs="Arial" w:eastAsia="Arial" w:hAnsi="Arial"/>
          <w:sz w:val="14"/>
          <w:szCs w:val="14"/>
          <w:color w:val="auto"/>
        </w:rPr>
      </w:pPr>
      <w:r>
        <w:rPr>
          <w:rFonts w:ascii="Arial" w:cs="Arial" w:eastAsia="Arial" w:hAnsi="Arial"/>
          <w:sz w:val="14"/>
          <w:szCs w:val="14"/>
          <w:color w:val="auto"/>
        </w:rPr>
        <w:t>Since our inception, we have granted stock options to employees, officers, directors and consultants, covering an aggregate of 13,193,113 shares of our common stock, having a weighted average exercise price of $.74 per share, in connection with services provided to us by such parties.</w:t>
      </w:r>
    </w:p>
    <w:p>
      <w:pPr>
        <w:spacing w:after="0" w:line="106" w:lineRule="exact"/>
        <w:rPr>
          <w:rFonts w:ascii="Arial" w:cs="Arial" w:eastAsia="Arial" w:hAnsi="Arial"/>
          <w:sz w:val="14"/>
          <w:szCs w:val="14"/>
          <w:color w:val="auto"/>
        </w:rPr>
      </w:pPr>
    </w:p>
    <w:p>
      <w:pPr>
        <w:ind w:left="1740" w:right="1499" w:hanging="257"/>
        <w:spacing w:after="0" w:line="281" w:lineRule="auto"/>
        <w:tabs>
          <w:tab w:leader="none" w:pos="1740" w:val="left"/>
        </w:tabs>
        <w:numPr>
          <w:ilvl w:val="1"/>
          <w:numId w:val="132"/>
        </w:numPr>
        <w:rPr>
          <w:rFonts w:ascii="Arial" w:cs="Arial" w:eastAsia="Arial" w:hAnsi="Arial"/>
          <w:sz w:val="14"/>
          <w:szCs w:val="14"/>
          <w:color w:val="auto"/>
        </w:rPr>
      </w:pPr>
      <w:r>
        <w:rPr>
          <w:rFonts w:ascii="Arial" w:cs="Arial" w:eastAsia="Arial" w:hAnsi="Arial"/>
          <w:sz w:val="14"/>
          <w:szCs w:val="14"/>
          <w:color w:val="auto"/>
        </w:rPr>
        <w:t>Since our inception, we have issued an aggregate of 3,823,192 shares of our common stock to employees, officers, directors, and consultants upon their exercise of stock options, for aggregate cash consideration of approximately $1.5 million.</w:t>
      </w:r>
    </w:p>
    <w:p>
      <w:pPr>
        <w:spacing w:after="0" w:line="103" w:lineRule="exact"/>
        <w:rPr>
          <w:sz w:val="20"/>
          <w:szCs w:val="20"/>
          <w:color w:val="auto"/>
        </w:rPr>
      </w:pPr>
    </w:p>
    <w:p>
      <w:pPr>
        <w:ind w:left="1220" w:right="1299"/>
        <w:spacing w:after="0" w:line="275" w:lineRule="auto"/>
        <w:rPr>
          <w:sz w:val="20"/>
          <w:szCs w:val="20"/>
          <w:color w:val="auto"/>
        </w:rPr>
      </w:pPr>
      <w:r>
        <w:rPr>
          <w:rFonts w:ascii="Arial" w:cs="Arial" w:eastAsia="Arial" w:hAnsi="Arial"/>
          <w:sz w:val="14"/>
          <w:szCs w:val="14"/>
          <w:color w:val="auto"/>
        </w:rPr>
        <w:t>Unless otherwise stated, the issuances of the above securities were deemed to be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Individuals who purchased securities as described above represented their intention to acquire the securities for investment only and not with a view to or for sale in connection with any distribution thereof, and appropriate legends were affixed to the share certificates issued in such transactions.</w:t>
      </w:r>
    </w:p>
    <w:p>
      <w:pPr>
        <w:spacing w:after="0" w:line="100" w:lineRule="exact"/>
        <w:rPr>
          <w:sz w:val="20"/>
          <w:szCs w:val="20"/>
          <w:color w:val="auto"/>
        </w:rPr>
      </w:pPr>
    </w:p>
    <w:p>
      <w:pPr>
        <w:ind w:left="1220" w:right="1939"/>
        <w:spacing w:after="0" w:line="290" w:lineRule="auto"/>
        <w:rPr>
          <w:sz w:val="20"/>
          <w:szCs w:val="20"/>
          <w:color w:val="auto"/>
        </w:rPr>
      </w:pPr>
      <w:r>
        <w:rPr>
          <w:rFonts w:ascii="Arial" w:cs="Arial" w:eastAsia="Arial" w:hAnsi="Arial"/>
          <w:sz w:val="14"/>
          <w:szCs w:val="14"/>
          <w:color w:val="auto"/>
        </w:rPr>
        <w:t>None of the foregoing transactions involved any underwriters, underwriting discounts or commissions or any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67" w:name="page268"/>
    <w:bookmarkEnd w:id="267"/>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160" w:lineRule="exact"/>
        <w:rPr>
          <w:sz w:val="20"/>
          <w:szCs w:val="20"/>
          <w:color w:val="auto"/>
        </w:rPr>
      </w:pPr>
    </w:p>
    <w:p>
      <w:pPr>
        <w:ind w:left="1220"/>
        <w:spacing w:after="0"/>
        <w:tabs>
          <w:tab w:leader="none" w:pos="1520" w:val="left"/>
        </w:tabs>
        <w:rPr>
          <w:sz w:val="20"/>
          <w:szCs w:val="20"/>
          <w:color w:val="auto"/>
        </w:rPr>
      </w:pPr>
      <w:r>
        <w:rPr>
          <w:rFonts w:ascii="Arial" w:cs="Arial" w:eastAsia="Arial" w:hAnsi="Arial"/>
          <w:sz w:val="14"/>
          <w:szCs w:val="14"/>
          <w:b w:val="1"/>
          <w:bCs w:val="1"/>
          <w:i w:val="1"/>
          <w:iCs w:val="1"/>
          <w:color w:val="auto"/>
        </w:rPr>
        <w:t>(a)</w:t>
        <w:tab/>
        <w:t>Exhibits.</w:t>
      </w:r>
    </w:p>
    <w:p>
      <w:pPr>
        <w:spacing w:after="0" w:line="13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exhibits listed below are filed as part of this registration statement.</w:t>
      </w:r>
    </w:p>
    <w:p>
      <w:pPr>
        <w:spacing w:after="0" w:line="170" w:lineRule="exact"/>
        <w:rPr>
          <w:sz w:val="20"/>
          <w:szCs w:val="20"/>
          <w:color w:val="auto"/>
        </w:rPr>
      </w:pPr>
    </w:p>
    <w:tbl>
      <w:tblPr>
        <w:tblLayout w:type="fixed"/>
        <w:tblInd w:w="1220" w:type="dxa"/>
        <w:tblCellMar>
          <w:top w:w="0" w:type="dxa"/>
          <w:left w:w="0" w:type="dxa"/>
          <w:bottom w:w="0" w:type="dxa"/>
          <w:right w:w="0" w:type="dxa"/>
        </w:tblCellMar>
      </w:tblPr>
      <w:tr>
        <w:trPr>
          <w:trHeight w:val="151"/>
        </w:trPr>
        <w:tc>
          <w:tcPr>
            <w:tcW w:w="3080" w:type="dxa"/>
            <w:vAlign w:val="bottom"/>
          </w:tcPr>
          <w:p>
            <w:pPr>
              <w:ind w:left="40"/>
              <w:spacing w:after="0"/>
              <w:rPr>
                <w:sz w:val="20"/>
                <w:szCs w:val="20"/>
                <w:color w:val="auto"/>
              </w:rPr>
            </w:pPr>
            <w:r>
              <w:rPr>
                <w:rFonts w:ascii="Arial" w:cs="Arial" w:eastAsia="Arial" w:hAnsi="Arial"/>
                <w:sz w:val="13"/>
                <w:szCs w:val="13"/>
                <w:b w:val="1"/>
                <w:bCs w:val="1"/>
                <w:color w:val="auto"/>
              </w:rPr>
              <w:t>Exhibit</w:t>
            </w:r>
          </w:p>
        </w:tc>
        <w:tc>
          <w:tcPr>
            <w:tcW w:w="4380" w:type="dxa"/>
            <w:vAlign w:val="bottom"/>
          </w:tcPr>
          <w:p>
            <w:pPr>
              <w:spacing w:after="0"/>
              <w:rPr>
                <w:sz w:val="13"/>
                <w:szCs w:val="13"/>
                <w:color w:val="auto"/>
              </w:rPr>
            </w:pPr>
          </w:p>
        </w:tc>
      </w:tr>
      <w:tr>
        <w:trPr>
          <w:trHeight w:val="174"/>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Number</w:t>
            </w:r>
          </w:p>
        </w:tc>
        <w:tc>
          <w:tcPr>
            <w:tcW w:w="438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Exhibit description</w:t>
            </w:r>
          </w:p>
        </w:tc>
      </w:tr>
      <w:tr>
        <w:trPr>
          <w:trHeight w:val="186"/>
        </w:trPr>
        <w:tc>
          <w:tcPr>
            <w:tcW w:w="3080" w:type="dxa"/>
            <w:vAlign w:val="bottom"/>
          </w:tcPr>
          <w:p>
            <w:pPr>
              <w:ind w:left="260"/>
              <w:spacing w:after="0"/>
              <w:rPr>
                <w:sz w:val="20"/>
                <w:szCs w:val="20"/>
                <w:color w:val="auto"/>
              </w:rPr>
            </w:pPr>
            <w:r>
              <w:rPr>
                <w:rFonts w:ascii="Arial" w:cs="Arial" w:eastAsia="Arial" w:hAnsi="Arial"/>
                <w:sz w:val="14"/>
                <w:szCs w:val="14"/>
                <w:color w:val="auto"/>
              </w:rPr>
              <w:t>1.1† Form of Underwriting Agreement</w:t>
            </w:r>
          </w:p>
        </w:tc>
        <w:tc>
          <w:tcPr>
            <w:tcW w:w="4380" w:type="dxa"/>
            <w:vAlign w:val="bottom"/>
          </w:tcPr>
          <w:p>
            <w:pPr>
              <w:spacing w:after="0"/>
              <w:rPr>
                <w:sz w:val="16"/>
                <w:szCs w:val="16"/>
                <w:color w:val="auto"/>
              </w:rPr>
            </w:pPr>
          </w:p>
        </w:tc>
      </w:tr>
    </w:tbl>
    <w:p>
      <w:pPr>
        <w:spacing w:after="0" w:line="33"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3.1# Amended and Restated Certificate of Incorporation, as currently in effect</w:t>
      </w:r>
    </w:p>
    <w:p>
      <w:pPr>
        <w:spacing w:after="0" w:line="12" w:lineRule="exact"/>
        <w:rPr>
          <w:sz w:val="20"/>
          <w:szCs w:val="20"/>
          <w:color w:val="auto"/>
        </w:rPr>
      </w:pPr>
    </w:p>
    <w:p>
      <w:pPr>
        <w:ind w:left="1780" w:right="799" w:hanging="301"/>
        <w:spacing w:after="0" w:line="274" w:lineRule="auto"/>
        <w:rPr>
          <w:sz w:val="20"/>
          <w:szCs w:val="20"/>
          <w:color w:val="auto"/>
        </w:rPr>
      </w:pPr>
      <w:r>
        <w:rPr>
          <w:rFonts w:ascii="Arial" w:cs="Arial" w:eastAsia="Arial" w:hAnsi="Arial"/>
          <w:sz w:val="14"/>
          <w:szCs w:val="14"/>
          <w:color w:val="auto"/>
        </w:rPr>
        <w:t>3.2† Form of Second Amended and Restated Certificate of Incorporation, which will become effective immediately prior to the closing of this offering</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3.3# Bylaws, as currently in effect</w:t>
      </w:r>
    </w:p>
    <w:p>
      <w:pPr>
        <w:spacing w:after="0" w:line="12" w:lineRule="exact"/>
        <w:rPr>
          <w:sz w:val="20"/>
          <w:szCs w:val="20"/>
          <w:color w:val="auto"/>
        </w:rPr>
      </w:pPr>
    </w:p>
    <w:p>
      <w:pPr>
        <w:ind w:left="1780" w:right="519" w:hanging="301"/>
        <w:spacing w:after="0" w:line="274" w:lineRule="auto"/>
        <w:rPr>
          <w:sz w:val="20"/>
          <w:szCs w:val="20"/>
          <w:color w:val="auto"/>
        </w:rPr>
      </w:pPr>
      <w:r>
        <w:rPr>
          <w:rFonts w:ascii="Arial" w:cs="Arial" w:eastAsia="Arial" w:hAnsi="Arial"/>
          <w:sz w:val="14"/>
          <w:szCs w:val="14"/>
          <w:color w:val="auto"/>
        </w:rPr>
        <w:t>3.4† Form of Amended and Restated Bylaws, which will become effective immediately prior to the closing of this offering</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4.1† Specimen Common Stock Certificate of Registrant</w:t>
      </w:r>
    </w:p>
    <w:p>
      <w:pPr>
        <w:spacing w:after="0" w:line="12" w:lineRule="exact"/>
        <w:rPr>
          <w:sz w:val="20"/>
          <w:szCs w:val="20"/>
          <w:color w:val="auto"/>
        </w:rPr>
      </w:pPr>
    </w:p>
    <w:p>
      <w:pPr>
        <w:ind w:left="1780" w:right="959" w:hanging="301"/>
        <w:spacing w:after="0" w:line="273" w:lineRule="auto"/>
        <w:rPr>
          <w:sz w:val="20"/>
          <w:szCs w:val="20"/>
          <w:color w:val="auto"/>
        </w:rPr>
      </w:pPr>
      <w:r>
        <w:rPr>
          <w:rFonts w:ascii="Arial" w:cs="Arial" w:eastAsia="Arial" w:hAnsi="Arial"/>
          <w:sz w:val="14"/>
          <w:szCs w:val="14"/>
          <w:color w:val="auto"/>
        </w:rPr>
        <w:t>4.2# Investors’ Rights Agreement, by and among the Registrant and each of the investors listed on Schedule A thereto, dated February 25, 2021</w:t>
      </w:r>
    </w:p>
    <w:p>
      <w:pPr>
        <w:spacing w:after="0" w:line="1" w:lineRule="exact"/>
        <w:rPr>
          <w:sz w:val="20"/>
          <w:szCs w:val="20"/>
          <w:color w:val="auto"/>
        </w:rPr>
      </w:pPr>
    </w:p>
    <w:p>
      <w:pPr>
        <w:ind w:left="1780" w:right="1239" w:hanging="301"/>
        <w:spacing w:after="0" w:line="274" w:lineRule="auto"/>
        <w:rPr>
          <w:sz w:val="20"/>
          <w:szCs w:val="20"/>
          <w:color w:val="auto"/>
        </w:rPr>
      </w:pPr>
      <w:r>
        <w:rPr>
          <w:rFonts w:ascii="Arial" w:cs="Arial" w:eastAsia="Arial" w:hAnsi="Arial"/>
          <w:sz w:val="14"/>
          <w:szCs w:val="14"/>
          <w:color w:val="auto"/>
        </w:rPr>
        <w:t>4.3# Warrant to Purchase Units of Century Therapeutics, LLC, in favor of Hercules Technology Management Co II, Inc., dated September 14, 2020</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5.1† Opinion of Troutman Pepper Hamilton Sanders LLP</w:t>
      </w:r>
    </w:p>
    <w:p>
      <w:pPr>
        <w:spacing w:after="0" w:line="12" w:lineRule="exact"/>
        <w:rPr>
          <w:sz w:val="20"/>
          <w:szCs w:val="20"/>
          <w:color w:val="auto"/>
        </w:rPr>
      </w:pPr>
    </w:p>
    <w:p>
      <w:pPr>
        <w:ind w:left="1780" w:right="679" w:hanging="431"/>
        <w:spacing w:after="0" w:line="257" w:lineRule="auto"/>
        <w:rPr>
          <w:sz w:val="20"/>
          <w:szCs w:val="20"/>
          <w:color w:val="auto"/>
        </w:rPr>
      </w:pPr>
      <w:r>
        <w:rPr>
          <w:rFonts w:ascii="Arial" w:cs="Arial" w:eastAsia="Arial" w:hAnsi="Arial"/>
          <w:sz w:val="14"/>
          <w:szCs w:val="14"/>
          <w:color w:val="auto"/>
        </w:rPr>
        <w:t>10.1•# Form of Indemnification Agreement by and between the Registrant and its individual directors and officers</w:t>
      </w:r>
    </w:p>
    <w:p>
      <w:pPr>
        <w:spacing w:after="0" w:line="227"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10.2•# 2018 Stock Option and Grant Plan</w:t>
      </w:r>
    </w:p>
    <w:p>
      <w:pPr>
        <w:spacing w:after="0" w:line="44"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10.3•# Amendment No. 1 to 2018 Stock Option and Grant Plan</w:t>
      </w:r>
    </w:p>
    <w:p>
      <w:pPr>
        <w:spacing w:after="0" w:line="44"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10.4•# Amendment No. 2 to 2018 Stock Option and Grant Plan</w:t>
      </w:r>
    </w:p>
    <w:p>
      <w:pPr>
        <w:spacing w:after="0" w:line="44"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10.5•# Amendment No. 3 to 2018 Stock Option and Grant Plan</w:t>
      </w:r>
    </w:p>
    <w:p>
      <w:pPr>
        <w:spacing w:after="0" w:line="44"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10.6•# Amendment No. 4 to 2018 Stock Option and Grant Plan</w:t>
      </w:r>
    </w:p>
    <w:p>
      <w:pPr>
        <w:spacing w:after="0" w:line="44"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10.7•# Amendment No. 5 to 2018 Stock Option and Grant Plan</w:t>
      </w:r>
    </w:p>
    <w:p>
      <w:pPr>
        <w:spacing w:after="0" w:line="44"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10.8•† 2021 Equity Incentive Plan</w:t>
      </w:r>
    </w:p>
    <w:p>
      <w:pPr>
        <w:spacing w:after="0" w:line="44"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10.9•† 2021 Employee Stock Purchase Plan</w:t>
      </w:r>
    </w:p>
    <w:p>
      <w:pPr>
        <w:spacing w:after="0" w:line="44"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10.10•# Form of Restricted Stock Award Agreement, under the 2018 Stock Option and Grant Plan</w:t>
      </w:r>
    </w:p>
    <w:p>
      <w:pPr>
        <w:spacing w:after="0" w:line="44"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10.11•# Form of Non-Qualified Stock Option Agreement, under the 2018 Stock Option and Grant Plan</w:t>
      </w:r>
    </w:p>
    <w:p>
      <w:pPr>
        <w:spacing w:after="0" w:line="44"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10.12•# Form of Incentive Stock Option Agreement, under the 2018 Stock Option and Grant Plan</w:t>
      </w:r>
    </w:p>
    <w:p>
      <w:pPr>
        <w:spacing w:after="0" w:line="12" w:lineRule="exact"/>
        <w:rPr>
          <w:sz w:val="20"/>
          <w:szCs w:val="20"/>
          <w:color w:val="auto"/>
        </w:rPr>
      </w:pPr>
    </w:p>
    <w:p>
      <w:pPr>
        <w:ind w:left="1780" w:right="679" w:hanging="516"/>
        <w:spacing w:after="0" w:line="273" w:lineRule="auto"/>
        <w:rPr>
          <w:sz w:val="20"/>
          <w:szCs w:val="20"/>
          <w:color w:val="auto"/>
        </w:rPr>
      </w:pPr>
      <w:r>
        <w:rPr>
          <w:rFonts w:ascii="Arial" w:cs="Arial" w:eastAsia="Arial" w:hAnsi="Arial"/>
          <w:sz w:val="14"/>
          <w:szCs w:val="14"/>
          <w:color w:val="auto"/>
        </w:rPr>
        <w:t>10.13*† Amended and Restated Option Agreement, by and between Century Therapeutics, Inc. and Bayer HealthCare LLC, dated February 25, 2021</w:t>
      </w:r>
    </w:p>
    <w:p>
      <w:pPr>
        <w:spacing w:after="0" w:line="1" w:lineRule="exact"/>
        <w:rPr>
          <w:sz w:val="20"/>
          <w:szCs w:val="20"/>
          <w:color w:val="auto"/>
        </w:rPr>
      </w:pPr>
    </w:p>
    <w:p>
      <w:pPr>
        <w:ind w:left="1780" w:right="519" w:hanging="516"/>
        <w:spacing w:after="0" w:line="273" w:lineRule="auto"/>
        <w:rPr>
          <w:sz w:val="20"/>
          <w:szCs w:val="20"/>
          <w:color w:val="auto"/>
        </w:rPr>
      </w:pPr>
      <w:r>
        <w:rPr>
          <w:rFonts w:ascii="Arial" w:cs="Arial" w:eastAsia="Arial" w:hAnsi="Arial"/>
          <w:sz w:val="14"/>
          <w:szCs w:val="14"/>
          <w:color w:val="auto"/>
        </w:rPr>
        <w:t>10.14*† Master Collaboration Agreement, by and between Century Therapeutics, Inc. and FUJIFILM Cellular Dynamics, Inc., dated October 21, 2019</w:t>
      </w:r>
    </w:p>
    <w:p>
      <w:pPr>
        <w:spacing w:after="0" w:line="1" w:lineRule="exact"/>
        <w:rPr>
          <w:sz w:val="20"/>
          <w:szCs w:val="20"/>
          <w:color w:val="auto"/>
        </w:rPr>
      </w:pPr>
    </w:p>
    <w:p>
      <w:pPr>
        <w:ind w:left="1780" w:right="359" w:hanging="460"/>
        <w:spacing w:after="0" w:line="273" w:lineRule="auto"/>
        <w:rPr>
          <w:sz w:val="20"/>
          <w:szCs w:val="20"/>
          <w:color w:val="auto"/>
        </w:rPr>
      </w:pPr>
      <w:r>
        <w:rPr>
          <w:rFonts w:ascii="Arial" w:cs="Arial" w:eastAsia="Arial" w:hAnsi="Arial"/>
          <w:sz w:val="14"/>
          <w:szCs w:val="14"/>
          <w:color w:val="auto"/>
        </w:rPr>
        <w:t>10.15† Amendment No. 1 to Master Collaboration Agreement, by and between Century Therapeutics, Inc. and FUJIFILM Cellular Dynamics, Inc., dated July 17, 2020</w:t>
      </w:r>
    </w:p>
    <w:p>
      <w:pPr>
        <w:spacing w:after="0" w:line="1" w:lineRule="exact"/>
        <w:rPr>
          <w:sz w:val="20"/>
          <w:szCs w:val="20"/>
          <w:color w:val="auto"/>
        </w:rPr>
      </w:pPr>
    </w:p>
    <w:p>
      <w:pPr>
        <w:ind w:left="1780" w:right="399" w:hanging="516"/>
        <w:spacing w:after="0" w:line="273" w:lineRule="auto"/>
        <w:rPr>
          <w:sz w:val="20"/>
          <w:szCs w:val="20"/>
          <w:color w:val="auto"/>
        </w:rPr>
      </w:pPr>
      <w:r>
        <w:rPr>
          <w:rFonts w:ascii="Arial" w:cs="Arial" w:eastAsia="Arial" w:hAnsi="Arial"/>
          <w:sz w:val="14"/>
          <w:szCs w:val="14"/>
          <w:color w:val="auto"/>
        </w:rPr>
        <w:t>10.16*† Amendment No. 2 to Master Collaboration Agreement by and between Century Therapeutics, Inc. and FUJIFILM Cellular Dynamics, Inc., dated March 23, 2021</w:t>
      </w:r>
    </w:p>
    <w:p>
      <w:pPr>
        <w:spacing w:after="0" w:line="1" w:lineRule="exact"/>
        <w:rPr>
          <w:sz w:val="20"/>
          <w:szCs w:val="20"/>
          <w:color w:val="auto"/>
        </w:rPr>
      </w:pPr>
    </w:p>
    <w:p>
      <w:pPr>
        <w:ind w:left="1780" w:right="399" w:hanging="460"/>
        <w:spacing w:after="0" w:line="273" w:lineRule="auto"/>
        <w:rPr>
          <w:sz w:val="20"/>
          <w:szCs w:val="20"/>
          <w:color w:val="auto"/>
        </w:rPr>
      </w:pPr>
      <w:r>
        <w:rPr>
          <w:rFonts w:ascii="Arial" w:cs="Arial" w:eastAsia="Arial" w:hAnsi="Arial"/>
          <w:sz w:val="14"/>
          <w:szCs w:val="14"/>
          <w:color w:val="auto"/>
        </w:rPr>
        <w:t>10.17† Amendment No. 3 to Master Collaboration Agreement by and between Century Therapeutics, Inc. and FUJIFILM Cellular Dynamics, Inc., dated March 29, 2021</w:t>
      </w:r>
    </w:p>
    <w:p>
      <w:pPr>
        <w:spacing w:after="0" w:line="1" w:lineRule="exact"/>
        <w:rPr>
          <w:sz w:val="20"/>
          <w:szCs w:val="20"/>
          <w:color w:val="auto"/>
        </w:rPr>
      </w:pPr>
    </w:p>
    <w:p>
      <w:pPr>
        <w:ind w:left="1780" w:right="559" w:hanging="460"/>
        <w:spacing w:after="0" w:line="273" w:lineRule="auto"/>
        <w:rPr>
          <w:sz w:val="20"/>
          <w:szCs w:val="20"/>
          <w:color w:val="auto"/>
        </w:rPr>
      </w:pPr>
      <w:r>
        <w:rPr>
          <w:rFonts w:ascii="Arial" w:cs="Arial" w:eastAsia="Arial" w:hAnsi="Arial"/>
          <w:sz w:val="14"/>
          <w:szCs w:val="14"/>
          <w:color w:val="auto"/>
        </w:rPr>
        <w:t>10.18 Letter Agreement, by and among Century Therapeutics, Inc., FUJIFILM Cellular Dynamics, Inc. and Wisconsin Alumni Research Foundation, dated July 2, 2019</w:t>
      </w:r>
    </w:p>
    <w:p>
      <w:pPr>
        <w:spacing w:after="0" w:line="1" w:lineRule="exact"/>
        <w:rPr>
          <w:sz w:val="20"/>
          <w:szCs w:val="20"/>
          <w:color w:val="auto"/>
        </w:rPr>
      </w:pPr>
    </w:p>
    <w:p>
      <w:pPr>
        <w:ind w:left="1780" w:right="879" w:hanging="516"/>
        <w:spacing w:after="0" w:line="273" w:lineRule="auto"/>
        <w:rPr>
          <w:sz w:val="20"/>
          <w:szCs w:val="20"/>
          <w:color w:val="auto"/>
        </w:rPr>
      </w:pPr>
      <w:r>
        <w:rPr>
          <w:rFonts w:ascii="Arial" w:cs="Arial" w:eastAsia="Arial" w:hAnsi="Arial"/>
          <w:sz w:val="14"/>
          <w:szCs w:val="14"/>
          <w:color w:val="auto"/>
        </w:rPr>
        <w:t>10.19*† License Agreement (Differentiation), by and between Century Therapeutics, Inc. and FUJIFILM Cellular Dynamics, Inc., dated September 18, 2018</w:t>
      </w:r>
    </w:p>
    <w:p>
      <w:pPr>
        <w:spacing w:after="0" w:line="1" w:lineRule="exact"/>
        <w:rPr>
          <w:sz w:val="20"/>
          <w:szCs w:val="20"/>
          <w:color w:val="auto"/>
        </w:rPr>
      </w:pPr>
    </w:p>
    <w:p>
      <w:pPr>
        <w:ind w:left="1780" w:right="439" w:hanging="516"/>
        <w:spacing w:after="0" w:line="274" w:lineRule="auto"/>
        <w:rPr>
          <w:sz w:val="20"/>
          <w:szCs w:val="20"/>
          <w:color w:val="auto"/>
        </w:rPr>
      </w:pPr>
      <w:r>
        <w:rPr>
          <w:rFonts w:ascii="Arial" w:cs="Arial" w:eastAsia="Arial" w:hAnsi="Arial"/>
          <w:sz w:val="14"/>
          <w:szCs w:val="14"/>
          <w:color w:val="auto"/>
        </w:rPr>
        <w:t>10.20*† Amendment No. 1 to License Agreement (Differentiation), by and between Century Therapeutics, Inc. and FUJIFILM Cellular Dynamics, Inc., dated March 23, 2021</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68" w:name="page269"/>
    <w:bookmarkEnd w:id="268"/>
    <w:p>
      <w:pPr>
        <w:ind w:left="220"/>
        <w:spacing w:after="0"/>
        <w:rPr>
          <w:rFonts w:ascii="Arial" w:cs="Arial" w:eastAsia="Arial" w:hAnsi="Arial"/>
          <w:sz w:val="10"/>
          <w:szCs w:val="10"/>
          <w:color w:val="003366"/>
        </w:rPr>
      </w:pPr>
      <w:hyperlink w:anchor="page240">
        <w:r>
          <w:rPr>
            <w:rFonts w:ascii="Arial" w:cs="Arial" w:eastAsia="Arial" w:hAnsi="Arial"/>
            <w:sz w:val="10"/>
            <w:szCs w:val="10"/>
            <w:color w:val="003366"/>
          </w:rPr>
          <w:t>TABLE OF CONTENTS</w:t>
        </w:r>
      </w:hyperlink>
    </w:p>
    <w:p>
      <w:pPr>
        <w:sectPr>
          <w:pgSz w:w="11900" w:h="16838" w:orient="portrait"/>
          <w:cols w:equalWidth="0" w:num="1">
            <w:col w:w="9019"/>
          </w:cols>
          <w:pgMar w:left="1440" w:top="13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40"/>
        <w:spacing w:after="0"/>
        <w:rPr>
          <w:sz w:val="20"/>
          <w:szCs w:val="20"/>
          <w:color w:val="auto"/>
        </w:rPr>
      </w:pPr>
      <w:r>
        <w:rPr>
          <w:rFonts w:ascii="Arial" w:cs="Arial" w:eastAsia="Arial" w:hAnsi="Arial"/>
          <w:sz w:val="13"/>
          <w:szCs w:val="13"/>
          <w:b w:val="1"/>
          <w:bCs w:val="1"/>
          <w:color w:val="auto"/>
        </w:rPr>
        <w:t>Exhibit</w:t>
      </w:r>
    </w:p>
    <w:p>
      <w:pPr>
        <w:spacing w:after="0" w:line="18" w:lineRule="exact"/>
        <w:rPr>
          <w:sz w:val="20"/>
          <w:szCs w:val="20"/>
          <w:color w:val="auto"/>
        </w:rPr>
      </w:pPr>
    </w:p>
    <w:p>
      <w:pPr>
        <w:ind w:left="124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17145</wp:posOffset>
            </wp:positionV>
            <wp:extent cx="4693285" cy="69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693285" cy="698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3860" w:space="720"/>
            <w:col w:w="4439"/>
          </w:cols>
          <w:pgMar w:left="1440" w:top="134" w:right="1440" w:bottom="1440" w:gutter="0" w:footer="0" w:header="0"/>
          <w:type w:val="continuous"/>
        </w:sectPr>
      </w:pPr>
    </w:p>
    <w:p>
      <w:pPr>
        <w:ind w:left="1760" w:right="759" w:hanging="516"/>
        <w:spacing w:after="0" w:line="273" w:lineRule="auto"/>
        <w:rPr>
          <w:sz w:val="20"/>
          <w:szCs w:val="20"/>
          <w:color w:val="auto"/>
        </w:rPr>
      </w:pPr>
      <w:r>
        <w:rPr>
          <w:rFonts w:ascii="Arial" w:cs="Arial" w:eastAsia="Arial" w:hAnsi="Arial"/>
          <w:sz w:val="14"/>
          <w:szCs w:val="14"/>
          <w:color w:val="auto"/>
        </w:rPr>
        <w:t>10.21*† License Agreement (Reprogramming), by and between Century Therapeutics, Inc. and FUJIFILM Cellular Dynamics, Inc., dated September 18, 2018</w:t>
      </w:r>
    </w:p>
    <w:p>
      <w:pPr>
        <w:spacing w:after="0" w:line="1" w:lineRule="exact"/>
        <w:rPr>
          <w:sz w:val="20"/>
          <w:szCs w:val="20"/>
          <w:color w:val="auto"/>
        </w:rPr>
      </w:pPr>
    </w:p>
    <w:p>
      <w:pPr>
        <w:ind w:left="1760" w:right="619" w:hanging="516"/>
        <w:spacing w:after="0" w:line="273" w:lineRule="auto"/>
        <w:rPr>
          <w:sz w:val="20"/>
          <w:szCs w:val="20"/>
          <w:color w:val="auto"/>
        </w:rPr>
      </w:pPr>
      <w:r>
        <w:rPr>
          <w:rFonts w:ascii="Arial" w:cs="Arial" w:eastAsia="Arial" w:hAnsi="Arial"/>
          <w:sz w:val="14"/>
          <w:szCs w:val="14"/>
          <w:color w:val="auto"/>
        </w:rPr>
        <w:t>10.22*† Amendment No. 1 to License Agreement (Reprogramming), by and between Century Therapeutics, Inc. and FUJIFILM Cellular Dynamics, Inc., dated March 23, 2021</w:t>
      </w:r>
    </w:p>
    <w:p>
      <w:pPr>
        <w:spacing w:after="0" w:line="1" w:lineRule="exact"/>
        <w:rPr>
          <w:sz w:val="20"/>
          <w:szCs w:val="20"/>
          <w:color w:val="auto"/>
        </w:rPr>
      </w:pPr>
    </w:p>
    <w:p>
      <w:pPr>
        <w:ind w:left="1760" w:right="739" w:hanging="516"/>
        <w:spacing w:after="0" w:line="273" w:lineRule="auto"/>
        <w:rPr>
          <w:sz w:val="20"/>
          <w:szCs w:val="20"/>
          <w:color w:val="auto"/>
        </w:rPr>
      </w:pPr>
      <w:r>
        <w:rPr>
          <w:rFonts w:ascii="Arial" w:cs="Arial" w:eastAsia="Arial" w:hAnsi="Arial"/>
          <w:sz w:val="14"/>
          <w:szCs w:val="14"/>
          <w:color w:val="auto"/>
        </w:rPr>
        <w:t>10.23*† Manufacturing and Supply Agreement, by and between Century Therapeutics, Inc. and FUJIFILM Cellular Dynamics, Inc., dated March 23, 2021</w:t>
      </w:r>
    </w:p>
    <w:p>
      <w:pPr>
        <w:spacing w:after="0" w:line="1" w:lineRule="exact"/>
        <w:rPr>
          <w:sz w:val="20"/>
          <w:szCs w:val="20"/>
          <w:color w:val="auto"/>
        </w:rPr>
      </w:pPr>
    </w:p>
    <w:p>
      <w:pPr>
        <w:ind w:left="1760" w:right="459" w:hanging="516"/>
        <w:spacing w:after="0" w:line="273" w:lineRule="auto"/>
        <w:rPr>
          <w:sz w:val="20"/>
          <w:szCs w:val="20"/>
          <w:color w:val="auto"/>
        </w:rPr>
      </w:pPr>
      <w:r>
        <w:rPr>
          <w:rFonts w:ascii="Arial" w:cs="Arial" w:eastAsia="Arial" w:hAnsi="Arial"/>
          <w:sz w:val="14"/>
          <w:szCs w:val="14"/>
          <w:color w:val="auto"/>
        </w:rPr>
        <w:t>10.24*# Loan and Security Agreement, by and between Century Therapeutics, Inc. and Hercules Capital, Inc., dated September 14, 2020</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10.25* Sublicense Agreement, by and between iCELL Inc. and Century Therapeutics, Inc., dated March 20,</w:t>
      </w:r>
    </w:p>
    <w:p>
      <w:pPr>
        <w:spacing w:after="0" w:line="12" w:lineRule="exact"/>
        <w:rPr>
          <w:sz w:val="20"/>
          <w:szCs w:val="20"/>
          <w:color w:val="auto"/>
        </w:rPr>
      </w:pPr>
    </w:p>
    <w:p>
      <w:pPr>
        <w:ind w:left="1760"/>
        <w:spacing w:after="0"/>
        <w:rPr>
          <w:sz w:val="20"/>
          <w:szCs w:val="20"/>
          <w:color w:val="auto"/>
        </w:rPr>
      </w:pPr>
      <w:r>
        <w:rPr>
          <w:rFonts w:ascii="Arial" w:cs="Arial" w:eastAsia="Arial" w:hAnsi="Arial"/>
          <w:sz w:val="14"/>
          <w:szCs w:val="14"/>
          <w:color w:val="auto"/>
        </w:rPr>
        <w:t>2020</w:t>
      </w:r>
    </w:p>
    <w:p>
      <w:pPr>
        <w:spacing w:after="0" w:line="33" w:lineRule="exact"/>
        <w:rPr>
          <w:sz w:val="20"/>
          <w:szCs w:val="20"/>
          <w:color w:val="auto"/>
        </w:rPr>
      </w:pPr>
    </w:p>
    <w:p>
      <w:pPr>
        <w:ind w:left="1760" w:right="519" w:hanging="436"/>
        <w:spacing w:after="0" w:line="273" w:lineRule="auto"/>
        <w:rPr>
          <w:sz w:val="20"/>
          <w:szCs w:val="20"/>
          <w:color w:val="auto"/>
        </w:rPr>
      </w:pPr>
      <w:r>
        <w:rPr>
          <w:rFonts w:ascii="Arial" w:cs="Arial" w:eastAsia="Arial" w:hAnsi="Arial"/>
          <w:sz w:val="14"/>
          <w:szCs w:val="14"/>
          <w:color w:val="auto"/>
        </w:rPr>
        <w:t>10.26* License Agreement, by and among the Governing Council of the University of Toronto, the McMaster University and Empirica Therapeutics, dated January 22, 2019</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10.27  License Agreement, by and between Inscripta, Inc. and Century Therapeutics, Inc., dated January 1,</w:t>
      </w:r>
    </w:p>
    <w:p>
      <w:pPr>
        <w:spacing w:after="0" w:line="12" w:lineRule="exact"/>
        <w:rPr>
          <w:sz w:val="20"/>
          <w:szCs w:val="20"/>
          <w:color w:val="auto"/>
        </w:rPr>
      </w:pPr>
    </w:p>
    <w:p>
      <w:pPr>
        <w:ind w:left="1760"/>
        <w:spacing w:after="0"/>
        <w:rPr>
          <w:sz w:val="20"/>
          <w:szCs w:val="20"/>
          <w:color w:val="auto"/>
        </w:rPr>
      </w:pPr>
      <w:r>
        <w:rPr>
          <w:rFonts w:ascii="Arial" w:cs="Arial" w:eastAsia="Arial" w:hAnsi="Arial"/>
          <w:sz w:val="14"/>
          <w:szCs w:val="14"/>
          <w:color w:val="auto"/>
        </w:rPr>
        <w:t>2019</w:t>
      </w:r>
    </w:p>
    <w:p>
      <w:pPr>
        <w:spacing w:after="0" w:line="44"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10.28•† Offer Letter, by and between the Registrant and Osvaldo Flores, Ph.D.</w:t>
      </w:r>
    </w:p>
    <w:p>
      <w:pPr>
        <w:spacing w:after="0" w:line="44"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10.29•† Offer Letter, by and between the Registrant and Michael Diem, M.D.</w:t>
      </w:r>
    </w:p>
    <w:p>
      <w:pPr>
        <w:spacing w:after="0" w:line="33"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10.30•† Employment Agreement, by and between the Registrant and Hyam Levitsky, M.D., dated March 5,</w:t>
      </w:r>
    </w:p>
    <w:p>
      <w:pPr>
        <w:spacing w:after="0" w:line="12" w:lineRule="exact"/>
        <w:rPr>
          <w:sz w:val="20"/>
          <w:szCs w:val="20"/>
          <w:color w:val="auto"/>
        </w:rPr>
      </w:pPr>
    </w:p>
    <w:p>
      <w:pPr>
        <w:ind w:left="1760"/>
        <w:spacing w:after="0"/>
        <w:rPr>
          <w:sz w:val="20"/>
          <w:szCs w:val="20"/>
          <w:color w:val="auto"/>
        </w:rPr>
      </w:pPr>
      <w:r>
        <w:rPr>
          <w:rFonts w:ascii="Arial" w:cs="Arial" w:eastAsia="Arial" w:hAnsi="Arial"/>
          <w:sz w:val="14"/>
          <w:szCs w:val="14"/>
          <w:color w:val="auto"/>
        </w:rPr>
        <w:t>2019</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10.31•# Offer Letter, by and between the Registrant and Joseph Jimenez, dated February 16, 2021</w:t>
      </w:r>
    </w:p>
    <w:p>
      <w:pPr>
        <w:spacing w:after="0" w:line="44"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10.32•# Offer Letter, by and between the Registrant and Cynthia Butitta, dated February 25, 2021</w:t>
      </w:r>
    </w:p>
    <w:p>
      <w:pPr>
        <w:spacing w:after="0" w:line="44"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21.1# Subsidiaries of the Registrant</w:t>
      </w:r>
    </w:p>
    <w:p>
      <w:pPr>
        <w:spacing w:after="0" w:line="44"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23.1† Consent of Ernst &amp; Young LLP, an Independent Registered Public Accounting Firm</w:t>
      </w:r>
    </w:p>
    <w:p>
      <w:pPr>
        <w:spacing w:after="0" w:line="44"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23.2† Consent of Troutman Pepper Hamilton Sanders LLP (included in Exhibit 5.1)</w:t>
      </w:r>
    </w:p>
    <w:p>
      <w:pPr>
        <w:spacing w:after="0" w:line="44"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24.1† Power of Attorney (included on the signature page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103505</wp:posOffset>
            </wp:positionV>
            <wp:extent cx="986790" cy="69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986790" cy="6985"/>
                    </a:xfrm>
                    <a:prstGeom prst="rect">
                      <a:avLst/>
                    </a:prstGeom>
                    <a:noFill/>
                  </pic:spPr>
                </pic:pic>
              </a:graphicData>
            </a:graphic>
          </wp:anchor>
        </w:drawing>
      </w:r>
    </w:p>
    <w:p>
      <w:pPr>
        <w:spacing w:after="0" w:line="251" w:lineRule="exact"/>
        <w:rPr>
          <w:sz w:val="20"/>
          <w:szCs w:val="20"/>
          <w:color w:val="auto"/>
        </w:rPr>
      </w:pPr>
    </w:p>
    <w:p>
      <w:pPr>
        <w:ind w:left="1480" w:hanging="256"/>
        <w:spacing w:after="0"/>
        <w:tabs>
          <w:tab w:leader="none" w:pos="1480" w:val="left"/>
        </w:tabs>
        <w:numPr>
          <w:ilvl w:val="0"/>
          <w:numId w:val="133"/>
        </w:numPr>
        <w:rPr>
          <w:rFonts w:ascii="Arial" w:cs="Arial" w:eastAsia="Arial" w:hAnsi="Arial"/>
          <w:sz w:val="11"/>
          <w:szCs w:val="11"/>
          <w:color w:val="auto"/>
        </w:rPr>
      </w:pPr>
      <w:r>
        <w:rPr>
          <w:rFonts w:ascii="Arial" w:cs="Arial" w:eastAsia="Arial" w:hAnsi="Arial"/>
          <w:sz w:val="11"/>
          <w:szCs w:val="11"/>
          <w:color w:val="auto"/>
        </w:rPr>
        <w:t>Previously filed.</w:t>
      </w:r>
    </w:p>
    <w:p>
      <w:pPr>
        <w:spacing w:after="0" w:line="68" w:lineRule="exact"/>
        <w:rPr>
          <w:sz w:val="20"/>
          <w:szCs w:val="20"/>
          <w:color w:val="auto"/>
        </w:rPr>
      </w:pPr>
    </w:p>
    <w:p>
      <w:pPr>
        <w:ind w:left="1480" w:hanging="256"/>
        <w:spacing w:after="0"/>
        <w:tabs>
          <w:tab w:leader="none" w:pos="1480" w:val="left"/>
        </w:tabs>
        <w:numPr>
          <w:ilvl w:val="0"/>
          <w:numId w:val="134"/>
        </w:numPr>
        <w:rPr>
          <w:rFonts w:ascii="Arial" w:cs="Arial" w:eastAsia="Arial" w:hAnsi="Arial"/>
          <w:sz w:val="11"/>
          <w:szCs w:val="11"/>
          <w:color w:val="auto"/>
        </w:rPr>
      </w:pPr>
      <w:r>
        <w:rPr>
          <w:rFonts w:ascii="Arial" w:cs="Arial" w:eastAsia="Arial" w:hAnsi="Arial"/>
          <w:sz w:val="11"/>
          <w:szCs w:val="11"/>
          <w:color w:val="auto"/>
        </w:rPr>
        <w:t>To be filed by amendment.</w:t>
      </w:r>
    </w:p>
    <w:p>
      <w:pPr>
        <w:spacing w:after="0" w:line="57" w:lineRule="exact"/>
        <w:rPr>
          <w:sz w:val="20"/>
          <w:szCs w:val="20"/>
          <w:color w:val="auto"/>
        </w:rPr>
      </w:pPr>
    </w:p>
    <w:p>
      <w:pPr>
        <w:ind w:left="1480" w:hanging="256"/>
        <w:spacing w:after="0"/>
        <w:tabs>
          <w:tab w:leader="none" w:pos="1480" w:val="left"/>
        </w:tabs>
        <w:numPr>
          <w:ilvl w:val="0"/>
          <w:numId w:val="135"/>
        </w:numPr>
        <w:rPr>
          <w:rFonts w:ascii="Arial" w:cs="Arial" w:eastAsia="Arial" w:hAnsi="Arial"/>
          <w:sz w:val="11"/>
          <w:szCs w:val="11"/>
          <w:color w:val="auto"/>
        </w:rPr>
      </w:pPr>
      <w:r>
        <w:rPr>
          <w:rFonts w:ascii="Arial" w:cs="Arial" w:eastAsia="Arial" w:hAnsi="Arial"/>
          <w:sz w:val="11"/>
          <w:szCs w:val="11"/>
          <w:color w:val="auto"/>
        </w:rPr>
        <w:t>Indicates management contract or compensatory plan.</w:t>
      </w:r>
    </w:p>
    <w:p>
      <w:pPr>
        <w:spacing w:after="0" w:line="57" w:lineRule="exact"/>
        <w:rPr>
          <w:sz w:val="20"/>
          <w:szCs w:val="20"/>
          <w:color w:val="auto"/>
        </w:rPr>
      </w:pPr>
    </w:p>
    <w:p>
      <w:pPr>
        <w:ind w:left="1480" w:right="1619" w:hanging="256"/>
        <w:spacing w:after="0" w:line="251" w:lineRule="auto"/>
        <w:tabs>
          <w:tab w:leader="none" w:pos="1480" w:val="left"/>
        </w:tabs>
        <w:numPr>
          <w:ilvl w:val="0"/>
          <w:numId w:val="136"/>
        </w:numPr>
        <w:rPr>
          <w:rFonts w:ascii="Arial" w:cs="Arial" w:eastAsia="Arial" w:hAnsi="Arial"/>
          <w:sz w:val="11"/>
          <w:szCs w:val="11"/>
          <w:color w:val="auto"/>
        </w:rPr>
      </w:pPr>
      <w:r>
        <w:rPr>
          <w:rFonts w:ascii="Arial" w:cs="Arial" w:eastAsia="Arial" w:hAnsi="Arial"/>
          <w:sz w:val="11"/>
          <w:szCs w:val="11"/>
          <w:color w:val="auto"/>
        </w:rPr>
        <w:t>Certain identified information in the exhibit has been omitted because it is the type of information that (i) the Company customarily and actually treats as private and confidential, and (ii) is not material.</w:t>
      </w:r>
    </w:p>
    <w:p>
      <w:pPr>
        <w:spacing w:after="0" w:line="140" w:lineRule="exact"/>
        <w:rPr>
          <w:sz w:val="20"/>
          <w:szCs w:val="20"/>
          <w:color w:val="auto"/>
        </w:rPr>
      </w:pPr>
    </w:p>
    <w:p>
      <w:pPr>
        <w:ind w:left="1600" w:hanging="376"/>
        <w:spacing w:after="0"/>
        <w:tabs>
          <w:tab w:leader="none" w:pos="1600" w:val="left"/>
        </w:tabs>
        <w:numPr>
          <w:ilvl w:val="0"/>
          <w:numId w:val="13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Financial statement schedules.</w:t>
      </w:r>
    </w:p>
    <w:p>
      <w:pPr>
        <w:spacing w:after="0" w:line="146" w:lineRule="exact"/>
        <w:rPr>
          <w:sz w:val="20"/>
          <w:szCs w:val="20"/>
          <w:color w:val="auto"/>
        </w:rPr>
      </w:pPr>
    </w:p>
    <w:p>
      <w:pPr>
        <w:ind w:left="1220" w:right="1459"/>
        <w:spacing w:after="0" w:line="290" w:lineRule="auto"/>
        <w:rPr>
          <w:sz w:val="20"/>
          <w:szCs w:val="20"/>
          <w:color w:val="auto"/>
        </w:rPr>
      </w:pPr>
      <w:r>
        <w:rPr>
          <w:rFonts w:ascii="Arial" w:cs="Arial" w:eastAsia="Arial" w:hAnsi="Arial"/>
          <w:sz w:val="14"/>
          <w:szCs w:val="14"/>
          <w:color w:val="auto"/>
        </w:rPr>
        <w:t>Schedules not listed above have been omitted because the information required to be set forth therein is not applicable or is shown in the consolidated financial statements or notes thereto.</w:t>
      </w:r>
    </w:p>
    <w:p>
      <w:pPr>
        <w:spacing w:after="0" w:line="113"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Item 17. Undertakings.</w:t>
      </w:r>
    </w:p>
    <w:p>
      <w:pPr>
        <w:spacing w:after="0" w:line="144" w:lineRule="exact"/>
        <w:rPr>
          <w:sz w:val="20"/>
          <w:szCs w:val="20"/>
          <w:color w:val="auto"/>
        </w:rPr>
      </w:pPr>
    </w:p>
    <w:p>
      <w:pPr>
        <w:ind w:left="1220" w:right="1239"/>
        <w:spacing w:after="0" w:line="275"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69" w:name="page270"/>
    <w:bookmarkEnd w:id="269"/>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undersigned Registrant hereby undertakes that:</w:t>
      </w:r>
    </w:p>
    <w:p>
      <w:pPr>
        <w:spacing w:after="0" w:line="130" w:lineRule="exact"/>
        <w:rPr>
          <w:sz w:val="20"/>
          <w:szCs w:val="20"/>
          <w:color w:val="auto"/>
        </w:rPr>
      </w:pPr>
    </w:p>
    <w:p>
      <w:pPr>
        <w:ind w:left="1480" w:right="1539" w:hanging="256"/>
        <w:spacing w:after="0" w:line="277" w:lineRule="auto"/>
        <w:tabs>
          <w:tab w:leader="none" w:pos="148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6" w:lineRule="exact"/>
        <w:rPr>
          <w:rFonts w:ascii="Arial" w:cs="Arial" w:eastAsia="Arial" w:hAnsi="Arial"/>
          <w:sz w:val="14"/>
          <w:szCs w:val="14"/>
          <w:color w:val="auto"/>
        </w:rPr>
      </w:pPr>
    </w:p>
    <w:p>
      <w:pPr>
        <w:ind w:left="1480" w:right="1359" w:hanging="256"/>
        <w:spacing w:after="0" w:line="278" w:lineRule="auto"/>
        <w:tabs>
          <w:tab w:leader="none" w:pos="148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70" w:name="page271"/>
    <w:bookmarkEnd w:id="270"/>
    <w:p>
      <w:pPr>
        <w:ind w:left="220"/>
        <w:spacing w:after="0"/>
        <w:rPr>
          <w:rFonts w:ascii="Arial" w:cs="Arial" w:eastAsia="Arial" w:hAnsi="Arial"/>
          <w:sz w:val="12"/>
          <w:szCs w:val="12"/>
          <w:color w:val="003366"/>
        </w:rPr>
      </w:pPr>
      <w:hyperlink w:anchor="page240">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Signatures</w:t>
      </w:r>
    </w:p>
    <w:p>
      <w:pPr>
        <w:spacing w:after="0" w:line="133" w:lineRule="exact"/>
        <w:rPr>
          <w:sz w:val="20"/>
          <w:szCs w:val="20"/>
          <w:color w:val="auto"/>
        </w:rPr>
      </w:pPr>
    </w:p>
    <w:p>
      <w:pPr>
        <w:ind w:left="1220" w:right="1399"/>
        <w:spacing w:after="0" w:line="273" w:lineRule="auto"/>
        <w:rPr>
          <w:sz w:val="20"/>
          <w:szCs w:val="20"/>
          <w:color w:val="auto"/>
        </w:rPr>
      </w:pPr>
      <w:r>
        <w:rPr>
          <w:rFonts w:ascii="Arial" w:cs="Arial" w:eastAsia="Arial" w:hAnsi="Arial"/>
          <w:sz w:val="14"/>
          <w:szCs w:val="14"/>
          <w:color w:val="auto"/>
        </w:rPr>
        <w:t>Pursuant to the requirements of the Securities Act of 1933, as amended, the registrant has duly caused this registration statement on Form S-1 to be signed on its behalf by the undersigned, thereunto duly authorized, in the City of Philadelphia, Commonwealth of Pennsylvania</w:t>
      </w:r>
    </w:p>
    <w:p>
      <w:pPr>
        <w:spacing w:after="0" w:line="1" w:lineRule="exact"/>
        <w:rPr>
          <w:sz w:val="20"/>
          <w:szCs w:val="20"/>
          <w:color w:val="auto"/>
        </w:rPr>
      </w:pPr>
    </w:p>
    <w:p>
      <w:pPr>
        <w:ind w:left="1220"/>
        <w:spacing w:after="0"/>
        <w:tabs>
          <w:tab w:leader="none" w:pos="2260" w:val="left"/>
        </w:tabs>
        <w:rPr>
          <w:sz w:val="20"/>
          <w:szCs w:val="20"/>
          <w:color w:val="auto"/>
        </w:rPr>
      </w:pPr>
      <w:r>
        <w:rPr>
          <w:rFonts w:ascii="Arial" w:cs="Arial" w:eastAsia="Arial" w:hAnsi="Arial"/>
          <w:sz w:val="14"/>
          <w:szCs w:val="14"/>
          <w:color w:val="auto"/>
        </w:rPr>
        <w:t>on</w:t>
      </w:r>
      <w:r>
        <w:rPr>
          <w:sz w:val="20"/>
          <w:szCs w:val="20"/>
          <w:color w:val="auto"/>
        </w:rPr>
        <w:tab/>
      </w:r>
      <w:r>
        <w:rPr>
          <w:rFonts w:ascii="Arial" w:cs="Arial" w:eastAsia="Arial" w:hAnsi="Arial"/>
          <w:sz w:val="14"/>
          <w:szCs w:val="14"/>
          <w:color w:val="auto"/>
        </w:rPr>
        <w:t>, 2021.</w:t>
      </w:r>
    </w:p>
    <w:p>
      <w:pPr>
        <w:spacing w:after="0" w:line="123" w:lineRule="exact"/>
        <w:rPr>
          <w:sz w:val="20"/>
          <w:szCs w:val="20"/>
          <w:color w:val="auto"/>
        </w:rPr>
      </w:pPr>
    </w:p>
    <w:p>
      <w:pPr>
        <w:ind w:left="4340"/>
        <w:spacing w:after="0"/>
        <w:rPr>
          <w:sz w:val="20"/>
          <w:szCs w:val="20"/>
          <w:color w:val="auto"/>
        </w:rPr>
      </w:pPr>
      <w:r>
        <w:rPr>
          <w:rFonts w:ascii="Arial" w:cs="Arial" w:eastAsia="Arial" w:hAnsi="Arial"/>
          <w:sz w:val="14"/>
          <w:szCs w:val="14"/>
          <w:b w:val="1"/>
          <w:bCs w:val="1"/>
          <w:color w:val="auto"/>
        </w:rPr>
        <w:t>CENTURY THERAPEUTICS, INC.</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41910</wp:posOffset>
            </wp:positionV>
            <wp:extent cx="2028190"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028190" cy="6985"/>
                    </a:xfrm>
                    <a:prstGeom prst="rect">
                      <a:avLst/>
                    </a:prstGeom>
                    <a:noFill/>
                  </pic:spPr>
                </pic:pic>
              </a:graphicData>
            </a:graphic>
          </wp:anchor>
        </w:drawing>
      </w:r>
    </w:p>
    <w:p>
      <w:pPr>
        <w:spacing w:after="0" w:line="121"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Osvaldo Flores, Ph.D.</w:t>
      </w:r>
    </w:p>
    <w:p>
      <w:pPr>
        <w:spacing w:after="0" w:line="11" w:lineRule="exact"/>
        <w:rPr>
          <w:sz w:val="20"/>
          <w:szCs w:val="20"/>
          <w:color w:val="auto"/>
        </w:rPr>
      </w:pPr>
    </w:p>
    <w:p>
      <w:pPr>
        <w:ind w:left="4600"/>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154" w:lineRule="exact"/>
        <w:rPr>
          <w:sz w:val="20"/>
          <w:szCs w:val="20"/>
          <w:color w:val="auto"/>
        </w:rPr>
      </w:pPr>
    </w:p>
    <w:p>
      <w:pPr>
        <w:ind w:left="1220"/>
        <w:spacing w:after="0"/>
        <w:rPr>
          <w:sz w:val="20"/>
          <w:szCs w:val="20"/>
          <w:color w:val="auto"/>
        </w:rPr>
      </w:pPr>
      <w:r>
        <w:rPr>
          <w:rFonts w:ascii="Arial" w:cs="Arial" w:eastAsia="Arial" w:hAnsi="Arial"/>
          <w:sz w:val="23"/>
          <w:szCs w:val="23"/>
          <w:b w:val="1"/>
          <w:bCs w:val="1"/>
          <w:color w:val="auto"/>
        </w:rPr>
        <w:t>Power of attorney</w:t>
      </w:r>
    </w:p>
    <w:p>
      <w:pPr>
        <w:spacing w:after="0" w:line="144" w:lineRule="exact"/>
        <w:rPr>
          <w:sz w:val="20"/>
          <w:szCs w:val="20"/>
          <w:color w:val="auto"/>
        </w:rPr>
      </w:pPr>
    </w:p>
    <w:p>
      <w:pPr>
        <w:ind w:left="1220" w:right="1239"/>
        <w:spacing w:after="0" w:line="274" w:lineRule="auto"/>
        <w:rPr>
          <w:sz w:val="20"/>
          <w:szCs w:val="20"/>
          <w:color w:val="auto"/>
        </w:rPr>
      </w:pPr>
      <w:r>
        <w:rPr>
          <w:rFonts w:ascii="Arial" w:cs="Arial" w:eastAsia="Arial" w:hAnsi="Arial"/>
          <w:sz w:val="14"/>
          <w:szCs w:val="14"/>
          <w:color w:val="auto"/>
        </w:rPr>
        <w:t>KNOW ALL BY THESE PRESENTS, that each person whose signature appears below constitutes and appoints Osvaldo Flores, Ph.D. and Michael Diem, M.D.,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297" w:lineRule="exact"/>
        <w:rPr>
          <w:sz w:val="20"/>
          <w:szCs w:val="20"/>
          <w:color w:val="auto"/>
        </w:rPr>
      </w:pPr>
    </w:p>
    <w:p>
      <w:pPr>
        <w:ind w:left="1220" w:right="1539"/>
        <w:spacing w:after="0" w:line="295" w:lineRule="auto"/>
        <w:rPr>
          <w:sz w:val="20"/>
          <w:szCs w:val="20"/>
          <w:color w:val="auto"/>
        </w:rPr>
      </w:pPr>
      <w:r>
        <w:rPr>
          <w:rFonts w:ascii="Arial" w:cs="Arial" w:eastAsia="Arial" w:hAnsi="Arial"/>
          <w:sz w:val="14"/>
          <w:szCs w:val="14"/>
          <w:color w:val="auto"/>
        </w:rPr>
        <w:t>Pursuant to the requirements of the Securities Act of 1933, as amended, this registration statement on Form S-1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187325</wp:posOffset>
            </wp:positionV>
            <wp:extent cx="4165600" cy="1397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165600" cy="13970"/>
                    </a:xfrm>
                    <a:prstGeom prst="rect">
                      <a:avLst/>
                    </a:prstGeom>
                    <a:noFill/>
                  </pic:spPr>
                </pic:pic>
              </a:graphicData>
            </a:graphic>
          </wp:anchor>
        </w:drawing>
      </w:r>
    </w:p>
    <w:p>
      <w:pPr>
        <w:spacing w:after="0" w:line="304" w:lineRule="exact"/>
        <w:rPr>
          <w:sz w:val="20"/>
          <w:szCs w:val="20"/>
          <w:color w:val="auto"/>
        </w:rPr>
      </w:pPr>
    </w:p>
    <w:tbl>
      <w:tblPr>
        <w:tblLayout w:type="fixed"/>
        <w:tblInd w:w="1220" w:type="dxa"/>
        <w:tblCellMar>
          <w:top w:w="0" w:type="dxa"/>
          <w:left w:w="0" w:type="dxa"/>
          <w:bottom w:w="0" w:type="dxa"/>
          <w:right w:w="0" w:type="dxa"/>
        </w:tblCellMar>
      </w:tblPr>
      <w:tr>
        <w:trPr>
          <w:trHeight w:val="174"/>
        </w:trPr>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Signature</w:t>
            </w:r>
          </w:p>
        </w:tc>
        <w:tc>
          <w:tcPr>
            <w:tcW w:w="364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rPr>
              <w:t>Title</w:t>
            </w:r>
          </w:p>
        </w:tc>
        <w:tc>
          <w:tcPr>
            <w:tcW w:w="118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300"/>
        </w:trPr>
        <w:tc>
          <w:tcPr>
            <w:tcW w:w="1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spacing w:after="0"/>
              <w:rPr>
                <w:sz w:val="24"/>
                <w:szCs w:val="24"/>
                <w:color w:val="auto"/>
              </w:rPr>
            </w:pPr>
          </w:p>
        </w:tc>
        <w:tc>
          <w:tcPr>
            <w:tcW w:w="3640" w:type="dxa"/>
            <w:vAlign w:val="bottom"/>
            <w:tcBorders>
              <w:bottom w:val="single" w:sz="8" w:color="CCEEFF"/>
            </w:tcBorders>
            <w:shd w:val="clear" w:color="auto" w:fill="CCEEFF"/>
          </w:tcPr>
          <w:p>
            <w:pPr>
              <w:jc w:val="center"/>
              <w:ind w:right="149"/>
              <w:spacing w:after="0"/>
              <w:rPr>
                <w:sz w:val="20"/>
                <w:szCs w:val="20"/>
                <w:color w:val="auto"/>
              </w:rPr>
            </w:pPr>
            <w:r>
              <w:rPr>
                <w:rFonts w:ascii="Arial" w:cs="Arial" w:eastAsia="Arial" w:hAnsi="Arial"/>
                <w:sz w:val="14"/>
                <w:szCs w:val="14"/>
                <w:color w:val="auto"/>
              </w:rPr>
              <w:t>President, Chief Executive Officer and Director</w:t>
            </w:r>
          </w:p>
        </w:tc>
        <w:tc>
          <w:tcPr>
            <w:tcW w:w="118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 2021</w:t>
            </w:r>
          </w:p>
        </w:tc>
        <w:tc>
          <w:tcPr>
            <w:tcW w:w="0" w:type="dxa"/>
            <w:vAlign w:val="bottom"/>
          </w:tcPr>
          <w:p>
            <w:pPr>
              <w:spacing w:after="0"/>
              <w:rPr>
                <w:sz w:val="1"/>
                <w:szCs w:val="1"/>
                <w:color w:val="auto"/>
              </w:rPr>
            </w:pPr>
          </w:p>
        </w:tc>
      </w:tr>
      <w:tr>
        <w:trPr>
          <w:trHeight w:val="54"/>
        </w:trPr>
        <w:tc>
          <w:tcPr>
            <w:tcW w:w="16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Osvaldo Flores, Ph.D.</w:t>
            </w:r>
          </w:p>
        </w:tc>
        <w:tc>
          <w:tcPr>
            <w:tcW w:w="3640" w:type="dxa"/>
            <w:vAlign w:val="bottom"/>
            <w:tcBorders>
              <w:top w:val="single" w:sz="8" w:color="CCEEFF"/>
            </w:tcBorders>
            <w:vMerge w:val="restart"/>
            <w:shd w:val="clear" w:color="auto" w:fill="CCEEFF"/>
          </w:tcPr>
          <w:p>
            <w:pPr>
              <w:jc w:val="center"/>
              <w:spacing w:after="0" w:line="141" w:lineRule="exact"/>
              <w:rPr>
                <w:sz w:val="20"/>
                <w:szCs w:val="20"/>
                <w:color w:val="auto"/>
              </w:rPr>
            </w:pPr>
            <w:r>
              <w:rPr>
                <w:rFonts w:ascii="Arial" w:cs="Arial" w:eastAsia="Arial" w:hAnsi="Arial"/>
                <w:sz w:val="14"/>
                <w:szCs w:val="14"/>
                <w:i w:val="1"/>
                <w:iCs w:val="1"/>
                <w:color w:val="auto"/>
              </w:rPr>
              <w:t>(Principal Executive Officer)</w:t>
            </w:r>
          </w:p>
        </w:tc>
        <w:tc>
          <w:tcPr>
            <w:tcW w:w="1180" w:type="dxa"/>
            <w:vAlign w:val="bottom"/>
            <w:tcBorders>
              <w:top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60" w:type="dxa"/>
            <w:vAlign w:val="bottom"/>
            <w:tcBorders>
              <w:bottom w:val="single" w:sz="8" w:color="CCEEFF"/>
            </w:tcBorders>
            <w:shd w:val="clear" w:color="auto" w:fill="CCEEFF"/>
          </w:tcPr>
          <w:p>
            <w:pPr>
              <w:spacing w:after="0"/>
              <w:rPr>
                <w:sz w:val="10"/>
                <w:szCs w:val="10"/>
                <w:color w:val="auto"/>
              </w:rPr>
            </w:pPr>
          </w:p>
        </w:tc>
        <w:tc>
          <w:tcPr>
            <w:tcW w:w="1580" w:type="dxa"/>
            <w:vAlign w:val="bottom"/>
            <w:tcBorders>
              <w:bottom w:val="single" w:sz="8" w:color="auto"/>
            </w:tcBorders>
            <w:vMerge w:val="continue"/>
            <w:shd w:val="clear" w:color="auto" w:fill="CCEEFF"/>
          </w:tcPr>
          <w:p>
            <w:pPr>
              <w:spacing w:after="0"/>
              <w:rPr>
                <w:sz w:val="10"/>
                <w:szCs w:val="10"/>
                <w:color w:val="auto"/>
              </w:rPr>
            </w:pPr>
          </w:p>
        </w:tc>
        <w:tc>
          <w:tcPr>
            <w:tcW w:w="3640" w:type="dxa"/>
            <w:vAlign w:val="bottom"/>
            <w:tcBorders>
              <w:bottom w:val="single" w:sz="8" w:color="CCEEFF"/>
            </w:tcBorders>
            <w:vMerge w:val="continue"/>
            <w:shd w:val="clear" w:color="auto" w:fill="CCEEFF"/>
          </w:tcPr>
          <w:p>
            <w:pPr>
              <w:spacing w:after="0"/>
              <w:rPr>
                <w:sz w:val="10"/>
                <w:szCs w:val="10"/>
                <w:color w:val="auto"/>
              </w:rPr>
            </w:pPr>
          </w:p>
        </w:tc>
        <w:tc>
          <w:tcPr>
            <w:tcW w:w="11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40" w:type="dxa"/>
            <w:vAlign w:val="bottom"/>
          </w:tcPr>
          <w:p>
            <w:pPr>
              <w:jc w:val="center"/>
              <w:ind w:right="149"/>
              <w:spacing w:after="0"/>
              <w:rPr>
                <w:sz w:val="20"/>
                <w:szCs w:val="20"/>
                <w:color w:val="auto"/>
              </w:rPr>
            </w:pPr>
            <w:r>
              <w:rPr>
                <w:rFonts w:ascii="Arial" w:cs="Arial" w:eastAsia="Arial" w:hAnsi="Arial"/>
                <w:sz w:val="14"/>
                <w:szCs w:val="14"/>
                <w:color w:val="auto"/>
              </w:rPr>
              <w:t>Chief Business Officer</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 2021</w:t>
            </w:r>
          </w:p>
        </w:tc>
        <w:tc>
          <w:tcPr>
            <w:tcW w:w="0" w:type="dxa"/>
            <w:vAlign w:val="bottom"/>
          </w:tcPr>
          <w:p>
            <w:pPr>
              <w:spacing w:after="0"/>
              <w:rPr>
                <w:sz w:val="1"/>
                <w:szCs w:val="1"/>
                <w:color w:val="auto"/>
              </w:rPr>
            </w:pPr>
          </w:p>
        </w:tc>
      </w:tr>
      <w:tr>
        <w:trPr>
          <w:trHeight w:val="25"/>
        </w:trPr>
        <w:tc>
          <w:tcPr>
            <w:tcW w:w="1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4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(Principal Financial Officer)</w:t>
            </w:r>
          </w:p>
        </w:tc>
        <w:tc>
          <w:tcPr>
            <w:tcW w:w="1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rPr>
              <w:t>Michael Diem, M.D.</w:t>
            </w:r>
          </w:p>
        </w:tc>
        <w:tc>
          <w:tcPr>
            <w:tcW w:w="364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6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364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6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36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spacing w:after="0"/>
              <w:rPr>
                <w:sz w:val="24"/>
                <w:szCs w:val="24"/>
                <w:color w:val="auto"/>
              </w:rPr>
            </w:pPr>
          </w:p>
        </w:tc>
        <w:tc>
          <w:tcPr>
            <w:tcW w:w="3640" w:type="dxa"/>
            <w:vAlign w:val="bottom"/>
            <w:tcBorders>
              <w:bottom w:val="single" w:sz="8" w:color="CCEEFF"/>
            </w:tcBorders>
            <w:vMerge w:val="restart"/>
            <w:shd w:val="clear" w:color="auto" w:fill="CCEEFF"/>
          </w:tcPr>
          <w:p>
            <w:pPr>
              <w:jc w:val="center"/>
              <w:ind w:right="89"/>
              <w:spacing w:after="0"/>
              <w:rPr>
                <w:sz w:val="20"/>
                <w:szCs w:val="20"/>
                <w:color w:val="auto"/>
              </w:rPr>
            </w:pPr>
            <w:r>
              <w:rPr>
                <w:rFonts w:ascii="Arial" w:cs="Arial" w:eastAsia="Arial" w:hAnsi="Arial"/>
                <w:sz w:val="14"/>
                <w:szCs w:val="14"/>
                <w:color w:val="auto"/>
              </w:rPr>
              <w:t>Director</w:t>
            </w:r>
          </w:p>
        </w:tc>
        <w:tc>
          <w:tcPr>
            <w:tcW w:w="118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 2021</w:t>
            </w:r>
          </w:p>
        </w:tc>
        <w:tc>
          <w:tcPr>
            <w:tcW w:w="0" w:type="dxa"/>
            <w:vAlign w:val="bottom"/>
          </w:tcPr>
          <w:p>
            <w:pPr>
              <w:spacing w:after="0"/>
              <w:rPr>
                <w:sz w:val="1"/>
                <w:szCs w:val="1"/>
                <w:color w:val="auto"/>
              </w:rPr>
            </w:pPr>
          </w:p>
        </w:tc>
      </w:tr>
      <w:tr>
        <w:trPr>
          <w:trHeight w:val="54"/>
        </w:trPr>
        <w:tc>
          <w:tcPr>
            <w:tcW w:w="160" w:type="dxa"/>
            <w:vAlign w:val="bottom"/>
            <w:shd w:val="clear" w:color="auto" w:fill="CCEEFF"/>
          </w:tcPr>
          <w:p>
            <w:pPr>
              <w:spacing w:after="0"/>
              <w:rPr>
                <w:sz w:val="4"/>
                <w:szCs w:val="4"/>
                <w:color w:val="auto"/>
              </w:rPr>
            </w:pP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Toshikazu Ban</w:t>
            </w:r>
          </w:p>
        </w:tc>
        <w:tc>
          <w:tcPr>
            <w:tcW w:w="3640" w:type="dxa"/>
            <w:vAlign w:val="bottom"/>
            <w:vMerge w:val="continue"/>
            <w:shd w:val="clear" w:color="auto" w:fill="CCEEFF"/>
          </w:tcPr>
          <w:p>
            <w:pPr>
              <w:spacing w:after="0"/>
              <w:rPr>
                <w:sz w:val="4"/>
                <w:szCs w:val="4"/>
                <w:color w:val="auto"/>
              </w:rPr>
            </w:pPr>
          </w:p>
        </w:tc>
        <w:tc>
          <w:tcPr>
            <w:tcW w:w="11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60" w:type="dxa"/>
            <w:vAlign w:val="bottom"/>
            <w:shd w:val="clear" w:color="auto" w:fill="CCEEFF"/>
          </w:tcPr>
          <w:p>
            <w:pPr>
              <w:spacing w:after="0"/>
              <w:rPr>
                <w:sz w:val="12"/>
                <w:szCs w:val="12"/>
                <w:color w:val="auto"/>
              </w:rPr>
            </w:pPr>
          </w:p>
        </w:tc>
        <w:tc>
          <w:tcPr>
            <w:tcW w:w="1580" w:type="dxa"/>
            <w:vAlign w:val="bottom"/>
            <w:vMerge w:val="continue"/>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16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640" w:type="dxa"/>
            <w:vAlign w:val="bottom"/>
            <w:vMerge w:val="restart"/>
          </w:tcPr>
          <w:p>
            <w:pPr>
              <w:jc w:val="center"/>
              <w:ind w:right="89"/>
              <w:spacing w:after="0"/>
              <w:rPr>
                <w:sz w:val="20"/>
                <w:szCs w:val="20"/>
                <w:color w:val="auto"/>
              </w:rPr>
            </w:pPr>
            <w:r>
              <w:rPr>
                <w:rFonts w:ascii="Arial" w:cs="Arial" w:eastAsia="Arial" w:hAnsi="Arial"/>
                <w:sz w:val="14"/>
                <w:szCs w:val="14"/>
                <w:color w:val="auto"/>
              </w:rPr>
              <w:t>Director</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 2021</w:t>
            </w: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rPr>
              <w:t>Cynthia Butitta</w:t>
            </w:r>
          </w:p>
        </w:tc>
        <w:tc>
          <w:tcPr>
            <w:tcW w:w="364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3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1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spacing w:after="0"/>
              <w:rPr>
                <w:sz w:val="24"/>
                <w:szCs w:val="24"/>
                <w:color w:val="auto"/>
              </w:rPr>
            </w:pPr>
          </w:p>
        </w:tc>
        <w:tc>
          <w:tcPr>
            <w:tcW w:w="3640" w:type="dxa"/>
            <w:vAlign w:val="bottom"/>
            <w:tcBorders>
              <w:bottom w:val="single" w:sz="8" w:color="CCEEFF"/>
            </w:tcBorders>
            <w:vMerge w:val="restart"/>
            <w:shd w:val="clear" w:color="auto" w:fill="CCEEFF"/>
          </w:tcPr>
          <w:p>
            <w:pPr>
              <w:jc w:val="center"/>
              <w:ind w:right="89"/>
              <w:spacing w:after="0"/>
              <w:rPr>
                <w:sz w:val="20"/>
                <w:szCs w:val="20"/>
                <w:color w:val="auto"/>
              </w:rPr>
            </w:pPr>
            <w:r>
              <w:rPr>
                <w:rFonts w:ascii="Arial" w:cs="Arial" w:eastAsia="Arial" w:hAnsi="Arial"/>
                <w:sz w:val="14"/>
                <w:szCs w:val="14"/>
                <w:color w:val="auto"/>
              </w:rPr>
              <w:t>Director</w:t>
            </w:r>
          </w:p>
        </w:tc>
        <w:tc>
          <w:tcPr>
            <w:tcW w:w="118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 2021</w:t>
            </w:r>
          </w:p>
        </w:tc>
        <w:tc>
          <w:tcPr>
            <w:tcW w:w="0" w:type="dxa"/>
            <w:vAlign w:val="bottom"/>
          </w:tcPr>
          <w:p>
            <w:pPr>
              <w:spacing w:after="0"/>
              <w:rPr>
                <w:sz w:val="1"/>
                <w:szCs w:val="1"/>
                <w:color w:val="auto"/>
              </w:rPr>
            </w:pPr>
          </w:p>
        </w:tc>
      </w:tr>
      <w:tr>
        <w:trPr>
          <w:trHeight w:val="54"/>
        </w:trPr>
        <w:tc>
          <w:tcPr>
            <w:tcW w:w="160" w:type="dxa"/>
            <w:vAlign w:val="bottom"/>
            <w:shd w:val="clear" w:color="auto" w:fill="CCEEFF"/>
          </w:tcPr>
          <w:p>
            <w:pPr>
              <w:spacing w:after="0"/>
              <w:rPr>
                <w:sz w:val="4"/>
                <w:szCs w:val="4"/>
                <w:color w:val="auto"/>
              </w:rPr>
            </w:pP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Eli Casdin</w:t>
            </w:r>
          </w:p>
        </w:tc>
        <w:tc>
          <w:tcPr>
            <w:tcW w:w="3640" w:type="dxa"/>
            <w:vAlign w:val="bottom"/>
            <w:vMerge w:val="continue"/>
            <w:shd w:val="clear" w:color="auto" w:fill="CCEEFF"/>
          </w:tcPr>
          <w:p>
            <w:pPr>
              <w:spacing w:after="0"/>
              <w:rPr>
                <w:sz w:val="4"/>
                <w:szCs w:val="4"/>
                <w:color w:val="auto"/>
              </w:rPr>
            </w:pPr>
          </w:p>
        </w:tc>
        <w:tc>
          <w:tcPr>
            <w:tcW w:w="11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60" w:type="dxa"/>
            <w:vAlign w:val="bottom"/>
            <w:shd w:val="clear" w:color="auto" w:fill="CCEEFF"/>
          </w:tcPr>
          <w:p>
            <w:pPr>
              <w:spacing w:after="0"/>
              <w:rPr>
                <w:sz w:val="12"/>
                <w:szCs w:val="12"/>
                <w:color w:val="auto"/>
              </w:rPr>
            </w:pPr>
          </w:p>
        </w:tc>
        <w:tc>
          <w:tcPr>
            <w:tcW w:w="1580" w:type="dxa"/>
            <w:vAlign w:val="bottom"/>
            <w:vMerge w:val="continue"/>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16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640" w:type="dxa"/>
            <w:vAlign w:val="bottom"/>
            <w:vMerge w:val="restart"/>
          </w:tcPr>
          <w:p>
            <w:pPr>
              <w:jc w:val="center"/>
              <w:ind w:right="89"/>
              <w:spacing w:after="0"/>
              <w:rPr>
                <w:sz w:val="20"/>
                <w:szCs w:val="20"/>
                <w:color w:val="auto"/>
              </w:rPr>
            </w:pPr>
            <w:r>
              <w:rPr>
                <w:rFonts w:ascii="Arial" w:cs="Arial" w:eastAsia="Arial" w:hAnsi="Arial"/>
                <w:sz w:val="14"/>
                <w:szCs w:val="14"/>
                <w:color w:val="auto"/>
              </w:rPr>
              <w:t>Director</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 2021</w:t>
            </w: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rPr>
              <w:t>Juergen Eckhardt</w:t>
            </w:r>
          </w:p>
        </w:tc>
        <w:tc>
          <w:tcPr>
            <w:tcW w:w="364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6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3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1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spacing w:after="0"/>
              <w:rPr>
                <w:sz w:val="24"/>
                <w:szCs w:val="24"/>
                <w:color w:val="auto"/>
              </w:rPr>
            </w:pPr>
          </w:p>
        </w:tc>
        <w:tc>
          <w:tcPr>
            <w:tcW w:w="3640" w:type="dxa"/>
            <w:vAlign w:val="bottom"/>
            <w:tcBorders>
              <w:bottom w:val="single" w:sz="8" w:color="CCEEFF"/>
            </w:tcBorders>
            <w:vMerge w:val="restart"/>
            <w:shd w:val="clear" w:color="auto" w:fill="CCEEFF"/>
          </w:tcPr>
          <w:p>
            <w:pPr>
              <w:jc w:val="center"/>
              <w:ind w:right="89"/>
              <w:spacing w:after="0"/>
              <w:rPr>
                <w:sz w:val="20"/>
                <w:szCs w:val="20"/>
                <w:color w:val="auto"/>
              </w:rPr>
            </w:pPr>
            <w:r>
              <w:rPr>
                <w:rFonts w:ascii="Arial" w:cs="Arial" w:eastAsia="Arial" w:hAnsi="Arial"/>
                <w:sz w:val="14"/>
                <w:szCs w:val="14"/>
                <w:color w:val="auto"/>
              </w:rPr>
              <w:t>Director, Chairman of the Board</w:t>
            </w:r>
          </w:p>
        </w:tc>
        <w:tc>
          <w:tcPr>
            <w:tcW w:w="118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 2021</w:t>
            </w:r>
          </w:p>
        </w:tc>
        <w:tc>
          <w:tcPr>
            <w:tcW w:w="0" w:type="dxa"/>
            <w:vAlign w:val="bottom"/>
          </w:tcPr>
          <w:p>
            <w:pPr>
              <w:spacing w:after="0"/>
              <w:rPr>
                <w:sz w:val="1"/>
                <w:szCs w:val="1"/>
                <w:color w:val="auto"/>
              </w:rPr>
            </w:pPr>
          </w:p>
        </w:tc>
      </w:tr>
      <w:tr>
        <w:trPr>
          <w:trHeight w:val="54"/>
        </w:trPr>
        <w:tc>
          <w:tcPr>
            <w:tcW w:w="160" w:type="dxa"/>
            <w:vAlign w:val="bottom"/>
            <w:shd w:val="clear" w:color="auto" w:fill="CCEEFF"/>
          </w:tcPr>
          <w:p>
            <w:pPr>
              <w:spacing w:after="0"/>
              <w:rPr>
                <w:sz w:val="4"/>
                <w:szCs w:val="4"/>
                <w:color w:val="auto"/>
              </w:rPr>
            </w:pP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Joseph Jimenez</w:t>
            </w:r>
          </w:p>
        </w:tc>
        <w:tc>
          <w:tcPr>
            <w:tcW w:w="3640" w:type="dxa"/>
            <w:vAlign w:val="bottom"/>
            <w:vMerge w:val="continue"/>
            <w:shd w:val="clear" w:color="auto" w:fill="CCEEFF"/>
          </w:tcPr>
          <w:p>
            <w:pPr>
              <w:spacing w:after="0"/>
              <w:rPr>
                <w:sz w:val="4"/>
                <w:szCs w:val="4"/>
                <w:color w:val="auto"/>
              </w:rPr>
            </w:pPr>
          </w:p>
        </w:tc>
        <w:tc>
          <w:tcPr>
            <w:tcW w:w="11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60" w:type="dxa"/>
            <w:vAlign w:val="bottom"/>
            <w:shd w:val="clear" w:color="auto" w:fill="CCEEFF"/>
          </w:tcPr>
          <w:p>
            <w:pPr>
              <w:spacing w:after="0"/>
              <w:rPr>
                <w:sz w:val="12"/>
                <w:szCs w:val="12"/>
                <w:color w:val="auto"/>
              </w:rPr>
            </w:pPr>
          </w:p>
        </w:tc>
        <w:tc>
          <w:tcPr>
            <w:tcW w:w="1580" w:type="dxa"/>
            <w:vAlign w:val="bottom"/>
            <w:vMerge w:val="continue"/>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16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640" w:type="dxa"/>
            <w:vAlign w:val="bottom"/>
            <w:vMerge w:val="restart"/>
          </w:tcPr>
          <w:p>
            <w:pPr>
              <w:jc w:val="center"/>
              <w:ind w:right="89"/>
              <w:spacing w:after="0"/>
              <w:rPr>
                <w:sz w:val="20"/>
                <w:szCs w:val="20"/>
                <w:color w:val="auto"/>
              </w:rPr>
            </w:pPr>
            <w:r>
              <w:rPr>
                <w:rFonts w:ascii="Arial" w:cs="Arial" w:eastAsia="Arial" w:hAnsi="Arial"/>
                <w:sz w:val="14"/>
                <w:szCs w:val="14"/>
                <w:color w:val="auto"/>
              </w:rPr>
              <w:t>Director</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 2021</w:t>
            </w: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color w:val="auto"/>
              </w:rPr>
              <w:t>Carlo Rizzuto, Ph.D.</w:t>
            </w:r>
          </w:p>
        </w:tc>
        <w:tc>
          <w:tcPr>
            <w:tcW w:w="364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vMerge w:val="continue"/>
          </w:tcPr>
          <w:p>
            <w:pPr>
              <w:spacing w:after="0"/>
              <w:rPr>
                <w:sz w:val="12"/>
                <w:szCs w:val="12"/>
                <w:color w:val="auto"/>
              </w:rPr>
            </w:pPr>
          </w:p>
        </w:tc>
        <w:tc>
          <w:tcPr>
            <w:tcW w:w="36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II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193675</wp:posOffset>
            </wp:positionV>
            <wp:extent cx="5458460" cy="3937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458460" cy="39370"/>
                    </a:xfrm>
                    <a:prstGeom prst="rect">
                      <a:avLst/>
                    </a:prstGeom>
                    <a:noFill/>
                  </pic:spPr>
                </pic:pic>
              </a:graphicData>
            </a:graphic>
          </wp:anchor>
        </w:drawing>
      </w:r>
    </w:p>
    <w:p>
      <w:pPr>
        <w:sectPr>
          <w:pgSz w:w="11900" w:h="16838" w:orient="portrait"/>
          <w:cols w:equalWidth="0" w:num="1">
            <w:col w:w="9019"/>
          </w:cols>
          <w:pgMar w:left="1440" w:top="133" w:right="1440" w:bottom="1440" w:gutter="0" w:footer="0" w:header="0"/>
        </w:sectPr>
      </w:pPr>
    </w:p>
    <w:bookmarkStart w:id="271" w:name="page272"/>
    <w:bookmarkEnd w:id="271"/>
    <w:p>
      <w:pPr>
        <w:jc w:val="right"/>
        <w:spacing w:after="0"/>
        <w:rPr>
          <w:sz w:val="20"/>
          <w:szCs w:val="20"/>
          <w:color w:val="auto"/>
        </w:rPr>
      </w:pPr>
      <w:r>
        <w:rPr>
          <w:rFonts w:ascii="Arial" w:cs="Arial" w:eastAsia="Arial" w:hAnsi="Arial"/>
          <w:sz w:val="14"/>
          <w:szCs w:val="14"/>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126365</wp:posOffset>
            </wp:positionV>
            <wp:extent cx="1075690" cy="30861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07569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CONFIDENTIAL</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2 July 2019</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Wisconsin Alumni Research Foundation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Attn: Andy DeTienne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614 Walnut Street</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Madison, Wisconsin 53726</w:t>
      </w:r>
    </w:p>
    <w:p>
      <w:pPr>
        <w:spacing w:after="0" w:line="171"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b w:val="1"/>
          <w:bCs w:val="1"/>
          <w:color w:val="auto"/>
        </w:rPr>
        <w:t>RE:</w:t>
        <w:tab/>
        <w:t>Letter Agreement Regarding WARF/CDI License Agreement and CDI/Century Sublicense Agreement</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Pursuant to its sublicensing rights under that certain License Agreement by and between Wisconsin Alumni Research Foundation (“</w:t>
      </w:r>
      <w:r>
        <w:rPr>
          <w:rFonts w:ascii="Arial" w:cs="Arial" w:eastAsia="Arial" w:hAnsi="Arial"/>
          <w:sz w:val="13"/>
          <w:szCs w:val="13"/>
          <w:b w:val="1"/>
          <w:bCs w:val="1"/>
          <w:color w:val="auto"/>
        </w:rPr>
        <w:t>WARF</w:t>
      </w:r>
      <w:r>
        <w:rPr>
          <w:rFonts w:ascii="Arial" w:cs="Arial" w:eastAsia="Arial" w:hAnsi="Arial"/>
          <w:sz w:val="13"/>
          <w:szCs w:val="13"/>
          <w:color w:val="auto"/>
        </w:rPr>
        <w:t>”) and FUJIFILM Cellular Dynamics, Inc. (formerly known as Cellular Dynamics International, Inc.) (“</w:t>
      </w:r>
      <w:r>
        <w:rPr>
          <w:rFonts w:ascii="Arial" w:cs="Arial" w:eastAsia="Arial" w:hAnsi="Arial"/>
          <w:sz w:val="13"/>
          <w:szCs w:val="13"/>
          <w:b w:val="1"/>
          <w:bCs w:val="1"/>
          <w:color w:val="auto"/>
        </w:rPr>
        <w:t>CDI</w:t>
      </w:r>
      <w:r>
        <w:rPr>
          <w:rFonts w:ascii="Arial" w:cs="Arial" w:eastAsia="Arial" w:hAnsi="Arial"/>
          <w:sz w:val="13"/>
          <w:szCs w:val="13"/>
          <w:color w:val="auto"/>
        </w:rPr>
        <w:t>”), WARF Agreement No. 11-00206, dated effective as of June 6, 2012, as amended (the “</w:t>
      </w:r>
      <w:r>
        <w:rPr>
          <w:rFonts w:ascii="Arial" w:cs="Arial" w:eastAsia="Arial" w:hAnsi="Arial"/>
          <w:sz w:val="13"/>
          <w:szCs w:val="13"/>
          <w:b w:val="1"/>
          <w:bCs w:val="1"/>
          <w:color w:val="auto"/>
        </w:rPr>
        <w:t>License Agreement</w:t>
      </w:r>
      <w:r>
        <w:rPr>
          <w:rFonts w:ascii="Arial" w:cs="Arial" w:eastAsia="Arial" w:hAnsi="Arial"/>
          <w:sz w:val="13"/>
          <w:szCs w:val="13"/>
          <w:color w:val="auto"/>
        </w:rPr>
        <w:t>”), CDI sublicensed certain rights to Century Therapeutics, LLC (“</w:t>
      </w:r>
      <w:r>
        <w:rPr>
          <w:rFonts w:ascii="Arial" w:cs="Arial" w:eastAsia="Arial" w:hAnsi="Arial"/>
          <w:sz w:val="13"/>
          <w:szCs w:val="13"/>
          <w:b w:val="1"/>
          <w:bCs w:val="1"/>
          <w:color w:val="auto"/>
        </w:rPr>
        <w:t>Century</w:t>
      </w:r>
      <w:r>
        <w:rPr>
          <w:rFonts w:ascii="Arial" w:cs="Arial" w:eastAsia="Arial" w:hAnsi="Arial"/>
          <w:sz w:val="13"/>
          <w:szCs w:val="13"/>
          <w:color w:val="auto"/>
        </w:rPr>
        <w:t>”) under the Licensed Patents as set forth in a sublicense agreement between CDI and Century, as may be amended or restated in the future by CDI and Century (the “</w:t>
      </w:r>
      <w:r>
        <w:rPr>
          <w:rFonts w:ascii="Arial" w:cs="Arial" w:eastAsia="Arial" w:hAnsi="Arial"/>
          <w:sz w:val="13"/>
          <w:szCs w:val="13"/>
          <w:b w:val="1"/>
          <w:bCs w:val="1"/>
          <w:color w:val="auto"/>
        </w:rPr>
        <w:t>Sublicense Agreement</w:t>
      </w:r>
      <w:r>
        <w:rPr>
          <w:rFonts w:ascii="Arial" w:cs="Arial" w:eastAsia="Arial" w:hAnsi="Arial"/>
          <w:sz w:val="13"/>
          <w:szCs w:val="13"/>
          <w:color w:val="auto"/>
        </w:rPr>
        <w:t>”). This letter agreement (this “</w:t>
      </w:r>
      <w:r>
        <w:rPr>
          <w:rFonts w:ascii="Arial" w:cs="Arial" w:eastAsia="Arial" w:hAnsi="Arial"/>
          <w:sz w:val="13"/>
          <w:szCs w:val="13"/>
          <w:b w:val="1"/>
          <w:bCs w:val="1"/>
          <w:color w:val="auto"/>
        </w:rPr>
        <w:t>Letter Agreement</w:t>
      </w:r>
      <w:r>
        <w:rPr>
          <w:rFonts w:ascii="Arial" w:cs="Arial" w:eastAsia="Arial" w:hAnsi="Arial"/>
          <w:sz w:val="13"/>
          <w:szCs w:val="13"/>
          <w:color w:val="auto"/>
        </w:rPr>
        <w:t>”) confirms the understanding between CDI, Century and WARF with respect to the License Agreement and Sublicense Agreement, notwithstanding any terms to the contrary in the License Agreement or Sublicense Agreement. Capitalized terms not otherwise defined herein shall have the meanings ascribed to such terms in the License Agreement. CDI, Century and WARF are sometimes referred to herein individually as a “</w:t>
      </w:r>
      <w:r>
        <w:rPr>
          <w:rFonts w:ascii="Arial" w:cs="Arial" w:eastAsia="Arial" w:hAnsi="Arial"/>
          <w:sz w:val="13"/>
          <w:szCs w:val="13"/>
          <w:b w:val="1"/>
          <w:bCs w:val="1"/>
          <w:color w:val="auto"/>
        </w:rPr>
        <w:t>Party</w:t>
      </w:r>
      <w:r>
        <w:rPr>
          <w:rFonts w:ascii="Arial" w:cs="Arial" w:eastAsia="Arial" w:hAnsi="Arial"/>
          <w:sz w:val="13"/>
          <w:szCs w:val="13"/>
          <w:color w:val="auto"/>
        </w:rPr>
        <w:t>” and collectively as the “</w:t>
      </w:r>
      <w:r>
        <w:rPr>
          <w:rFonts w:ascii="Arial" w:cs="Arial" w:eastAsia="Arial" w:hAnsi="Arial"/>
          <w:sz w:val="13"/>
          <w:szCs w:val="13"/>
          <w:b w:val="1"/>
          <w:bCs w:val="1"/>
          <w:color w:val="auto"/>
        </w:rPr>
        <w:t>Parties</w:t>
      </w:r>
      <w:r>
        <w:rPr>
          <w:rFonts w:ascii="Arial" w:cs="Arial" w:eastAsia="Arial" w:hAnsi="Arial"/>
          <w:sz w:val="13"/>
          <w:szCs w:val="13"/>
          <w:color w:val="auto"/>
        </w:rPr>
        <w:t>.”</w:t>
      </w:r>
    </w:p>
    <w:p>
      <w:pPr>
        <w:spacing w:after="0" w:line="132" w:lineRule="exact"/>
        <w:rPr>
          <w:sz w:val="20"/>
          <w:szCs w:val="20"/>
          <w:color w:val="auto"/>
        </w:rPr>
      </w:pPr>
    </w:p>
    <w:p>
      <w:pPr>
        <w:jc w:val="both"/>
        <w:ind w:firstLine="6"/>
        <w:spacing w:after="0" w:line="285" w:lineRule="auto"/>
        <w:tabs>
          <w:tab w:leader="none" w:pos="550" w:val="left"/>
        </w:tabs>
        <w:numPr>
          <w:ilvl w:val="0"/>
          <w:numId w:val="139"/>
        </w:numPr>
        <w:rPr>
          <w:rFonts w:ascii="Arial" w:cs="Arial" w:eastAsia="Arial" w:hAnsi="Arial"/>
          <w:sz w:val="13"/>
          <w:szCs w:val="13"/>
          <w:color w:val="auto"/>
        </w:rPr>
      </w:pPr>
      <w:r>
        <w:rPr>
          <w:rFonts w:ascii="Arial" w:cs="Arial" w:eastAsia="Arial" w:hAnsi="Arial"/>
          <w:sz w:val="13"/>
          <w:szCs w:val="13"/>
          <w:b w:val="1"/>
          <w:bCs w:val="1"/>
          <w:color w:val="auto"/>
        </w:rPr>
        <w:t xml:space="preserve">Century’s Right </w:t>
      </w:r>
      <w:r>
        <w:rPr>
          <w:rFonts w:ascii="Arial" w:cs="Arial" w:eastAsia="Arial" w:hAnsi="Arial"/>
          <w:sz w:val="13"/>
          <w:szCs w:val="13"/>
          <w:b w:val="1"/>
          <w:bCs w:val="1"/>
          <w:color w:val="353535"/>
        </w:rPr>
        <w:t>to Sublicense</w:t>
      </w:r>
      <w:r>
        <w:rPr>
          <w:rFonts w:ascii="Arial" w:cs="Arial" w:eastAsia="Arial" w:hAnsi="Arial"/>
          <w:sz w:val="13"/>
          <w:szCs w:val="13"/>
          <w:color w:val="353535"/>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Century</w:t>
      </w:r>
      <w:r>
        <w:rPr>
          <w:rFonts w:ascii="Arial" w:cs="Arial" w:eastAsia="Arial" w:hAnsi="Arial"/>
          <w:sz w:val="13"/>
          <w:szCs w:val="13"/>
          <w:b w:val="1"/>
          <w:bCs w:val="1"/>
          <w:color w:val="auto"/>
        </w:rPr>
        <w:t xml:space="preserve"> </w:t>
      </w:r>
      <w:r>
        <w:rPr>
          <w:rFonts w:ascii="Arial" w:cs="Arial" w:eastAsia="Arial" w:hAnsi="Arial"/>
          <w:sz w:val="13"/>
          <w:szCs w:val="13"/>
          <w:color w:val="353535"/>
        </w:rPr>
        <w:t>shall have</w:t>
      </w:r>
      <w:r>
        <w:rPr>
          <w:rFonts w:ascii="Arial" w:cs="Arial" w:eastAsia="Arial" w:hAnsi="Arial"/>
          <w:sz w:val="13"/>
          <w:szCs w:val="13"/>
          <w:b w:val="1"/>
          <w:bCs w:val="1"/>
          <w:color w:val="auto"/>
        </w:rPr>
        <w:t xml:space="preserve"> </w:t>
      </w:r>
      <w:r>
        <w:rPr>
          <w:rFonts w:ascii="Arial" w:cs="Arial" w:eastAsia="Arial" w:hAnsi="Arial"/>
          <w:sz w:val="13"/>
          <w:szCs w:val="13"/>
          <w:color w:val="auto"/>
        </w:rPr>
        <w:t>the</w:t>
      </w:r>
      <w:r>
        <w:rPr>
          <w:rFonts w:ascii="Arial" w:cs="Arial" w:eastAsia="Arial" w:hAnsi="Arial"/>
          <w:sz w:val="13"/>
          <w:szCs w:val="13"/>
          <w:b w:val="1"/>
          <w:bCs w:val="1"/>
          <w:color w:val="auto"/>
        </w:rPr>
        <w:t xml:space="preserve"> </w:t>
      </w:r>
      <w:r>
        <w:rPr>
          <w:rFonts w:ascii="Arial" w:cs="Arial" w:eastAsia="Arial" w:hAnsi="Arial"/>
          <w:sz w:val="13"/>
          <w:szCs w:val="13"/>
          <w:color w:val="353535"/>
        </w:rPr>
        <w:t>right</w:t>
      </w:r>
      <w:r>
        <w:rPr>
          <w:rFonts w:ascii="Arial" w:cs="Arial" w:eastAsia="Arial" w:hAnsi="Arial"/>
          <w:sz w:val="13"/>
          <w:szCs w:val="13"/>
          <w:b w:val="1"/>
          <w:bCs w:val="1"/>
          <w:color w:val="auto"/>
        </w:rPr>
        <w:t xml:space="preserve"> </w:t>
      </w:r>
      <w:r>
        <w:rPr>
          <w:rFonts w:ascii="Arial" w:cs="Arial" w:eastAsia="Arial" w:hAnsi="Arial"/>
          <w:sz w:val="13"/>
          <w:szCs w:val="13"/>
          <w:color w:val="auto"/>
        </w:rPr>
        <w:t>to grant non-exclusive further sublicenses (through multiple tiers) (each a</w:t>
      </w:r>
      <w:r>
        <w:rPr>
          <w:rFonts w:ascii="Arial" w:cs="Arial" w:eastAsia="Arial" w:hAnsi="Arial"/>
          <w:sz w:val="13"/>
          <w:szCs w:val="13"/>
          <w:b w:val="1"/>
          <w:bCs w:val="1"/>
          <w:color w:val="auto"/>
        </w:rPr>
        <w:t xml:space="preserve"> </w:t>
      </w:r>
      <w:r>
        <w:rPr>
          <w:rFonts w:ascii="Arial" w:cs="Arial" w:eastAsia="Arial" w:hAnsi="Arial"/>
          <w:sz w:val="13"/>
          <w:szCs w:val="13"/>
          <w:color w:val="353535"/>
        </w:rPr>
        <w:t>“Sub-Sublicense”)</w:t>
      </w:r>
      <w:r>
        <w:rPr>
          <w:rFonts w:ascii="Arial" w:cs="Arial" w:eastAsia="Arial" w:hAnsi="Arial"/>
          <w:sz w:val="13"/>
          <w:szCs w:val="13"/>
          <w:b w:val="1"/>
          <w:bCs w:val="1"/>
          <w:color w:val="auto"/>
        </w:rPr>
        <w:t xml:space="preserve"> </w:t>
      </w:r>
      <w:r>
        <w:rPr>
          <w:rFonts w:ascii="Arial" w:cs="Arial" w:eastAsia="Arial" w:hAnsi="Arial"/>
          <w:sz w:val="13"/>
          <w:szCs w:val="13"/>
          <w:color w:val="auto"/>
        </w:rPr>
        <w:t>of the rights and licenses to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Licensed Patents granted to </w:t>
      </w:r>
      <w:r>
        <w:rPr>
          <w:rFonts w:ascii="Arial" w:cs="Arial" w:eastAsia="Arial" w:hAnsi="Arial"/>
          <w:sz w:val="13"/>
          <w:szCs w:val="13"/>
          <w:color w:val="353535"/>
        </w:rPr>
        <w:t>Century under</w:t>
      </w:r>
      <w:r>
        <w:rPr>
          <w:rFonts w:ascii="Arial" w:cs="Arial" w:eastAsia="Arial" w:hAnsi="Arial"/>
          <w:sz w:val="13"/>
          <w:szCs w:val="13"/>
          <w:color w:val="auto"/>
        </w:rPr>
        <w:t xml:space="preserve"> the Sublicense Agreement to </w:t>
      </w:r>
      <w:r>
        <w:rPr>
          <w:rFonts w:ascii="Arial" w:cs="Arial" w:eastAsia="Arial" w:hAnsi="Arial"/>
          <w:sz w:val="13"/>
          <w:szCs w:val="13"/>
          <w:color w:val="353535"/>
        </w:rPr>
        <w:t>third</w:t>
      </w:r>
      <w:r>
        <w:rPr>
          <w:rFonts w:ascii="Arial" w:cs="Arial" w:eastAsia="Arial" w:hAnsi="Arial"/>
          <w:sz w:val="13"/>
          <w:szCs w:val="13"/>
          <w:color w:val="auto"/>
        </w:rPr>
        <w:t xml:space="preserve"> parties </w:t>
      </w:r>
      <w:r>
        <w:rPr>
          <w:rFonts w:ascii="Arial" w:cs="Arial" w:eastAsia="Arial" w:hAnsi="Arial"/>
          <w:sz w:val="13"/>
          <w:szCs w:val="13"/>
          <w:color w:val="353535"/>
        </w:rPr>
        <w:t>(without</w:t>
      </w:r>
      <w:r>
        <w:rPr>
          <w:rFonts w:ascii="Arial" w:cs="Arial" w:eastAsia="Arial" w:hAnsi="Arial"/>
          <w:sz w:val="13"/>
          <w:szCs w:val="13"/>
          <w:color w:val="auto"/>
        </w:rPr>
        <w:t xml:space="preserve"> any limitations on Geography or on therapeutic indication, except as otherwise provided in the Sublicense Agreement), with </w:t>
      </w:r>
      <w:r>
        <w:rPr>
          <w:rFonts w:ascii="Arial" w:cs="Arial" w:eastAsia="Arial" w:hAnsi="Arial"/>
          <w:sz w:val="13"/>
          <w:szCs w:val="13"/>
          <w:color w:val="353535"/>
        </w:rPr>
        <w:t>prior</w:t>
      </w:r>
      <w:r>
        <w:rPr>
          <w:rFonts w:ascii="Arial" w:cs="Arial" w:eastAsia="Arial" w:hAnsi="Arial"/>
          <w:sz w:val="13"/>
          <w:szCs w:val="13"/>
          <w:color w:val="auto"/>
        </w:rPr>
        <w:t xml:space="preserve"> written notice to </w:t>
      </w:r>
      <w:r>
        <w:rPr>
          <w:rFonts w:ascii="Arial" w:cs="Arial" w:eastAsia="Arial" w:hAnsi="Arial"/>
          <w:sz w:val="13"/>
          <w:szCs w:val="13"/>
          <w:color w:val="353535"/>
        </w:rPr>
        <w:t>WARF</w:t>
      </w:r>
      <w:r>
        <w:rPr>
          <w:rFonts w:ascii="Arial" w:cs="Arial" w:eastAsia="Arial" w:hAnsi="Arial"/>
          <w:sz w:val="13"/>
          <w:szCs w:val="13"/>
          <w:color w:val="auto"/>
        </w:rPr>
        <w:t xml:space="preserve"> but otherwise in accordance with Section 2B(iii) (but excluding subclauses </w:t>
      </w:r>
      <w:r>
        <w:rPr>
          <w:rFonts w:ascii="Arial" w:cs="Arial" w:eastAsia="Arial" w:hAnsi="Arial"/>
          <w:sz w:val="13"/>
          <w:szCs w:val="13"/>
          <w:color w:val="353535"/>
        </w:rPr>
        <w:t>(a)</w:t>
      </w:r>
      <w:r>
        <w:rPr>
          <w:rFonts w:ascii="Arial" w:cs="Arial" w:eastAsia="Arial" w:hAnsi="Arial"/>
          <w:sz w:val="13"/>
          <w:szCs w:val="13"/>
          <w:color w:val="auto"/>
        </w:rPr>
        <w:t xml:space="preserve"> and (b)) of </w:t>
      </w:r>
      <w:r>
        <w:rPr>
          <w:rFonts w:ascii="Arial" w:cs="Arial" w:eastAsia="Arial" w:hAnsi="Arial"/>
          <w:sz w:val="13"/>
          <w:szCs w:val="13"/>
          <w:color w:val="353535"/>
        </w:rPr>
        <w:t>the</w:t>
      </w:r>
      <w:r>
        <w:rPr>
          <w:rFonts w:ascii="Arial" w:cs="Arial" w:eastAsia="Arial" w:hAnsi="Arial"/>
          <w:sz w:val="13"/>
          <w:szCs w:val="13"/>
          <w:color w:val="auto"/>
        </w:rPr>
        <w:t xml:space="preserve"> License Agreement and </w:t>
      </w:r>
      <w:r>
        <w:rPr>
          <w:rFonts w:ascii="Arial" w:cs="Arial" w:eastAsia="Arial" w:hAnsi="Arial"/>
          <w:sz w:val="13"/>
          <w:szCs w:val="13"/>
          <w:color w:val="353535"/>
        </w:rPr>
        <w:t>not</w:t>
      </w:r>
      <w:r>
        <w:rPr>
          <w:rFonts w:ascii="Arial" w:cs="Arial" w:eastAsia="Arial" w:hAnsi="Arial"/>
          <w:sz w:val="13"/>
          <w:szCs w:val="13"/>
          <w:color w:val="auto"/>
        </w:rPr>
        <w:t xml:space="preserve"> exceeding the scope of rights (e.g., </w:t>
      </w:r>
      <w:r>
        <w:rPr>
          <w:rFonts w:ascii="Arial" w:cs="Arial" w:eastAsia="Arial" w:hAnsi="Arial"/>
          <w:sz w:val="13"/>
          <w:szCs w:val="13"/>
          <w:color w:val="353535"/>
        </w:rPr>
        <w:t>the</w:t>
      </w:r>
      <w:r>
        <w:rPr>
          <w:rFonts w:ascii="Arial" w:cs="Arial" w:eastAsia="Arial" w:hAnsi="Arial"/>
          <w:sz w:val="13"/>
          <w:szCs w:val="13"/>
          <w:color w:val="auto"/>
        </w:rPr>
        <w:t xml:space="preserve"> Licensed Field and Licensed Territory) granted to </w:t>
      </w:r>
      <w:r>
        <w:rPr>
          <w:rFonts w:ascii="Arial" w:cs="Arial" w:eastAsia="Arial" w:hAnsi="Arial"/>
          <w:sz w:val="13"/>
          <w:szCs w:val="13"/>
          <w:color w:val="353535"/>
        </w:rPr>
        <w:t>CDI</w:t>
      </w:r>
      <w:r>
        <w:rPr>
          <w:rFonts w:ascii="Arial" w:cs="Arial" w:eastAsia="Arial" w:hAnsi="Arial"/>
          <w:sz w:val="13"/>
          <w:szCs w:val="13"/>
          <w:color w:val="auto"/>
        </w:rPr>
        <w:t xml:space="preserve"> under the License Agreement. The Sub-Sublicenses </w:t>
      </w:r>
      <w:r>
        <w:rPr>
          <w:rFonts w:ascii="Arial" w:cs="Arial" w:eastAsia="Arial" w:hAnsi="Arial"/>
          <w:sz w:val="13"/>
          <w:szCs w:val="13"/>
          <w:color w:val="353535"/>
        </w:rPr>
        <w:t>shall</w:t>
      </w:r>
      <w:r>
        <w:rPr>
          <w:rFonts w:ascii="Arial" w:cs="Arial" w:eastAsia="Arial" w:hAnsi="Arial"/>
          <w:sz w:val="13"/>
          <w:szCs w:val="13"/>
          <w:color w:val="auto"/>
        </w:rPr>
        <w:t xml:space="preserve"> be consistent </w:t>
      </w:r>
      <w:r>
        <w:rPr>
          <w:rFonts w:ascii="Arial" w:cs="Arial" w:eastAsia="Arial" w:hAnsi="Arial"/>
          <w:sz w:val="13"/>
          <w:szCs w:val="13"/>
          <w:color w:val="353535"/>
        </w:rPr>
        <w:t>w</w:t>
      </w:r>
      <w:r>
        <w:rPr>
          <w:rFonts w:ascii="Arial" w:cs="Arial" w:eastAsia="Arial" w:hAnsi="Arial"/>
          <w:sz w:val="13"/>
          <w:szCs w:val="13"/>
          <w:color w:val="6B6B6C"/>
        </w:rPr>
        <w:t>ith</w:t>
      </w:r>
      <w:r>
        <w:rPr>
          <w:rFonts w:ascii="Arial" w:cs="Arial" w:eastAsia="Arial" w:hAnsi="Arial"/>
          <w:sz w:val="13"/>
          <w:szCs w:val="13"/>
          <w:color w:val="auto"/>
        </w:rPr>
        <w:t xml:space="preserve"> the terms of the License Agreement and this Letter Agreement </w:t>
      </w:r>
      <w:r>
        <w:rPr>
          <w:rFonts w:ascii="Arial" w:cs="Arial" w:eastAsia="Arial" w:hAnsi="Arial"/>
          <w:sz w:val="13"/>
          <w:szCs w:val="13"/>
          <w:color w:val="353535"/>
        </w:rPr>
        <w:t>to the</w:t>
      </w:r>
      <w:r>
        <w:rPr>
          <w:rFonts w:ascii="Arial" w:cs="Arial" w:eastAsia="Arial" w:hAnsi="Arial"/>
          <w:sz w:val="13"/>
          <w:szCs w:val="13"/>
          <w:color w:val="auto"/>
        </w:rPr>
        <w:t xml:space="preserve"> extent applicable to Sub-Sublicenses of the Licensed Patents under the License Agreement. </w:t>
      </w:r>
      <w:r>
        <w:rPr>
          <w:rFonts w:ascii="Arial" w:cs="Arial" w:eastAsia="Arial" w:hAnsi="Arial"/>
          <w:sz w:val="13"/>
          <w:szCs w:val="13"/>
          <w:color w:val="353535"/>
        </w:rPr>
        <w:t>Century shall</w:t>
      </w:r>
      <w:r>
        <w:rPr>
          <w:rFonts w:ascii="Arial" w:cs="Arial" w:eastAsia="Arial" w:hAnsi="Arial"/>
          <w:sz w:val="13"/>
          <w:szCs w:val="13"/>
          <w:color w:val="auto"/>
        </w:rPr>
        <w:t xml:space="preserve"> remain responsible for the activities </w:t>
      </w:r>
      <w:r>
        <w:rPr>
          <w:rFonts w:ascii="Arial" w:cs="Arial" w:eastAsia="Arial" w:hAnsi="Arial"/>
          <w:sz w:val="13"/>
          <w:szCs w:val="13"/>
          <w:color w:val="353535"/>
        </w:rPr>
        <w:t>of</w:t>
      </w:r>
      <w:r>
        <w:rPr>
          <w:rFonts w:ascii="Arial" w:cs="Arial" w:eastAsia="Arial" w:hAnsi="Arial"/>
          <w:sz w:val="13"/>
          <w:szCs w:val="13"/>
          <w:color w:val="auto"/>
        </w:rPr>
        <w:t xml:space="preserve"> any of its sub-sublicensees as if the </w:t>
      </w:r>
      <w:r>
        <w:rPr>
          <w:rFonts w:ascii="Arial" w:cs="Arial" w:eastAsia="Arial" w:hAnsi="Arial"/>
          <w:sz w:val="13"/>
          <w:szCs w:val="13"/>
          <w:color w:val="353535"/>
        </w:rPr>
        <w:t>activities</w:t>
      </w:r>
      <w:r>
        <w:rPr>
          <w:rFonts w:ascii="Arial" w:cs="Arial" w:eastAsia="Arial" w:hAnsi="Arial"/>
          <w:sz w:val="13"/>
          <w:szCs w:val="13"/>
          <w:color w:val="auto"/>
        </w:rPr>
        <w:t xml:space="preserve"> were directly those of </w:t>
      </w:r>
      <w:r>
        <w:rPr>
          <w:rFonts w:ascii="Arial" w:cs="Arial" w:eastAsia="Arial" w:hAnsi="Arial"/>
          <w:sz w:val="13"/>
          <w:szCs w:val="13"/>
          <w:color w:val="353535"/>
        </w:rPr>
        <w:t>Century</w:t>
      </w:r>
      <w:r>
        <w:rPr>
          <w:rFonts w:ascii="Arial" w:cs="Arial" w:eastAsia="Arial" w:hAnsi="Arial"/>
          <w:sz w:val="13"/>
          <w:szCs w:val="13"/>
          <w:color w:val="auto"/>
        </w:rPr>
        <w:t>; any act or omission of Century’s sub-sublicensee shall be considered a breach of Century, provided, however, that Century shall have ninety (90) days following receipt of notice of such act or omission to cure such breach and, if Century cures such breach during the cure period, WARF and CDI agree that the Sublicense Agreement and License Agreement shall remain in effect following such cure. A termination by Century of a Sub-Sublicense shall be deemed a cure by Century of a breach by such</w:t>
      </w:r>
    </w:p>
    <w:p>
      <w:pPr>
        <w:spacing w:after="0" w:line="5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Page 1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2" w:name="page273"/>
    <w:bookmarkEnd w:id="272"/>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3222625</wp:posOffset>
            </wp:positionH>
            <wp:positionV relativeFrom="page">
              <wp:posOffset>308610</wp:posOffset>
            </wp:positionV>
            <wp:extent cx="1075690" cy="30861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clrChange>
                        <a:clrFrom>
                          <a:srgbClr val="FFFFFF"/>
                        </a:clrFrom>
                        <a:clrTo>
                          <a:srgbClr val="FFFFFF">
                            <a:alpha val="0"/>
                          </a:srgbClr>
                        </a:clrTo>
                      </a:clrChange>
                      <a:extLst>
                        <a:ext uri="{28A0092B-C50C-407E-A947-70E740481C1C}"/>
                      </a:extLst>
                    </a:blip>
                    <a:srcRect/>
                    <a:stretch>
                      <a:fillRect/>
                    </a:stretch>
                  </pic:blipFill>
                  <pic:spPr bwMode="auto">
                    <a:xfrm>
                      <a:off x="0" y="0"/>
                      <a:ext cx="1075690" cy="308610"/>
                    </a:xfrm>
                    <a:prstGeom prst="rect">
                      <a:avLst/>
                    </a:prstGeom>
                    <a:noFill/>
                  </pic:spPr>
                </pic:pic>
              </a:graphicData>
            </a:graphic>
          </wp:anchor>
        </w:drawing>
        <w:t>sub-sublicensee thereunder, provided that following such termination, Century is not in breach of the Sublicense Agreement.</w:t>
      </w:r>
    </w:p>
    <w:p>
      <w:pPr>
        <w:spacing w:after="0" w:line="180" w:lineRule="exact"/>
        <w:rPr>
          <w:sz w:val="20"/>
          <w:szCs w:val="20"/>
          <w:color w:val="auto"/>
        </w:rPr>
      </w:pPr>
    </w:p>
    <w:p>
      <w:pPr>
        <w:jc w:val="both"/>
        <w:ind w:firstLine="6"/>
        <w:spacing w:after="0" w:line="285" w:lineRule="auto"/>
        <w:tabs>
          <w:tab w:leader="none" w:pos="582" w:val="left"/>
        </w:tabs>
        <w:numPr>
          <w:ilvl w:val="0"/>
          <w:numId w:val="140"/>
        </w:numPr>
        <w:rPr>
          <w:rFonts w:ascii="Arial" w:cs="Arial" w:eastAsia="Arial" w:hAnsi="Arial"/>
          <w:sz w:val="13"/>
          <w:szCs w:val="13"/>
          <w:color w:val="auto"/>
        </w:rPr>
      </w:pPr>
      <w:r>
        <w:rPr>
          <w:rFonts w:ascii="Arial" w:cs="Arial" w:eastAsia="Arial" w:hAnsi="Arial"/>
          <w:sz w:val="13"/>
          <w:szCs w:val="13"/>
          <w:b w:val="1"/>
          <w:bCs w:val="1"/>
          <w:color w:val="auto"/>
        </w:rPr>
        <w:t>Century’s Right to Transfer or Assign</w:t>
      </w:r>
      <w:r>
        <w:rPr>
          <w:rFonts w:ascii="Arial" w:cs="Arial" w:eastAsia="Arial" w:hAnsi="Arial"/>
          <w:sz w:val="13"/>
          <w:szCs w:val="13"/>
          <w:color w:val="auto"/>
        </w:rPr>
        <w:t>. Century shall have the right to assign all of its rights and obligations under the Sublicense Agreement, provided that Century is not in material</w:t>
      </w:r>
      <w:r>
        <w:rPr>
          <w:rFonts w:ascii="Arial" w:cs="Arial" w:eastAsia="Arial" w:hAnsi="Arial"/>
          <w:sz w:val="13"/>
          <w:szCs w:val="13"/>
          <w:b w:val="1"/>
          <w:bCs w:val="1"/>
          <w:color w:val="auto"/>
        </w:rPr>
        <w:t xml:space="preserve"> </w:t>
      </w:r>
      <w:r>
        <w:rPr>
          <w:rFonts w:ascii="Arial" w:cs="Arial" w:eastAsia="Arial" w:hAnsi="Arial"/>
          <w:sz w:val="13"/>
          <w:szCs w:val="13"/>
          <w:color w:val="auto"/>
        </w:rPr>
        <w:t>breach of the Sublicense Agreement, to an Affiliate (so long as it remains an “Affiliate” of Century) or to a third party successor with all or substantially all the business or assets to which the Sublicense Agreement relates (whether by merger, consolidation, stock sale, asset sale or otherwise), provided: (i) Century will notify WARF and CDI in writing within thirty (30) days following such assignment, including the identity of such assignee, (ii) the assignee of Sublicense Agreement agrees in writing to be bound by all of its terms and conditions (as well as Century’s obligations under this Letter Agreement) and to be responsible for all past and future obligations and liabilities thereunder, and (iii) if the assignee is an Affiliate, Century shall remain jointly liable for the performance of such Affiliate under this Agreement. Upon such transfer or assignment to an Affiliate, Century hereby guarantees the performance of its Affiliate (for such time as it remains an “Affiliate” of Century) of all obligations under the Sublicense Agreement and this Letter Agreement. Century’s right to assign its rights and obligations under the Sublicense Agreement shall otherwise be in accordance with the terms and conditions of the License Agreement applicable to sublicenses, as amended by this Letter Agreement.</w:t>
      </w:r>
    </w:p>
    <w:p>
      <w:pPr>
        <w:spacing w:after="0" w:line="133" w:lineRule="exact"/>
        <w:rPr>
          <w:rFonts w:ascii="Arial" w:cs="Arial" w:eastAsia="Arial" w:hAnsi="Arial"/>
          <w:sz w:val="13"/>
          <w:szCs w:val="13"/>
          <w:color w:val="auto"/>
        </w:rPr>
      </w:pPr>
    </w:p>
    <w:p>
      <w:pPr>
        <w:jc w:val="both"/>
        <w:ind w:firstLine="6"/>
        <w:spacing w:after="0" w:line="283" w:lineRule="auto"/>
        <w:tabs>
          <w:tab w:leader="none" w:pos="586" w:val="left"/>
        </w:tabs>
        <w:numPr>
          <w:ilvl w:val="0"/>
          <w:numId w:val="140"/>
        </w:numPr>
        <w:rPr>
          <w:rFonts w:ascii="Arial" w:cs="Arial" w:eastAsia="Arial" w:hAnsi="Arial"/>
          <w:sz w:val="13"/>
          <w:szCs w:val="13"/>
          <w:color w:val="auto"/>
        </w:rPr>
      </w:pPr>
      <w:r>
        <w:rPr>
          <w:rFonts w:ascii="Arial" w:cs="Arial" w:eastAsia="Arial" w:hAnsi="Arial"/>
          <w:sz w:val="13"/>
          <w:szCs w:val="13"/>
          <w:b w:val="1"/>
          <w:bCs w:val="1"/>
          <w:color w:val="auto"/>
        </w:rPr>
        <w:t>Acknowledgment Side Letter</w:t>
      </w:r>
      <w:r>
        <w:rPr>
          <w:rFonts w:ascii="Arial" w:cs="Arial" w:eastAsia="Arial" w:hAnsi="Arial"/>
          <w:sz w:val="13"/>
          <w:szCs w:val="13"/>
          <w:color w:val="auto"/>
        </w:rPr>
        <w:t>. With respect to the Acknowledgement Side Letter in Appendix F of the License Agreement, (a) neither Century nor sub-sublicensees of Century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required to name WARF as a third-party beneficiary to the applicable Sub-Sublicense; (b) in accordance with Paragraph 1 of this Letter Agreement, the Sub-Sublicense shall be further sublicensable provided that each tiered Sub-Sublicense will otherwise be subject to the terms and conditions of Section 2B(iii) (but excluding subclauses (a) and (b)) of the License Agreement, as amended by this Letter Agreement (including without limitation, each tiered sub-sublicensee will be required to sign the Acknowledgement Side Letter the terms of which in each instance shall be subject to the terms of this Letter Agreement); (c) in accordance with Section 2B(iii)(b)-(c) of the License Agreement and the terms of this Letter Agreement, the Sub-Sublicense may be assigned or transferred to a successor of any sub-sublicensee in connection with the merger, consolidation, reorganization or sale of all or substantially all of its assets or that portion of this business to which the Sub-Sublicense relates; and (d) Century shall not have the right to receive from its sublicensees anything of value in lieu of cash payments in consideration for the applicable Sub-Sublicense, without the express prior written consent of WARF and CDI (which consent shall not be unreasonably withheld so long as Century provides a written notice to WARF and CDI (with notice by email being acceptable) that provides the identity of the proposed sub-sublicensee, a summary of the terms of the proposed Sub-Sublicense, and the non-cash consideration together with a reasonable estimate of its fair market value), provided that </w:t>
      </w:r>
      <w:r>
        <w:rPr>
          <w:rFonts w:ascii="Arial" w:cs="Arial" w:eastAsia="Arial" w:hAnsi="Arial"/>
          <w:sz w:val="13"/>
          <w:szCs w:val="13"/>
          <w:color w:val="183454"/>
        </w:rPr>
        <w:t>if</w:t>
      </w:r>
      <w:r>
        <w:rPr>
          <w:rFonts w:ascii="Arial" w:cs="Arial" w:eastAsia="Arial" w:hAnsi="Arial"/>
          <w:sz w:val="13"/>
          <w:szCs w:val="13"/>
          <w:color w:val="auto"/>
        </w:rPr>
        <w:t xml:space="preserve"> either WARF or CDI fails to provide Century with written consent within fifteen (15) calendar days of the date of the notice from Century, WARF and CDI shall be deemed to have given express prior written consent for the purposes of this clause (d).</w:t>
      </w:r>
    </w:p>
    <w:p>
      <w:pPr>
        <w:spacing w:after="0" w:line="132" w:lineRule="exact"/>
        <w:rPr>
          <w:rFonts w:ascii="Arial" w:cs="Arial" w:eastAsia="Arial" w:hAnsi="Arial"/>
          <w:sz w:val="13"/>
          <w:szCs w:val="13"/>
          <w:color w:val="auto"/>
        </w:rPr>
      </w:pPr>
    </w:p>
    <w:p>
      <w:pPr>
        <w:ind w:firstLine="6"/>
        <w:spacing w:after="0" w:line="294" w:lineRule="auto"/>
        <w:tabs>
          <w:tab w:leader="none" w:pos="615" w:val="left"/>
        </w:tabs>
        <w:numPr>
          <w:ilvl w:val="0"/>
          <w:numId w:val="140"/>
        </w:numPr>
        <w:rPr>
          <w:rFonts w:ascii="Arial" w:cs="Arial" w:eastAsia="Arial" w:hAnsi="Arial"/>
          <w:sz w:val="14"/>
          <w:szCs w:val="14"/>
          <w:color w:val="auto"/>
        </w:rPr>
      </w:pPr>
      <w:r>
        <w:rPr>
          <w:rFonts w:ascii="Arial" w:cs="Arial" w:eastAsia="Arial" w:hAnsi="Arial"/>
          <w:sz w:val="14"/>
          <w:szCs w:val="14"/>
          <w:b w:val="1"/>
          <w:bCs w:val="1"/>
          <w:color w:val="auto"/>
        </w:rPr>
        <w:t xml:space="preserve">Survival of Sublicense Agreement and Sub-Sublicenses. </w:t>
      </w:r>
      <w:r>
        <w:rPr>
          <w:rFonts w:ascii="Arial" w:cs="Arial" w:eastAsia="Arial" w:hAnsi="Arial"/>
          <w:sz w:val="14"/>
          <w:szCs w:val="14"/>
          <w:color w:val="auto"/>
        </w:rPr>
        <w:t>Upon termination of the License Agreement by WARF for any reason (other than a reason caused by an act or omission of</w:t>
      </w:r>
      <w:r>
        <w:rPr>
          <w:rFonts w:ascii="Arial" w:cs="Arial" w:eastAsia="Arial" w:hAnsi="Arial"/>
          <w:sz w:val="14"/>
          <w:szCs w:val="14"/>
          <w:b w:val="1"/>
          <w:bCs w:val="1"/>
          <w:color w:val="auto"/>
        </w:rPr>
        <w:t xml:space="preserve"> </w:t>
      </w:r>
      <w:r>
        <w:rPr>
          <w:rFonts w:ascii="Arial" w:cs="Arial" w:eastAsia="Arial" w:hAnsi="Arial"/>
          <w:sz w:val="14"/>
          <w:szCs w:val="14"/>
          <w:color w:val="auto"/>
        </w:rPr>
        <w:t>Century), the Sublicense Agreement shall have the following survival rights: (i) the Sublicense</w:t>
      </w:r>
    </w:p>
    <w:p>
      <w:pPr>
        <w:spacing w:after="0" w:line="4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76" w:right="319" w:bottom="1440" w:gutter="0" w:footer="0" w:header="0"/>
        </w:sectPr>
      </w:pPr>
    </w:p>
    <w:bookmarkStart w:id="273" w:name="page274"/>
    <w:bookmarkEnd w:id="273"/>
    <w:p>
      <w:pPr>
        <w:jc w:val="both"/>
        <w:spacing w:after="0" w:line="26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3222625</wp:posOffset>
            </wp:positionH>
            <wp:positionV relativeFrom="page">
              <wp:posOffset>307975</wp:posOffset>
            </wp:positionV>
            <wp:extent cx="1075690" cy="30861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clrChange>
                        <a:clrFrom>
                          <a:srgbClr val="FFFFFF"/>
                        </a:clrFrom>
                        <a:clrTo>
                          <a:srgbClr val="FFFFFF">
                            <a:alpha val="0"/>
                          </a:srgbClr>
                        </a:clrTo>
                      </a:clrChange>
                      <a:extLst>
                        <a:ext uri="{28A0092B-C50C-407E-A947-70E740481C1C}"/>
                      </a:extLst>
                    </a:blip>
                    <a:srcRect/>
                    <a:stretch>
                      <a:fillRect/>
                    </a:stretch>
                  </pic:blipFill>
                  <pic:spPr bwMode="auto">
                    <a:xfrm>
                      <a:off x="0" y="0"/>
                      <a:ext cx="1075690" cy="308610"/>
                    </a:xfrm>
                    <a:prstGeom prst="rect">
                      <a:avLst/>
                    </a:prstGeom>
                    <a:noFill/>
                  </pic:spPr>
                </pic:pic>
              </a:graphicData>
            </a:graphic>
          </wp:anchor>
        </w:drawing>
        <w:t>Agreement will survive as a direct license from WARF for a period of one hundred twenty (120) days after termination of the License Agreement (provided that no obligations will be imposed on WARF greater than those of the License Agreement) and WARF does hereby grant to Century a direct license on the terms and conditions set forth in the License Agreement, as amended by this Letter Agreement, for such one hundred twenty (120) day period (the “</w:t>
      </w:r>
      <w:r>
        <w:rPr>
          <w:rFonts w:ascii="Arial" w:cs="Arial" w:eastAsia="Arial" w:hAnsi="Arial"/>
          <w:sz w:val="14"/>
          <w:szCs w:val="14"/>
          <w:b w:val="1"/>
          <w:bCs w:val="1"/>
          <w:color w:val="auto"/>
        </w:rPr>
        <w:t>Extension Period</w:t>
      </w:r>
      <w:r>
        <w:rPr>
          <w:rFonts w:ascii="Arial" w:cs="Arial" w:eastAsia="Arial" w:hAnsi="Arial"/>
          <w:sz w:val="14"/>
          <w:szCs w:val="14"/>
          <w:color w:val="auto"/>
        </w:rPr>
        <w:t>”); and (ii) during the Extension Period, WARF and Century will cooperate in good faith to draft and enter into an amended and restated direct license agreement between them having terms substantially similar to those of the Sublicense Agreement (e.g., scope of licensed rights under the Licensed Patents) but revised to fairly include customary terms reflecting that the agreement is between WARF (a non-profit university patent management organization) and Century, rather than between Century and CDI (a for-profit company) (but, for the avoidance of doubt, not equity rights in Century or any Affiliate thereof). If WARF and Century have not executed such a direct license agreement between them during the initial Extension Period, the Extension Period shall extend, at Century’s sole discretion upon notice to WARF, for an additional one hundred twenty (120) days and thereafter, the Parties may mutually agree in good faith to extend the Extension Period for additional one hundred twenty (120) days periods, provided that the Parties are continuing to negotiate in good faith an amended and restated direct license agreement. Any Sub-Sublicenses will survive termination of the License Agreement to the same extent as the rights of Century survive in accordance with and subject to the foregoing.</w:t>
      </w:r>
    </w:p>
    <w:p>
      <w:pPr>
        <w:spacing w:after="0" w:line="151" w:lineRule="exact"/>
        <w:rPr>
          <w:sz w:val="20"/>
          <w:szCs w:val="20"/>
          <w:color w:val="auto"/>
        </w:rPr>
      </w:pPr>
    </w:p>
    <w:p>
      <w:pPr>
        <w:ind w:firstLine="6"/>
        <w:spacing w:after="0" w:line="294" w:lineRule="auto"/>
        <w:tabs>
          <w:tab w:leader="none" w:pos="582" w:val="left"/>
        </w:tabs>
        <w:numPr>
          <w:ilvl w:val="0"/>
          <w:numId w:val="141"/>
        </w:numPr>
        <w:rPr>
          <w:rFonts w:ascii="Arial" w:cs="Arial" w:eastAsia="Arial" w:hAnsi="Arial"/>
          <w:sz w:val="14"/>
          <w:szCs w:val="14"/>
          <w:color w:val="auto"/>
        </w:rPr>
      </w:pPr>
      <w:r>
        <w:rPr>
          <w:rFonts w:ascii="Arial" w:cs="Arial" w:eastAsia="Arial" w:hAnsi="Arial"/>
          <w:sz w:val="14"/>
          <w:szCs w:val="14"/>
          <w:b w:val="1"/>
          <w:bCs w:val="1"/>
          <w:color w:val="auto"/>
        </w:rPr>
        <w:t>WARF’S Right to Developments</w:t>
      </w:r>
      <w:r>
        <w:rPr>
          <w:rFonts w:ascii="Arial" w:cs="Arial" w:eastAsia="Arial" w:hAnsi="Arial"/>
          <w:sz w:val="14"/>
          <w:szCs w:val="14"/>
          <w:color w:val="auto"/>
        </w:rPr>
        <w:t>. Notwithstanding anything in Section 2.E(ii) of the License Agreement, WARF hereby agrees that Section 2.E(ii) of the License Agreement shall not</w:t>
      </w:r>
      <w:r>
        <w:rPr>
          <w:rFonts w:ascii="Arial" w:cs="Arial" w:eastAsia="Arial" w:hAnsi="Arial"/>
          <w:sz w:val="14"/>
          <w:szCs w:val="14"/>
          <w:b w:val="1"/>
          <w:bCs w:val="1"/>
          <w:color w:val="auto"/>
        </w:rPr>
        <w:t xml:space="preserve"> </w:t>
      </w:r>
      <w:r>
        <w:rPr>
          <w:rFonts w:ascii="Arial" w:cs="Arial" w:eastAsia="Arial" w:hAnsi="Arial"/>
          <w:sz w:val="14"/>
          <w:szCs w:val="14"/>
          <w:color w:val="auto"/>
        </w:rPr>
        <w:t>apply to Century and the sub-sublicensees of Century with respect to any Developments developed or created by Century or Century’s sub-sublicensees.</w:t>
      </w:r>
    </w:p>
    <w:p>
      <w:pPr>
        <w:spacing w:after="0" w:line="123" w:lineRule="exact"/>
        <w:rPr>
          <w:rFonts w:ascii="Arial" w:cs="Arial" w:eastAsia="Arial" w:hAnsi="Arial"/>
          <w:sz w:val="14"/>
          <w:szCs w:val="14"/>
          <w:color w:val="auto"/>
        </w:rPr>
      </w:pPr>
    </w:p>
    <w:p>
      <w:pPr>
        <w:jc w:val="both"/>
        <w:ind w:firstLine="6"/>
        <w:spacing w:after="0" w:line="291" w:lineRule="auto"/>
        <w:tabs>
          <w:tab w:leader="none" w:pos="571" w:val="left"/>
        </w:tabs>
        <w:numPr>
          <w:ilvl w:val="0"/>
          <w:numId w:val="141"/>
        </w:numPr>
        <w:rPr>
          <w:rFonts w:ascii="Arial" w:cs="Arial" w:eastAsia="Arial" w:hAnsi="Arial"/>
          <w:sz w:val="13"/>
          <w:szCs w:val="13"/>
          <w:color w:val="auto"/>
        </w:rPr>
      </w:pPr>
      <w:r>
        <w:rPr>
          <w:rFonts w:ascii="Arial" w:cs="Arial" w:eastAsia="Arial" w:hAnsi="Arial"/>
          <w:sz w:val="13"/>
          <w:szCs w:val="13"/>
          <w:b w:val="1"/>
          <w:bCs w:val="1"/>
          <w:color w:val="auto"/>
        </w:rPr>
        <w:t>Selling Price</w:t>
      </w:r>
      <w:r>
        <w:rPr>
          <w:rFonts w:ascii="Arial" w:cs="Arial" w:eastAsia="Arial" w:hAnsi="Arial"/>
          <w:sz w:val="13"/>
          <w:szCs w:val="13"/>
          <w:color w:val="auto"/>
        </w:rPr>
        <w:t>. In lieu of paying “earned royalties” calculated as a percentage of the “Selling Price” of Licensed Products under the Sublicense Agreement, Century and its Affiliates and</w:t>
      </w:r>
      <w:r>
        <w:rPr>
          <w:rFonts w:ascii="Arial" w:cs="Arial" w:eastAsia="Arial" w:hAnsi="Arial"/>
          <w:sz w:val="13"/>
          <w:szCs w:val="13"/>
          <w:b w:val="1"/>
          <w:bCs w:val="1"/>
          <w:color w:val="auto"/>
        </w:rPr>
        <w:t xml:space="preserve"> </w:t>
      </w:r>
      <w:r>
        <w:rPr>
          <w:rFonts w:ascii="Arial" w:cs="Arial" w:eastAsia="Arial" w:hAnsi="Arial"/>
          <w:sz w:val="13"/>
          <w:szCs w:val="13"/>
          <w:color w:val="auto"/>
        </w:rPr>
        <w:t>sub-sublicensees of Century will pay to CDI “earned royalties” calculated as a percentage of Net Sales of Licensed Products sold by Century, and its Affiliates and sub-sublicensees. “</w:t>
      </w:r>
      <w:r>
        <w:rPr>
          <w:rFonts w:ascii="Arial" w:cs="Arial" w:eastAsia="Arial" w:hAnsi="Arial"/>
          <w:sz w:val="13"/>
          <w:szCs w:val="13"/>
          <w:b w:val="1"/>
          <w:bCs w:val="1"/>
          <w:color w:val="auto"/>
        </w:rPr>
        <w:t>Net Sales</w:t>
      </w:r>
      <w:r>
        <w:rPr>
          <w:rFonts w:ascii="Arial" w:cs="Arial" w:eastAsia="Arial" w:hAnsi="Arial"/>
          <w:sz w:val="13"/>
          <w:szCs w:val="13"/>
          <w:color w:val="auto"/>
        </w:rPr>
        <w:t>” shall mean the gross amount invoiced by Century and any of its Affiliates and such sub-sublicensees for sales of Licensed Product(s), less the following, but only insofar as these items are commercially reasonable under the circumstances, documented in writing, pertain specifically to Century’s sale of the Licensed Products, were actually included and accounted for in the gross revenue, and were not given in exchange for anything of value (such as data, in-kind consideration, or commitments to purchase other products or services) :</w:t>
      </w:r>
    </w:p>
    <w:p>
      <w:pPr>
        <w:spacing w:after="0" w:line="133" w:lineRule="exact"/>
        <w:rPr>
          <w:rFonts w:ascii="Arial" w:cs="Arial" w:eastAsia="Arial" w:hAnsi="Arial"/>
          <w:sz w:val="13"/>
          <w:szCs w:val="13"/>
          <w:color w:val="auto"/>
        </w:rPr>
      </w:pPr>
    </w:p>
    <w:p>
      <w:pPr>
        <w:jc w:val="both"/>
        <w:ind w:left="1040" w:hanging="516"/>
        <w:spacing w:after="0" w:line="273" w:lineRule="auto"/>
        <w:tabs>
          <w:tab w:leader="none" w:pos="1040" w:val="left"/>
        </w:tabs>
        <w:numPr>
          <w:ilvl w:val="1"/>
          <w:numId w:val="141"/>
        </w:numPr>
        <w:rPr>
          <w:rFonts w:ascii="Arial" w:cs="Arial" w:eastAsia="Arial" w:hAnsi="Arial"/>
          <w:sz w:val="14"/>
          <w:szCs w:val="14"/>
          <w:color w:val="auto"/>
        </w:rPr>
      </w:pPr>
      <w:r>
        <w:rPr>
          <w:rFonts w:ascii="Arial" w:cs="Arial" w:eastAsia="Arial" w:hAnsi="Arial"/>
          <w:sz w:val="14"/>
          <w:szCs w:val="14"/>
          <w:color w:val="auto"/>
        </w:rPr>
        <w:t>sales taxes, excise taxes, use taxes, VAT and duties paid in relation to Licensed Product(s) and any other equivalent governmental charges imposed upon the importation, use or sale of Licensed Product(s) (including the annual fees due under Section 9008 of the United States Patient Protection and Affordable Care Act of 2010 (Pub. L., No. 111-48)) (excluding taxes when assessed on income derived from sales):</w:t>
      </w:r>
    </w:p>
    <w:p>
      <w:pPr>
        <w:spacing w:after="0" w:line="5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76" w:right="319" w:bottom="1440" w:gutter="0" w:footer="0" w:header="0"/>
        </w:sectPr>
      </w:pPr>
    </w:p>
    <w:bookmarkStart w:id="274" w:name="page275"/>
    <w:bookmarkEnd w:id="274"/>
    <w:p>
      <w:pPr>
        <w:ind w:left="1040" w:hanging="516"/>
        <w:spacing w:after="0" w:line="288" w:lineRule="auto"/>
        <w:tabs>
          <w:tab w:leader="none" w:pos="10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3222625</wp:posOffset>
            </wp:positionH>
            <wp:positionV relativeFrom="page">
              <wp:posOffset>307975</wp:posOffset>
            </wp:positionV>
            <wp:extent cx="1075690" cy="30861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clrChange>
                        <a:clrFrom>
                          <a:srgbClr val="FFFFFF"/>
                        </a:clrFrom>
                        <a:clrTo>
                          <a:srgbClr val="FFFFFF">
                            <a:alpha val="0"/>
                          </a:srgbClr>
                        </a:clrTo>
                      </a:clrChange>
                      <a:extLst>
                        <a:ext uri="{28A0092B-C50C-407E-A947-70E740481C1C}"/>
                      </a:extLst>
                    </a:blip>
                    <a:srcRect/>
                    <a:stretch>
                      <a:fillRect/>
                    </a:stretch>
                  </pic:blipFill>
                  <pic:spPr bwMode="auto">
                    <a:xfrm>
                      <a:off x="0" y="0"/>
                      <a:ext cx="1075690" cy="308610"/>
                    </a:xfrm>
                    <a:prstGeom prst="rect">
                      <a:avLst/>
                    </a:prstGeom>
                    <a:noFill/>
                  </pic:spPr>
                </pic:pic>
              </a:graphicData>
            </a:graphic>
          </wp:anchor>
        </w:drawing>
        <w:t>reasonable credits, repayments and allowances (actually allowed or paid) for defective or returned Licensed Product(s), including allowances for damaged, rejected, recalled or returned Licensed Product(s);</w:t>
      </w:r>
    </w:p>
    <w:p>
      <w:pPr>
        <w:spacing w:after="0" w:line="131"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governmental and other rebates, refunds, and chargebacks (or equivalents thereof) granted to managed health care organizations, pharmacy benefit managers (or equivalents thereof), federal, state, provincial, local and other governments, their agencies and purchasers and reimbursers or to trade customers, in each case with respect to such Licensed Product(s);</w:t>
      </w:r>
    </w:p>
    <w:p>
      <w:pPr>
        <w:spacing w:after="0" w:line="141" w:lineRule="exact"/>
        <w:rPr>
          <w:rFonts w:ascii="Arial" w:cs="Arial" w:eastAsia="Arial" w:hAnsi="Arial"/>
          <w:sz w:val="14"/>
          <w:szCs w:val="14"/>
          <w:color w:val="auto"/>
        </w:rPr>
      </w:pPr>
    </w:p>
    <w:p>
      <w:pPr>
        <w:ind w:left="1040" w:hanging="516"/>
        <w:spacing w:after="0"/>
        <w:tabs>
          <w:tab w:leader="none" w:pos="10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trade, cash, prompt payment or quantity discounts, actually allowed and taken directly by a third party, and mandated discounts;</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freight or other transportation charges, reasonable shipping insurance charges, and customs duties; and</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allowances for bad debt and uncollectible accounts (provided that Century has undertaken commercially reasonable efforts to obtain each such debt and amount).</w:t>
      </w:r>
    </w:p>
    <w:p>
      <w:pPr>
        <w:spacing w:after="0" w:line="184" w:lineRule="exact"/>
        <w:rPr>
          <w:sz w:val="20"/>
          <w:szCs w:val="20"/>
          <w:color w:val="auto"/>
        </w:rPr>
      </w:pPr>
    </w:p>
    <w:p>
      <w:pPr>
        <w:jc w:val="both"/>
        <w:ind w:left="520"/>
        <w:spacing w:after="0" w:line="287" w:lineRule="auto"/>
        <w:rPr>
          <w:sz w:val="20"/>
          <w:szCs w:val="20"/>
          <w:color w:val="auto"/>
        </w:rPr>
      </w:pPr>
      <w:r>
        <w:rPr>
          <w:rFonts w:ascii="Arial" w:cs="Arial" w:eastAsia="Arial" w:hAnsi="Arial"/>
          <w:sz w:val="13"/>
          <w:szCs w:val="13"/>
          <w:color w:val="auto"/>
        </w:rPr>
        <w:t>For the avoidance of doubt, sales, transfers or disposition of Licensed Product(s) between any of Century, an Affiliate or a sub-sublicensee for subsequent resale by the transferee shall not be considered Net Sales hereunder provided that the subsequent resale is accounted for as Net Sales. Notwithstanding anything to the contrary herein, the supply or other transfer or disposition of Licensed Product(s) without charge, or at or below cost (i) for use in studies for regulatory approval of the Licensed Products; (ii) for use in any tests or studies for the Licensed Products that are reasonably necessary to comply with any applicable law, regulation or request by a regulatory or governmental authority; or (iii) for use in compassionate use, named patient, indigent access, patient assistance, or similar reduced pricing programs, shall be excluded from the computation of Net Sales. Further for the avoidance of doubt, each reference in the Sublicense Agreement to “Selling Price” instead shall be deemed to refer to “Net Sales” as defined herein.</w:t>
      </w:r>
    </w:p>
    <w:p>
      <w:pPr>
        <w:spacing w:after="0" w:line="132" w:lineRule="exact"/>
        <w:rPr>
          <w:sz w:val="20"/>
          <w:szCs w:val="20"/>
          <w:color w:val="auto"/>
        </w:rPr>
      </w:pPr>
    </w:p>
    <w:p>
      <w:pPr>
        <w:jc w:val="both"/>
        <w:ind w:firstLine="6"/>
        <w:spacing w:after="0" w:line="266" w:lineRule="auto"/>
        <w:tabs>
          <w:tab w:leader="none" w:pos="561" w:val="left"/>
        </w:tabs>
        <w:numPr>
          <w:ilvl w:val="0"/>
          <w:numId w:val="143"/>
        </w:numPr>
        <w:rPr>
          <w:rFonts w:ascii="Arial" w:cs="Arial" w:eastAsia="Arial" w:hAnsi="Arial"/>
          <w:sz w:val="14"/>
          <w:szCs w:val="14"/>
          <w:color w:val="auto"/>
        </w:rPr>
      </w:pPr>
      <w:r>
        <w:rPr>
          <w:rFonts w:ascii="Arial" w:cs="Arial" w:eastAsia="Arial" w:hAnsi="Arial"/>
          <w:sz w:val="14"/>
          <w:szCs w:val="14"/>
          <w:b w:val="1"/>
          <w:bCs w:val="1"/>
          <w:color w:val="auto"/>
        </w:rPr>
        <w:t>Royalty</w:t>
      </w:r>
      <w:r>
        <w:rPr>
          <w:rFonts w:ascii="Arial" w:cs="Arial" w:eastAsia="Arial" w:hAnsi="Arial"/>
          <w:sz w:val="14"/>
          <w:szCs w:val="14"/>
          <w:color w:val="auto"/>
        </w:rPr>
        <w:t>. With respect to Licensed Products sold by Century and its Affiliates and sub-sublicensees of Century, the royalty obligations set forth in Section 4.B(i) and 4C(i) of the License</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(as amended by this Letter Agreement and as applicable under the Sublicense Agreement) shall continue on a country-by-country basis as to each Licensed Product sold in such country until the date as of which the last to expire Licensed Patent that covers such Licensed Product in such country and in the country in which the Product was manufactured (if different than the country in which the Product was sold) has expired or terminated. Except as amended by this Letter Agreement, the terms and conditions set forth in the License Agreement and the Sublicense Agreement for royalty obligations applicable to sublicensees shall otherwise apply to Century, its Affiliates, and sub-sublicensees.</w:t>
      </w:r>
    </w:p>
    <w:p>
      <w:pPr>
        <w:spacing w:after="0" w:line="143" w:lineRule="exact"/>
        <w:rPr>
          <w:rFonts w:ascii="Arial" w:cs="Arial" w:eastAsia="Arial" w:hAnsi="Arial"/>
          <w:sz w:val="14"/>
          <w:szCs w:val="14"/>
          <w:color w:val="auto"/>
        </w:rPr>
      </w:pPr>
    </w:p>
    <w:p>
      <w:pPr>
        <w:ind w:left="580" w:hanging="574"/>
        <w:spacing w:after="0"/>
        <w:tabs>
          <w:tab w:leader="none" w:pos="580" w:val="left"/>
        </w:tabs>
        <w:numPr>
          <w:ilvl w:val="0"/>
          <w:numId w:val="143"/>
        </w:numPr>
        <w:rPr>
          <w:rFonts w:ascii="Arial" w:cs="Arial" w:eastAsia="Arial" w:hAnsi="Arial"/>
          <w:sz w:val="13"/>
          <w:szCs w:val="13"/>
          <w:color w:val="auto"/>
        </w:rPr>
      </w:pPr>
      <w:r>
        <w:rPr>
          <w:rFonts w:ascii="Arial" w:cs="Arial" w:eastAsia="Arial" w:hAnsi="Arial"/>
          <w:sz w:val="13"/>
          <w:szCs w:val="13"/>
          <w:b w:val="1"/>
          <w:bCs w:val="1"/>
          <w:color w:val="auto"/>
        </w:rPr>
        <w:t>Additional Royalty Terms</w:t>
      </w:r>
      <w:r>
        <w:rPr>
          <w:rFonts w:ascii="Arial" w:cs="Arial" w:eastAsia="Arial" w:hAnsi="Arial"/>
          <w:sz w:val="13"/>
          <w:szCs w:val="13"/>
          <w:color w:val="auto"/>
        </w:rPr>
        <w:t>. The terms of CDI’s royalty payments set forth in Sections 4.B(ii) and 4.B(iii) of the License Agreement shall apply under the Sublicense Agreement</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76" w:right="319" w:bottom="1440" w:gutter="0" w:footer="0" w:header="0"/>
        </w:sectPr>
      </w:pPr>
    </w:p>
    <w:bookmarkStart w:id="275" w:name="page276"/>
    <w:bookmarkEnd w:id="275"/>
    <w:p>
      <w:pPr>
        <w:jc w:val="both"/>
        <w:spacing w:after="0" w:line="265"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3250565</wp:posOffset>
            </wp:positionH>
            <wp:positionV relativeFrom="page">
              <wp:posOffset>307975</wp:posOffset>
            </wp:positionV>
            <wp:extent cx="1075690" cy="30861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clrChange>
                        <a:clrFrom>
                          <a:srgbClr val="FFFFFF"/>
                        </a:clrFrom>
                        <a:clrTo>
                          <a:srgbClr val="FFFFFF">
                            <a:alpha val="0"/>
                          </a:srgbClr>
                        </a:clrTo>
                      </a:clrChange>
                      <a:extLst>
                        <a:ext uri="{28A0092B-C50C-407E-A947-70E740481C1C}"/>
                      </a:extLst>
                    </a:blip>
                    <a:srcRect/>
                    <a:stretch>
                      <a:fillRect/>
                    </a:stretch>
                  </pic:blipFill>
                  <pic:spPr bwMode="auto">
                    <a:xfrm>
                      <a:off x="0" y="0"/>
                      <a:ext cx="1075690" cy="308610"/>
                    </a:xfrm>
                    <a:prstGeom prst="rect">
                      <a:avLst/>
                    </a:prstGeom>
                    <a:noFill/>
                  </pic:spPr>
                </pic:pic>
              </a:graphicData>
            </a:graphic>
          </wp:anchor>
        </w:drawing>
        <w:t xml:space="preserve">mutatis mutandis </w:t>
      </w:r>
      <w:r>
        <w:rPr>
          <w:rFonts w:ascii="Arial" w:cs="Arial" w:eastAsia="Arial" w:hAnsi="Arial"/>
          <w:sz w:val="14"/>
          <w:szCs w:val="14"/>
          <w:color w:val="auto"/>
        </w:rPr>
        <w:t>to Century and sub-sublicensees of Century (and the Sublicense Agreement is hereby amended accordingly). However, for clarity, (a) any royalty owed to WARF by CDI under</w:t>
      </w:r>
      <w:r>
        <w:rPr>
          <w:rFonts w:ascii="Arial" w:cs="Arial" w:eastAsia="Arial" w:hAnsi="Arial"/>
          <w:sz w:val="14"/>
          <w:szCs w:val="14"/>
          <w:i w:val="1"/>
          <w:iCs w:val="1"/>
          <w:color w:val="auto"/>
        </w:rPr>
        <w:t xml:space="preserve"> </w:t>
      </w:r>
      <w:r>
        <w:rPr>
          <w:rFonts w:ascii="Arial" w:cs="Arial" w:eastAsia="Arial" w:hAnsi="Arial"/>
          <w:sz w:val="14"/>
          <w:szCs w:val="14"/>
          <w:color w:val="auto"/>
        </w:rPr>
        <w:t>Section 4C(i) due to sales by Century shall not be reduced under Section 4B(ii) on account of a separate license from CDI to Century as contemplated in clause (b) of this provision or on account of a separate license from Century or CDI to such sub-sublicensee as contemplated in clause (c) of this provision, and (b) Century may not reduce any royalty owed to CDI under the Sublicense Agreement on account of a separate license from CDI to Century and (c) a sub-sub licensee may not reduce any royalty owed to Century under any Sub-Sublicense on account of a separate license from Century or CDI to such sub-sublicensee.</w:t>
      </w:r>
    </w:p>
    <w:p>
      <w:pPr>
        <w:spacing w:after="0" w:line="143" w:lineRule="exact"/>
        <w:rPr>
          <w:sz w:val="20"/>
          <w:szCs w:val="20"/>
          <w:color w:val="auto"/>
        </w:rPr>
      </w:pPr>
    </w:p>
    <w:p>
      <w:pPr>
        <w:jc w:val="both"/>
        <w:ind w:firstLine="6"/>
        <w:spacing w:after="0" w:line="276" w:lineRule="auto"/>
        <w:tabs>
          <w:tab w:leader="none" w:pos="791" w:val="left"/>
        </w:tabs>
        <w:numPr>
          <w:ilvl w:val="0"/>
          <w:numId w:val="144"/>
        </w:numPr>
        <w:rPr>
          <w:rFonts w:ascii="Arial" w:cs="Arial" w:eastAsia="Arial" w:hAnsi="Arial"/>
          <w:sz w:val="14"/>
          <w:szCs w:val="14"/>
          <w:color w:val="auto"/>
        </w:rPr>
      </w:pPr>
      <w:r>
        <w:rPr>
          <w:rFonts w:ascii="Arial" w:cs="Arial" w:eastAsia="Arial" w:hAnsi="Arial"/>
          <w:sz w:val="14"/>
          <w:szCs w:val="14"/>
          <w:b w:val="1"/>
          <w:bCs w:val="1"/>
          <w:color w:val="auto"/>
        </w:rPr>
        <w:t>Indemnification</w:t>
      </w:r>
      <w:r>
        <w:rPr>
          <w:rFonts w:ascii="Arial" w:cs="Arial" w:eastAsia="Arial" w:hAnsi="Arial"/>
          <w:sz w:val="14"/>
          <w:szCs w:val="14"/>
          <w:color w:val="auto"/>
        </w:rPr>
        <w:t>. Century’s obligations to WARF, the Morgridge Institute for Research, the WiCell Research Institute and the University of Wisconsin under Section 8.1 of the</w:t>
      </w:r>
      <w:r>
        <w:rPr>
          <w:rFonts w:ascii="Arial" w:cs="Arial" w:eastAsia="Arial" w:hAnsi="Arial"/>
          <w:sz w:val="14"/>
          <w:szCs w:val="14"/>
          <w:b w:val="1"/>
          <w:bCs w:val="1"/>
          <w:color w:val="auto"/>
        </w:rPr>
        <w:t xml:space="preserve"> </w:t>
      </w:r>
      <w:r>
        <w:rPr>
          <w:rFonts w:ascii="Arial" w:cs="Arial" w:eastAsia="Arial" w:hAnsi="Arial"/>
          <w:sz w:val="14"/>
          <w:szCs w:val="14"/>
          <w:color w:val="auto"/>
        </w:rPr>
        <w:t>Sublicense Agreement shall only apply with respect to liabilities, demands, damages, settlements, suits, claims, proceedings, costs and expenses (including reasonable out-of-pocket legal expenses and reasonable attorneys’ fees), in each case, arising out of or relating to claims brought by third parties.</w:t>
      </w:r>
    </w:p>
    <w:p>
      <w:pPr>
        <w:spacing w:after="0" w:line="135" w:lineRule="exact"/>
        <w:rPr>
          <w:rFonts w:ascii="Arial" w:cs="Arial" w:eastAsia="Arial" w:hAnsi="Arial"/>
          <w:sz w:val="14"/>
          <w:szCs w:val="14"/>
          <w:color w:val="auto"/>
        </w:rPr>
      </w:pPr>
    </w:p>
    <w:p>
      <w:pPr>
        <w:jc w:val="both"/>
        <w:ind w:firstLine="6"/>
        <w:spacing w:after="0" w:line="285" w:lineRule="auto"/>
        <w:tabs>
          <w:tab w:leader="none" w:pos="575" w:val="left"/>
        </w:tabs>
        <w:numPr>
          <w:ilvl w:val="0"/>
          <w:numId w:val="144"/>
        </w:numPr>
        <w:rPr>
          <w:rFonts w:ascii="Arial" w:cs="Arial" w:eastAsia="Arial" w:hAnsi="Arial"/>
          <w:sz w:val="13"/>
          <w:szCs w:val="13"/>
          <w:color w:val="auto"/>
        </w:rPr>
      </w:pPr>
      <w:r>
        <w:rPr>
          <w:rFonts w:ascii="Arial" w:cs="Arial" w:eastAsia="Arial" w:hAnsi="Arial"/>
          <w:sz w:val="13"/>
          <w:szCs w:val="13"/>
          <w:b w:val="1"/>
          <w:bCs w:val="1"/>
          <w:color w:val="auto"/>
        </w:rPr>
        <w:t>Assignment</w:t>
      </w:r>
      <w:r>
        <w:rPr>
          <w:rFonts w:ascii="Arial" w:cs="Arial" w:eastAsia="Arial" w:hAnsi="Arial"/>
          <w:sz w:val="13"/>
          <w:szCs w:val="13"/>
          <w:color w:val="auto"/>
        </w:rPr>
        <w:t>. Neither this Letter Agreement nor any interest herein may be assigned, in whole or in part, by a Party without the prior written consent of the other Parties. Notwithstanding</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the foregoing, a party may assign its rights and obligations under this Letter Agreement to any of its Affiliates or to any successor in connection with the merger, consolidation, reorganization or sale of substantially all of its assets or that portion of its business to which this Letter Agreement relates, </w:t>
      </w:r>
      <w:r>
        <w:rPr>
          <w:rFonts w:ascii="Arial" w:cs="Arial" w:eastAsia="Arial" w:hAnsi="Arial"/>
          <w:sz w:val="13"/>
          <w:szCs w:val="13"/>
          <w:i w:val="1"/>
          <w:iCs w:val="1"/>
          <w:color w:val="auto"/>
        </w:rPr>
        <w:t>provided that</w:t>
      </w:r>
      <w:r>
        <w:rPr>
          <w:rFonts w:ascii="Arial" w:cs="Arial" w:eastAsia="Arial" w:hAnsi="Arial"/>
          <w:sz w:val="13"/>
          <w:szCs w:val="13"/>
          <w:color w:val="auto"/>
        </w:rPr>
        <w:t xml:space="preserve"> (i) the assigning party will notify the other parties in writing within thirty (30) days following such assignment, including the identity of such assignee, (ii) the assignee of agrees in writing to be bound by the terms and conditions hereof and to be responsible for all past and future obligations and liabilities hereunder, and (iii) if the assignee is an Affiliate, the assigning party shall remain jointly liable for the performance of such Affiliate under this Letter Agreement. Upon such assignment to an Affiliate, the assigning party hereby guarantees the performance of its Affiliate (for such time as it remains an “Affiliate” of the assigning party) of all obligations to the other Party under the Sublicense Agreement and this Letter Agreement. Any assignment in circumvention of the foregoing shall be void. Subject to the foregoing, this Letter Agreement shall be binding upon and inure to the benefit of the Parties and their respective permitted successors and assigns.</w:t>
      </w:r>
    </w:p>
    <w:p>
      <w:pPr>
        <w:spacing w:after="0" w:line="133" w:lineRule="exact"/>
        <w:rPr>
          <w:rFonts w:ascii="Arial" w:cs="Arial" w:eastAsia="Arial" w:hAnsi="Arial"/>
          <w:sz w:val="13"/>
          <w:szCs w:val="13"/>
          <w:color w:val="auto"/>
        </w:rPr>
      </w:pPr>
    </w:p>
    <w:p>
      <w:pPr>
        <w:jc w:val="both"/>
        <w:ind w:firstLine="6"/>
        <w:spacing w:after="0" w:line="276" w:lineRule="auto"/>
        <w:tabs>
          <w:tab w:leader="none" w:pos="591" w:val="left"/>
        </w:tabs>
        <w:numPr>
          <w:ilvl w:val="0"/>
          <w:numId w:val="144"/>
        </w:numPr>
        <w:rPr>
          <w:rFonts w:ascii="Arial" w:cs="Arial" w:eastAsia="Arial" w:hAnsi="Arial"/>
          <w:sz w:val="14"/>
          <w:szCs w:val="14"/>
          <w:color w:val="auto"/>
        </w:rPr>
      </w:pPr>
      <w:r>
        <w:rPr>
          <w:rFonts w:ascii="Arial" w:cs="Arial" w:eastAsia="Arial" w:hAnsi="Arial"/>
          <w:sz w:val="14"/>
          <w:szCs w:val="14"/>
          <w:b w:val="1"/>
          <w:bCs w:val="1"/>
          <w:color w:val="auto"/>
        </w:rPr>
        <w:t>Notices</w:t>
      </w:r>
      <w:r>
        <w:rPr>
          <w:rFonts w:ascii="Arial" w:cs="Arial" w:eastAsia="Arial" w:hAnsi="Arial"/>
          <w:sz w:val="14"/>
          <w:szCs w:val="14"/>
          <w:color w:val="auto"/>
        </w:rPr>
        <w:t>. Any notice or request required or permitted to be given under or in connection with this Letter Agreement shall specifically refer to this Letter Agreement, and shall be deemed</w:t>
      </w:r>
      <w:r>
        <w:rPr>
          <w:rFonts w:ascii="Arial" w:cs="Arial" w:eastAsia="Arial" w:hAnsi="Arial"/>
          <w:sz w:val="14"/>
          <w:szCs w:val="14"/>
          <w:b w:val="1"/>
          <w:bCs w:val="1"/>
          <w:color w:val="auto"/>
        </w:rPr>
        <w:t xml:space="preserve"> </w:t>
      </w:r>
      <w:r>
        <w:rPr>
          <w:rFonts w:ascii="Arial" w:cs="Arial" w:eastAsia="Arial" w:hAnsi="Arial"/>
          <w:sz w:val="14"/>
          <w:szCs w:val="14"/>
          <w:color w:val="auto"/>
        </w:rPr>
        <w:t>to have been sufficiently given if in writing and personally delivered or sent by certified mail (return receipt requested), facsimile transmission (receipt verified), or overnight express courier service (signature required), prepaid, to the Party for which such notice is intended, at the address set forth for such Party below:</w:t>
      </w:r>
    </w:p>
    <w:p>
      <w:pPr>
        <w:spacing w:after="0" w:line="5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76" w:right="319" w:bottom="1440" w:gutter="0" w:footer="0" w:header="0"/>
        </w:sectPr>
      </w:pPr>
    </w:p>
    <w:bookmarkStart w:id="276" w:name="page277"/>
    <w:bookmarkEnd w:id="276"/>
    <w:p>
      <w:pPr>
        <w:spacing w:after="0"/>
        <w:rPr>
          <w:sz w:val="20"/>
          <w:szCs w:val="20"/>
          <w:color w:val="auto"/>
        </w:rPr>
      </w:pPr>
      <w:r>
        <w:rPr>
          <w:rFonts w:ascii="Arial" w:cs="Arial" w:eastAsia="Arial" w:hAnsi="Arial"/>
          <w:sz w:val="14"/>
          <w:szCs w:val="14"/>
          <w:color w:val="auto"/>
        </w:rPr>
        <w:t>If to CDI: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FUJIFILM Cellular Dynamics,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-540385</wp:posOffset>
            </wp:positionV>
            <wp:extent cx="1075690" cy="30861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075690" cy="3086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525 Science Dr., Ste. 200</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Madison, Wisconsin 53711</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Attention: Chief Technology Officer</w:t>
      </w:r>
    </w:p>
    <w:p>
      <w:pPr>
        <w:spacing w:after="0" w:line="186" w:lineRule="exact"/>
        <w:rPr>
          <w:sz w:val="20"/>
          <w:szCs w:val="20"/>
          <w:color w:val="auto"/>
        </w:rPr>
      </w:pPr>
    </w:p>
    <w:p>
      <w:pPr>
        <w:sectPr>
          <w:pgSz w:w="11900" w:h="16838" w:orient="portrait"/>
          <w:cols w:equalWidth="0" w:num="2">
            <w:col w:w="1540" w:space="720"/>
            <w:col w:w="9020"/>
          </w:cols>
          <w:pgMar w:left="300" w:top="1176" w:right="319" w:bottom="1440" w:gutter="0" w:footer="0" w:header="0"/>
        </w:sectPr>
      </w:pPr>
    </w:p>
    <w:p>
      <w:pPr>
        <w:spacing w:after="0"/>
        <w:rPr>
          <w:sz w:val="20"/>
          <w:szCs w:val="20"/>
          <w:color w:val="auto"/>
        </w:rPr>
      </w:pPr>
      <w:r>
        <w:rPr>
          <w:rFonts w:ascii="Arial" w:cs="Arial" w:eastAsia="Arial" w:hAnsi="Arial"/>
          <w:sz w:val="13"/>
          <w:szCs w:val="13"/>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FUJIFILM Cellular Dynamics, Inc.</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525 Science Dr., Ste. 200</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Madison, Wisconsin 53711</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Attention: General Counsel</w:t>
      </w:r>
    </w:p>
    <w:p>
      <w:pPr>
        <w:spacing w:after="0" w:line="175" w:lineRule="exact"/>
        <w:rPr>
          <w:sz w:val="20"/>
          <w:szCs w:val="20"/>
          <w:color w:val="auto"/>
        </w:rPr>
      </w:pPr>
    </w:p>
    <w:p>
      <w:pPr>
        <w:sectPr>
          <w:pgSz w:w="11900" w:h="16838" w:orient="portrait"/>
          <w:cols w:equalWidth="0" w:num="2">
            <w:col w:w="1540" w:space="720"/>
            <w:col w:w="9020"/>
          </w:cols>
          <w:pgMar w:left="300" w:top="1176" w:right="319" w:bottom="1440" w:gutter="0" w:footer="0" w:header="0"/>
          <w:type w:val="continuous"/>
        </w:sectPr>
      </w:pPr>
    </w:p>
    <w:p>
      <w:pPr>
        <w:spacing w:after="0"/>
        <w:rPr>
          <w:sz w:val="20"/>
          <w:szCs w:val="20"/>
          <w:color w:val="auto"/>
        </w:rPr>
      </w:pPr>
      <w:r>
        <w:rPr>
          <w:rFonts w:ascii="Arial" w:cs="Arial" w:eastAsia="Arial" w:hAnsi="Arial"/>
          <w:sz w:val="13"/>
          <w:szCs w:val="13"/>
          <w:color w:val="auto"/>
        </w:rPr>
        <w:t>If to Century: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Century Therapeutics, LLC</w:t>
      </w:r>
    </w:p>
    <w:p>
      <w:pPr>
        <w:spacing w:after="0" w:line="33" w:lineRule="exact"/>
        <w:rPr>
          <w:sz w:val="20"/>
          <w:szCs w:val="20"/>
          <w:color w:val="auto"/>
        </w:rPr>
      </w:pPr>
    </w:p>
    <w:p>
      <w:pPr>
        <w:sectPr>
          <w:pgSz w:w="11900" w:h="16838" w:orient="portrait"/>
          <w:cols w:equalWidth="0" w:num="2">
            <w:col w:w="1540" w:space="720"/>
            <w:col w:w="9020"/>
          </w:cols>
          <w:pgMar w:left="300" w:top="1176" w:right="319" w:bottom="1440" w:gutter="0" w:footer="0" w:header="0"/>
          <w:type w:val="continuous"/>
        </w:sectPr>
      </w:pPr>
    </w:p>
    <w:p>
      <w:pPr>
        <w:ind w:left="2260"/>
        <w:spacing w:after="0"/>
        <w:rPr>
          <w:sz w:val="20"/>
          <w:szCs w:val="20"/>
          <w:color w:val="auto"/>
        </w:rPr>
      </w:pPr>
      <w:r>
        <w:rPr>
          <w:rFonts w:ascii="Arial" w:cs="Arial" w:eastAsia="Arial" w:hAnsi="Arial"/>
          <w:sz w:val="14"/>
          <w:szCs w:val="14"/>
          <w:color w:val="auto"/>
        </w:rPr>
        <w:t>54 West 21</w:t>
      </w:r>
      <w:r>
        <w:rPr>
          <w:rFonts w:ascii="Arial" w:cs="Arial" w:eastAsia="Arial" w:hAnsi="Arial"/>
          <w:sz w:val="11"/>
          <w:szCs w:val="11"/>
          <w:color w:val="auto"/>
        </w:rPr>
        <w:t>st</w:t>
      </w:r>
      <w:r>
        <w:rPr>
          <w:rFonts w:ascii="Arial" w:cs="Arial" w:eastAsia="Arial" w:hAnsi="Arial"/>
          <w:sz w:val="14"/>
          <w:szCs w:val="14"/>
          <w:color w:val="auto"/>
        </w:rPr>
        <w:t xml:space="preserve"> St., Ste. 408</w:t>
      </w:r>
    </w:p>
    <w:p>
      <w:pPr>
        <w:spacing w:after="0" w:line="44" w:lineRule="exact"/>
        <w:rPr>
          <w:sz w:val="20"/>
          <w:szCs w:val="20"/>
          <w:color w:val="auto"/>
        </w:rPr>
      </w:pPr>
    </w:p>
    <w:p>
      <w:pPr>
        <w:ind w:left="2260"/>
        <w:spacing w:after="0"/>
        <w:rPr>
          <w:sz w:val="20"/>
          <w:szCs w:val="20"/>
          <w:color w:val="auto"/>
        </w:rPr>
      </w:pPr>
      <w:r>
        <w:rPr>
          <w:rFonts w:ascii="Arial" w:cs="Arial" w:eastAsia="Arial" w:hAnsi="Arial"/>
          <w:sz w:val="14"/>
          <w:szCs w:val="14"/>
          <w:color w:val="auto"/>
        </w:rPr>
        <w:t>New York, NY 10010</w:t>
      </w:r>
    </w:p>
    <w:p>
      <w:pPr>
        <w:spacing w:after="0" w:line="12" w:lineRule="exact"/>
        <w:rPr>
          <w:sz w:val="20"/>
          <w:szCs w:val="20"/>
          <w:color w:val="auto"/>
        </w:rPr>
      </w:pPr>
    </w:p>
    <w:p>
      <w:pPr>
        <w:ind w:left="2260"/>
        <w:spacing w:after="0"/>
        <w:rPr>
          <w:sz w:val="20"/>
          <w:szCs w:val="20"/>
          <w:color w:val="auto"/>
        </w:rPr>
      </w:pPr>
      <w:r>
        <w:rPr>
          <w:rFonts w:ascii="Arial" w:cs="Arial" w:eastAsia="Arial" w:hAnsi="Arial"/>
          <w:sz w:val="13"/>
          <w:szCs w:val="13"/>
          <w:color w:val="auto"/>
        </w:rPr>
        <w:t>Attention: Chief Executive Officer</w:t>
      </w:r>
    </w:p>
    <w:p>
      <w:pPr>
        <w:sectPr>
          <w:pgSz w:w="11900" w:h="16838" w:orient="portrait"/>
          <w:cols w:equalWidth="0" w:num="1">
            <w:col w:w="11280"/>
          </w:cols>
          <w:pgMar w:left="300" w:top="1176" w:right="31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If to WARF:</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Wisconsin Alumni Research Foundation</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614 Walnut Street</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Madison, Wisconsin 53726</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Attention: Contracts Manager</w:t>
      </w:r>
    </w:p>
    <w:p>
      <w:pPr>
        <w:spacing w:after="0" w:line="175" w:lineRule="exact"/>
        <w:rPr>
          <w:sz w:val="20"/>
          <w:szCs w:val="20"/>
          <w:color w:val="auto"/>
        </w:rPr>
      </w:pPr>
    </w:p>
    <w:p>
      <w:pPr>
        <w:sectPr>
          <w:pgSz w:w="11900" w:h="16838" w:orient="portrait"/>
          <w:cols w:equalWidth="0" w:num="2">
            <w:col w:w="1540" w:space="720"/>
            <w:col w:w="9020"/>
          </w:cols>
          <w:pgMar w:left="300" w:top="1176" w:right="319" w:bottom="1440" w:gutter="0" w:footer="0" w:header="0"/>
          <w:type w:val="continuous"/>
        </w:sectPr>
      </w:pPr>
    </w:p>
    <w:p>
      <w:pPr>
        <w:spacing w:after="0" w:line="288" w:lineRule="auto"/>
        <w:rPr>
          <w:sz w:val="20"/>
          <w:szCs w:val="20"/>
          <w:color w:val="auto"/>
        </w:rPr>
      </w:pPr>
      <w:r>
        <w:rPr>
          <w:rFonts w:ascii="Arial" w:cs="Arial" w:eastAsia="Arial" w:hAnsi="Arial"/>
          <w:sz w:val="14"/>
          <w:szCs w:val="14"/>
          <w:color w:val="auto"/>
        </w:rPr>
        <w:t>or to such other address for such Party as it shall have specified by like notice to the other Party, provided that notices of a change of address shall be effective only upon actual receipt thereof. All notices under this Letter Agreement shall be deemed effective upon receipt.</w:t>
      </w:r>
    </w:p>
    <w:p>
      <w:pPr>
        <w:spacing w:after="0" w:line="128" w:lineRule="exact"/>
        <w:rPr>
          <w:sz w:val="20"/>
          <w:szCs w:val="20"/>
          <w:color w:val="auto"/>
        </w:rPr>
      </w:pPr>
    </w:p>
    <w:p>
      <w:pPr>
        <w:jc w:val="both"/>
        <w:ind w:firstLine="6"/>
        <w:spacing w:after="0" w:line="276" w:lineRule="auto"/>
        <w:tabs>
          <w:tab w:leader="none" w:pos="582" w:val="left"/>
        </w:tabs>
        <w:numPr>
          <w:ilvl w:val="0"/>
          <w:numId w:val="145"/>
        </w:numPr>
        <w:rPr>
          <w:rFonts w:ascii="Arial" w:cs="Arial" w:eastAsia="Arial" w:hAnsi="Arial"/>
          <w:sz w:val="14"/>
          <w:szCs w:val="14"/>
          <w:color w:val="auto"/>
        </w:rPr>
      </w:pPr>
      <w:r>
        <w:rPr>
          <w:rFonts w:ascii="Arial" w:cs="Arial" w:eastAsia="Arial" w:hAnsi="Arial"/>
          <w:sz w:val="14"/>
          <w:szCs w:val="14"/>
          <w:b w:val="1"/>
          <w:bCs w:val="1"/>
          <w:color w:val="auto"/>
        </w:rPr>
        <w:t>No Waiver of Rights</w:t>
      </w:r>
      <w:r>
        <w:rPr>
          <w:rFonts w:ascii="Arial" w:cs="Arial" w:eastAsia="Arial" w:hAnsi="Arial"/>
          <w:sz w:val="14"/>
          <w:szCs w:val="14"/>
          <w:color w:val="auto"/>
        </w:rPr>
        <w:t>. No failure or delay on the part of a Party in the exercise of any power or right under this Letter Agreement shall operate as a waiver thereof. No single or partial</w:t>
      </w:r>
      <w:r>
        <w:rPr>
          <w:rFonts w:ascii="Arial" w:cs="Arial" w:eastAsia="Arial" w:hAnsi="Arial"/>
          <w:sz w:val="14"/>
          <w:szCs w:val="14"/>
          <w:b w:val="1"/>
          <w:bCs w:val="1"/>
          <w:color w:val="auto"/>
        </w:rPr>
        <w:t xml:space="preserve"> </w:t>
      </w:r>
      <w:r>
        <w:rPr>
          <w:rFonts w:ascii="Arial" w:cs="Arial" w:eastAsia="Arial" w:hAnsi="Arial"/>
          <w:sz w:val="14"/>
          <w:szCs w:val="14"/>
          <w:color w:val="auto"/>
        </w:rPr>
        <w:t>exercise of any right or power under this Letter Agreement shall operate as a waiver of such right or of any other right or power. The waiver by a Party of a breach of any provision of this Letter Agreement shall not operate or be construed as a waiver of any other or subsequent breach under this Letter Agreement.</w:t>
      </w:r>
    </w:p>
    <w:p>
      <w:pPr>
        <w:spacing w:after="0" w:line="135" w:lineRule="exact"/>
        <w:rPr>
          <w:rFonts w:ascii="Arial" w:cs="Arial" w:eastAsia="Arial" w:hAnsi="Arial"/>
          <w:sz w:val="14"/>
          <w:szCs w:val="14"/>
          <w:color w:val="auto"/>
        </w:rPr>
      </w:pPr>
    </w:p>
    <w:p>
      <w:pPr>
        <w:jc w:val="both"/>
        <w:ind w:firstLine="6"/>
        <w:spacing w:after="0" w:line="276" w:lineRule="auto"/>
        <w:tabs>
          <w:tab w:leader="none" w:pos="611" w:val="left"/>
        </w:tabs>
        <w:numPr>
          <w:ilvl w:val="0"/>
          <w:numId w:val="145"/>
        </w:numPr>
        <w:rPr>
          <w:rFonts w:ascii="Arial" w:cs="Arial" w:eastAsia="Arial" w:hAnsi="Arial"/>
          <w:sz w:val="14"/>
          <w:szCs w:val="14"/>
          <w:color w:val="auto"/>
        </w:rPr>
      </w:pPr>
      <w:r>
        <w:rPr>
          <w:rFonts w:ascii="Arial" w:cs="Arial" w:eastAsia="Arial" w:hAnsi="Arial"/>
          <w:sz w:val="14"/>
          <w:szCs w:val="14"/>
          <w:b w:val="1"/>
          <w:bCs w:val="1"/>
          <w:color w:val="auto"/>
        </w:rPr>
        <w:t>Severability</w:t>
      </w:r>
      <w:r>
        <w:rPr>
          <w:rFonts w:ascii="Arial" w:cs="Arial" w:eastAsia="Arial" w:hAnsi="Arial"/>
          <w:sz w:val="14"/>
          <w:szCs w:val="14"/>
          <w:color w:val="auto"/>
        </w:rPr>
        <w:t>. In case any one or more of the provisions contained in this Letter Agreement shall, for any reason be held to be invalid, illegal, or unenforceable in any respect, such</w:t>
      </w:r>
      <w:r>
        <w:rPr>
          <w:rFonts w:ascii="Arial" w:cs="Arial" w:eastAsia="Arial" w:hAnsi="Arial"/>
          <w:sz w:val="14"/>
          <w:szCs w:val="14"/>
          <w:b w:val="1"/>
          <w:bCs w:val="1"/>
          <w:color w:val="auto"/>
        </w:rPr>
        <w:t xml:space="preserve"> </w:t>
      </w:r>
      <w:r>
        <w:rPr>
          <w:rFonts w:ascii="Arial" w:cs="Arial" w:eastAsia="Arial" w:hAnsi="Arial"/>
          <w:sz w:val="14"/>
          <w:szCs w:val="14"/>
          <w:color w:val="auto"/>
        </w:rPr>
        <w:t>invalidity, illegality, or unenforceability, shall not affect any other provision of this Letter Agreement, and the Parties shall negotiate in good faith to modify this Letter Agreement to preserve (to the extent possible) their original intent.</w:t>
      </w:r>
    </w:p>
    <w:p>
      <w:pPr>
        <w:spacing w:after="0" w:line="135" w:lineRule="exact"/>
        <w:rPr>
          <w:rFonts w:ascii="Arial" w:cs="Arial" w:eastAsia="Arial" w:hAnsi="Arial"/>
          <w:sz w:val="14"/>
          <w:szCs w:val="14"/>
          <w:color w:val="auto"/>
        </w:rPr>
      </w:pPr>
    </w:p>
    <w:p>
      <w:pPr>
        <w:ind w:left="500" w:hanging="494"/>
        <w:spacing w:after="0"/>
        <w:tabs>
          <w:tab w:leader="none" w:pos="500" w:val="left"/>
        </w:tabs>
        <w:numPr>
          <w:ilvl w:val="0"/>
          <w:numId w:val="145"/>
        </w:numPr>
        <w:rPr>
          <w:rFonts w:ascii="Arial" w:cs="Arial" w:eastAsia="Arial" w:hAnsi="Arial"/>
          <w:sz w:val="13"/>
          <w:szCs w:val="13"/>
          <w:color w:val="auto"/>
        </w:rPr>
      </w:pPr>
      <w:r>
        <w:rPr>
          <w:rFonts w:ascii="Arial" w:cs="Arial" w:eastAsia="Arial" w:hAnsi="Arial"/>
          <w:sz w:val="13"/>
          <w:szCs w:val="13"/>
          <w:b w:val="1"/>
          <w:bCs w:val="1"/>
          <w:color w:val="auto"/>
        </w:rPr>
        <w:t>Amendments</w:t>
      </w:r>
      <w:r>
        <w:rPr>
          <w:rFonts w:ascii="Arial" w:cs="Arial" w:eastAsia="Arial" w:hAnsi="Arial"/>
          <w:sz w:val="13"/>
          <w:szCs w:val="13"/>
          <w:color w:val="auto"/>
        </w:rPr>
        <w:t>. No amendment or modification of or supplement to the terms of this Letter Agreement shall be binding on a Party unless reduced to writing and signed by both Parties.</w:t>
      </w:r>
    </w:p>
    <w:p>
      <w:pPr>
        <w:spacing w:after="0" w:line="195" w:lineRule="exact"/>
        <w:rPr>
          <w:rFonts w:ascii="Arial" w:cs="Arial" w:eastAsia="Arial" w:hAnsi="Arial"/>
          <w:sz w:val="13"/>
          <w:szCs w:val="13"/>
          <w:color w:val="auto"/>
        </w:rPr>
      </w:pPr>
    </w:p>
    <w:p>
      <w:pPr>
        <w:jc w:val="both"/>
        <w:ind w:firstLine="6"/>
        <w:spacing w:after="0" w:line="276" w:lineRule="auto"/>
        <w:tabs>
          <w:tab w:leader="none" w:pos="604" w:val="left"/>
        </w:tabs>
        <w:numPr>
          <w:ilvl w:val="0"/>
          <w:numId w:val="145"/>
        </w:numPr>
        <w:rPr>
          <w:rFonts w:ascii="Arial" w:cs="Arial" w:eastAsia="Arial" w:hAnsi="Arial"/>
          <w:sz w:val="14"/>
          <w:szCs w:val="14"/>
          <w:color w:val="auto"/>
        </w:rPr>
      </w:pPr>
      <w:r>
        <w:rPr>
          <w:rFonts w:ascii="Arial" w:cs="Arial" w:eastAsia="Arial" w:hAnsi="Arial"/>
          <w:sz w:val="14"/>
          <w:szCs w:val="14"/>
          <w:b w:val="1"/>
          <w:bCs w:val="1"/>
          <w:color w:val="auto"/>
        </w:rPr>
        <w:t>Entire Agreement</w:t>
      </w:r>
      <w:r>
        <w:rPr>
          <w:rFonts w:ascii="Arial" w:cs="Arial" w:eastAsia="Arial" w:hAnsi="Arial"/>
          <w:sz w:val="14"/>
          <w:szCs w:val="14"/>
          <w:color w:val="auto"/>
        </w:rPr>
        <w:t>. This Letter Agreement sets forth the entire agreement among the Parties as to the subject matter hereof and supersedes all prior and contemporaneous agreements,</w:t>
      </w:r>
      <w:r>
        <w:rPr>
          <w:rFonts w:ascii="Arial" w:cs="Arial" w:eastAsia="Arial" w:hAnsi="Arial"/>
          <w:sz w:val="14"/>
          <w:szCs w:val="14"/>
          <w:b w:val="1"/>
          <w:bCs w:val="1"/>
          <w:color w:val="auto"/>
        </w:rPr>
        <w:t xml:space="preserve"> </w:t>
      </w:r>
      <w:r>
        <w:rPr>
          <w:rFonts w:ascii="Arial" w:cs="Arial" w:eastAsia="Arial" w:hAnsi="Arial"/>
          <w:sz w:val="14"/>
          <w:szCs w:val="14"/>
          <w:color w:val="auto"/>
        </w:rPr>
        <w:t>understandings, negotiations and discussions, whether oral or written, between the Parties as to the subject matter hereof. In the event of any conflict between this Letter Agreement and the License</w:t>
      </w:r>
    </w:p>
    <w:p>
      <w:pPr>
        <w:spacing w:after="0" w:line="5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76" w:right="319" w:bottom="1440" w:gutter="0" w:footer="0" w:header="0"/>
          <w:type w:val="continuous"/>
        </w:sectPr>
      </w:pPr>
    </w:p>
    <w:bookmarkStart w:id="277" w:name="page278"/>
    <w:bookmarkEnd w:id="277"/>
    <w:p>
      <w:pPr>
        <w:spacing w:after="0" w:line="28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3222625</wp:posOffset>
            </wp:positionH>
            <wp:positionV relativeFrom="page">
              <wp:posOffset>307975</wp:posOffset>
            </wp:positionV>
            <wp:extent cx="1075690" cy="30861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clrChange>
                        <a:clrFrom>
                          <a:srgbClr val="FFFFFF"/>
                        </a:clrFrom>
                        <a:clrTo>
                          <a:srgbClr val="FFFFFF">
                            <a:alpha val="0"/>
                          </a:srgbClr>
                        </a:clrTo>
                      </a:clrChange>
                      <a:extLst>
                        <a:ext uri="{28A0092B-C50C-407E-A947-70E740481C1C}"/>
                      </a:extLst>
                    </a:blip>
                    <a:srcRect/>
                    <a:stretch>
                      <a:fillRect/>
                    </a:stretch>
                  </pic:blipFill>
                  <pic:spPr bwMode="auto">
                    <a:xfrm>
                      <a:off x="0" y="0"/>
                      <a:ext cx="1075690" cy="308610"/>
                    </a:xfrm>
                    <a:prstGeom prst="rect">
                      <a:avLst/>
                    </a:prstGeom>
                    <a:noFill/>
                  </pic:spPr>
                </pic:pic>
              </a:graphicData>
            </a:graphic>
          </wp:anchor>
        </w:drawing>
        <w:t>Agreement or the Sublicense Agreement, this Letter Agreement will control. This Letter Agreement and any dispute regarding the performance or breach hereof will be governed, interpreted and construed in accordance with the laws of the State of Wisconsin, and the patent law of the United States, without respect to its conflict of laws rules.</w:t>
      </w:r>
    </w:p>
    <w:p>
      <w:pPr>
        <w:spacing w:after="0" w:line="128" w:lineRule="exact"/>
        <w:rPr>
          <w:sz w:val="20"/>
          <w:szCs w:val="20"/>
          <w:color w:val="auto"/>
        </w:rPr>
      </w:pPr>
    </w:p>
    <w:p>
      <w:pPr>
        <w:ind w:firstLine="6"/>
        <w:spacing w:after="0" w:line="294" w:lineRule="auto"/>
        <w:tabs>
          <w:tab w:leader="none" w:pos="701" w:val="left"/>
        </w:tabs>
        <w:numPr>
          <w:ilvl w:val="0"/>
          <w:numId w:val="146"/>
        </w:numPr>
        <w:rPr>
          <w:rFonts w:ascii="Arial" w:cs="Arial" w:eastAsia="Arial" w:hAnsi="Arial"/>
          <w:sz w:val="14"/>
          <w:szCs w:val="14"/>
          <w:color w:val="auto"/>
        </w:rPr>
      </w:pPr>
      <w:r>
        <w:rPr>
          <w:rFonts w:ascii="Arial" w:cs="Arial" w:eastAsia="Arial" w:hAnsi="Arial"/>
          <w:sz w:val="14"/>
          <w:szCs w:val="14"/>
          <w:b w:val="1"/>
          <w:bCs w:val="1"/>
          <w:color w:val="auto"/>
        </w:rPr>
        <w:t>Survival</w:t>
      </w:r>
      <w:r>
        <w:rPr>
          <w:rFonts w:ascii="Arial" w:cs="Arial" w:eastAsia="Arial" w:hAnsi="Arial"/>
          <w:sz w:val="14"/>
          <w:szCs w:val="14"/>
          <w:color w:val="auto"/>
        </w:rPr>
        <w:t>. The rights and obligations of the Parties under this Letter Agreement shall continue until the expiration or the earlier termination of the Sublicense Agreement or Sub-Sublicense, as applicable.</w:t>
      </w:r>
    </w:p>
    <w:p>
      <w:pPr>
        <w:spacing w:after="0" w:line="123" w:lineRule="exact"/>
        <w:rPr>
          <w:rFonts w:ascii="Arial" w:cs="Arial" w:eastAsia="Arial" w:hAnsi="Arial"/>
          <w:sz w:val="14"/>
          <w:szCs w:val="14"/>
          <w:color w:val="auto"/>
        </w:rPr>
      </w:pPr>
    </w:p>
    <w:p>
      <w:pPr>
        <w:jc w:val="both"/>
        <w:ind w:firstLine="6"/>
        <w:spacing w:after="0" w:line="269" w:lineRule="auto"/>
        <w:tabs>
          <w:tab w:leader="none" w:pos="629" w:val="left"/>
        </w:tabs>
        <w:numPr>
          <w:ilvl w:val="0"/>
          <w:numId w:val="146"/>
        </w:numPr>
        <w:rPr>
          <w:rFonts w:ascii="Arial" w:cs="Arial" w:eastAsia="Arial" w:hAnsi="Arial"/>
          <w:sz w:val="14"/>
          <w:szCs w:val="14"/>
          <w:color w:val="auto"/>
        </w:rPr>
      </w:pPr>
      <w:r>
        <w:rPr>
          <w:rFonts w:ascii="Arial" w:cs="Arial" w:eastAsia="Arial" w:hAnsi="Arial"/>
          <w:sz w:val="14"/>
          <w:szCs w:val="14"/>
          <w:b w:val="1"/>
          <w:bCs w:val="1"/>
          <w:color w:val="auto"/>
        </w:rPr>
        <w:t>Counterparts</w:t>
      </w:r>
      <w:r>
        <w:rPr>
          <w:rFonts w:ascii="Arial" w:cs="Arial" w:eastAsia="Arial" w:hAnsi="Arial"/>
          <w:sz w:val="14"/>
          <w:szCs w:val="14"/>
          <w:color w:val="auto"/>
        </w:rPr>
        <w:t>. This Letter Agreement, or any part thereof requiring signing by the Parties, may be executed in separate counterparts, each of which shall be an original as against any</w:t>
      </w:r>
      <w:r>
        <w:rPr>
          <w:rFonts w:ascii="Arial" w:cs="Arial" w:eastAsia="Arial" w:hAnsi="Arial"/>
          <w:sz w:val="14"/>
          <w:szCs w:val="14"/>
          <w:b w:val="1"/>
          <w:bCs w:val="1"/>
          <w:color w:val="auto"/>
        </w:rPr>
        <w:t xml:space="preserve"> </w:t>
      </w:r>
      <w:r>
        <w:rPr>
          <w:rFonts w:ascii="Arial" w:cs="Arial" w:eastAsia="Arial" w:hAnsi="Arial"/>
          <w:sz w:val="14"/>
          <w:szCs w:val="14"/>
          <w:color w:val="auto"/>
        </w:rPr>
        <w:t>Party whose signature appears thereon but all of which together shall constitute one and the same instrument. A facsimile or PDF transmission of the signed Letter Agreement, and those parts thereof requiring signing by the Parties, shall be legal and binding on the Parties. The Parties agree this Agreement may be electronically signed and that the electronic signatures appearing on this Agreement are the same as handwritten signatures for the purposes of validity, enforceability and admissibility.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[END OF PAGE. SIGNATURE PAGE FOLLOWS]</w:t>
      </w:r>
    </w:p>
    <w:p>
      <w:pPr>
        <w:spacing w:after="0" w:line="9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76" w:right="319" w:bottom="1440" w:gutter="0" w:footer="0" w:header="0"/>
        </w:sectPr>
      </w:pPr>
    </w:p>
    <w:bookmarkStart w:id="278" w:name="page279"/>
    <w:bookmarkEnd w:id="278"/>
    <w:p>
      <w:pPr>
        <w:ind w:firstLine="518"/>
        <w:spacing w:after="0" w:line="28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3222625</wp:posOffset>
            </wp:positionH>
            <wp:positionV relativeFrom="page">
              <wp:posOffset>307975</wp:posOffset>
            </wp:positionV>
            <wp:extent cx="1075690" cy="30861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clrChange>
                        <a:clrFrom>
                          <a:srgbClr val="FFFFFF"/>
                        </a:clrFrom>
                        <a:clrTo>
                          <a:srgbClr val="FFFFFF">
                            <a:alpha val="0"/>
                          </a:srgbClr>
                        </a:clrTo>
                      </a:clrChange>
                      <a:extLst>
                        <a:ext uri="{28A0092B-C50C-407E-A947-70E740481C1C}"/>
                      </a:extLst>
                    </a:blip>
                    <a:srcRect/>
                    <a:stretch>
                      <a:fillRect/>
                    </a:stretch>
                  </pic:blipFill>
                  <pic:spPr bwMode="auto">
                    <a:xfrm>
                      <a:off x="0" y="0"/>
                      <a:ext cx="1075690" cy="308610"/>
                    </a:xfrm>
                    <a:prstGeom prst="rect">
                      <a:avLst/>
                    </a:prstGeom>
                    <a:noFill/>
                  </pic:spPr>
                </pic:pic>
              </a:graphicData>
            </a:graphic>
          </wp:anchor>
        </w:drawing>
        <w:t>This Letter Agreement is signed below by authorized representatives of CDI, Century and WARF respectively indicating the Parties’ acceptance of the terms and conditions of this Letter Agreement.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FUJIFILM CELLULAR DYNAMICS, INC.</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0" w:type="dxa"/>
            <w:vAlign w:val="bottom"/>
          </w:tcPr>
          <w:p>
            <w:pPr>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Nicholas Manusos</w:t>
            </w:r>
          </w:p>
        </w:tc>
      </w:tr>
      <w:tr>
        <w:trPr>
          <w:trHeight w:val="174"/>
        </w:trPr>
        <w:tc>
          <w:tcPr>
            <w:tcW w:w="80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(Signature)</w:t>
            </w:r>
          </w:p>
        </w:tc>
      </w:tr>
      <w:tr>
        <w:trPr>
          <w:trHeight w:val="335"/>
        </w:trPr>
        <w:tc>
          <w:tcPr>
            <w:tcW w:w="800" w:type="dxa"/>
            <w:vAlign w:val="bottom"/>
          </w:tcPr>
          <w:p>
            <w:pPr>
              <w:spacing w:after="0"/>
              <w:rPr>
                <w:sz w:val="20"/>
                <w:szCs w:val="20"/>
                <w:color w:val="auto"/>
              </w:rPr>
            </w:pPr>
            <w:r>
              <w:rPr>
                <w:rFonts w:ascii="Arial" w:cs="Arial" w:eastAsia="Arial" w:hAnsi="Arial"/>
                <w:sz w:val="14"/>
                <w:szCs w:val="14"/>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Nick Manusos</w:t>
            </w:r>
          </w:p>
        </w:tc>
      </w:tr>
      <w:tr>
        <w:trPr>
          <w:trHeight w:val="336"/>
        </w:trPr>
        <w:tc>
          <w:tcPr>
            <w:tcW w:w="800" w:type="dxa"/>
            <w:vAlign w:val="bottom"/>
          </w:tcPr>
          <w:p>
            <w:pPr>
              <w:spacing w:after="0"/>
              <w:rPr>
                <w:sz w:val="20"/>
                <w:szCs w:val="20"/>
                <w:color w:val="auto"/>
              </w:rPr>
            </w:pPr>
            <w:r>
              <w:rPr>
                <w:rFonts w:ascii="Arial" w:cs="Arial" w:eastAsia="Arial" w:hAnsi="Arial"/>
                <w:sz w:val="14"/>
                <w:szCs w:val="14"/>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COO</w:t>
            </w:r>
          </w:p>
        </w:tc>
      </w:tr>
      <w:tr>
        <w:trPr>
          <w:trHeight w:val="335"/>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CENTURY THERAPEUTICS, LLC</w:t>
            </w:r>
          </w:p>
        </w:tc>
      </w:tr>
      <w:tr>
        <w:trPr>
          <w:trHeight w:val="346"/>
        </w:trPr>
        <w:tc>
          <w:tcPr>
            <w:tcW w:w="800" w:type="dxa"/>
            <w:vAlign w:val="bottom"/>
          </w:tcPr>
          <w:p>
            <w:pPr>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Osvaldo Flores</w:t>
            </w:r>
          </w:p>
        </w:tc>
      </w:tr>
      <w:tr>
        <w:trPr>
          <w:trHeight w:val="174"/>
        </w:trPr>
        <w:tc>
          <w:tcPr>
            <w:tcW w:w="80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(Signature)</w:t>
            </w:r>
          </w:p>
        </w:tc>
      </w:tr>
      <w:tr>
        <w:trPr>
          <w:trHeight w:val="335"/>
        </w:trPr>
        <w:tc>
          <w:tcPr>
            <w:tcW w:w="800" w:type="dxa"/>
            <w:vAlign w:val="bottom"/>
          </w:tcPr>
          <w:p>
            <w:pPr>
              <w:spacing w:after="0"/>
              <w:rPr>
                <w:sz w:val="20"/>
                <w:szCs w:val="20"/>
                <w:color w:val="auto"/>
              </w:rPr>
            </w:pPr>
            <w:r>
              <w:rPr>
                <w:rFonts w:ascii="Arial" w:cs="Arial" w:eastAsia="Arial" w:hAnsi="Arial"/>
                <w:sz w:val="14"/>
                <w:szCs w:val="14"/>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Osvaldo Flores</w:t>
            </w:r>
          </w:p>
        </w:tc>
      </w:tr>
      <w:tr>
        <w:trPr>
          <w:trHeight w:val="336"/>
        </w:trPr>
        <w:tc>
          <w:tcPr>
            <w:tcW w:w="800" w:type="dxa"/>
            <w:vAlign w:val="bottom"/>
          </w:tcPr>
          <w:p>
            <w:pPr>
              <w:spacing w:after="0"/>
              <w:rPr>
                <w:sz w:val="20"/>
                <w:szCs w:val="20"/>
                <w:color w:val="auto"/>
              </w:rPr>
            </w:pPr>
            <w:r>
              <w:rPr>
                <w:rFonts w:ascii="Arial" w:cs="Arial" w:eastAsia="Arial" w:hAnsi="Arial"/>
                <w:sz w:val="14"/>
                <w:szCs w:val="14"/>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Chief Executive Officer</w:t>
            </w:r>
          </w:p>
        </w:tc>
      </w:tr>
      <w:tr>
        <w:trPr>
          <w:trHeight w:val="335"/>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WISCONSIN ALUMNI RESEARCH FOUNDATION</w:t>
            </w:r>
          </w:p>
        </w:tc>
      </w:tr>
      <w:tr>
        <w:trPr>
          <w:trHeight w:val="346"/>
        </w:trPr>
        <w:tc>
          <w:tcPr>
            <w:tcW w:w="800" w:type="dxa"/>
            <w:vAlign w:val="bottom"/>
          </w:tcPr>
          <w:p>
            <w:pPr>
              <w:spacing w:after="0"/>
              <w:rPr>
                <w:sz w:val="20"/>
                <w:szCs w:val="20"/>
                <w:color w:val="auto"/>
              </w:rPr>
            </w:pPr>
            <w:r>
              <w:rPr>
                <w:rFonts w:ascii="Arial" w:cs="Arial" w:eastAsia="Arial" w:hAnsi="Arial"/>
                <w:sz w:val="14"/>
                <w:szCs w:val="14"/>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Leigh Cagan</w:t>
            </w:r>
          </w:p>
        </w:tc>
      </w:tr>
      <w:tr>
        <w:trPr>
          <w:trHeight w:val="174"/>
        </w:trPr>
        <w:tc>
          <w:tcPr>
            <w:tcW w:w="80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(Signature)</w:t>
            </w:r>
          </w:p>
        </w:tc>
      </w:tr>
      <w:tr>
        <w:trPr>
          <w:trHeight w:val="335"/>
        </w:trPr>
        <w:tc>
          <w:tcPr>
            <w:tcW w:w="800" w:type="dxa"/>
            <w:vAlign w:val="bottom"/>
          </w:tcPr>
          <w:p>
            <w:pPr>
              <w:spacing w:after="0"/>
              <w:rPr>
                <w:sz w:val="20"/>
                <w:szCs w:val="20"/>
                <w:color w:val="auto"/>
              </w:rPr>
            </w:pPr>
            <w:r>
              <w:rPr>
                <w:rFonts w:ascii="Arial" w:cs="Arial" w:eastAsia="Arial" w:hAnsi="Arial"/>
                <w:sz w:val="14"/>
                <w:szCs w:val="14"/>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Leigh Cagan</w:t>
            </w:r>
          </w:p>
        </w:tc>
      </w:tr>
      <w:tr>
        <w:trPr>
          <w:trHeight w:val="336"/>
        </w:trPr>
        <w:tc>
          <w:tcPr>
            <w:tcW w:w="800" w:type="dxa"/>
            <w:vAlign w:val="bottom"/>
          </w:tcPr>
          <w:p>
            <w:pPr>
              <w:spacing w:after="0"/>
              <w:rPr>
                <w:sz w:val="20"/>
                <w:szCs w:val="20"/>
                <w:color w:val="auto"/>
              </w:rPr>
            </w:pPr>
            <w:r>
              <w:rPr>
                <w:rFonts w:ascii="Arial" w:cs="Arial" w:eastAsia="Arial" w:hAnsi="Arial"/>
                <w:sz w:val="14"/>
                <w:szCs w:val="14"/>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Chief Technology Commercialization Officer</w:t>
            </w:r>
          </w:p>
        </w:tc>
      </w:tr>
    </w:tbl>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176" w:right="319" w:bottom="1440" w:gutter="0" w:footer="0" w:header="0"/>
        </w:sectPr>
      </w:pPr>
    </w:p>
    <w:bookmarkStart w:id="279" w:name="page280"/>
    <w:bookmarkEnd w:id="279"/>
    <w:p>
      <w:pPr>
        <w:jc w:val="right"/>
        <w:spacing w:after="0"/>
        <w:rPr>
          <w:sz w:val="20"/>
          <w:szCs w:val="20"/>
          <w:color w:val="auto"/>
        </w:rPr>
      </w:pPr>
      <w:r>
        <w:rPr>
          <w:rFonts w:ascii="Arial" w:cs="Arial" w:eastAsia="Arial" w:hAnsi="Arial"/>
          <w:sz w:val="14"/>
          <w:szCs w:val="14"/>
          <w:b w:val="1"/>
          <w:bCs w:val="1"/>
          <w:color w:val="auto"/>
        </w:rPr>
        <w:t>Exhibit 10.25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SUBLICENSE AGREEMENT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This Sublicense Agreement (together with all exhibits and attachments hereto, this “</w:t>
      </w:r>
      <w:r>
        <w:rPr>
          <w:rFonts w:ascii="Arial" w:cs="Arial" w:eastAsia="Arial" w:hAnsi="Arial"/>
          <w:sz w:val="13"/>
          <w:szCs w:val="13"/>
          <w:b w:val="1"/>
          <w:bCs w:val="1"/>
          <w:color w:val="auto"/>
        </w:rPr>
        <w:t>Agreement</w:t>
      </w:r>
      <w:r>
        <w:rPr>
          <w:rFonts w:ascii="Arial" w:cs="Arial" w:eastAsia="Arial" w:hAnsi="Arial"/>
          <w:sz w:val="13"/>
          <w:szCs w:val="13"/>
          <w:color w:val="auto"/>
        </w:rPr>
        <w:t>”) is made and entered into by and between iCELL Inc. (“</w:t>
      </w:r>
      <w:r>
        <w:rPr>
          <w:rFonts w:ascii="Arial" w:cs="Arial" w:eastAsia="Arial" w:hAnsi="Arial"/>
          <w:sz w:val="13"/>
          <w:szCs w:val="13"/>
          <w:b w:val="1"/>
          <w:bCs w:val="1"/>
          <w:color w:val="auto"/>
        </w:rPr>
        <w:t>Sublicensor</w:t>
      </w:r>
      <w:r>
        <w:rPr>
          <w:rFonts w:ascii="Arial" w:cs="Arial" w:eastAsia="Arial" w:hAnsi="Arial"/>
          <w:sz w:val="13"/>
          <w:szCs w:val="13"/>
          <w:color w:val="auto"/>
        </w:rPr>
        <w:t>”), a Japanese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corporation having a principal place of business at Tokyo Twin Parks 25-26 FL (2505), Higashi Shinbashi 1-10-2, Minato-ku, Tokyo 105-0021 Japan, and Century Therapeutics, LLC</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Sublicensee</w:t>
      </w:r>
      <w:r>
        <w:rPr>
          <w:rFonts w:ascii="Arial" w:cs="Arial" w:eastAsia="Arial" w:hAnsi="Arial"/>
          <w:sz w:val="13"/>
          <w:szCs w:val="13"/>
          <w:color w:val="auto"/>
        </w:rPr>
        <w:t>”), a Delaware limited liability company having a principal place of business at 3675 Market St., Philadelphia, PA 19104, effective as of March 20, 2020 (“</w:t>
      </w:r>
      <w:r>
        <w:rPr>
          <w:rFonts w:ascii="Arial" w:cs="Arial" w:eastAsia="Arial" w:hAnsi="Arial"/>
          <w:sz w:val="13"/>
          <w:szCs w:val="13"/>
          <w:b w:val="1"/>
          <w:bCs w:val="1"/>
          <w:color w:val="auto"/>
        </w:rPr>
        <w:t>Effective Date</w:t>
      </w:r>
      <w:r>
        <w:rPr>
          <w:rFonts w:ascii="Arial" w:cs="Arial" w:eastAsia="Arial" w:hAnsi="Arial"/>
          <w:sz w:val="13"/>
          <w:szCs w:val="13"/>
          <w:color w:val="auto"/>
        </w:rPr>
        <w:t>”).</w:t>
      </w:r>
    </w:p>
    <w:p>
      <w:pPr>
        <w:spacing w:after="0" w:line="186" w:lineRule="exact"/>
        <w:rPr>
          <w:sz w:val="20"/>
          <w:szCs w:val="20"/>
          <w:color w:val="auto"/>
        </w:rPr>
      </w:pPr>
    </w:p>
    <w:p>
      <w:pPr>
        <w:ind w:firstLine="518"/>
        <w:spacing w:after="0" w:line="264" w:lineRule="auto"/>
        <w:rPr>
          <w:sz w:val="20"/>
          <w:szCs w:val="20"/>
          <w:color w:val="auto"/>
        </w:rPr>
      </w:pPr>
      <w:r>
        <w:rPr>
          <w:rFonts w:ascii="Arial" w:cs="Arial" w:eastAsia="Arial" w:hAnsi="Arial"/>
          <w:sz w:val="14"/>
          <w:szCs w:val="14"/>
          <w:color w:val="auto"/>
        </w:rPr>
        <w:t>WHEREAS, Sublicensor is party to that Exclusive Licensing Agreement concluded on 08/01/2018 and as amended by that certain Amendment No. I to Exclusive Licensing Agreement concluded as of even date herewith, between Sublicensor and The University of Tokyo</w:t>
      </w:r>
    </w:p>
    <w:p>
      <w:pPr>
        <w:spacing w:after="0" w:line="1" w:lineRule="exact"/>
        <w:rPr>
          <w:sz w:val="20"/>
          <w:szCs w:val="20"/>
          <w:color w:val="auto"/>
        </w:rPr>
      </w:pPr>
    </w:p>
    <w:p>
      <w:pPr>
        <w:spacing w:after="0" w:line="274" w:lineRule="auto"/>
        <w:rPr>
          <w:sz w:val="20"/>
          <w:szCs w:val="20"/>
          <w:color w:val="auto"/>
        </w:rPr>
      </w:pPr>
      <w:r>
        <w:rPr>
          <w:rFonts w:ascii="Arial" w:cs="Arial" w:eastAsia="Arial" w:hAnsi="Arial"/>
          <w:sz w:val="14"/>
          <w:szCs w:val="14"/>
          <w:b w:val="1"/>
          <w:bCs w:val="1"/>
          <w:color w:val="auto"/>
        </w:rPr>
        <w:t xml:space="preserve">(“UTokyo”) </w:t>
      </w:r>
      <w:r>
        <w:rPr>
          <w:rFonts w:ascii="Arial" w:cs="Arial" w:eastAsia="Arial" w:hAnsi="Arial"/>
          <w:sz w:val="14"/>
          <w:szCs w:val="14"/>
          <w:color w:val="auto"/>
        </w:rPr>
        <w:t>and Todai TLO, Ltd., as may be further amended from time to time</w:t>
      </w:r>
      <w:r>
        <w:rPr>
          <w:rFonts w:ascii="Arial" w:cs="Arial" w:eastAsia="Arial" w:hAnsi="Arial"/>
          <w:sz w:val="14"/>
          <w:szCs w:val="14"/>
          <w:b w:val="1"/>
          <w:bCs w:val="1"/>
          <w:color w:val="auto"/>
        </w:rPr>
        <w:t xml:space="preserve"> (“UTokyo License”), </w:t>
      </w:r>
      <w:r>
        <w:rPr>
          <w:rFonts w:ascii="Arial" w:cs="Arial" w:eastAsia="Arial" w:hAnsi="Arial"/>
          <w:sz w:val="14"/>
          <w:szCs w:val="14"/>
          <w:color w:val="auto"/>
        </w:rPr>
        <w:t>under which Sublicensor was granted a license to certain patents, technology and</w:t>
      </w:r>
      <w:r>
        <w:rPr>
          <w:rFonts w:ascii="Arial" w:cs="Arial" w:eastAsia="Arial" w:hAnsi="Arial"/>
          <w:sz w:val="14"/>
          <w:szCs w:val="14"/>
          <w:b w:val="1"/>
          <w:bCs w:val="1"/>
          <w:color w:val="auto"/>
        </w:rPr>
        <w:t xml:space="preserve"> </w:t>
      </w:r>
      <w:r>
        <w:rPr>
          <w:rFonts w:ascii="Arial" w:cs="Arial" w:eastAsia="Arial" w:hAnsi="Arial"/>
          <w:sz w:val="14"/>
          <w:szCs w:val="14"/>
          <w:color w:val="auto"/>
        </w:rPr>
        <w:t>technology information; and</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the Sublicensor desires to grant to the Sublicensee a sublicense to such patents and technology, subject to the terms of this Agreement.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NOW, THEREFORE, and in consideration of the mutual covenants and agreements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contained herein, the parties hereto agree as follows:</w:t>
      </w:r>
    </w:p>
    <w:p>
      <w:pPr>
        <w:spacing w:after="0" w:line="171" w:lineRule="exact"/>
        <w:rPr>
          <w:sz w:val="20"/>
          <w:szCs w:val="20"/>
          <w:color w:val="auto"/>
        </w:rPr>
      </w:pPr>
    </w:p>
    <w:p>
      <w:pPr>
        <w:ind w:left="520" w:hanging="514"/>
        <w:spacing w:after="0"/>
        <w:tabs>
          <w:tab w:leader="none" w:pos="520" w:val="left"/>
        </w:tabs>
        <w:numPr>
          <w:ilvl w:val="0"/>
          <w:numId w:val="147"/>
        </w:numPr>
        <w:rPr>
          <w:rFonts w:ascii="Arial" w:cs="Arial" w:eastAsia="Arial" w:hAnsi="Arial"/>
          <w:sz w:val="14"/>
          <w:szCs w:val="14"/>
          <w:color w:val="auto"/>
        </w:rPr>
      </w:pPr>
      <w:r>
        <w:rPr>
          <w:rFonts w:ascii="Arial" w:cs="Arial" w:eastAsia="Arial" w:hAnsi="Arial"/>
          <w:sz w:val="14"/>
          <w:szCs w:val="14"/>
          <w:b w:val="1"/>
          <w:bCs w:val="1"/>
          <w:color w:val="auto"/>
        </w:rPr>
        <w:t>Definitions</w:t>
      </w:r>
    </w:p>
    <w:p>
      <w:pPr>
        <w:spacing w:after="0" w:line="184"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1.1.</w:t>
      </w:r>
      <w:r>
        <w:rPr>
          <w:rFonts w:ascii="Arial" w:cs="Arial" w:eastAsia="Arial" w:hAnsi="Arial"/>
          <w:sz w:val="13"/>
          <w:szCs w:val="13"/>
          <w:b w:val="1"/>
          <w:bCs w:val="1"/>
          <w:color w:val="auto"/>
        </w:rPr>
        <w:t xml:space="preserve">“Field of Use” </w:t>
      </w:r>
      <w:r>
        <w:rPr>
          <w:rFonts w:ascii="Arial" w:cs="Arial" w:eastAsia="Arial" w:hAnsi="Arial"/>
          <w:sz w:val="13"/>
          <w:szCs w:val="13"/>
          <w:color w:val="auto"/>
        </w:rPr>
        <w:t>shall mean all fields of use.</w:t>
      </w:r>
    </w:p>
    <w:p>
      <w:pPr>
        <w:spacing w:after="0" w:line="184"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1.2.</w:t>
      </w:r>
      <w:r>
        <w:rPr>
          <w:rFonts w:ascii="Arial" w:cs="Arial" w:eastAsia="Arial" w:hAnsi="Arial"/>
          <w:sz w:val="13"/>
          <w:szCs w:val="13"/>
          <w:b w:val="1"/>
          <w:bCs w:val="1"/>
          <w:color w:val="auto"/>
        </w:rPr>
        <w:t xml:space="preserve">“Initiation” </w:t>
      </w:r>
      <w:r>
        <w:rPr>
          <w:rFonts w:ascii="Arial" w:cs="Arial" w:eastAsia="Arial" w:hAnsi="Arial"/>
          <w:sz w:val="13"/>
          <w:szCs w:val="13"/>
          <w:color w:val="auto"/>
        </w:rPr>
        <w:t>shall mean the dosing of the first human subject participating in a clinical trial.</w:t>
      </w:r>
    </w:p>
    <w:p>
      <w:pPr>
        <w:spacing w:after="0" w:line="184"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4"/>
          <w:szCs w:val="14"/>
          <w:color w:val="auto"/>
        </w:rPr>
        <w:t>1.3.</w:t>
      </w:r>
      <w:r>
        <w:rPr>
          <w:rFonts w:ascii="Arial" w:cs="Arial" w:eastAsia="Arial" w:hAnsi="Arial"/>
          <w:sz w:val="13"/>
          <w:szCs w:val="13"/>
          <w:b w:val="1"/>
          <w:bCs w:val="1"/>
          <w:color w:val="auto"/>
        </w:rPr>
        <w:t xml:space="preserve">“Inventors” </w:t>
      </w:r>
      <w:r>
        <w:rPr>
          <w:rFonts w:ascii="Arial" w:cs="Arial" w:eastAsia="Arial" w:hAnsi="Arial"/>
          <w:sz w:val="13"/>
          <w:szCs w:val="13"/>
          <w:color w:val="auto"/>
        </w:rPr>
        <w:t>shall mean the inventors of the Technology Information.</w:t>
      </w:r>
    </w:p>
    <w:p>
      <w:pPr>
        <w:spacing w:after="0" w:line="184" w:lineRule="exact"/>
        <w:rPr>
          <w:rFonts w:ascii="Arial" w:cs="Arial" w:eastAsia="Arial" w:hAnsi="Arial"/>
          <w:sz w:val="14"/>
          <w:szCs w:val="14"/>
          <w:color w:val="auto"/>
        </w:rPr>
      </w:pPr>
    </w:p>
    <w:p>
      <w:pPr>
        <w:ind w:left="1040" w:hanging="518"/>
        <w:spacing w:after="0" w:line="294" w:lineRule="auto"/>
        <w:rPr>
          <w:rFonts w:ascii="Arial" w:cs="Arial" w:eastAsia="Arial" w:hAnsi="Arial"/>
          <w:sz w:val="14"/>
          <w:szCs w:val="14"/>
          <w:color w:val="auto"/>
        </w:rPr>
      </w:pPr>
      <w:r>
        <w:rPr>
          <w:rFonts w:ascii="Arial" w:cs="Arial" w:eastAsia="Arial" w:hAnsi="Arial"/>
          <w:sz w:val="14"/>
          <w:szCs w:val="14"/>
          <w:color w:val="auto"/>
        </w:rPr>
        <w:t>1.4.</w:t>
      </w:r>
      <w:r>
        <w:rPr>
          <w:rFonts w:ascii="Arial" w:cs="Arial" w:eastAsia="Arial" w:hAnsi="Arial"/>
          <w:sz w:val="14"/>
          <w:szCs w:val="14"/>
          <w:b w:val="1"/>
          <w:bCs w:val="1"/>
          <w:color w:val="auto"/>
        </w:rPr>
        <w:t xml:space="preserve">“Licensed Patents” </w:t>
      </w:r>
      <w:r>
        <w:rPr>
          <w:rFonts w:ascii="Arial" w:cs="Arial" w:eastAsia="Arial" w:hAnsi="Arial"/>
          <w:sz w:val="14"/>
          <w:szCs w:val="14"/>
          <w:color w:val="auto"/>
        </w:rPr>
        <w:t>shall mean the patents and applications listed in Exhibit A hereto and any related patents and applications sharing the same priority date as those listed in</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w:t>
      </w:r>
    </w:p>
    <w:p>
      <w:pPr>
        <w:spacing w:after="0" w:line="123" w:lineRule="exact"/>
        <w:rPr>
          <w:rFonts w:ascii="Arial" w:cs="Arial" w:eastAsia="Arial" w:hAnsi="Arial"/>
          <w:sz w:val="14"/>
          <w:szCs w:val="14"/>
          <w:color w:val="auto"/>
        </w:rPr>
      </w:pPr>
    </w:p>
    <w:p>
      <w:pPr>
        <w:ind w:left="1040" w:hanging="518"/>
        <w:spacing w:after="0" w:line="276" w:lineRule="auto"/>
        <w:rPr>
          <w:rFonts w:ascii="Arial" w:cs="Arial" w:eastAsia="Arial" w:hAnsi="Arial"/>
          <w:sz w:val="14"/>
          <w:szCs w:val="14"/>
          <w:color w:val="auto"/>
        </w:rPr>
      </w:pPr>
      <w:r>
        <w:rPr>
          <w:rFonts w:ascii="Arial" w:cs="Arial" w:eastAsia="Arial" w:hAnsi="Arial"/>
          <w:sz w:val="14"/>
          <w:szCs w:val="14"/>
          <w:color w:val="auto"/>
        </w:rPr>
        <w:t>1.5.</w:t>
      </w:r>
      <w:r>
        <w:rPr>
          <w:rFonts w:ascii="Arial" w:cs="Arial" w:eastAsia="Arial" w:hAnsi="Arial"/>
          <w:sz w:val="14"/>
          <w:szCs w:val="14"/>
          <w:b w:val="1"/>
          <w:bCs w:val="1"/>
          <w:color w:val="auto"/>
        </w:rPr>
        <w:t xml:space="preserve">“Licensed Products” </w:t>
      </w:r>
      <w:r>
        <w:rPr>
          <w:rFonts w:ascii="Arial" w:cs="Arial" w:eastAsia="Arial" w:hAnsi="Arial"/>
          <w:sz w:val="14"/>
          <w:szCs w:val="14"/>
          <w:color w:val="auto"/>
        </w:rPr>
        <w:t>shall mean on a country-by-country basis, any product whose manufacture, use, sale, offer for sale, or import which, but for the licenses granted herein,</w:t>
      </w:r>
      <w:r>
        <w:rPr>
          <w:rFonts w:ascii="Arial" w:cs="Arial" w:eastAsia="Arial" w:hAnsi="Arial"/>
          <w:sz w:val="14"/>
          <w:szCs w:val="14"/>
          <w:b w:val="1"/>
          <w:bCs w:val="1"/>
          <w:color w:val="auto"/>
        </w:rPr>
        <w:t xml:space="preserve"> </w:t>
      </w:r>
      <w:r>
        <w:rPr>
          <w:rFonts w:ascii="Arial" w:cs="Arial" w:eastAsia="Arial" w:hAnsi="Arial"/>
          <w:sz w:val="14"/>
          <w:szCs w:val="14"/>
          <w:color w:val="auto"/>
        </w:rPr>
        <w:t>would infringe a Valid Claim of a pending Licensed Patent, were such Licensed Patent to have issued, or a Valid Claim of an issued Licensed Patent in such country in which such product is manufactured, used, sold, offered for sale, or imported.</w:t>
      </w:r>
    </w:p>
    <w:p>
      <w:pPr>
        <w:spacing w:after="0" w:line="135" w:lineRule="exact"/>
        <w:rPr>
          <w:rFonts w:ascii="Arial" w:cs="Arial" w:eastAsia="Arial" w:hAnsi="Arial"/>
          <w:sz w:val="14"/>
          <w:szCs w:val="14"/>
          <w:color w:val="auto"/>
        </w:rPr>
      </w:pPr>
    </w:p>
    <w:p>
      <w:pPr>
        <w:ind w:left="1040" w:hanging="518"/>
        <w:spacing w:after="0" w:line="276" w:lineRule="auto"/>
        <w:rPr>
          <w:rFonts w:ascii="Arial" w:cs="Arial" w:eastAsia="Arial" w:hAnsi="Arial"/>
          <w:sz w:val="14"/>
          <w:szCs w:val="14"/>
          <w:color w:val="auto"/>
        </w:rPr>
      </w:pPr>
      <w:r>
        <w:rPr>
          <w:rFonts w:ascii="Arial" w:cs="Arial" w:eastAsia="Arial" w:hAnsi="Arial"/>
          <w:sz w:val="14"/>
          <w:szCs w:val="14"/>
          <w:color w:val="auto"/>
        </w:rPr>
        <w:t>1.6.</w:t>
      </w:r>
      <w:r>
        <w:rPr>
          <w:rFonts w:ascii="Arial" w:cs="Arial" w:eastAsia="Arial" w:hAnsi="Arial"/>
          <w:sz w:val="14"/>
          <w:szCs w:val="14"/>
          <w:b w:val="1"/>
          <w:bCs w:val="1"/>
          <w:color w:val="auto"/>
        </w:rPr>
        <w:t xml:space="preserve">“Technology Information” </w:t>
      </w:r>
      <w:r>
        <w:rPr>
          <w:rFonts w:ascii="Arial" w:cs="Arial" w:eastAsia="Arial" w:hAnsi="Arial"/>
          <w:sz w:val="14"/>
          <w:szCs w:val="14"/>
          <w:color w:val="auto"/>
        </w:rPr>
        <w:t>shall mean confidential, non-public technology information, technical data, know-how and other information or materials controlled by Sublicensor</w:t>
      </w:r>
      <w:r>
        <w:rPr>
          <w:rFonts w:ascii="Arial" w:cs="Arial" w:eastAsia="Arial" w:hAnsi="Arial"/>
          <w:sz w:val="14"/>
          <w:szCs w:val="14"/>
          <w:b w:val="1"/>
          <w:bCs w:val="1"/>
          <w:color w:val="auto"/>
        </w:rPr>
        <w:t xml:space="preserve"> </w:t>
      </w:r>
      <w:r>
        <w:rPr>
          <w:rFonts w:ascii="Arial" w:cs="Arial" w:eastAsia="Arial" w:hAnsi="Arial"/>
          <w:sz w:val="14"/>
          <w:szCs w:val="14"/>
          <w:color w:val="auto"/>
        </w:rPr>
        <w:t>during the term of this Agreement that is necessary for the development and/or use of the Licensed Products which is provided to Sublicensee by or at the direction of Sublicensor.</w:t>
      </w:r>
    </w:p>
    <w:p>
      <w:pPr>
        <w:spacing w:after="0" w:line="135" w:lineRule="exact"/>
        <w:rPr>
          <w:rFonts w:ascii="Arial" w:cs="Arial" w:eastAsia="Arial" w:hAnsi="Arial"/>
          <w:sz w:val="14"/>
          <w:szCs w:val="14"/>
          <w:color w:val="auto"/>
        </w:rPr>
      </w:pPr>
    </w:p>
    <w:p>
      <w:pPr>
        <w:ind w:left="1040" w:hanging="518"/>
        <w:spacing w:after="0" w:line="294" w:lineRule="auto"/>
        <w:rPr>
          <w:rFonts w:ascii="Arial" w:cs="Arial" w:eastAsia="Arial" w:hAnsi="Arial"/>
          <w:sz w:val="14"/>
          <w:szCs w:val="14"/>
          <w:color w:val="auto"/>
        </w:rPr>
      </w:pPr>
      <w:r>
        <w:rPr>
          <w:rFonts w:ascii="Arial" w:cs="Arial" w:eastAsia="Arial" w:hAnsi="Arial"/>
          <w:sz w:val="14"/>
          <w:szCs w:val="14"/>
          <w:color w:val="auto"/>
        </w:rPr>
        <w:t>1.7.</w:t>
      </w:r>
      <w:r>
        <w:rPr>
          <w:rFonts w:ascii="Arial" w:cs="Arial" w:eastAsia="Arial" w:hAnsi="Arial"/>
          <w:sz w:val="14"/>
          <w:szCs w:val="14"/>
          <w:b w:val="1"/>
          <w:bCs w:val="1"/>
          <w:color w:val="auto"/>
        </w:rPr>
        <w:t xml:space="preserve">“Licensed Territories” </w:t>
      </w:r>
      <w:r>
        <w:rPr>
          <w:rFonts w:ascii="Arial" w:cs="Arial" w:eastAsia="Arial" w:hAnsi="Arial"/>
          <w:sz w:val="14"/>
          <w:szCs w:val="14"/>
          <w:color w:val="auto"/>
        </w:rPr>
        <w:t>shall mean France, Germany, Italy, Japan, Lichtenstein, the Netherlands, Switzerland, the United States, the United Kingdom and any other countries</w:t>
      </w:r>
      <w:r>
        <w:rPr>
          <w:rFonts w:ascii="Arial" w:cs="Arial" w:eastAsia="Arial" w:hAnsi="Arial"/>
          <w:sz w:val="14"/>
          <w:szCs w:val="14"/>
          <w:b w:val="1"/>
          <w:bCs w:val="1"/>
          <w:color w:val="auto"/>
        </w:rPr>
        <w:t xml:space="preserve"> </w:t>
      </w:r>
      <w:r>
        <w:rPr>
          <w:rFonts w:ascii="Arial" w:cs="Arial" w:eastAsia="Arial" w:hAnsi="Arial"/>
          <w:sz w:val="14"/>
          <w:szCs w:val="14"/>
          <w:color w:val="auto"/>
        </w:rPr>
        <w:t>where Valid Claims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197485</wp:posOffset>
            </wp:positionV>
            <wp:extent cx="7159625"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80" w:name="page281"/>
    <w:bookmarkEnd w:id="280"/>
    <w:p>
      <w:pPr>
        <w:jc w:val="both"/>
        <w:ind w:left="1034" w:hanging="517"/>
        <w:spacing w:after="0" w:line="269" w:lineRule="auto"/>
        <w:tabs>
          <w:tab w:leader="none" w:pos="1013"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b w:val="1"/>
          <w:bCs w:val="1"/>
          <w:color w:val="auto"/>
        </w:rPr>
        <w:t xml:space="preserve">“Net Sales” </w:t>
      </w:r>
      <w:r>
        <w:rPr>
          <w:rFonts w:ascii="Arial" w:cs="Arial" w:eastAsia="Arial" w:hAnsi="Arial"/>
          <w:sz w:val="14"/>
          <w:szCs w:val="14"/>
          <w:color w:val="auto"/>
        </w:rPr>
        <w:t>shall mean the gross amount actually received by Sublicensee for sales by Sublicensee, its affiliates and sublicensees of a Licensed Product to a third party, less the</w:t>
      </w:r>
      <w:r>
        <w:rPr>
          <w:rFonts w:ascii="Arial" w:cs="Arial" w:eastAsia="Arial" w:hAnsi="Arial"/>
          <w:sz w:val="14"/>
          <w:szCs w:val="14"/>
          <w:b w:val="1"/>
          <w:bCs w:val="1"/>
          <w:color w:val="auto"/>
        </w:rPr>
        <w:t xml:space="preserve"> </w:t>
      </w:r>
      <w:r>
        <w:rPr>
          <w:rFonts w:ascii="Arial" w:cs="Arial" w:eastAsia="Arial" w:hAnsi="Arial"/>
          <w:sz w:val="14"/>
          <w:szCs w:val="14"/>
          <w:color w:val="auto"/>
        </w:rPr>
        <w:t>sum of the following actual and customary deductions where applicable cash, trade or quantity discounts; sales, use, tariff, import/export duties or other excise taxes when included in gross sales; transportation charges; and allowances or credits to customers because of rejections or returns; retroactive price reductions; rebates; and government discounts.</w:t>
      </w:r>
    </w:p>
    <w:p>
      <w:pPr>
        <w:spacing w:after="0" w:line="141" w:lineRule="exact"/>
        <w:rPr>
          <w:sz w:val="20"/>
          <w:szCs w:val="20"/>
          <w:color w:val="auto"/>
        </w:rPr>
      </w:pPr>
    </w:p>
    <w:p>
      <w:pPr>
        <w:jc w:val="both"/>
        <w:ind w:left="1034" w:hanging="517"/>
        <w:spacing w:after="0" w:line="276" w:lineRule="auto"/>
        <w:tabs>
          <w:tab w:leader="none" w:pos="1013"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b w:val="1"/>
          <w:bCs w:val="1"/>
          <w:color w:val="auto"/>
        </w:rPr>
        <w:t xml:space="preserve">“Valid Claim” </w:t>
      </w:r>
      <w:r>
        <w:rPr>
          <w:rFonts w:ascii="Arial" w:cs="Arial" w:eastAsia="Arial" w:hAnsi="Arial"/>
          <w:sz w:val="14"/>
          <w:szCs w:val="14"/>
          <w:color w:val="auto"/>
        </w:rPr>
        <w:t>shall mean, with respect to the patent rights within the Licensed Patents: (a) a claim in an issued patent which has not (i) expired, (ii) been finally adjudicated or</w:t>
      </w:r>
      <w:r>
        <w:rPr>
          <w:rFonts w:ascii="Arial" w:cs="Arial" w:eastAsia="Arial" w:hAnsi="Arial"/>
          <w:sz w:val="14"/>
          <w:szCs w:val="14"/>
          <w:b w:val="1"/>
          <w:bCs w:val="1"/>
          <w:color w:val="auto"/>
        </w:rPr>
        <w:t xml:space="preserve"> </w:t>
      </w:r>
      <w:r>
        <w:rPr>
          <w:rFonts w:ascii="Arial" w:cs="Arial" w:eastAsia="Arial" w:hAnsi="Arial"/>
          <w:sz w:val="14"/>
          <w:szCs w:val="14"/>
          <w:color w:val="auto"/>
        </w:rPr>
        <w:t>admitted as invalid or unenforceable, or (iii) been abandoned; or (b) a claim in a pending application that has not been pending for more than eight (8) years and which is actively being prosecuted.</w:t>
      </w:r>
    </w:p>
    <w:p>
      <w:pPr>
        <w:spacing w:after="0" w:line="135" w:lineRule="exact"/>
        <w:rPr>
          <w:sz w:val="20"/>
          <w:szCs w:val="20"/>
          <w:color w:val="auto"/>
        </w:rPr>
      </w:pPr>
    </w:p>
    <w:p>
      <w:pPr>
        <w:ind w:left="514" w:hanging="514"/>
        <w:spacing w:after="0"/>
        <w:tabs>
          <w:tab w:leader="none" w:pos="514" w:val="left"/>
        </w:tabs>
        <w:numPr>
          <w:ilvl w:val="0"/>
          <w:numId w:val="148"/>
        </w:numPr>
        <w:rPr>
          <w:rFonts w:ascii="Arial" w:cs="Arial" w:eastAsia="Arial" w:hAnsi="Arial"/>
          <w:sz w:val="14"/>
          <w:szCs w:val="14"/>
          <w:color w:val="auto"/>
        </w:rPr>
      </w:pPr>
      <w:r>
        <w:rPr>
          <w:rFonts w:ascii="Arial" w:cs="Arial" w:eastAsia="Arial" w:hAnsi="Arial"/>
          <w:sz w:val="14"/>
          <w:szCs w:val="14"/>
          <w:b w:val="1"/>
          <w:bCs w:val="1"/>
          <w:color w:val="auto"/>
        </w:rPr>
        <w:t>Grant.</w:t>
      </w:r>
    </w:p>
    <w:p>
      <w:pPr>
        <w:spacing w:after="0" w:line="188" w:lineRule="exact"/>
        <w:rPr>
          <w:rFonts w:ascii="Arial" w:cs="Arial" w:eastAsia="Arial" w:hAnsi="Arial"/>
          <w:sz w:val="14"/>
          <w:szCs w:val="14"/>
          <w:color w:val="auto"/>
        </w:rPr>
      </w:pPr>
    </w:p>
    <w:p>
      <w:pPr>
        <w:ind w:left="1034" w:hanging="518"/>
        <w:spacing w:after="0" w:line="273" w:lineRule="auto"/>
        <w:rPr>
          <w:rFonts w:ascii="Arial" w:cs="Arial" w:eastAsia="Arial" w:hAnsi="Arial"/>
          <w:sz w:val="14"/>
          <w:szCs w:val="14"/>
          <w:color w:val="auto"/>
        </w:rPr>
      </w:pPr>
      <w:r>
        <w:rPr>
          <w:rFonts w:ascii="Arial" w:cs="Arial" w:eastAsia="Arial" w:hAnsi="Arial"/>
          <w:sz w:val="14"/>
          <w:szCs w:val="14"/>
          <w:color w:val="auto"/>
        </w:rPr>
        <w:t>2.1.</w:t>
      </w:r>
      <w:r>
        <w:rPr>
          <w:rFonts w:ascii="Arial" w:cs="Arial" w:eastAsia="Arial" w:hAnsi="Arial"/>
          <w:sz w:val="14"/>
          <w:szCs w:val="14"/>
          <w:u w:val="single" w:color="auto"/>
          <w:color w:val="auto"/>
        </w:rPr>
        <w:t>University of Tokyo License</w:t>
      </w:r>
      <w:r>
        <w:rPr>
          <w:rFonts w:ascii="Arial" w:cs="Arial" w:eastAsia="Arial" w:hAnsi="Arial"/>
          <w:sz w:val="14"/>
          <w:szCs w:val="14"/>
          <w:color w:val="auto"/>
        </w:rPr>
        <w:t>. A copy of the redacted UTokyo License is attached hereto as</w:t>
      </w:r>
      <w:r>
        <w:rPr>
          <w:rFonts w:ascii="Arial" w:cs="Arial" w:eastAsia="Arial" w:hAnsi="Arial"/>
          <w:sz w:val="14"/>
          <w:szCs w:val="14"/>
          <w:u w:val="single" w:color="auto"/>
          <w:color w:val="auto"/>
        </w:rPr>
        <w:t xml:space="preserve"> Schedule 1</w:t>
      </w:r>
      <w:r>
        <w:rPr>
          <w:rFonts w:ascii="Arial" w:cs="Arial" w:eastAsia="Arial" w:hAnsi="Arial"/>
          <w:sz w:val="14"/>
          <w:szCs w:val="14"/>
          <w:color w:val="auto"/>
        </w:rPr>
        <w:t>. Sublicensee acknowledges and agrees that the sublicense granted herein is</w:t>
      </w:r>
      <w:r>
        <w:rPr>
          <w:rFonts w:ascii="Arial" w:cs="Arial" w:eastAsia="Arial" w:hAnsi="Arial"/>
          <w:sz w:val="14"/>
          <w:szCs w:val="14"/>
          <w:u w:val="single" w:color="auto"/>
          <w:color w:val="auto"/>
        </w:rPr>
        <w:t xml:space="preserve"> </w:t>
      </w:r>
      <w:r>
        <w:rPr>
          <w:rFonts w:ascii="Arial" w:cs="Arial" w:eastAsia="Arial" w:hAnsi="Arial"/>
          <w:sz w:val="14"/>
          <w:szCs w:val="14"/>
          <w:color w:val="auto"/>
        </w:rPr>
        <w:t>subject to all restrictions, limitations, terms and conditions of the UTokyo License applicable to a sublicensee, including without limitation, Articles 5, 7, 8, 9, 11 and 13 to 16 of the UTokyo License,.</w:t>
      </w:r>
    </w:p>
    <w:p>
      <w:pPr>
        <w:spacing w:after="0" w:line="141" w:lineRule="exact"/>
        <w:rPr>
          <w:rFonts w:ascii="Arial" w:cs="Arial" w:eastAsia="Arial" w:hAnsi="Arial"/>
          <w:sz w:val="14"/>
          <w:szCs w:val="14"/>
          <w:color w:val="auto"/>
        </w:rPr>
      </w:pPr>
    </w:p>
    <w:p>
      <w:pPr>
        <w:ind w:left="1034" w:hanging="518"/>
        <w:spacing w:after="0" w:line="303" w:lineRule="auto"/>
        <w:rPr>
          <w:rFonts w:ascii="Arial" w:cs="Arial" w:eastAsia="Arial" w:hAnsi="Arial"/>
          <w:sz w:val="14"/>
          <w:szCs w:val="14"/>
          <w:color w:val="auto"/>
        </w:rPr>
      </w:pPr>
      <w:r>
        <w:rPr>
          <w:rFonts w:ascii="Arial" w:cs="Arial" w:eastAsia="Arial" w:hAnsi="Arial"/>
          <w:sz w:val="14"/>
          <w:szCs w:val="14"/>
          <w:color w:val="auto"/>
        </w:rPr>
        <w:t>2.2.</w:t>
      </w:r>
      <w:r>
        <w:rPr>
          <w:rFonts w:ascii="Arial" w:cs="Arial" w:eastAsia="Arial" w:hAnsi="Arial"/>
          <w:sz w:val="13"/>
          <w:szCs w:val="13"/>
          <w:u w:val="single" w:color="auto"/>
          <w:color w:val="auto"/>
        </w:rPr>
        <w:t>Sublicense to Licensed Patents</w:t>
      </w:r>
      <w:r>
        <w:rPr>
          <w:rFonts w:ascii="Arial" w:cs="Arial" w:eastAsia="Arial" w:hAnsi="Arial"/>
          <w:sz w:val="13"/>
          <w:szCs w:val="13"/>
          <w:color w:val="auto"/>
        </w:rPr>
        <w:t>. Sublicensor shall, and hereby does, grant to the Sublicensee an exclusive, royalty bearing license under the Licensed Patents (collectively, the</w:t>
      </w:r>
      <w:r>
        <w:rPr>
          <w:rFonts w:ascii="Arial" w:cs="Arial" w:eastAsia="Arial" w:hAnsi="Arial"/>
          <w:sz w:val="13"/>
          <w:szCs w:val="13"/>
          <w:u w:val="single" w:color="auto"/>
          <w:color w:val="auto"/>
        </w:rPr>
        <w:t xml:space="preserve"> </w:t>
      </w:r>
      <w:r>
        <w:rPr>
          <w:rFonts w:ascii="Arial" w:cs="Arial" w:eastAsia="Arial" w:hAnsi="Arial"/>
          <w:sz w:val="13"/>
          <w:szCs w:val="13"/>
          <w:color w:val="auto"/>
        </w:rPr>
        <w:t>“</w:t>
      </w:r>
      <w:r>
        <w:rPr>
          <w:rFonts w:ascii="Arial" w:cs="Arial" w:eastAsia="Arial" w:hAnsi="Arial"/>
          <w:sz w:val="13"/>
          <w:szCs w:val="13"/>
          <w:b w:val="1"/>
          <w:bCs w:val="1"/>
          <w:color w:val="auto"/>
        </w:rPr>
        <w:t>Licensed Rights</w:t>
      </w:r>
      <w:r>
        <w:rPr>
          <w:rFonts w:ascii="Arial" w:cs="Arial" w:eastAsia="Arial" w:hAnsi="Arial"/>
          <w:sz w:val="13"/>
          <w:szCs w:val="13"/>
          <w:color w:val="auto"/>
        </w:rPr>
        <w:t>”), with the right to grant sublicenses through multiple tiers, to research, develop, commercialize, make, have made, use, import, offer for sale, and sell Licensed Products in the Licensed Territories during the term of this Agreement in the Field of Use provided, however, that in Japan such license shall be non-exclusive.</w:t>
      </w:r>
    </w:p>
    <w:p>
      <w:pPr>
        <w:spacing w:after="0" w:line="124" w:lineRule="exact"/>
        <w:rPr>
          <w:rFonts w:ascii="Arial" w:cs="Arial" w:eastAsia="Arial" w:hAnsi="Arial"/>
          <w:sz w:val="14"/>
          <w:szCs w:val="14"/>
          <w:color w:val="auto"/>
        </w:rPr>
      </w:pPr>
    </w:p>
    <w:p>
      <w:pPr>
        <w:ind w:left="1034" w:hanging="518"/>
        <w:spacing w:after="0" w:line="294" w:lineRule="auto"/>
        <w:rPr>
          <w:rFonts w:ascii="Arial" w:cs="Arial" w:eastAsia="Arial" w:hAnsi="Arial"/>
          <w:sz w:val="14"/>
          <w:szCs w:val="14"/>
          <w:color w:val="auto"/>
        </w:rPr>
      </w:pPr>
      <w:r>
        <w:rPr>
          <w:rFonts w:ascii="Arial" w:cs="Arial" w:eastAsia="Arial" w:hAnsi="Arial"/>
          <w:sz w:val="14"/>
          <w:szCs w:val="14"/>
          <w:color w:val="auto"/>
        </w:rPr>
        <w:t>2.3.</w:t>
      </w:r>
      <w:r>
        <w:rPr>
          <w:rFonts w:ascii="Arial" w:cs="Arial" w:eastAsia="Arial" w:hAnsi="Arial"/>
          <w:sz w:val="13"/>
          <w:szCs w:val="13"/>
          <w:u w:val="single" w:color="auto"/>
          <w:color w:val="auto"/>
        </w:rPr>
        <w:t xml:space="preserve">Retained Rights. </w:t>
      </w:r>
      <w:r>
        <w:rPr>
          <w:rFonts w:ascii="Arial" w:cs="Arial" w:eastAsia="Arial" w:hAnsi="Arial"/>
          <w:sz w:val="13"/>
          <w:szCs w:val="13"/>
          <w:color w:val="auto"/>
        </w:rPr>
        <w:t>Any provision of this Agreement to the contrary notwithstanding, Sublicensor reserves for itself and UTokyo an irrevocable, nonexclusive, royalty free, license</w:t>
      </w:r>
      <w:r>
        <w:rPr>
          <w:rFonts w:ascii="Arial" w:cs="Arial" w:eastAsia="Arial" w:hAnsi="Arial"/>
          <w:sz w:val="13"/>
          <w:szCs w:val="13"/>
          <w:u w:val="single" w:color="auto"/>
          <w:color w:val="auto"/>
        </w:rPr>
        <w:t xml:space="preserve"> </w:t>
      </w:r>
      <w:r>
        <w:rPr>
          <w:rFonts w:ascii="Arial" w:cs="Arial" w:eastAsia="Arial" w:hAnsi="Arial"/>
          <w:sz w:val="13"/>
          <w:szCs w:val="13"/>
          <w:color w:val="auto"/>
        </w:rPr>
        <w:t>to make and use the Technology Information for their own internal educational and research activities practiced in non-profit research and as part of training and research activities conducted by the Inventors and research collaborators (limited to those belonging to non-profit research institutions) of laboratories that the Inventors may belong to in the future if they are no longer affiliated with UTokyo. Sublicensee shall include such retained rights in any sublicenses it grants in accordance with this Agreement.</w:t>
      </w:r>
    </w:p>
    <w:p>
      <w:pPr>
        <w:spacing w:after="0" w:line="130" w:lineRule="exact"/>
        <w:rPr>
          <w:rFonts w:ascii="Arial" w:cs="Arial" w:eastAsia="Arial" w:hAnsi="Arial"/>
          <w:sz w:val="14"/>
          <w:szCs w:val="14"/>
          <w:color w:val="auto"/>
        </w:rPr>
      </w:pPr>
    </w:p>
    <w:p>
      <w:pPr>
        <w:ind w:left="1034" w:hanging="518"/>
        <w:spacing w:after="0" w:line="288" w:lineRule="auto"/>
        <w:rPr>
          <w:rFonts w:ascii="Arial" w:cs="Arial" w:eastAsia="Arial" w:hAnsi="Arial"/>
          <w:sz w:val="14"/>
          <w:szCs w:val="14"/>
          <w:color w:val="auto"/>
        </w:rPr>
      </w:pPr>
      <w:r>
        <w:rPr>
          <w:rFonts w:ascii="Arial" w:cs="Arial" w:eastAsia="Arial" w:hAnsi="Arial"/>
          <w:sz w:val="14"/>
          <w:szCs w:val="14"/>
          <w:color w:val="auto"/>
        </w:rPr>
        <w:t>2.4.</w:t>
      </w:r>
      <w:r>
        <w:rPr>
          <w:rFonts w:ascii="Arial" w:cs="Arial" w:eastAsia="Arial" w:hAnsi="Arial"/>
          <w:sz w:val="14"/>
          <w:szCs w:val="14"/>
          <w:u w:val="single" w:color="auto"/>
          <w:color w:val="auto"/>
        </w:rPr>
        <w:t xml:space="preserve">Technical Assistance. </w:t>
      </w:r>
      <w:r>
        <w:rPr>
          <w:rFonts w:ascii="Arial" w:cs="Arial" w:eastAsia="Arial" w:hAnsi="Arial"/>
          <w:sz w:val="14"/>
          <w:szCs w:val="14"/>
          <w:color w:val="auto"/>
        </w:rPr>
        <w:t>Sublicensor shall provide Sublicensee with access (by teleconference or in person at Sublicensor’s facilities) as reasonably requested by Sublicensee to</w:t>
      </w:r>
      <w:r>
        <w:rPr>
          <w:rFonts w:ascii="Arial" w:cs="Arial" w:eastAsia="Arial" w:hAnsi="Arial"/>
          <w:sz w:val="14"/>
          <w:szCs w:val="14"/>
          <w:u w:val="single" w:color="auto"/>
          <w:color w:val="auto"/>
        </w:rPr>
        <w:t xml:space="preserve"> </w:t>
      </w:r>
      <w:r>
        <w:rPr>
          <w:rFonts w:ascii="Arial" w:cs="Arial" w:eastAsia="Arial" w:hAnsi="Arial"/>
          <w:sz w:val="14"/>
          <w:szCs w:val="14"/>
          <w:color w:val="auto"/>
        </w:rPr>
        <w:t>Sublicensor’s personnel involved in the research and development of Licensed Products.</w:t>
      </w:r>
    </w:p>
    <w:p>
      <w:pPr>
        <w:spacing w:after="0" w:line="131" w:lineRule="exact"/>
        <w:rPr>
          <w:rFonts w:ascii="Arial" w:cs="Arial" w:eastAsia="Arial" w:hAnsi="Arial"/>
          <w:sz w:val="14"/>
          <w:szCs w:val="14"/>
          <w:color w:val="auto"/>
        </w:rPr>
      </w:pPr>
    </w:p>
    <w:p>
      <w:pPr>
        <w:ind w:left="1034" w:hanging="518"/>
        <w:spacing w:after="0" w:line="267" w:lineRule="auto"/>
        <w:rPr>
          <w:rFonts w:ascii="Arial" w:cs="Arial" w:eastAsia="Arial" w:hAnsi="Arial"/>
          <w:sz w:val="14"/>
          <w:szCs w:val="14"/>
          <w:color w:val="auto"/>
        </w:rPr>
      </w:pPr>
      <w:r>
        <w:rPr>
          <w:rFonts w:ascii="Arial" w:cs="Arial" w:eastAsia="Arial" w:hAnsi="Arial"/>
          <w:sz w:val="14"/>
          <w:szCs w:val="14"/>
          <w:color w:val="auto"/>
        </w:rPr>
        <w:t>2.5.</w:t>
      </w:r>
      <w:r>
        <w:rPr>
          <w:rFonts w:ascii="Arial" w:cs="Arial" w:eastAsia="Arial" w:hAnsi="Arial"/>
          <w:sz w:val="14"/>
          <w:szCs w:val="14"/>
          <w:u w:val="single" w:color="auto"/>
          <w:color w:val="auto"/>
        </w:rPr>
        <w:t>No Sublicense Without Compliance with UTokyo License</w:t>
      </w:r>
      <w:r>
        <w:rPr>
          <w:rFonts w:ascii="Arial" w:cs="Arial" w:eastAsia="Arial" w:hAnsi="Arial"/>
          <w:sz w:val="14"/>
          <w:szCs w:val="14"/>
          <w:color w:val="auto"/>
        </w:rPr>
        <w:t>. Sublicensee may grant sublicenses through multiple tiers under this Agreement, with (i) prior written notice to</w:t>
      </w:r>
      <w:r>
        <w:rPr>
          <w:rFonts w:ascii="Arial" w:cs="Arial" w:eastAsia="Arial" w:hAnsi="Arial"/>
          <w:sz w:val="14"/>
          <w:szCs w:val="14"/>
          <w:u w:val="single" w:color="auto"/>
          <w:color w:val="auto"/>
        </w:rPr>
        <w:t xml:space="preserve"> </w:t>
      </w:r>
      <w:r>
        <w:rPr>
          <w:rFonts w:ascii="Arial" w:cs="Arial" w:eastAsia="Arial" w:hAnsi="Arial"/>
          <w:sz w:val="14"/>
          <w:szCs w:val="14"/>
          <w:color w:val="auto"/>
        </w:rPr>
        <w:t>Sublicensor, (ii) the inclusion in such sublicense of all restrictions, limitations, terms and conditions of the UTokyo License applicable to a sublicensee, including without limitation, Articles 5, 7, 8, 9, 11 and 13 to 16 of the UTokyo License, and (iii) UTokyo’s right to confer with Sublicensor if UTokyo determines it has any concerns regarding such sublicensing.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209550</wp:posOffset>
            </wp:positionV>
            <wp:extent cx="7159625"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74"/>
          </w:cols>
          <w:pgMar w:left="306" w:top="729" w:right="319" w:bottom="1440" w:gutter="0" w:footer="0" w:header="0"/>
        </w:sectPr>
      </w:pPr>
    </w:p>
    <w:bookmarkStart w:id="281" w:name="page282"/>
    <w:bookmarkEnd w:id="281"/>
    <w:p>
      <w:pPr>
        <w:ind w:left="514" w:hanging="514"/>
        <w:spacing w:after="0"/>
        <w:tabs>
          <w:tab w:leader="none" w:pos="514" w:val="left"/>
        </w:tabs>
        <w:numPr>
          <w:ilvl w:val="0"/>
          <w:numId w:val="149"/>
        </w:numPr>
        <w:rPr>
          <w:rFonts w:ascii="Arial" w:cs="Arial" w:eastAsia="Arial" w:hAnsi="Arial"/>
          <w:sz w:val="14"/>
          <w:szCs w:val="14"/>
          <w:color w:val="auto"/>
        </w:rPr>
      </w:pPr>
      <w:r>
        <w:rPr>
          <w:rFonts w:ascii="Arial" w:cs="Arial" w:eastAsia="Arial" w:hAnsi="Arial"/>
          <w:sz w:val="14"/>
          <w:szCs w:val="14"/>
          <w:b w:val="1"/>
          <w:bCs w:val="1"/>
          <w:color w:val="auto"/>
        </w:rPr>
        <w:t>Payments.</w:t>
      </w:r>
    </w:p>
    <w:p>
      <w:pPr>
        <w:spacing w:after="0" w:line="184" w:lineRule="exact"/>
        <w:rPr>
          <w:rFonts w:ascii="Arial" w:cs="Arial" w:eastAsia="Arial" w:hAnsi="Arial"/>
          <w:sz w:val="14"/>
          <w:szCs w:val="14"/>
          <w:color w:val="auto"/>
        </w:rPr>
      </w:pPr>
    </w:p>
    <w:p>
      <w:pPr>
        <w:ind w:left="1034" w:hanging="518"/>
        <w:spacing w:after="0" w:line="294" w:lineRule="auto"/>
        <w:rPr>
          <w:rFonts w:ascii="Arial" w:cs="Arial" w:eastAsia="Arial" w:hAnsi="Arial"/>
          <w:sz w:val="14"/>
          <w:szCs w:val="14"/>
          <w:color w:val="auto"/>
        </w:rPr>
      </w:pPr>
      <w:r>
        <w:rPr>
          <w:rFonts w:ascii="Arial" w:cs="Arial" w:eastAsia="Arial" w:hAnsi="Arial"/>
          <w:sz w:val="14"/>
          <w:szCs w:val="14"/>
          <w:color w:val="auto"/>
        </w:rPr>
        <w:t>3.1.</w:t>
      </w:r>
      <w:r>
        <w:rPr>
          <w:rFonts w:ascii="Arial" w:cs="Arial" w:eastAsia="Arial" w:hAnsi="Arial"/>
          <w:sz w:val="14"/>
          <w:szCs w:val="14"/>
          <w:u w:val="single" w:color="auto"/>
          <w:color w:val="auto"/>
        </w:rPr>
        <w:t>License Issue Fee</w:t>
      </w:r>
      <w:r>
        <w:rPr>
          <w:rFonts w:ascii="Arial" w:cs="Arial" w:eastAsia="Arial" w:hAnsi="Arial"/>
          <w:sz w:val="14"/>
          <w:szCs w:val="14"/>
          <w:color w:val="auto"/>
        </w:rPr>
        <w:t>. Sublicensee shall pay Sublicensor a one- time, non-creditable, and non-refundable license issue fee (“</w:t>
      </w:r>
      <w:r>
        <w:rPr>
          <w:rFonts w:ascii="Arial" w:cs="Arial" w:eastAsia="Arial" w:hAnsi="Arial"/>
          <w:sz w:val="14"/>
          <w:szCs w:val="14"/>
          <w:b w:val="1"/>
          <w:bCs w:val="1"/>
          <w:color w:val="auto"/>
        </w:rPr>
        <w:t>License Issue Fee</w:t>
      </w:r>
      <w:r>
        <w:rPr>
          <w:rFonts w:ascii="Arial" w:cs="Arial" w:eastAsia="Arial" w:hAnsi="Arial"/>
          <w:sz w:val="14"/>
          <w:szCs w:val="14"/>
          <w:color w:val="auto"/>
        </w:rPr>
        <w:t>”) of US$100,000, due and payable</w:t>
      </w:r>
      <w:r>
        <w:rPr>
          <w:rFonts w:ascii="Arial" w:cs="Arial" w:eastAsia="Arial" w:hAnsi="Arial"/>
          <w:sz w:val="14"/>
          <w:szCs w:val="14"/>
          <w:u w:val="single" w:color="auto"/>
          <w:color w:val="auto"/>
        </w:rPr>
        <w:t xml:space="preserve"> </w:t>
      </w:r>
      <w:r>
        <w:rPr>
          <w:rFonts w:ascii="Arial" w:cs="Arial" w:eastAsia="Arial" w:hAnsi="Arial"/>
          <w:sz w:val="14"/>
          <w:szCs w:val="14"/>
          <w:color w:val="auto"/>
        </w:rPr>
        <w:t>within five (5) days of the Effective Date.</w:t>
      </w:r>
    </w:p>
    <w:p>
      <w:pPr>
        <w:spacing w:after="0" w:line="123" w:lineRule="exact"/>
        <w:rPr>
          <w:rFonts w:ascii="Arial" w:cs="Arial" w:eastAsia="Arial" w:hAnsi="Arial"/>
          <w:sz w:val="14"/>
          <w:szCs w:val="14"/>
          <w:color w:val="auto"/>
        </w:rPr>
      </w:pPr>
    </w:p>
    <w:p>
      <w:pPr>
        <w:ind w:left="1034" w:hanging="518"/>
        <w:spacing w:after="0" w:line="269" w:lineRule="auto"/>
        <w:rPr>
          <w:rFonts w:ascii="Arial" w:cs="Arial" w:eastAsia="Arial" w:hAnsi="Arial"/>
          <w:sz w:val="14"/>
          <w:szCs w:val="14"/>
          <w:color w:val="auto"/>
        </w:rPr>
      </w:pPr>
      <w:r>
        <w:rPr>
          <w:rFonts w:ascii="Arial" w:cs="Arial" w:eastAsia="Arial" w:hAnsi="Arial"/>
          <w:sz w:val="14"/>
          <w:szCs w:val="14"/>
          <w:color w:val="auto"/>
        </w:rPr>
        <w:t>3.2.</w:t>
      </w:r>
      <w:r>
        <w:rPr>
          <w:rFonts w:ascii="Arial" w:cs="Arial" w:eastAsia="Arial" w:hAnsi="Arial"/>
          <w:sz w:val="14"/>
          <w:szCs w:val="14"/>
          <w:u w:val="single" w:color="auto"/>
          <w:color w:val="auto"/>
        </w:rPr>
        <w:t xml:space="preserve">Earned Royalties. </w:t>
      </w:r>
      <w:r>
        <w:rPr>
          <w:rFonts w:ascii="Arial" w:cs="Arial" w:eastAsia="Arial" w:hAnsi="Arial"/>
          <w:sz w:val="14"/>
          <w:szCs w:val="14"/>
          <w:color w:val="auto"/>
        </w:rPr>
        <w:t>Sublicensee shall pay Sublicensor earned royalties (“</w:t>
      </w:r>
      <w:r>
        <w:rPr>
          <w:rFonts w:ascii="Arial" w:cs="Arial" w:eastAsia="Arial" w:hAnsi="Arial"/>
          <w:sz w:val="14"/>
          <w:szCs w:val="14"/>
          <w:b w:val="1"/>
          <w:bCs w:val="1"/>
          <w:color w:val="auto"/>
        </w:rPr>
        <w:t>Earned Royalties</w:t>
      </w:r>
      <w:r>
        <w:rPr>
          <w:rFonts w:ascii="Arial" w:cs="Arial" w:eastAsia="Arial" w:hAnsi="Arial"/>
          <w:sz w:val="14"/>
          <w:szCs w:val="14"/>
          <w:color w:val="auto"/>
        </w:rPr>
        <w:t>”) on a country-by-country, Licensed Product-by-Licensed Product basis, beginning on</w:t>
      </w:r>
      <w:r>
        <w:rPr>
          <w:rFonts w:ascii="Arial" w:cs="Arial" w:eastAsia="Arial" w:hAnsi="Arial"/>
          <w:sz w:val="14"/>
          <w:szCs w:val="14"/>
          <w:u w:val="single" w:color="auto"/>
          <w:color w:val="auto"/>
        </w:rPr>
        <w:t xml:space="preserve"> </w:t>
      </w:r>
      <w:r>
        <w:rPr>
          <w:rFonts w:ascii="Arial" w:cs="Arial" w:eastAsia="Arial" w:hAnsi="Arial"/>
          <w:sz w:val="14"/>
          <w:szCs w:val="14"/>
          <w:color w:val="auto"/>
        </w:rPr>
        <w:t>the first commercial sale of the first Licensed Product and continuing until the last-to-expire Valid Claim under the Licensed Patents claiming or covering such Licensed Product in such country, in an amount equal to [***] of the Net Sales of such Licensed Product (“</w:t>
      </w:r>
      <w:r>
        <w:rPr>
          <w:rFonts w:ascii="Arial" w:cs="Arial" w:eastAsia="Arial" w:hAnsi="Arial"/>
          <w:sz w:val="14"/>
          <w:szCs w:val="14"/>
          <w:b w:val="1"/>
          <w:bCs w:val="1"/>
          <w:color w:val="auto"/>
        </w:rPr>
        <w:t>Earned Royalty Rate</w:t>
      </w:r>
      <w:r>
        <w:rPr>
          <w:rFonts w:ascii="Arial" w:cs="Arial" w:eastAsia="Arial" w:hAnsi="Arial"/>
          <w:sz w:val="14"/>
          <w:szCs w:val="14"/>
          <w:color w:val="auto"/>
        </w:rPr>
        <w:t>”) in the Field of Use by Sublicensee and its affiliates and sublicensees.</w:t>
      </w:r>
    </w:p>
    <w:p>
      <w:pPr>
        <w:spacing w:after="0" w:line="145" w:lineRule="exact"/>
        <w:rPr>
          <w:rFonts w:ascii="Arial" w:cs="Arial" w:eastAsia="Arial" w:hAnsi="Arial"/>
          <w:sz w:val="14"/>
          <w:szCs w:val="14"/>
          <w:color w:val="auto"/>
        </w:rPr>
      </w:pPr>
    </w:p>
    <w:p>
      <w:pPr>
        <w:ind w:left="1034" w:hanging="518"/>
        <w:spacing w:after="0" w:line="273" w:lineRule="auto"/>
        <w:rPr>
          <w:rFonts w:ascii="Arial" w:cs="Arial" w:eastAsia="Arial" w:hAnsi="Arial"/>
          <w:sz w:val="14"/>
          <w:szCs w:val="14"/>
          <w:color w:val="auto"/>
        </w:rPr>
      </w:pPr>
      <w:r>
        <w:rPr>
          <w:rFonts w:ascii="Arial" w:cs="Arial" w:eastAsia="Arial" w:hAnsi="Arial"/>
          <w:sz w:val="14"/>
          <w:szCs w:val="14"/>
          <w:color w:val="auto"/>
        </w:rPr>
        <w:t>3.3.</w:t>
      </w:r>
      <w:r>
        <w:rPr>
          <w:rFonts w:ascii="Arial" w:cs="Arial" w:eastAsia="Arial" w:hAnsi="Arial"/>
          <w:sz w:val="14"/>
          <w:szCs w:val="14"/>
          <w:u w:val="single" w:color="auto"/>
          <w:color w:val="auto"/>
        </w:rPr>
        <w:t>Additional Earned Royalties</w:t>
      </w:r>
      <w:r>
        <w:rPr>
          <w:rFonts w:ascii="Arial" w:cs="Arial" w:eastAsia="Arial" w:hAnsi="Arial"/>
          <w:sz w:val="14"/>
          <w:szCs w:val="14"/>
          <w:color w:val="auto"/>
        </w:rPr>
        <w:t>. In addition to the Earned Royalties to be paid in accordance with Section 3.2 above, Sublicensee shall pay Sublicensor additional sales milestone</w:t>
      </w:r>
      <w:r>
        <w:rPr>
          <w:rFonts w:ascii="Arial" w:cs="Arial" w:eastAsia="Arial" w:hAnsi="Arial"/>
          <w:sz w:val="14"/>
          <w:szCs w:val="14"/>
          <w:u w:val="single" w:color="auto"/>
          <w:color w:val="auto"/>
        </w:rPr>
        <w:t xml:space="preserve"> </w:t>
      </w:r>
      <w:r>
        <w:rPr>
          <w:rFonts w:ascii="Arial" w:cs="Arial" w:eastAsia="Arial" w:hAnsi="Arial"/>
          <w:sz w:val="14"/>
          <w:szCs w:val="14"/>
          <w:color w:val="auto"/>
        </w:rPr>
        <w:t>achievement payments (“</w:t>
      </w:r>
      <w:r>
        <w:rPr>
          <w:rFonts w:ascii="Arial" w:cs="Arial" w:eastAsia="Arial" w:hAnsi="Arial"/>
          <w:sz w:val="14"/>
          <w:szCs w:val="14"/>
          <w:b w:val="1"/>
          <w:bCs w:val="1"/>
          <w:color w:val="auto"/>
        </w:rPr>
        <w:t>Additional Earned Royalties</w:t>
      </w:r>
      <w:r>
        <w:rPr>
          <w:rFonts w:ascii="Arial" w:cs="Arial" w:eastAsia="Arial" w:hAnsi="Arial"/>
          <w:sz w:val="14"/>
          <w:szCs w:val="14"/>
          <w:color w:val="auto"/>
        </w:rPr>
        <w:t>”) on a country-by-country basis until the last-to-expire Valid Claim under the Licensed Patents claiming or covering Licensed Products, in the below amounts as additional one time payments based on achievement of Net Sales of Licensed Products as follows:</w:t>
      </w:r>
    </w:p>
    <w:p>
      <w:pPr>
        <w:spacing w:after="0" w:line="141" w:lineRule="exact"/>
        <w:rPr>
          <w:sz w:val="20"/>
          <w:szCs w:val="20"/>
          <w:color w:val="auto"/>
        </w:rPr>
      </w:pPr>
    </w:p>
    <w:p>
      <w:pPr>
        <w:jc w:val="both"/>
        <w:ind w:left="1034"/>
        <w:spacing w:after="0" w:line="273" w:lineRule="auto"/>
        <w:rPr>
          <w:sz w:val="20"/>
          <w:szCs w:val="20"/>
          <w:color w:val="auto"/>
        </w:rPr>
      </w:pPr>
      <w:r>
        <w:rPr>
          <w:rFonts w:ascii="Arial" w:cs="Arial" w:eastAsia="Arial" w:hAnsi="Arial"/>
          <w:sz w:val="14"/>
          <w:szCs w:val="14"/>
          <w:color w:val="auto"/>
        </w:rPr>
        <w:t>3.3.1. If aggregate single calendar year Net Sales of all Licensed Products by Sublicensee and its affiliates and sublicensees in the Licensed Territories exceed [***] for the first time, Sublicensee will make a one-time payment to Sublicensor of an Additional Earned Royalty equal to [***] (solely for purposes of the UTokyo License, calculated at [***].</w:t>
      </w:r>
    </w:p>
    <w:p>
      <w:pPr>
        <w:spacing w:after="0" w:line="141" w:lineRule="exact"/>
        <w:rPr>
          <w:sz w:val="20"/>
          <w:szCs w:val="20"/>
          <w:color w:val="auto"/>
        </w:rPr>
      </w:pPr>
    </w:p>
    <w:p>
      <w:pPr>
        <w:jc w:val="both"/>
        <w:ind w:left="1034"/>
        <w:spacing w:after="0" w:line="273" w:lineRule="auto"/>
        <w:rPr>
          <w:sz w:val="20"/>
          <w:szCs w:val="20"/>
          <w:color w:val="auto"/>
        </w:rPr>
      </w:pPr>
      <w:r>
        <w:rPr>
          <w:rFonts w:ascii="Arial" w:cs="Arial" w:eastAsia="Arial" w:hAnsi="Arial"/>
          <w:sz w:val="14"/>
          <w:szCs w:val="14"/>
          <w:color w:val="auto"/>
        </w:rPr>
        <w:t>3.3.2. If aggregate single· calendar year Net Sales of all Licensed Products by Sublicensee and its affiliates and sublicensees in the Licensed Territories exceed [***] (or the first time, Sublicensee will make a one-time payment to Sublicensor of an Additional Earned Royalty equal to [***] (solely for purposes of the UTokyo License, calculated at [***]).</w:t>
      </w:r>
    </w:p>
    <w:p>
      <w:pPr>
        <w:spacing w:after="0" w:line="141" w:lineRule="exact"/>
        <w:rPr>
          <w:sz w:val="20"/>
          <w:szCs w:val="20"/>
          <w:color w:val="auto"/>
        </w:rPr>
      </w:pPr>
    </w:p>
    <w:p>
      <w:pPr>
        <w:jc w:val="both"/>
        <w:ind w:left="1034"/>
        <w:spacing w:after="0" w:line="273" w:lineRule="auto"/>
        <w:rPr>
          <w:sz w:val="20"/>
          <w:szCs w:val="20"/>
          <w:color w:val="auto"/>
        </w:rPr>
      </w:pPr>
      <w:r>
        <w:rPr>
          <w:rFonts w:ascii="Arial" w:cs="Arial" w:eastAsia="Arial" w:hAnsi="Arial"/>
          <w:sz w:val="14"/>
          <w:szCs w:val="14"/>
          <w:color w:val="auto"/>
        </w:rPr>
        <w:t>3.3.3. If aggregate single calendar year Net Sales of all Licensed Products by Sublicensee and its affiliates and sublicensees in the Licensed Territories exceed [***] for the first time, Sublicensee will make a one-time payment to Sublicensor of an Additional Earned Royalty equal to [***] (solely for purposes of the UTokyo License, calculated at [***]).</w:t>
      </w:r>
    </w:p>
    <w:p>
      <w:pPr>
        <w:spacing w:after="0" w:line="141" w:lineRule="exact"/>
        <w:rPr>
          <w:sz w:val="20"/>
          <w:szCs w:val="20"/>
          <w:color w:val="auto"/>
        </w:rPr>
      </w:pPr>
    </w:p>
    <w:p>
      <w:pPr>
        <w:jc w:val="both"/>
        <w:ind w:left="1034"/>
        <w:spacing w:after="0" w:line="267" w:lineRule="auto"/>
        <w:rPr>
          <w:sz w:val="20"/>
          <w:szCs w:val="20"/>
          <w:color w:val="auto"/>
        </w:rPr>
      </w:pPr>
      <w:r>
        <w:rPr>
          <w:rFonts w:ascii="Arial" w:cs="Arial" w:eastAsia="Arial" w:hAnsi="Arial"/>
          <w:sz w:val="14"/>
          <w:szCs w:val="14"/>
          <w:color w:val="auto"/>
        </w:rPr>
        <w:t>3.3.4. Each of the royalty payments set forth above in subsections 3.3.1, 3.3.2, 3.3.3 is payable only once and only upon the first achievement of the applicable sales event for aggregate Net Sales of all Licensed Products as set forth above in subsections 3.3.1, 3.3.2, and 3.3.3 in the Licensed Territories, with no amounts due for subsequent or repeated achievements of such sales. For clarity, in no event shall Sublicensee be required to pay Sublicensor more than an aggregate of Seventy Million U.S. Dollars ($70,000,000) as Additional Earned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209550</wp:posOffset>
            </wp:positionV>
            <wp:extent cx="7159625" cy="69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74"/>
          </w:cols>
          <w:pgMar w:left="306" w:top="729" w:right="319" w:bottom="1440" w:gutter="0" w:footer="0" w:header="0"/>
        </w:sectPr>
      </w:pPr>
    </w:p>
    <w:bookmarkStart w:id="282" w:name="page283"/>
    <w:bookmarkEnd w:id="282"/>
    <w:p>
      <w:pPr>
        <w:ind w:left="1040" w:hanging="517"/>
        <w:spacing w:after="0" w:line="288" w:lineRule="auto"/>
        <w:tabs>
          <w:tab w:leader="none" w:pos="102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u w:val="single" w:color="auto"/>
          <w:color w:val="auto"/>
        </w:rPr>
        <w:t xml:space="preserve">Late Payments. </w:t>
      </w:r>
      <w:r>
        <w:rPr>
          <w:rFonts w:ascii="Arial" w:cs="Arial" w:eastAsia="Arial" w:hAnsi="Arial"/>
          <w:sz w:val="14"/>
          <w:szCs w:val="14"/>
          <w:color w:val="auto"/>
        </w:rPr>
        <w:t>If any payment due hereunder that is not subject to a good faith dispute is not paid when due for reasons attributable to Sublicensee and/or its affiliates and</w:t>
      </w:r>
      <w:r>
        <w:rPr>
          <w:rFonts w:ascii="Arial" w:cs="Arial" w:eastAsia="Arial" w:hAnsi="Arial"/>
          <w:sz w:val="14"/>
          <w:szCs w:val="14"/>
          <w:u w:val="single" w:color="auto"/>
          <w:color w:val="auto"/>
        </w:rPr>
        <w:t xml:space="preserve"> </w:t>
      </w:r>
      <w:r>
        <w:rPr>
          <w:rFonts w:ascii="Arial" w:cs="Arial" w:eastAsia="Arial" w:hAnsi="Arial"/>
          <w:sz w:val="14"/>
          <w:szCs w:val="14"/>
          <w:color w:val="auto"/>
        </w:rPr>
        <w:t>sublicensees such payment shall be subject to a late charge from the date due until paid calculated at the rate of [***] per year.</w:t>
      </w:r>
    </w:p>
    <w:p>
      <w:pPr>
        <w:spacing w:after="0" w:line="132"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2"/>
          <w:szCs w:val="12"/>
          <w:u w:val="single" w:color="auto"/>
          <w:color w:val="auto"/>
        </w:rPr>
        <w:t>Earned Royalties in Case of Challenge of the Licensed Patents</w:t>
      </w:r>
      <w:r>
        <w:rPr>
          <w:rFonts w:ascii="Arial" w:cs="Arial" w:eastAsia="Arial" w:hAnsi="Arial"/>
          <w:sz w:val="12"/>
          <w:szCs w:val="12"/>
          <w:color w:val="auto"/>
        </w:rPr>
        <w:t>. Should the Sublicensee challenge the validity of any of the Licensed Patents:</w:t>
      </w:r>
    </w:p>
    <w:p>
      <w:pPr>
        <w:spacing w:after="0" w:line="184" w:lineRule="exact"/>
        <w:rPr>
          <w:sz w:val="20"/>
          <w:szCs w:val="20"/>
          <w:color w:val="auto"/>
        </w:rPr>
      </w:pPr>
    </w:p>
    <w:p>
      <w:pPr>
        <w:ind w:left="1040"/>
        <w:spacing w:after="0" w:line="288" w:lineRule="auto"/>
        <w:rPr>
          <w:sz w:val="20"/>
          <w:szCs w:val="20"/>
          <w:color w:val="auto"/>
        </w:rPr>
      </w:pPr>
      <w:r>
        <w:rPr>
          <w:rFonts w:ascii="Arial" w:cs="Arial" w:eastAsia="Arial" w:hAnsi="Arial"/>
          <w:sz w:val="14"/>
          <w:szCs w:val="14"/>
          <w:color w:val="auto"/>
        </w:rPr>
        <w:t>3.5.1. Provided that the outcome of such action be that any claim of a Patent Right challenged by Sublicensee is both valid and infringed by a Licensed Product, Sublicensee will pay Earned Royalties to the Sublicensor at the rate of 3x the then current Earned Royalty Rate of the Net Sales of all such Licensed Products sold;</w:t>
      </w:r>
    </w:p>
    <w:p>
      <w:pPr>
        <w:spacing w:after="0" w:line="132" w:lineRule="exact"/>
        <w:rPr>
          <w:sz w:val="20"/>
          <w:szCs w:val="20"/>
          <w:color w:val="auto"/>
        </w:rPr>
      </w:pPr>
    </w:p>
    <w:p>
      <w:pPr>
        <w:ind w:left="1040"/>
        <w:spacing w:after="0"/>
        <w:tabs>
          <w:tab w:leader="none" w:pos="1520" w:val="left"/>
        </w:tabs>
        <w:rPr>
          <w:sz w:val="20"/>
          <w:szCs w:val="20"/>
          <w:color w:val="auto"/>
        </w:rPr>
      </w:pPr>
      <w:r>
        <w:rPr>
          <w:rFonts w:ascii="Arial" w:cs="Arial" w:eastAsia="Arial" w:hAnsi="Arial"/>
          <w:sz w:val="14"/>
          <w:szCs w:val="14"/>
          <w:color w:val="auto"/>
        </w:rPr>
        <w:t>3.5.2.</w:t>
      </w:r>
      <w:r>
        <w:rPr>
          <w:sz w:val="20"/>
          <w:szCs w:val="20"/>
          <w:color w:val="auto"/>
        </w:rPr>
        <w:tab/>
      </w:r>
      <w:r>
        <w:rPr>
          <w:rFonts w:ascii="Arial" w:cs="Arial" w:eastAsia="Arial" w:hAnsi="Arial"/>
          <w:sz w:val="13"/>
          <w:szCs w:val="13"/>
          <w:color w:val="auto"/>
        </w:rPr>
        <w:t>Sublicensee will have no right to recoup expenses paid before or during the challenge; and</w:t>
      </w:r>
    </w:p>
    <w:p>
      <w:pPr>
        <w:spacing w:after="0" w:line="184" w:lineRule="exact"/>
        <w:rPr>
          <w:sz w:val="20"/>
          <w:szCs w:val="20"/>
          <w:color w:val="auto"/>
        </w:rPr>
      </w:pPr>
    </w:p>
    <w:p>
      <w:pPr>
        <w:ind w:left="1040"/>
        <w:spacing w:after="0" w:line="288" w:lineRule="auto"/>
        <w:rPr>
          <w:sz w:val="20"/>
          <w:szCs w:val="20"/>
          <w:color w:val="auto"/>
        </w:rPr>
      </w:pPr>
      <w:r>
        <w:rPr>
          <w:rFonts w:ascii="Arial" w:cs="Arial" w:eastAsia="Arial" w:hAnsi="Arial"/>
          <w:sz w:val="14"/>
          <w:szCs w:val="14"/>
          <w:color w:val="auto"/>
        </w:rPr>
        <w:t>3.5.3. Any dispute over the validity of the Sublicensor’s (or its licensor’s) Licensed Patents will be litigated in the courts located in California. The parties agree not to challenge personal jurisdiction in that forum.</w:t>
      </w:r>
    </w:p>
    <w:p>
      <w:pPr>
        <w:spacing w:after="0" w:line="128" w:lineRule="exact"/>
        <w:rPr>
          <w:sz w:val="20"/>
          <w:szCs w:val="20"/>
          <w:color w:val="auto"/>
        </w:rPr>
      </w:pPr>
    </w:p>
    <w:p>
      <w:pPr>
        <w:ind w:left="520" w:hanging="514"/>
        <w:spacing w:after="0"/>
        <w:tabs>
          <w:tab w:leader="none" w:pos="520" w:val="left"/>
        </w:tabs>
        <w:numPr>
          <w:ilvl w:val="0"/>
          <w:numId w:val="150"/>
        </w:numPr>
        <w:rPr>
          <w:rFonts w:ascii="Arial" w:cs="Arial" w:eastAsia="Arial" w:hAnsi="Arial"/>
          <w:sz w:val="14"/>
          <w:szCs w:val="14"/>
          <w:color w:val="auto"/>
        </w:rPr>
      </w:pPr>
      <w:r>
        <w:rPr>
          <w:rFonts w:ascii="Arial" w:cs="Arial" w:eastAsia="Arial" w:hAnsi="Arial"/>
          <w:sz w:val="14"/>
          <w:szCs w:val="14"/>
          <w:b w:val="1"/>
          <w:bCs w:val="1"/>
          <w:color w:val="auto"/>
        </w:rPr>
        <w:t>Development and Regulatory Approval Milestones and find other Obligations.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Sublicensee shall pay Sublicensor the applicable milestone achievement payment set forth below within thirty (30) days after the first achievement of: each development and regulatory approval milestone event described below by or on behalf of Sublicensee or its affiliates or sublicensees.</w:t>
      </w:r>
    </w:p>
    <w:p>
      <w:pPr>
        <w:spacing w:after="0" w:line="122" w:lineRule="exact"/>
        <w:rPr>
          <w:sz w:val="20"/>
          <w:szCs w:val="20"/>
          <w:color w:val="auto"/>
        </w:rPr>
      </w:pPr>
    </w:p>
    <w:tbl>
      <w:tblPr>
        <w:tblLayout w:type="fixed"/>
        <w:tblInd w:w="2270" w:type="dxa"/>
        <w:tblCellMar>
          <w:top w:w="0" w:type="dxa"/>
          <w:left w:w="0" w:type="dxa"/>
          <w:bottom w:w="0" w:type="dxa"/>
          <w:right w:w="0" w:type="dxa"/>
        </w:tblCellMar>
      </w:tblPr>
      <w:tr>
        <w:trPr>
          <w:trHeight w:val="151"/>
        </w:trPr>
        <w:tc>
          <w:tcPr>
            <w:tcW w:w="80" w:type="dxa"/>
            <w:vAlign w:val="bottom"/>
            <w:tcBorders>
              <w:top w:val="single" w:sz="8" w:color="auto"/>
              <w:left w:val="single" w:sz="8" w:color="auto"/>
            </w:tcBorders>
          </w:tcPr>
          <w:p>
            <w:pPr>
              <w:spacing w:after="0"/>
              <w:rPr>
                <w:sz w:val="13"/>
                <w:szCs w:val="13"/>
                <w:color w:val="auto"/>
              </w:rPr>
            </w:pPr>
          </w:p>
        </w:tc>
        <w:tc>
          <w:tcPr>
            <w:tcW w:w="4000" w:type="dxa"/>
            <w:vAlign w:val="bottom"/>
            <w:tcBorders>
              <w:top w:val="single" w:sz="8" w:color="auto"/>
              <w:right w:val="single" w:sz="8" w:color="auto"/>
            </w:tcBorders>
            <w:gridSpan w:val="3"/>
          </w:tcPr>
          <w:p>
            <w:pPr>
              <w:spacing w:after="0" w:line="151" w:lineRule="exact"/>
              <w:rPr>
                <w:sz w:val="20"/>
                <w:szCs w:val="20"/>
                <w:color w:val="auto"/>
              </w:rPr>
            </w:pPr>
            <w:r>
              <w:rPr>
                <w:rFonts w:ascii="Arial" w:cs="Arial" w:eastAsia="Arial" w:hAnsi="Arial"/>
                <w:sz w:val="14"/>
                <w:szCs w:val="14"/>
                <w:color w:val="auto"/>
              </w:rPr>
              <w:t>Development and Regulatory Approval</w:t>
            </w:r>
          </w:p>
        </w:tc>
        <w:tc>
          <w:tcPr>
            <w:tcW w:w="60" w:type="dxa"/>
            <w:vAlign w:val="bottom"/>
            <w:tcBorders>
              <w:top w:val="single" w:sz="8" w:color="auto"/>
            </w:tcBorders>
          </w:tcPr>
          <w:p>
            <w:pPr>
              <w:spacing w:after="0"/>
              <w:rPr>
                <w:sz w:val="13"/>
                <w:szCs w:val="13"/>
                <w:color w:val="auto"/>
              </w:rPr>
            </w:pPr>
          </w:p>
        </w:tc>
        <w:tc>
          <w:tcPr>
            <w:tcW w:w="2640" w:type="dxa"/>
            <w:vAlign w:val="bottom"/>
            <w:tcBorders>
              <w:top w:val="single" w:sz="8" w:color="auto"/>
              <w:right w:val="single" w:sz="8" w:color="auto"/>
            </w:tcBorders>
            <w:gridSpan w:val="2"/>
          </w:tcPr>
          <w:p>
            <w:pPr>
              <w:spacing w:after="0" w:line="151" w:lineRule="exact"/>
              <w:rPr>
                <w:sz w:val="20"/>
                <w:szCs w:val="20"/>
                <w:color w:val="auto"/>
              </w:rPr>
            </w:pPr>
            <w:r>
              <w:rPr>
                <w:rFonts w:ascii="Arial" w:cs="Arial" w:eastAsia="Arial" w:hAnsi="Arial"/>
                <w:sz w:val="14"/>
                <w:szCs w:val="14"/>
                <w:color w:val="auto"/>
              </w:rPr>
              <w:t>Milestone Payment</w:t>
            </w:r>
          </w:p>
        </w:tc>
      </w:tr>
      <w:tr>
        <w:trPr>
          <w:trHeight w:val="153"/>
        </w:trPr>
        <w:tc>
          <w:tcPr>
            <w:tcW w:w="80" w:type="dxa"/>
            <w:vAlign w:val="bottom"/>
            <w:tcBorders>
              <w:left w:val="single" w:sz="8" w:color="auto"/>
            </w:tcBorders>
          </w:tcPr>
          <w:p>
            <w:pPr>
              <w:spacing w:after="0"/>
              <w:rPr>
                <w:sz w:val="13"/>
                <w:szCs w:val="13"/>
                <w:color w:val="auto"/>
              </w:rPr>
            </w:pPr>
          </w:p>
        </w:tc>
        <w:tc>
          <w:tcPr>
            <w:tcW w:w="2280" w:type="dxa"/>
            <w:vAlign w:val="bottom"/>
            <w:tcBorders>
              <w:top w:val="single" w:sz="8" w:color="auto"/>
            </w:tcBorders>
            <w:gridSpan w:val="2"/>
          </w:tcPr>
          <w:p>
            <w:pPr>
              <w:spacing w:after="0" w:line="153" w:lineRule="exact"/>
              <w:rPr>
                <w:sz w:val="20"/>
                <w:szCs w:val="20"/>
                <w:color w:val="auto"/>
              </w:rPr>
            </w:pPr>
            <w:r>
              <w:rPr>
                <w:rFonts w:ascii="Arial" w:cs="Arial" w:eastAsia="Arial" w:hAnsi="Arial"/>
                <w:sz w:val="14"/>
                <w:szCs w:val="14"/>
                <w:color w:val="auto"/>
              </w:rPr>
              <w:t>Milestone Event</w:t>
            </w:r>
          </w:p>
        </w:tc>
        <w:tc>
          <w:tcPr>
            <w:tcW w:w="17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520" w:type="dxa"/>
            <w:vAlign w:val="bottom"/>
            <w:tcBorders>
              <w:right w:val="single" w:sz="8" w:color="auto"/>
            </w:tcBorders>
          </w:tcPr>
          <w:p>
            <w:pPr>
              <w:spacing w:after="0"/>
              <w:rPr>
                <w:sz w:val="13"/>
                <w:szCs w:val="13"/>
                <w:color w:val="auto"/>
              </w:rPr>
            </w:pPr>
          </w:p>
        </w:tc>
      </w:tr>
      <w:tr>
        <w:trPr>
          <w:trHeight w:val="20"/>
        </w:trPr>
        <w:tc>
          <w:tcPr>
            <w:tcW w:w="80" w:type="dxa"/>
            <w:vAlign w:val="bottom"/>
            <w:tcBorders>
              <w:left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r>
      <w:tr>
        <w:trPr>
          <w:trHeight w:val="156"/>
        </w:trPr>
        <w:tc>
          <w:tcPr>
            <w:tcW w:w="1040" w:type="dxa"/>
            <w:vAlign w:val="bottom"/>
            <w:tcBorders>
              <w:left w:val="single" w:sz="8" w:color="auto"/>
              <w:bottom w:val="single" w:sz="8" w:color="auto"/>
            </w:tcBorders>
            <w:gridSpan w:val="2"/>
          </w:tcPr>
          <w:p>
            <w:pPr>
              <w:ind w:left="80"/>
              <w:spacing w:after="0" w:line="156"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spacing w:after="0"/>
              <w:rPr>
                <w:sz w:val="13"/>
                <w:szCs w:val="13"/>
                <w:color w:val="auto"/>
              </w:rPr>
            </w:pPr>
          </w:p>
        </w:tc>
        <w:tc>
          <w:tcPr>
            <w:tcW w:w="172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tcBorders>
            <w:gridSpan w:val="2"/>
          </w:tcPr>
          <w:p>
            <w:pPr>
              <w:ind w:left="60"/>
              <w:spacing w:after="0" w:line="156"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spacing w:after="0"/>
              <w:rPr>
                <w:sz w:val="13"/>
                <w:szCs w:val="13"/>
                <w:color w:val="auto"/>
              </w:rPr>
            </w:pPr>
          </w:p>
        </w:tc>
      </w:tr>
      <w:tr>
        <w:trPr>
          <w:trHeight w:val="163"/>
        </w:trPr>
        <w:tc>
          <w:tcPr>
            <w:tcW w:w="104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spacing w:after="0"/>
              <w:rPr>
                <w:sz w:val="14"/>
                <w:szCs w:val="14"/>
                <w:color w:val="auto"/>
              </w:rPr>
            </w:pPr>
          </w:p>
        </w:tc>
      </w:tr>
      <w:tr>
        <w:trPr>
          <w:trHeight w:val="163"/>
        </w:trPr>
        <w:tc>
          <w:tcPr>
            <w:tcW w:w="104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spacing w:after="0"/>
              <w:rPr>
                <w:sz w:val="14"/>
                <w:szCs w:val="14"/>
                <w:color w:val="auto"/>
              </w:rPr>
            </w:pPr>
          </w:p>
        </w:tc>
      </w:tr>
      <w:tr>
        <w:trPr>
          <w:trHeight w:val="163"/>
        </w:trPr>
        <w:tc>
          <w:tcPr>
            <w:tcW w:w="104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spacing w:after="0"/>
              <w:rPr>
                <w:sz w:val="14"/>
                <w:szCs w:val="14"/>
                <w:color w:val="auto"/>
              </w:rPr>
            </w:pPr>
          </w:p>
        </w:tc>
      </w:tr>
      <w:tr>
        <w:trPr>
          <w:trHeight w:val="163"/>
        </w:trPr>
        <w:tc>
          <w:tcPr>
            <w:tcW w:w="104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spacing w:after="0"/>
              <w:rPr>
                <w:sz w:val="14"/>
                <w:szCs w:val="14"/>
                <w:color w:val="auto"/>
              </w:rPr>
            </w:pPr>
          </w:p>
        </w:tc>
      </w:tr>
      <w:tr>
        <w:trPr>
          <w:trHeight w:val="163"/>
        </w:trPr>
        <w:tc>
          <w:tcPr>
            <w:tcW w:w="104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spacing w:after="0"/>
              <w:rPr>
                <w:sz w:val="14"/>
                <w:szCs w:val="14"/>
                <w:color w:val="auto"/>
              </w:rPr>
            </w:pPr>
          </w:p>
        </w:tc>
      </w:tr>
    </w:tbl>
    <w:p>
      <w:pPr>
        <w:spacing w:after="0" w:line="16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4"/>
          <w:szCs w:val="14"/>
          <w:color w:val="auto"/>
        </w:rPr>
        <w:t>Each of the milestone payments set forth above will be payable only once under this Agreement regardless of how many times the corresponding milestone event is achieved by or on behalf of Sublicensee or its affiliates or sublicensees, with respect to one or more Licensed Products. For the avoidance of doubt, in no event would Sublicensee be required to pay Sublicensor more than an aggregate of [***] in development and regulatory approval milestone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159625" cy="69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83" w:name="page284"/>
    <w:bookmarkEnd w:id="283"/>
    <w:p>
      <w:pPr>
        <w:ind w:left="514" w:hanging="514"/>
        <w:spacing w:after="0"/>
        <w:tabs>
          <w:tab w:leader="none" w:pos="514" w:val="left"/>
        </w:tabs>
        <w:numPr>
          <w:ilvl w:val="0"/>
          <w:numId w:val="151"/>
        </w:numPr>
        <w:rPr>
          <w:rFonts w:ascii="Arial" w:cs="Arial" w:eastAsia="Arial" w:hAnsi="Arial"/>
          <w:sz w:val="14"/>
          <w:szCs w:val="14"/>
          <w:color w:val="auto"/>
        </w:rPr>
      </w:pPr>
      <w:r>
        <w:rPr>
          <w:rFonts w:ascii="Arial" w:cs="Arial" w:eastAsia="Arial" w:hAnsi="Arial"/>
          <w:sz w:val="14"/>
          <w:szCs w:val="14"/>
          <w:b w:val="1"/>
          <w:bCs w:val="1"/>
          <w:color w:val="auto"/>
        </w:rPr>
        <w:t>Records.</w:t>
      </w:r>
    </w:p>
    <w:p>
      <w:pPr>
        <w:spacing w:after="0" w:line="188" w:lineRule="exact"/>
        <w:rPr>
          <w:rFonts w:ascii="Arial" w:cs="Arial" w:eastAsia="Arial" w:hAnsi="Arial"/>
          <w:sz w:val="14"/>
          <w:szCs w:val="14"/>
          <w:color w:val="auto"/>
        </w:rPr>
      </w:pPr>
    </w:p>
    <w:p>
      <w:pPr>
        <w:ind w:left="1034" w:hanging="518"/>
        <w:spacing w:after="0" w:line="273" w:lineRule="auto"/>
        <w:rPr>
          <w:rFonts w:ascii="Arial" w:cs="Arial" w:eastAsia="Arial" w:hAnsi="Arial"/>
          <w:sz w:val="14"/>
          <w:szCs w:val="14"/>
          <w:color w:val="auto"/>
        </w:rPr>
      </w:pPr>
      <w:r>
        <w:rPr>
          <w:rFonts w:ascii="Arial" w:cs="Arial" w:eastAsia="Arial" w:hAnsi="Arial"/>
          <w:sz w:val="14"/>
          <w:szCs w:val="14"/>
          <w:color w:val="auto"/>
        </w:rPr>
        <w:t>5.1.</w:t>
      </w:r>
      <w:r>
        <w:rPr>
          <w:rFonts w:ascii="Arial" w:cs="Arial" w:eastAsia="Arial" w:hAnsi="Arial"/>
          <w:sz w:val="14"/>
          <w:szCs w:val="14"/>
          <w:u w:val="single" w:color="auto"/>
          <w:color w:val="auto"/>
        </w:rPr>
        <w:t>Maintenance of Records</w:t>
      </w:r>
      <w:r>
        <w:rPr>
          <w:rFonts w:ascii="Arial" w:cs="Arial" w:eastAsia="Arial" w:hAnsi="Arial"/>
          <w:sz w:val="14"/>
          <w:szCs w:val="14"/>
          <w:color w:val="auto"/>
        </w:rPr>
        <w:t>. During the term of this Agreement, Sublicensee shall maintain, and require its affiliates and sublicensees to maintain, complete and accurate records of</w:t>
      </w:r>
      <w:r>
        <w:rPr>
          <w:rFonts w:ascii="Arial" w:cs="Arial" w:eastAsia="Arial" w:hAnsi="Arial"/>
          <w:sz w:val="14"/>
          <w:szCs w:val="14"/>
          <w:u w:val="single" w:color="auto"/>
          <w:color w:val="auto"/>
        </w:rPr>
        <w:t xml:space="preserve"> </w:t>
      </w:r>
      <w:r>
        <w:rPr>
          <w:rFonts w:ascii="Arial" w:cs="Arial" w:eastAsia="Arial" w:hAnsi="Arial"/>
          <w:sz w:val="14"/>
          <w:szCs w:val="14"/>
          <w:color w:val="auto"/>
        </w:rPr>
        <w:t>Licensed Products made, had made, used, offered for sale, imported, or sold under this Agreement, and any amounts payable to Sublicensor in relation to such Licensed Products.</w:t>
      </w:r>
    </w:p>
    <w:p>
      <w:pPr>
        <w:spacing w:after="0" w:line="141" w:lineRule="exact"/>
        <w:rPr>
          <w:rFonts w:ascii="Arial" w:cs="Arial" w:eastAsia="Arial" w:hAnsi="Arial"/>
          <w:sz w:val="14"/>
          <w:szCs w:val="14"/>
          <w:color w:val="auto"/>
        </w:rPr>
      </w:pPr>
    </w:p>
    <w:p>
      <w:pPr>
        <w:ind w:left="1034" w:hanging="518"/>
        <w:spacing w:after="0" w:line="273" w:lineRule="auto"/>
        <w:rPr>
          <w:rFonts w:ascii="Arial" w:cs="Arial" w:eastAsia="Arial" w:hAnsi="Arial"/>
          <w:sz w:val="14"/>
          <w:szCs w:val="14"/>
          <w:color w:val="auto"/>
        </w:rPr>
      </w:pPr>
      <w:r>
        <w:rPr>
          <w:rFonts w:ascii="Arial" w:cs="Arial" w:eastAsia="Arial" w:hAnsi="Arial"/>
          <w:sz w:val="14"/>
          <w:szCs w:val="14"/>
          <w:color w:val="auto"/>
        </w:rPr>
        <w:t>5.2.</w:t>
      </w:r>
      <w:r>
        <w:rPr>
          <w:rFonts w:ascii="Arial" w:cs="Arial" w:eastAsia="Arial" w:hAnsi="Arial"/>
          <w:sz w:val="14"/>
          <w:szCs w:val="14"/>
          <w:u w:val="single" w:color="auto"/>
          <w:color w:val="auto"/>
        </w:rPr>
        <w:t>Annual Statement</w:t>
      </w:r>
      <w:r>
        <w:rPr>
          <w:rFonts w:ascii="Arial" w:cs="Arial" w:eastAsia="Arial" w:hAnsi="Arial"/>
          <w:sz w:val="14"/>
          <w:szCs w:val="14"/>
          <w:color w:val="auto"/>
        </w:rPr>
        <w:t>. Not later than March 1 of each calendar year, Sublicensee shall furnish to Sublicensor a statement showing the Net Sales for each Licensed Product by</w:t>
      </w:r>
      <w:r>
        <w:rPr>
          <w:rFonts w:ascii="Arial" w:cs="Arial" w:eastAsia="Arial" w:hAnsi="Arial"/>
          <w:sz w:val="14"/>
          <w:szCs w:val="14"/>
          <w:u w:val="single" w:color="auto"/>
          <w:color w:val="auto"/>
        </w:rPr>
        <w:t xml:space="preserve"> </w:t>
      </w:r>
      <w:r>
        <w:rPr>
          <w:rFonts w:ascii="Arial" w:cs="Arial" w:eastAsia="Arial" w:hAnsi="Arial"/>
          <w:sz w:val="14"/>
          <w:szCs w:val="14"/>
          <w:color w:val="auto"/>
        </w:rPr>
        <w:t>Sublicensee and/or its affiliates and sublicensees during the immediate preceding calendar year or portion thereof, and the Earned Royalties payable thereon calculated in such manner.</w:t>
      </w:r>
    </w:p>
    <w:p>
      <w:pPr>
        <w:spacing w:after="0" w:line="141" w:lineRule="exact"/>
        <w:rPr>
          <w:rFonts w:ascii="Arial" w:cs="Arial" w:eastAsia="Arial" w:hAnsi="Arial"/>
          <w:sz w:val="14"/>
          <w:szCs w:val="14"/>
          <w:color w:val="auto"/>
        </w:rPr>
      </w:pPr>
    </w:p>
    <w:p>
      <w:pPr>
        <w:ind w:left="1034" w:hanging="518"/>
        <w:spacing w:after="0" w:line="262" w:lineRule="auto"/>
        <w:rPr>
          <w:rFonts w:ascii="Arial" w:cs="Arial" w:eastAsia="Arial" w:hAnsi="Arial"/>
          <w:sz w:val="14"/>
          <w:szCs w:val="14"/>
          <w:color w:val="auto"/>
        </w:rPr>
      </w:pPr>
      <w:r>
        <w:rPr>
          <w:rFonts w:ascii="Arial" w:cs="Arial" w:eastAsia="Arial" w:hAnsi="Arial"/>
          <w:sz w:val="14"/>
          <w:szCs w:val="14"/>
          <w:color w:val="auto"/>
        </w:rPr>
        <w:t>5.3.</w:t>
      </w:r>
      <w:r>
        <w:rPr>
          <w:rFonts w:ascii="Arial" w:cs="Arial" w:eastAsia="Arial" w:hAnsi="Arial"/>
          <w:sz w:val="14"/>
          <w:szCs w:val="14"/>
          <w:u w:val="single" w:color="auto"/>
          <w:color w:val="auto"/>
        </w:rPr>
        <w:t>Retention of Records and Audit Rights</w:t>
      </w:r>
      <w:r>
        <w:rPr>
          <w:rFonts w:ascii="Arial" w:cs="Arial" w:eastAsia="Arial" w:hAnsi="Arial"/>
          <w:sz w:val="14"/>
          <w:szCs w:val="14"/>
          <w:color w:val="auto"/>
        </w:rPr>
        <w:t>. Sublicensee shall retain such records relating to a given calendar year for at least five (5) years after the conclusion of that calendar year,</w:t>
      </w:r>
      <w:r>
        <w:rPr>
          <w:rFonts w:ascii="Arial" w:cs="Arial" w:eastAsia="Arial" w:hAnsi="Arial"/>
          <w:sz w:val="14"/>
          <w:szCs w:val="14"/>
          <w:u w:val="single" w:color="auto"/>
          <w:color w:val="auto"/>
        </w:rPr>
        <w:t xml:space="preserve"> </w:t>
      </w:r>
      <w:r>
        <w:rPr>
          <w:rFonts w:ascii="Arial" w:cs="Arial" w:eastAsia="Arial" w:hAnsi="Arial"/>
          <w:sz w:val="14"/>
          <w:szCs w:val="14"/>
          <w:color w:val="auto"/>
        </w:rPr>
        <w:t>during which time Sublicensor shall have the right, at its expense, to cause an independent, certified public accountant to inspect and audit such records during normal business hours and upon fourteen (14) business days</w:t>
      </w:r>
    </w:p>
    <w:p>
      <w:pPr>
        <w:jc w:val="both"/>
        <w:ind w:left="1034"/>
        <w:spacing w:after="0" w:line="277" w:lineRule="auto"/>
        <w:rPr>
          <w:rFonts w:ascii="Arial" w:cs="Arial" w:eastAsia="Arial" w:hAnsi="Arial"/>
          <w:sz w:val="14"/>
          <w:szCs w:val="14"/>
          <w:color w:val="auto"/>
        </w:rPr>
      </w:pPr>
      <w:r>
        <w:rPr>
          <w:rFonts w:ascii="Arial" w:cs="Arial" w:eastAsia="Arial" w:hAnsi="Arial"/>
          <w:sz w:val="13"/>
          <w:szCs w:val="13"/>
          <w:color w:val="auto"/>
        </w:rPr>
        <w:t>prior written notice to Sublicensee for the sole purpose of verifying any reports and payments delivered under this Agreement. Such accountant shall not disclose to Sublicensor any information other than information relating to the accuracy of reports and payments delivered under this Agreement. The parties shall reconcile any underpayment within</w:t>
      </w:r>
    </w:p>
    <w:p>
      <w:pPr>
        <w:jc w:val="both"/>
        <w:ind w:left="1034" w:firstLine="2"/>
        <w:spacing w:after="0" w:line="263" w:lineRule="auto"/>
        <w:tabs>
          <w:tab w:leader="none" w:pos="1385" w:val="left"/>
        </w:tabs>
        <w:numPr>
          <w:ilvl w:val="1"/>
          <w:numId w:val="151"/>
        </w:numPr>
        <w:rPr>
          <w:rFonts w:ascii="Arial" w:cs="Arial" w:eastAsia="Arial" w:hAnsi="Arial"/>
          <w:sz w:val="14"/>
          <w:szCs w:val="14"/>
          <w:color w:val="auto"/>
        </w:rPr>
      </w:pPr>
      <w:r>
        <w:rPr>
          <w:rFonts w:ascii="Arial" w:cs="Arial" w:eastAsia="Arial" w:hAnsi="Arial"/>
          <w:sz w:val="14"/>
          <w:szCs w:val="14"/>
          <w:color w:val="auto"/>
        </w:rPr>
        <w:t>after such accountant delivers the results of the audit. Sublicensee shall also immediately pay to Sublicensor a late payment charge calculated at an annual rate of [***] of the unpaid total for the number of days from the date following the payment deadline to the date of payment. In the event that any audit performed under this Article 5 reveals an underpayment in excess of [***] in any calendar year, Sublicensee shall bear the full cost of such audit. In the event that any audit performed under this Article 5 reveals an overpayment in excess of [***] in any calendar year, Sublicensor shall bear the full cost of such audit.</w:t>
      </w:r>
    </w:p>
    <w:p>
      <w:pPr>
        <w:spacing w:after="0" w:line="143" w:lineRule="exact"/>
        <w:rPr>
          <w:rFonts w:ascii="Arial" w:cs="Arial" w:eastAsia="Arial" w:hAnsi="Arial"/>
          <w:sz w:val="14"/>
          <w:szCs w:val="14"/>
          <w:color w:val="auto"/>
        </w:rPr>
      </w:pPr>
    </w:p>
    <w:p>
      <w:pPr>
        <w:ind w:left="514" w:hanging="514"/>
        <w:spacing w:after="0"/>
        <w:tabs>
          <w:tab w:leader="none" w:pos="514" w:val="left"/>
        </w:tabs>
        <w:numPr>
          <w:ilvl w:val="0"/>
          <w:numId w:val="151"/>
        </w:numPr>
        <w:rPr>
          <w:rFonts w:ascii="Arial" w:cs="Arial" w:eastAsia="Arial" w:hAnsi="Arial"/>
          <w:sz w:val="14"/>
          <w:szCs w:val="14"/>
          <w:color w:val="auto"/>
        </w:rPr>
      </w:pPr>
      <w:r>
        <w:rPr>
          <w:rFonts w:ascii="Arial" w:cs="Arial" w:eastAsia="Arial" w:hAnsi="Arial"/>
          <w:sz w:val="14"/>
          <w:szCs w:val="14"/>
          <w:b w:val="1"/>
          <w:bCs w:val="1"/>
          <w:color w:val="auto"/>
        </w:rPr>
        <w:t>Instituting Infringement Actions.</w:t>
      </w:r>
    </w:p>
    <w:p>
      <w:pPr>
        <w:spacing w:after="0" w:line="188" w:lineRule="exact"/>
        <w:rPr>
          <w:rFonts w:ascii="Arial" w:cs="Arial" w:eastAsia="Arial" w:hAnsi="Arial"/>
          <w:sz w:val="14"/>
          <w:szCs w:val="14"/>
          <w:color w:val="auto"/>
        </w:rPr>
      </w:pPr>
    </w:p>
    <w:p>
      <w:pPr>
        <w:ind w:left="1034" w:hanging="518"/>
        <w:spacing w:after="0" w:line="288" w:lineRule="auto"/>
        <w:rPr>
          <w:rFonts w:ascii="Arial" w:cs="Arial" w:eastAsia="Arial" w:hAnsi="Arial"/>
          <w:sz w:val="14"/>
          <w:szCs w:val="14"/>
          <w:color w:val="auto"/>
        </w:rPr>
      </w:pPr>
      <w:r>
        <w:rPr>
          <w:rFonts w:ascii="Arial" w:cs="Arial" w:eastAsia="Arial" w:hAnsi="Arial"/>
          <w:sz w:val="14"/>
          <w:szCs w:val="14"/>
          <w:color w:val="auto"/>
        </w:rPr>
        <w:t>6.1.</w:t>
      </w:r>
      <w:r>
        <w:rPr>
          <w:rFonts w:ascii="Arial" w:cs="Arial" w:eastAsia="Arial" w:hAnsi="Arial"/>
          <w:sz w:val="14"/>
          <w:szCs w:val="14"/>
          <w:u w:val="single" w:color="auto"/>
          <w:color w:val="auto"/>
        </w:rPr>
        <w:t>Duty to Notify</w:t>
      </w:r>
      <w:r>
        <w:rPr>
          <w:rFonts w:ascii="Arial" w:cs="Arial" w:eastAsia="Arial" w:hAnsi="Arial"/>
          <w:sz w:val="14"/>
          <w:szCs w:val="14"/>
          <w:color w:val="auto"/>
        </w:rPr>
        <w:t>. Sublicensee shall promptly notify Sublicensor of any alleged infringement of the Licensed Patents by a third party and of any available evidence of such</w:t>
      </w:r>
      <w:r>
        <w:rPr>
          <w:rFonts w:ascii="Arial" w:cs="Arial" w:eastAsia="Arial" w:hAnsi="Arial"/>
          <w:sz w:val="14"/>
          <w:szCs w:val="14"/>
          <w:u w:val="single" w:color="auto"/>
          <w:color w:val="auto"/>
        </w:rPr>
        <w:t xml:space="preserve"> </w:t>
      </w:r>
      <w:r>
        <w:rPr>
          <w:rFonts w:ascii="Arial" w:cs="Arial" w:eastAsia="Arial" w:hAnsi="Arial"/>
          <w:sz w:val="14"/>
          <w:szCs w:val="14"/>
          <w:color w:val="auto"/>
        </w:rPr>
        <w:t>infringement.</w:t>
      </w:r>
    </w:p>
    <w:p>
      <w:pPr>
        <w:spacing w:after="0" w:line="131" w:lineRule="exact"/>
        <w:rPr>
          <w:rFonts w:ascii="Arial" w:cs="Arial" w:eastAsia="Arial" w:hAnsi="Arial"/>
          <w:sz w:val="14"/>
          <w:szCs w:val="14"/>
          <w:color w:val="auto"/>
        </w:rPr>
      </w:pPr>
    </w:p>
    <w:p>
      <w:pPr>
        <w:ind w:left="1034" w:hanging="518"/>
        <w:spacing w:after="0" w:line="263" w:lineRule="auto"/>
        <w:rPr>
          <w:rFonts w:ascii="Arial" w:cs="Arial" w:eastAsia="Arial" w:hAnsi="Arial"/>
          <w:sz w:val="14"/>
          <w:szCs w:val="14"/>
          <w:color w:val="auto"/>
        </w:rPr>
      </w:pPr>
      <w:r>
        <w:rPr>
          <w:rFonts w:ascii="Arial" w:cs="Arial" w:eastAsia="Arial" w:hAnsi="Arial"/>
          <w:sz w:val="14"/>
          <w:szCs w:val="14"/>
          <w:color w:val="auto"/>
        </w:rPr>
        <w:t>6.2.</w:t>
      </w:r>
      <w:r>
        <w:rPr>
          <w:rFonts w:ascii="Arial" w:cs="Arial" w:eastAsia="Arial" w:hAnsi="Arial"/>
          <w:sz w:val="14"/>
          <w:szCs w:val="14"/>
          <w:u w:val="single" w:color="auto"/>
          <w:color w:val="auto"/>
        </w:rPr>
        <w:t>Sublicensee’s Right to Institute Infringement Suit</w:t>
      </w:r>
      <w:r>
        <w:rPr>
          <w:rFonts w:ascii="Arial" w:cs="Arial" w:eastAsia="Arial" w:hAnsi="Arial"/>
          <w:sz w:val="14"/>
          <w:szCs w:val="14"/>
          <w:color w:val="auto"/>
        </w:rPr>
        <w:t>. If the infringing activity has not be abated or terminated without litigation within sixty (60) days following the effective date</w:t>
      </w:r>
      <w:r>
        <w:rPr>
          <w:rFonts w:ascii="Arial" w:cs="Arial" w:eastAsia="Arial" w:hAnsi="Arial"/>
          <w:sz w:val="14"/>
          <w:szCs w:val="14"/>
          <w:u w:val="single" w:color="auto"/>
          <w:color w:val="auto"/>
        </w:rPr>
        <w:t xml:space="preserve"> </w:t>
      </w:r>
      <w:r>
        <w:rPr>
          <w:rFonts w:ascii="Arial" w:cs="Arial" w:eastAsia="Arial" w:hAnsi="Arial"/>
          <w:sz w:val="14"/>
          <w:szCs w:val="14"/>
          <w:color w:val="auto"/>
        </w:rPr>
        <w:t>of the infringement notice, Sublicensee shall have the right, but shall not be obligated, to institute suit for any infringement of the Licensed Patents, and Sublicensor agrees to cooperate with Sublicensee in any such suit. Sublicensor further agrees to join as a party to any such suit if Sublicensee reasonably deems the joinder to be necessary or appropriate. The total cost of any such infringement action (including, any costs incurred by the Sublicensor arising out of such suit that Sublicensee requested Sublicensor join, including but not limited to, any legal fees of counsel that the Sublicensor selects and retains to represent it in the suit) instituted by Sublicensee shall be borne by Sublicensee, and Sublicensee shall retain any recovery or damages awarded in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7159625"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74"/>
          </w:cols>
          <w:pgMar w:left="306" w:top="729" w:right="319" w:bottom="1440" w:gutter="0" w:footer="0" w:header="0"/>
        </w:sectPr>
      </w:pPr>
    </w:p>
    <w:bookmarkStart w:id="284" w:name="page285"/>
    <w:bookmarkEnd w:id="284"/>
    <w:p>
      <w:pPr>
        <w:jc w:val="both"/>
        <w:ind w:left="1034" w:hanging="517"/>
        <w:spacing w:after="0" w:line="261" w:lineRule="auto"/>
        <w:tabs>
          <w:tab w:leader="none" w:pos="1013"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4"/>
          <w:szCs w:val="14"/>
          <w:u w:val="single" w:color="auto"/>
          <w:color w:val="auto"/>
        </w:rPr>
        <w:t>Sublicensor’s and UTokvo Right to Institute Suit</w:t>
      </w:r>
      <w:r>
        <w:rPr>
          <w:rFonts w:ascii="Arial" w:cs="Arial" w:eastAsia="Arial" w:hAnsi="Arial"/>
          <w:sz w:val="14"/>
          <w:szCs w:val="14"/>
          <w:color w:val="auto"/>
        </w:rPr>
        <w:t>. If, within one hundred and eighty (180) days following the effective date of the infringement notice delivered pursuant to</w:t>
      </w:r>
      <w:r>
        <w:rPr>
          <w:rFonts w:ascii="Arial" w:cs="Arial" w:eastAsia="Arial" w:hAnsi="Arial"/>
          <w:sz w:val="14"/>
          <w:szCs w:val="14"/>
          <w:u w:val="single" w:color="auto"/>
          <w:color w:val="auto"/>
        </w:rPr>
        <w:t xml:space="preserve"> </w:t>
      </w:r>
      <w:r>
        <w:rPr>
          <w:rFonts w:ascii="Arial" w:cs="Arial" w:eastAsia="Arial" w:hAnsi="Arial"/>
          <w:sz w:val="14"/>
          <w:szCs w:val="14"/>
          <w:color w:val="auto"/>
        </w:rPr>
        <w:t>Section 6.1 above, the infringing activity and misappropriation has not been abated and if Sublicensee has not brought suit addressing the infringement or misappropriation pursuant to Section 6.2 above, Sublicensor or UTokyo under the UTokyo License, or both, shall have the right, but shall not be obligated, to institute suit for any infringement of the Licensed Patents, and Sublicensee agrees to cooperate with Sublicensor, or UTokyo, or both, in any such suit. Sublicensee further agrees to join as a party to any such suit if Sublicensor, or UTokyo, deems the joinder to be necessary or appropriate. As between the Sublicensor and the Sublicensee, the total cost of any such infringement action. (including, any costs incurred by the Sublicensee arising out of such suit, including but not limited to, any legal fees of counsel that the Sublicensee selects and retains to represent it in the suit) instituted by Sublicensor and/or UTokyo, shall be borne by Sublicensor and/or UTokyo, as applicable, and Sublicensor and/or UTokyo, as applicable, shall retain any recovery or damages awarded in such action.</w:t>
      </w:r>
    </w:p>
    <w:p>
      <w:pPr>
        <w:spacing w:after="0" w:line="149" w:lineRule="exact"/>
        <w:rPr>
          <w:sz w:val="20"/>
          <w:szCs w:val="20"/>
          <w:color w:val="auto"/>
        </w:rPr>
      </w:pPr>
    </w:p>
    <w:p>
      <w:pPr>
        <w:ind w:left="514" w:hanging="514"/>
        <w:spacing w:after="0"/>
        <w:tabs>
          <w:tab w:leader="none" w:pos="514" w:val="left"/>
        </w:tabs>
        <w:numPr>
          <w:ilvl w:val="0"/>
          <w:numId w:val="152"/>
        </w:numPr>
        <w:rPr>
          <w:rFonts w:ascii="Arial" w:cs="Arial" w:eastAsia="Arial" w:hAnsi="Arial"/>
          <w:sz w:val="14"/>
          <w:szCs w:val="14"/>
          <w:color w:val="auto"/>
        </w:rPr>
      </w:pPr>
      <w:r>
        <w:rPr>
          <w:rFonts w:ascii="Arial" w:cs="Arial" w:eastAsia="Arial" w:hAnsi="Arial"/>
          <w:sz w:val="14"/>
          <w:szCs w:val="14"/>
          <w:b w:val="1"/>
          <w:bCs w:val="1"/>
          <w:color w:val="auto"/>
        </w:rPr>
        <w:t>Warranties; Defending Infringement Actions; Indemnification; Covenants.</w:t>
      </w:r>
    </w:p>
    <w:p>
      <w:pPr>
        <w:spacing w:after="0" w:line="188" w:lineRule="exact"/>
        <w:rPr>
          <w:sz w:val="20"/>
          <w:szCs w:val="20"/>
          <w:color w:val="auto"/>
        </w:rPr>
      </w:pPr>
    </w:p>
    <w:p>
      <w:pPr>
        <w:ind w:left="514"/>
        <w:spacing w:after="0"/>
        <w:tabs>
          <w:tab w:leader="none" w:pos="1013"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2"/>
          <w:szCs w:val="12"/>
          <w:u w:val="single" w:color="auto"/>
          <w:color w:val="auto"/>
        </w:rPr>
        <w:t>Warranties</w:t>
      </w:r>
      <w:r>
        <w:rPr>
          <w:rFonts w:ascii="Arial" w:cs="Arial" w:eastAsia="Arial" w:hAnsi="Arial"/>
          <w:sz w:val="12"/>
          <w:szCs w:val="12"/>
          <w:color w:val="auto"/>
        </w:rPr>
        <w:t>.</w:t>
      </w:r>
    </w:p>
    <w:p>
      <w:pPr>
        <w:spacing w:after="0" w:line="184" w:lineRule="exact"/>
        <w:rPr>
          <w:sz w:val="20"/>
          <w:szCs w:val="20"/>
          <w:color w:val="auto"/>
        </w:rPr>
      </w:pPr>
    </w:p>
    <w:p>
      <w:pPr>
        <w:jc w:val="both"/>
        <w:ind w:left="1034"/>
        <w:spacing w:after="0" w:line="294" w:lineRule="auto"/>
        <w:rPr>
          <w:sz w:val="20"/>
          <w:szCs w:val="20"/>
          <w:color w:val="auto"/>
        </w:rPr>
      </w:pPr>
      <w:r>
        <w:rPr>
          <w:rFonts w:ascii="Arial" w:cs="Arial" w:eastAsia="Arial" w:hAnsi="Arial"/>
          <w:sz w:val="13"/>
          <w:szCs w:val="13"/>
          <w:color w:val="auto"/>
        </w:rPr>
        <w:t>7.1.1. Each party represents and warrants to the other that as of the Effective Date it has full right, power and authority to enter into this Agreement and to perform its respective obligations under this Agreement. Each party further represents and warrants that, as of the Effective Date, the execution and delivery of this Agreement and the performance of such party’s obligations hereunder (a) do not conflict with or violate any requirement of applicable laws and (b) do not conflict with, violate or breach or constitute a default of, or require any consent under, any contractual obligations of such party, except such consents as have been obtained as of the Effective Date.</w:t>
      </w:r>
    </w:p>
    <w:p>
      <w:pPr>
        <w:spacing w:after="0" w:line="131" w:lineRule="exact"/>
        <w:rPr>
          <w:sz w:val="20"/>
          <w:szCs w:val="20"/>
          <w:color w:val="auto"/>
        </w:rPr>
      </w:pPr>
    </w:p>
    <w:p>
      <w:pPr>
        <w:jc w:val="both"/>
        <w:ind w:left="1034"/>
        <w:spacing w:after="0" w:line="288" w:lineRule="auto"/>
        <w:rPr>
          <w:sz w:val="20"/>
          <w:szCs w:val="20"/>
          <w:color w:val="auto"/>
        </w:rPr>
      </w:pPr>
      <w:r>
        <w:rPr>
          <w:rFonts w:ascii="Arial" w:cs="Arial" w:eastAsia="Arial" w:hAnsi="Arial"/>
          <w:sz w:val="14"/>
          <w:szCs w:val="14"/>
          <w:color w:val="auto"/>
        </w:rPr>
        <w:t>7.1.2. Sublicensor represents and warrants to Sublicensee that it is the licensee of the Licensed Patents and has the right to grant the Licensed Rights as set forth in this Agreement.</w:t>
      </w:r>
    </w:p>
    <w:p>
      <w:pPr>
        <w:spacing w:after="0" w:line="132" w:lineRule="exact"/>
        <w:rPr>
          <w:sz w:val="20"/>
          <w:szCs w:val="20"/>
          <w:color w:val="auto"/>
        </w:rPr>
      </w:pPr>
    </w:p>
    <w:p>
      <w:pPr>
        <w:jc w:val="both"/>
        <w:ind w:left="1034"/>
        <w:spacing w:after="0" w:line="329" w:lineRule="auto"/>
        <w:rPr>
          <w:sz w:val="20"/>
          <w:szCs w:val="20"/>
          <w:color w:val="auto"/>
        </w:rPr>
      </w:pPr>
      <w:r>
        <w:rPr>
          <w:rFonts w:ascii="Arial" w:cs="Arial" w:eastAsia="Arial" w:hAnsi="Arial"/>
          <w:sz w:val="13"/>
          <w:szCs w:val="13"/>
          <w:color w:val="auto"/>
        </w:rPr>
        <w:t>7.1.3. Sublicensee represents and warrants that any Licensed Products made or sold pursuant to this Agreement shall be made or sold in compliance with all applicable federal and state law regulations, including but not limited to regulations of the Food and Drug Administration, the Environmental Protection Agency and their state equivalents.</w:t>
      </w:r>
    </w:p>
    <w:p>
      <w:pPr>
        <w:spacing w:after="0" w:line="108" w:lineRule="exact"/>
        <w:rPr>
          <w:sz w:val="20"/>
          <w:szCs w:val="20"/>
          <w:color w:val="auto"/>
        </w:rPr>
      </w:pPr>
    </w:p>
    <w:p>
      <w:pPr>
        <w:jc w:val="both"/>
        <w:ind w:left="1034" w:hanging="517"/>
        <w:spacing w:after="0" w:line="273" w:lineRule="auto"/>
        <w:tabs>
          <w:tab w:leader="none" w:pos="1013"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4"/>
          <w:szCs w:val="14"/>
          <w:u w:val="single" w:color="auto"/>
          <w:color w:val="auto"/>
        </w:rPr>
        <w:t xml:space="preserve">Defending Infringement Actions. </w:t>
      </w:r>
      <w:r>
        <w:rPr>
          <w:rFonts w:ascii="Arial" w:cs="Arial" w:eastAsia="Arial" w:hAnsi="Arial"/>
          <w:sz w:val="14"/>
          <w:szCs w:val="14"/>
          <w:color w:val="auto"/>
        </w:rPr>
        <w:t>If either party hereto or any affiliate, sublicensee or customer thereof shall be charged with or sued for infringement of patent or other rights of</w:t>
      </w:r>
      <w:r>
        <w:rPr>
          <w:rFonts w:ascii="Arial" w:cs="Arial" w:eastAsia="Arial" w:hAnsi="Arial"/>
          <w:sz w:val="14"/>
          <w:szCs w:val="14"/>
          <w:u w:val="single" w:color="auto"/>
          <w:color w:val="auto"/>
        </w:rPr>
        <w:t xml:space="preserve"> </w:t>
      </w:r>
      <w:r>
        <w:rPr>
          <w:rFonts w:ascii="Arial" w:cs="Arial" w:eastAsia="Arial" w:hAnsi="Arial"/>
          <w:sz w:val="14"/>
          <w:szCs w:val="14"/>
          <w:color w:val="auto"/>
        </w:rPr>
        <w:t>a third party for performing any act contemplated by this Agreement, such party shall promptly notify the other of all particulars of such charge or suit. Sublicensor and Sublicensee shall consult and cooperate as appropriate in the disposition of each such charge and the defense of each such suit.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7159625"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74"/>
          </w:cols>
          <w:pgMar w:left="306" w:top="733" w:right="319" w:bottom="1440" w:gutter="0" w:footer="0" w:header="0"/>
        </w:sectPr>
      </w:pPr>
    </w:p>
    <w:bookmarkStart w:id="285" w:name="page286"/>
    <w:bookmarkEnd w:id="285"/>
    <w:p>
      <w:pPr>
        <w:spacing w:after="0"/>
        <w:tabs>
          <w:tab w:leader="none" w:pos="500"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3"/>
          <w:szCs w:val="13"/>
          <w:u w:val="single" w:color="auto"/>
          <w:color w:val="auto"/>
        </w:rPr>
        <w:t>Indemnification</w:t>
      </w:r>
      <w:r>
        <w:rPr>
          <w:rFonts w:ascii="Arial" w:cs="Arial" w:eastAsia="Arial" w:hAnsi="Arial"/>
          <w:sz w:val="13"/>
          <w:szCs w:val="13"/>
          <w:color w:val="auto"/>
        </w:rPr>
        <w:t>.</w:t>
      </w:r>
    </w:p>
    <w:p>
      <w:pPr>
        <w:spacing w:after="0" w:line="180" w:lineRule="exact"/>
        <w:rPr>
          <w:sz w:val="20"/>
          <w:szCs w:val="20"/>
          <w:color w:val="auto"/>
        </w:rPr>
      </w:pPr>
    </w:p>
    <w:p>
      <w:pPr>
        <w:jc w:val="both"/>
        <w:ind w:left="520" w:hanging="517"/>
        <w:spacing w:after="0" w:line="264" w:lineRule="auto"/>
        <w:tabs>
          <w:tab w:leader="none" w:pos="500" w:val="left"/>
        </w:tabs>
        <w:rPr>
          <w:sz w:val="20"/>
          <w:szCs w:val="20"/>
          <w:color w:val="auto"/>
        </w:rPr>
      </w:pPr>
      <w:r>
        <w:rPr>
          <w:rFonts w:ascii="Arial" w:cs="Arial" w:eastAsia="Arial" w:hAnsi="Arial"/>
          <w:sz w:val="14"/>
          <w:szCs w:val="14"/>
          <w:color w:val="auto"/>
        </w:rPr>
        <w:t>7.3.1.</w:t>
        <w:tab/>
        <w:t>Sublicensee will indemnify, hold harmless, and defend the Sublicensor, and its officers, directors, employees, and agents, (collectively, “</w:t>
      </w:r>
      <w:r>
        <w:rPr>
          <w:rFonts w:ascii="Arial" w:cs="Arial" w:eastAsia="Arial" w:hAnsi="Arial"/>
          <w:sz w:val="14"/>
          <w:szCs w:val="14"/>
          <w:b w:val="1"/>
          <w:bCs w:val="1"/>
          <w:color w:val="auto"/>
        </w:rPr>
        <w:t>Sublicensor Indemnitees</w:t>
      </w:r>
      <w:r>
        <w:rPr>
          <w:rFonts w:ascii="Arial" w:cs="Arial" w:eastAsia="Arial" w:hAnsi="Arial"/>
          <w:sz w:val="14"/>
          <w:szCs w:val="14"/>
          <w:color w:val="auto"/>
        </w:rPr>
        <w:t>”) against any and all claims, demands, actions, suits, losses, damages (including without limitation investigative costs, court costs, and attorneys’ fees), costs, fees, and expenses arising from third party claims resulting from or arising out of, (i) any material breach of this Agreement by Sublicensee, (ii) the gross negligence, intentional omission, or willful misconduct of Sublicensee, any permitted Sublicensee or affiliate or any employees, agents or representatives of Sublicensee, and (iii) death or injury to any person and damage to any property arising from the possession, manufacture, use or operation of Licensed Products produced or sold by Sublicensee or its affiliates, sublicensees or their customers in any manner whatsoever.</w:t>
      </w:r>
    </w:p>
    <w:p>
      <w:pPr>
        <w:spacing w:after="0" w:line="146" w:lineRule="exact"/>
        <w:rPr>
          <w:sz w:val="20"/>
          <w:szCs w:val="20"/>
          <w:color w:val="auto"/>
        </w:rPr>
      </w:pPr>
    </w:p>
    <w:p>
      <w:pPr>
        <w:jc w:val="both"/>
        <w:ind w:left="520" w:hanging="517"/>
        <w:spacing w:after="0" w:line="269" w:lineRule="auto"/>
        <w:tabs>
          <w:tab w:leader="none" w:pos="500" w:val="left"/>
        </w:tabs>
        <w:rPr>
          <w:sz w:val="20"/>
          <w:szCs w:val="20"/>
          <w:color w:val="auto"/>
        </w:rPr>
      </w:pPr>
      <w:r>
        <w:rPr>
          <w:rFonts w:ascii="Arial" w:cs="Arial" w:eastAsia="Arial" w:hAnsi="Arial"/>
          <w:sz w:val="14"/>
          <w:szCs w:val="14"/>
          <w:color w:val="auto"/>
        </w:rPr>
        <w:t>7.3.2.</w:t>
        <w:tab/>
        <w:t>Sublicensor will indemnify, hold harmless, and defend the Sublicensee, and its officers, directors, employees, and agents, (collectively, “</w:t>
      </w:r>
      <w:r>
        <w:rPr>
          <w:rFonts w:ascii="Arial" w:cs="Arial" w:eastAsia="Arial" w:hAnsi="Arial"/>
          <w:sz w:val="14"/>
          <w:szCs w:val="14"/>
          <w:b w:val="1"/>
          <w:bCs w:val="1"/>
          <w:color w:val="auto"/>
        </w:rPr>
        <w:t>Sublicensee Indemnitees</w:t>
      </w:r>
      <w:r>
        <w:rPr>
          <w:rFonts w:ascii="Arial" w:cs="Arial" w:eastAsia="Arial" w:hAnsi="Arial"/>
          <w:sz w:val="14"/>
          <w:szCs w:val="14"/>
          <w:color w:val="auto"/>
        </w:rPr>
        <w:t>”) against any and all claims, demands, actions, suits, losses, damages (including without limitation investigative costs, court costs, and attorneys’ fees), costs, fees, and expenses arising from third party claims resulting from or arising out of, (i) any material breach of this Agreement by Sublicensor, and (ii) the gross negligence, intentional omission, or willful misconduct of Sublicensor or any employees, agents or representatives of Sublicensor.</w:t>
      </w:r>
    </w:p>
    <w:p>
      <w:pPr>
        <w:spacing w:after="0" w:line="141" w:lineRule="exact"/>
        <w:rPr>
          <w:sz w:val="20"/>
          <w:szCs w:val="20"/>
          <w:color w:val="auto"/>
        </w:rPr>
      </w:pPr>
    </w:p>
    <w:p>
      <w:pPr>
        <w:jc w:val="both"/>
        <w:ind w:left="520" w:hanging="517"/>
        <w:spacing w:after="0" w:line="283" w:lineRule="auto"/>
        <w:tabs>
          <w:tab w:leader="none" w:pos="500" w:val="left"/>
        </w:tabs>
        <w:rPr>
          <w:sz w:val="20"/>
          <w:szCs w:val="20"/>
          <w:color w:val="auto"/>
        </w:rPr>
      </w:pPr>
      <w:r>
        <w:rPr>
          <w:rFonts w:ascii="Arial" w:cs="Arial" w:eastAsia="Arial" w:hAnsi="Arial"/>
          <w:sz w:val="14"/>
          <w:szCs w:val="14"/>
          <w:color w:val="auto"/>
        </w:rPr>
        <w:t>7.3.3.</w:t>
      </w:r>
      <w:r>
        <w:rPr>
          <w:sz w:val="20"/>
          <w:szCs w:val="20"/>
          <w:color w:val="auto"/>
        </w:rPr>
        <w:tab/>
      </w:r>
      <w:r>
        <w:rPr>
          <w:rFonts w:ascii="Arial" w:cs="Arial" w:eastAsia="Arial" w:hAnsi="Arial"/>
          <w:sz w:val="13"/>
          <w:szCs w:val="13"/>
          <w:color w:val="auto"/>
        </w:rPr>
        <w:t>The party seeking indemnification under this Article 7 (an “</w:t>
      </w:r>
      <w:r>
        <w:rPr>
          <w:rFonts w:ascii="Arial" w:cs="Arial" w:eastAsia="Arial" w:hAnsi="Arial"/>
          <w:sz w:val="13"/>
          <w:szCs w:val="13"/>
          <w:b w:val="1"/>
          <w:bCs w:val="1"/>
          <w:color w:val="auto"/>
        </w:rPr>
        <w:t>Indemnified Party</w:t>
      </w:r>
      <w:r>
        <w:rPr>
          <w:rFonts w:ascii="Arial" w:cs="Arial" w:eastAsia="Arial" w:hAnsi="Arial"/>
          <w:sz w:val="13"/>
          <w:szCs w:val="13"/>
          <w:color w:val="auto"/>
        </w:rPr>
        <w:t>”) shall give prompt written notification to the party from whom indemnification is sought (the “</w:t>
      </w:r>
      <w:r>
        <w:rPr>
          <w:rFonts w:ascii="Arial" w:cs="Arial" w:eastAsia="Arial" w:hAnsi="Arial"/>
          <w:sz w:val="13"/>
          <w:szCs w:val="13"/>
          <w:b w:val="1"/>
          <w:bCs w:val="1"/>
          <w:color w:val="auto"/>
        </w:rPr>
        <w:t>Indemnifying Party</w:t>
      </w:r>
      <w:r>
        <w:rPr>
          <w:rFonts w:ascii="Arial" w:cs="Arial" w:eastAsia="Arial" w:hAnsi="Arial"/>
          <w:sz w:val="13"/>
          <w:szCs w:val="13"/>
          <w:color w:val="auto"/>
        </w:rPr>
        <w:t xml:space="preserve">”) of any claim, suit, action or demand for which indemnification is sought under this Agreement; provided, however, that no delay or failure on the part of an Indemnified Party in so notifying the Indemnifying Party shall relieve the Indemnifying Party of any liability or obligation hereunder except to the extent of any damage or liability caused by or arising out of such delay or failure. Within thirty (30) days after delivery of such notification, the Indemnifying Party may, upon written notice thereof to the Indemnified Party, assume control of the defense of such claim suit, action or demand with counsel reasonably satisfactory to the Indemnified Party. If the Indemnifying Party does not assume control of such defense, the Indemnified Party shall control such defense. The party not controlling such defense may participate therein with counsel of its own choosing at its own expense;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Indemnified Party shall have the right to retain its own counsel, at the expense of the Indemnifying Party, if representation of such Indemnified Party by the counsel retained by the Indemnifying Party would be inappropriate because of actual or potential differences in the interests of such Indemnified Party and any other party represented by such counsel. The Indemnified Party shall not agree to any settlement of such action, suit, proceeding or claim without the prior written consent of the Indemnifying Party, which shall not be unreasonably withheld, delayed or conditioned.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205740</wp:posOffset>
            </wp:positionV>
            <wp:extent cx="7159625"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34" w:right="319" w:bottom="1440" w:gutter="0" w:footer="0" w:header="0"/>
        </w:sectPr>
      </w:pPr>
    </w:p>
    <w:bookmarkStart w:id="286" w:name="page287"/>
    <w:bookmarkEnd w:id="286"/>
    <w:p>
      <w:pPr>
        <w:ind w:left="1034"/>
        <w:spacing w:after="0" w:line="264" w:lineRule="auto"/>
        <w:rPr>
          <w:sz w:val="20"/>
          <w:szCs w:val="20"/>
          <w:color w:val="auto"/>
        </w:rPr>
      </w:pPr>
      <w:r>
        <w:rPr>
          <w:rFonts w:ascii="Arial" w:cs="Arial" w:eastAsia="Arial" w:hAnsi="Arial"/>
          <w:sz w:val="14"/>
          <w:szCs w:val="14"/>
          <w:u w:val="single" w:color="auto"/>
          <w:color w:val="auto"/>
        </w:rPr>
        <w:t>Insurance</w:t>
      </w:r>
      <w:r>
        <w:rPr>
          <w:rFonts w:ascii="Arial" w:cs="Arial" w:eastAsia="Arial" w:hAnsi="Arial"/>
          <w:sz w:val="14"/>
          <w:szCs w:val="14"/>
          <w:color w:val="auto"/>
        </w:rPr>
        <w:t>. Sublicensee shall during the term of this Agreement maintain in full force and effect insurance policies and contractually assumed liabilities in the amount of [***] and shall, upon reasonable request by Sublicensor no more than once each year, provide to Sublicensor</w:t>
      </w:r>
    </w:p>
    <w:p>
      <w:pPr>
        <w:spacing w:after="0" w:line="1" w:lineRule="exact"/>
        <w:rPr>
          <w:sz w:val="20"/>
          <w:szCs w:val="20"/>
          <w:color w:val="auto"/>
        </w:rPr>
      </w:pPr>
    </w:p>
    <w:p>
      <w:pPr>
        <w:ind w:left="1034"/>
        <w:spacing w:after="0" w:line="274" w:lineRule="auto"/>
        <w:rPr>
          <w:sz w:val="20"/>
          <w:szCs w:val="20"/>
          <w:color w:val="auto"/>
        </w:rPr>
      </w:pPr>
      <w:r>
        <w:rPr>
          <w:rFonts w:ascii="Arial" w:cs="Arial" w:eastAsia="Arial" w:hAnsi="Arial"/>
          <w:sz w:val="14"/>
          <w:szCs w:val="14"/>
          <w:color w:val="auto"/>
        </w:rPr>
        <w:t>evidence of such policies. Sublicensee shall place appropriate product liability insurance prior to final regulatory approval. With respect to one or more Licensed Products, and if requested by Sublicensor, such insurance policies shall name Sublicensor as an additional insured.</w:t>
      </w:r>
    </w:p>
    <w:p>
      <w:pPr>
        <w:spacing w:after="0" w:line="141" w:lineRule="exact"/>
        <w:rPr>
          <w:sz w:val="20"/>
          <w:szCs w:val="20"/>
          <w:color w:val="auto"/>
        </w:rPr>
      </w:pPr>
    </w:p>
    <w:p>
      <w:pPr>
        <w:ind w:left="1034" w:hanging="517"/>
        <w:spacing w:after="0" w:line="288" w:lineRule="auto"/>
        <w:tabs>
          <w:tab w:leader="none" w:pos="1013"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4"/>
          <w:szCs w:val="14"/>
          <w:u w:val="single" w:color="auto"/>
          <w:color w:val="auto"/>
        </w:rPr>
        <w:t xml:space="preserve">Amendments of UTokyo License. </w:t>
      </w:r>
      <w:r>
        <w:rPr>
          <w:rFonts w:ascii="Arial" w:cs="Arial" w:eastAsia="Arial" w:hAnsi="Arial"/>
          <w:sz w:val="14"/>
          <w:szCs w:val="14"/>
          <w:color w:val="auto"/>
        </w:rPr>
        <w:t>Sublicensor will not amend any terms or conditions of the UTokyo License in a manner that is reasonably likely to adversely affect</w:t>
      </w:r>
      <w:r>
        <w:rPr>
          <w:rFonts w:ascii="Arial" w:cs="Arial" w:eastAsia="Arial" w:hAnsi="Arial"/>
          <w:sz w:val="14"/>
          <w:szCs w:val="14"/>
          <w:u w:val="single" w:color="auto"/>
          <w:color w:val="auto"/>
        </w:rPr>
        <w:t xml:space="preserve"> </w:t>
      </w:r>
      <w:r>
        <w:rPr>
          <w:rFonts w:ascii="Arial" w:cs="Arial" w:eastAsia="Arial" w:hAnsi="Arial"/>
          <w:sz w:val="14"/>
          <w:szCs w:val="14"/>
          <w:color w:val="auto"/>
        </w:rPr>
        <w:t>Sublicensee’s rights hereunder, without written approval of Sublicensee.</w:t>
      </w:r>
    </w:p>
    <w:p>
      <w:pPr>
        <w:spacing w:after="0" w:line="128" w:lineRule="exact"/>
        <w:rPr>
          <w:sz w:val="20"/>
          <w:szCs w:val="20"/>
          <w:color w:val="auto"/>
        </w:rPr>
      </w:pPr>
    </w:p>
    <w:p>
      <w:pPr>
        <w:jc w:val="both"/>
        <w:ind w:left="514" w:hanging="514"/>
        <w:spacing w:after="0" w:line="262" w:lineRule="auto"/>
        <w:tabs>
          <w:tab w:leader="none" w:pos="514" w:val="left"/>
        </w:tabs>
        <w:numPr>
          <w:ilvl w:val="0"/>
          <w:numId w:val="153"/>
        </w:numPr>
        <w:rPr>
          <w:rFonts w:ascii="Arial" w:cs="Arial" w:eastAsia="Arial" w:hAnsi="Arial"/>
          <w:sz w:val="14"/>
          <w:szCs w:val="14"/>
          <w:color w:val="auto"/>
        </w:rPr>
      </w:pPr>
      <w:r>
        <w:rPr>
          <w:rFonts w:ascii="Arial" w:cs="Arial" w:eastAsia="Arial" w:hAnsi="Arial"/>
          <w:sz w:val="14"/>
          <w:szCs w:val="14"/>
          <w:b w:val="1"/>
          <w:bCs w:val="1"/>
          <w:u w:val="single" w:color="auto"/>
          <w:color w:val="auto"/>
        </w:rPr>
        <w:t>Limitations</w:t>
      </w:r>
      <w:r>
        <w:rPr>
          <w:rFonts w:ascii="Arial" w:cs="Arial" w:eastAsia="Arial" w:hAnsi="Arial"/>
          <w:sz w:val="14"/>
          <w:szCs w:val="14"/>
          <w:color w:val="auto"/>
        </w:rPr>
        <w:t>. EXCEPT FOR THE EXPRESS WARRANITIES IN SECTION 7, NEITHER PARTY MAKES, AND EACH PARTY SPECIFICALLY DISCLAIMS, ANY</w:t>
      </w:r>
      <w:r>
        <w:rPr>
          <w:rFonts w:ascii="Arial" w:cs="Arial" w:eastAsia="Arial" w:hAnsi="Arial"/>
          <w:sz w:val="14"/>
          <w:szCs w:val="14"/>
          <w:b w:val="1"/>
          <w:bCs w:val="1"/>
          <w:color w:val="auto"/>
        </w:rPr>
        <w:t xml:space="preserve"> </w:t>
      </w:r>
      <w:r>
        <w:rPr>
          <w:rFonts w:ascii="Arial" w:cs="Arial" w:eastAsia="Arial" w:hAnsi="Arial"/>
          <w:sz w:val="14"/>
          <w:szCs w:val="14"/>
          <w:color w:val="auto"/>
        </w:rPr>
        <w:t>WARRANTIES, EXPRESS OR IMPLIED, IN FACT OR BY OPERATION OF LAW, STATUTORY OR OTHERWISE, INCLUDING ANY IMPLIED WARRANTY OF MERCHANTABILITY, FITNESS FOR A PARTICULAR PURPOSE, EFFICACY, AND NON-INFRINGEMENT. EXCEPT FOR (A) DAMAGES FOR VIOLATIONS OF THE CONFIDENTIALITY OBLIGATIONS UNDER THIS AGREEMENT, (B) AMOUNTS FINALLY AWARDED FOR INDEMNIFICATION FOR THIRD PARTY CLAIMS UNDER SECTION 7.3 HEREOF AND (C) DAMAGES FOR A PARTY’S GROSS NEGLIGENCE OR WILLFUL MISCONDUCT, NEITHER PARTY SHALL BE LIABLE TO THE OTHER PARTY OR TO ANY THIRD PARTY FOR ANY SPECIAL, CONSEQUENTIAL, EXEMPLARY OR INCIDENTAL DAMAGES (INCLUDING LOST OR ANTICIPATED PROFITS RELATING TO THE SAME) ARISING FROM ANY CLAIM RELATING TO THIS AGREEMENT, WHETHER SUCH CLAIM IS BASED ON CONTRACT, TORT (INCLUDING NEGLIGENCE) OR OTHERWISE, EVEN IF AN AUTHORIZED REPRESENTATIVE OF SUCH PARTY IS ADVISED OF THE POSSIBILITY OR LIKELIHOOD OF SAME.</w:t>
      </w:r>
    </w:p>
    <w:p>
      <w:pPr>
        <w:spacing w:after="0" w:line="147" w:lineRule="exact"/>
        <w:rPr>
          <w:rFonts w:ascii="Arial" w:cs="Arial" w:eastAsia="Arial" w:hAnsi="Arial"/>
          <w:sz w:val="14"/>
          <w:szCs w:val="14"/>
          <w:color w:val="auto"/>
        </w:rPr>
      </w:pPr>
    </w:p>
    <w:p>
      <w:pPr>
        <w:ind w:left="514" w:hanging="514"/>
        <w:spacing w:after="0"/>
        <w:tabs>
          <w:tab w:leader="none" w:pos="514" w:val="left"/>
        </w:tabs>
        <w:numPr>
          <w:ilvl w:val="0"/>
          <w:numId w:val="153"/>
        </w:numPr>
        <w:rPr>
          <w:rFonts w:ascii="Arial" w:cs="Arial" w:eastAsia="Arial" w:hAnsi="Arial"/>
          <w:sz w:val="14"/>
          <w:szCs w:val="14"/>
          <w:color w:val="auto"/>
        </w:rPr>
      </w:pPr>
      <w:r>
        <w:rPr>
          <w:rFonts w:ascii="Arial" w:cs="Arial" w:eastAsia="Arial" w:hAnsi="Arial"/>
          <w:sz w:val="14"/>
          <w:szCs w:val="14"/>
          <w:b w:val="1"/>
          <w:bCs w:val="1"/>
          <w:color w:val="auto"/>
        </w:rPr>
        <w:t>Maintenance of Licensed Patents</w:t>
      </w:r>
    </w:p>
    <w:p>
      <w:pPr>
        <w:spacing w:after="0" w:line="188" w:lineRule="exact"/>
        <w:rPr>
          <w:rFonts w:ascii="Arial" w:cs="Arial" w:eastAsia="Arial" w:hAnsi="Arial"/>
          <w:sz w:val="14"/>
          <w:szCs w:val="14"/>
          <w:color w:val="auto"/>
        </w:rPr>
      </w:pPr>
    </w:p>
    <w:p>
      <w:pPr>
        <w:ind w:left="1034" w:hanging="518"/>
        <w:spacing w:after="0" w:line="294" w:lineRule="auto"/>
        <w:rPr>
          <w:rFonts w:ascii="Arial" w:cs="Arial" w:eastAsia="Arial" w:hAnsi="Arial"/>
          <w:sz w:val="14"/>
          <w:szCs w:val="14"/>
          <w:color w:val="auto"/>
        </w:rPr>
      </w:pPr>
      <w:r>
        <w:rPr>
          <w:rFonts w:ascii="Arial" w:cs="Arial" w:eastAsia="Arial" w:hAnsi="Arial"/>
          <w:sz w:val="14"/>
          <w:szCs w:val="14"/>
          <w:color w:val="auto"/>
        </w:rPr>
        <w:t>9.1.</w:t>
      </w:r>
      <w:r>
        <w:rPr>
          <w:rFonts w:ascii="Arial" w:cs="Arial" w:eastAsia="Arial" w:hAnsi="Arial"/>
          <w:sz w:val="13"/>
          <w:szCs w:val="13"/>
          <w:u w:val="single" w:color="auto"/>
          <w:color w:val="auto"/>
        </w:rPr>
        <w:t>Notifications</w:t>
      </w:r>
      <w:r>
        <w:rPr>
          <w:rFonts w:ascii="Arial" w:cs="Arial" w:eastAsia="Arial" w:hAnsi="Arial"/>
          <w:sz w:val="13"/>
          <w:szCs w:val="13"/>
          <w:color w:val="auto"/>
        </w:rPr>
        <w:t>. Notifications from government agencies or agents to Sublicensor concerning procedures for the acquisition of rights for the Licensed Rights in the Licensed</w:t>
      </w:r>
      <w:r>
        <w:rPr>
          <w:rFonts w:ascii="Arial" w:cs="Arial" w:eastAsia="Arial" w:hAnsi="Arial"/>
          <w:sz w:val="13"/>
          <w:szCs w:val="13"/>
          <w:u w:val="single" w:color="auto"/>
          <w:color w:val="auto"/>
        </w:rPr>
        <w:t xml:space="preserve"> </w:t>
      </w:r>
      <w:r>
        <w:rPr>
          <w:rFonts w:ascii="Arial" w:cs="Arial" w:eastAsia="Arial" w:hAnsi="Arial"/>
          <w:sz w:val="13"/>
          <w:szCs w:val="13"/>
          <w:color w:val="auto"/>
        </w:rPr>
        <w:t>Territories and procedures for the maintenance of the Licensed Patents shall be provided directly to Sublicensee from such government agency and Sublicensee shall have the first right to control the preparation, filing, prosecution, extension and maintenance of patent rights within the Licensed Rights. To the extent that government agencies or agents require Sublicensor to control such procedures, Sublicensor shall conduct said procedures following consultation with, and the prior written consent of, Sublicensee.</w:t>
      </w:r>
    </w:p>
    <w:p>
      <w:pPr>
        <w:spacing w:after="0" w:line="130" w:lineRule="exact"/>
        <w:rPr>
          <w:rFonts w:ascii="Arial" w:cs="Arial" w:eastAsia="Arial" w:hAnsi="Arial"/>
          <w:sz w:val="14"/>
          <w:szCs w:val="14"/>
          <w:color w:val="auto"/>
        </w:rPr>
      </w:pPr>
    </w:p>
    <w:p>
      <w:pPr>
        <w:ind w:left="1034" w:hanging="518"/>
        <w:spacing w:after="0" w:line="288" w:lineRule="auto"/>
        <w:rPr>
          <w:rFonts w:ascii="Arial" w:cs="Arial" w:eastAsia="Arial" w:hAnsi="Arial"/>
          <w:sz w:val="14"/>
          <w:szCs w:val="14"/>
          <w:color w:val="auto"/>
        </w:rPr>
      </w:pPr>
      <w:r>
        <w:rPr>
          <w:rFonts w:ascii="Arial" w:cs="Arial" w:eastAsia="Arial" w:hAnsi="Arial"/>
          <w:sz w:val="14"/>
          <w:szCs w:val="14"/>
          <w:color w:val="auto"/>
        </w:rPr>
        <w:t>9.2.</w:t>
      </w:r>
      <w:r>
        <w:rPr>
          <w:rFonts w:ascii="Arial" w:cs="Arial" w:eastAsia="Arial" w:hAnsi="Arial"/>
          <w:sz w:val="14"/>
          <w:szCs w:val="14"/>
          <w:u w:val="single" w:color="auto"/>
          <w:color w:val="auto"/>
        </w:rPr>
        <w:t>Consultation</w:t>
      </w:r>
      <w:r>
        <w:rPr>
          <w:rFonts w:ascii="Arial" w:cs="Arial" w:eastAsia="Arial" w:hAnsi="Arial"/>
          <w:sz w:val="14"/>
          <w:szCs w:val="14"/>
          <w:color w:val="auto"/>
        </w:rPr>
        <w:t>. Sublicensee may at any time request consultation concerning the procedures for the acquisition of rights for the Licensed Rights in the Licensed Territories.</w:t>
      </w:r>
      <w:r>
        <w:rPr>
          <w:rFonts w:ascii="Arial" w:cs="Arial" w:eastAsia="Arial" w:hAnsi="Arial"/>
          <w:sz w:val="14"/>
          <w:szCs w:val="14"/>
          <w:u w:val="single" w:color="auto"/>
          <w:color w:val="auto"/>
        </w:rPr>
        <w:t xml:space="preserve"> </w:t>
      </w:r>
      <w:r>
        <w:rPr>
          <w:rFonts w:ascii="Arial" w:cs="Arial" w:eastAsia="Arial" w:hAnsi="Arial"/>
          <w:sz w:val="14"/>
          <w:szCs w:val="14"/>
          <w:color w:val="auto"/>
        </w:rPr>
        <w:t>Sublicensor shall reasonably respond to these requests and conduct these procedures after obtaining the consent of Sublicensee.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7159625" cy="6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74"/>
          </w:cols>
          <w:pgMar w:left="306" w:top="733" w:right="319" w:bottom="1440" w:gutter="0" w:footer="0" w:header="0"/>
        </w:sectPr>
      </w:pPr>
    </w:p>
    <w:bookmarkStart w:id="287" w:name="page288"/>
    <w:bookmarkEnd w:id="287"/>
    <w:p>
      <w:pPr>
        <w:jc w:val="both"/>
        <w:ind w:left="1034" w:hanging="517"/>
        <w:spacing w:after="0" w:line="294" w:lineRule="auto"/>
        <w:tabs>
          <w:tab w:leader="none" w:pos="1013"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3"/>
          <w:szCs w:val="13"/>
          <w:u w:val="single" w:color="auto"/>
          <w:color w:val="auto"/>
        </w:rPr>
        <w:t>Expenses</w:t>
      </w:r>
      <w:r>
        <w:rPr>
          <w:rFonts w:ascii="Arial" w:cs="Arial" w:eastAsia="Arial" w:hAnsi="Arial"/>
          <w:sz w:val="13"/>
          <w:szCs w:val="13"/>
          <w:color w:val="auto"/>
        </w:rPr>
        <w:t>. During the Term, Sublicensee shall be responsible for the expenses (including expenses for work requested of third parties including patent attorneys, attorneys and</w:t>
      </w:r>
      <w:r>
        <w:rPr>
          <w:rFonts w:ascii="Arial" w:cs="Arial" w:eastAsia="Arial" w:hAnsi="Arial"/>
          <w:sz w:val="13"/>
          <w:szCs w:val="13"/>
          <w:u w:val="single" w:color="auto"/>
          <w:color w:val="auto"/>
        </w:rPr>
        <w:t xml:space="preserve"> </w:t>
      </w:r>
      <w:r>
        <w:rPr>
          <w:rFonts w:ascii="Arial" w:cs="Arial" w:eastAsia="Arial" w:hAnsi="Arial"/>
          <w:sz w:val="13"/>
          <w:szCs w:val="13"/>
          <w:color w:val="auto"/>
        </w:rPr>
        <w:t>local agents outside of the United States as well as translation expenses) required for the acquisition of rights for the Licensed Rights in the Licensed Territories as well as the maintenance of patent rights within the Licensed Rights. If Sublicensor makes any such payment on behalf of Sublicensee in advance, Sublicensor shall obtain the prior written consent of Sublicensee for the advance payment total and the payment details and Sublicensee shall reimburse Sublicensor for such pre-approved expenses.</w:t>
      </w:r>
    </w:p>
    <w:p>
      <w:pPr>
        <w:spacing w:after="0" w:line="131" w:lineRule="exact"/>
        <w:rPr>
          <w:sz w:val="20"/>
          <w:szCs w:val="20"/>
          <w:color w:val="auto"/>
        </w:rPr>
      </w:pPr>
    </w:p>
    <w:p>
      <w:pPr>
        <w:jc w:val="both"/>
        <w:ind w:left="1034" w:hanging="517"/>
        <w:spacing w:after="0" w:line="303" w:lineRule="auto"/>
        <w:tabs>
          <w:tab w:leader="none" w:pos="1013"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3"/>
          <w:szCs w:val="13"/>
          <w:u w:val="single" w:color="auto"/>
          <w:color w:val="auto"/>
        </w:rPr>
        <w:t>Patent Decisions</w:t>
      </w:r>
      <w:r>
        <w:rPr>
          <w:rFonts w:ascii="Arial" w:cs="Arial" w:eastAsia="Arial" w:hAnsi="Arial"/>
          <w:sz w:val="13"/>
          <w:szCs w:val="13"/>
          <w:color w:val="auto"/>
        </w:rPr>
        <w:t>. Regarding the Licensed Patents, if there has been a final rejection, trial decision of refusal, a filing of opposition to the granting of a patent, a revocation</w:t>
      </w:r>
      <w:r>
        <w:rPr>
          <w:rFonts w:ascii="Arial" w:cs="Arial" w:eastAsia="Arial" w:hAnsi="Arial"/>
          <w:sz w:val="13"/>
          <w:szCs w:val="13"/>
          <w:u w:val="single" w:color="auto"/>
          <w:color w:val="auto"/>
        </w:rPr>
        <w:t xml:space="preserve"> </w:t>
      </w:r>
      <w:r>
        <w:rPr>
          <w:rFonts w:ascii="Arial" w:cs="Arial" w:eastAsia="Arial" w:hAnsi="Arial"/>
          <w:sz w:val="13"/>
          <w:szCs w:val="13"/>
          <w:color w:val="auto"/>
        </w:rPr>
        <w:t>decision, a request for a trial for patent invalidation, a trial decision to invalidate a patent, or a revocation decision or a decision to invalidate a patent has been confirmed or a request has been rejected, and circumstances impacting the Licensed Rights have arisen, Sublicensor shall immediately notify Sublicensee of such facts.</w:t>
      </w:r>
    </w:p>
    <w:p>
      <w:pPr>
        <w:spacing w:after="0" w:line="124" w:lineRule="exact"/>
        <w:rPr>
          <w:sz w:val="20"/>
          <w:szCs w:val="20"/>
          <w:color w:val="auto"/>
        </w:rPr>
      </w:pPr>
    </w:p>
    <w:p>
      <w:pPr>
        <w:ind w:left="514"/>
        <w:spacing w:after="0"/>
        <w:tabs>
          <w:tab w:leader="none" w:pos="1013" w:val="left"/>
        </w:tabs>
        <w:rPr>
          <w:sz w:val="20"/>
          <w:szCs w:val="20"/>
          <w:color w:val="auto"/>
        </w:rPr>
      </w:pPr>
      <w:r>
        <w:rPr>
          <w:rFonts w:ascii="Arial" w:cs="Arial" w:eastAsia="Arial" w:hAnsi="Arial"/>
          <w:sz w:val="14"/>
          <w:szCs w:val="14"/>
          <w:color w:val="auto"/>
        </w:rPr>
        <w:t>9.5.</w:t>
      </w:r>
      <w:r>
        <w:rPr>
          <w:sz w:val="20"/>
          <w:szCs w:val="20"/>
          <w:color w:val="auto"/>
        </w:rPr>
        <w:tab/>
      </w:r>
      <w:r>
        <w:rPr>
          <w:rFonts w:ascii="Arial" w:cs="Arial" w:eastAsia="Arial" w:hAnsi="Arial"/>
          <w:sz w:val="13"/>
          <w:szCs w:val="13"/>
          <w:u w:val="single" w:color="auto"/>
          <w:color w:val="auto"/>
        </w:rPr>
        <w:t>No Abandonment</w:t>
      </w:r>
      <w:r>
        <w:rPr>
          <w:rFonts w:ascii="Arial" w:cs="Arial" w:eastAsia="Arial" w:hAnsi="Arial"/>
          <w:sz w:val="13"/>
          <w:szCs w:val="13"/>
          <w:color w:val="auto"/>
        </w:rPr>
        <w:t>. Sublicensor shall not abandon rights to any of the Licensed Patents without the prior written consent of Sublicensee.</w:t>
      </w:r>
    </w:p>
    <w:p>
      <w:pPr>
        <w:spacing w:after="0" w:line="184" w:lineRule="exact"/>
        <w:rPr>
          <w:sz w:val="20"/>
          <w:szCs w:val="20"/>
          <w:color w:val="auto"/>
        </w:rPr>
      </w:pPr>
    </w:p>
    <w:p>
      <w:pPr>
        <w:ind w:left="514"/>
        <w:spacing w:after="0"/>
        <w:tabs>
          <w:tab w:leader="none" w:pos="1013" w:val="left"/>
        </w:tabs>
        <w:rPr>
          <w:sz w:val="20"/>
          <w:szCs w:val="20"/>
          <w:color w:val="auto"/>
        </w:rPr>
      </w:pPr>
      <w:r>
        <w:rPr>
          <w:rFonts w:ascii="Arial" w:cs="Arial" w:eastAsia="Arial" w:hAnsi="Arial"/>
          <w:sz w:val="14"/>
          <w:szCs w:val="14"/>
          <w:color w:val="auto"/>
        </w:rPr>
        <w:t>9.6.</w:t>
      </w:r>
      <w:r>
        <w:rPr>
          <w:sz w:val="20"/>
          <w:szCs w:val="20"/>
          <w:color w:val="auto"/>
        </w:rPr>
        <w:tab/>
      </w:r>
      <w:r>
        <w:rPr>
          <w:rFonts w:ascii="Arial" w:cs="Arial" w:eastAsia="Arial" w:hAnsi="Arial"/>
          <w:sz w:val="13"/>
          <w:szCs w:val="13"/>
          <w:u w:val="single" w:color="auto"/>
          <w:color w:val="auto"/>
        </w:rPr>
        <w:t>Revisions</w:t>
      </w:r>
      <w:r>
        <w:rPr>
          <w:rFonts w:ascii="Arial" w:cs="Arial" w:eastAsia="Arial" w:hAnsi="Arial"/>
          <w:sz w:val="13"/>
          <w:szCs w:val="13"/>
          <w:color w:val="auto"/>
        </w:rPr>
        <w:t>. Sublicensor shall obtain the prior written consent of Sublicensee if revising specifications and drawings pertaining to the Licensed Patents.</w:t>
      </w:r>
    </w:p>
    <w:p>
      <w:pPr>
        <w:spacing w:after="0" w:line="184" w:lineRule="exact"/>
        <w:rPr>
          <w:sz w:val="20"/>
          <w:szCs w:val="20"/>
          <w:color w:val="auto"/>
        </w:rPr>
      </w:pPr>
    </w:p>
    <w:p>
      <w:pPr>
        <w:jc w:val="both"/>
        <w:ind w:left="1034" w:hanging="517"/>
        <w:spacing w:after="0" w:line="273" w:lineRule="auto"/>
        <w:tabs>
          <w:tab w:leader="none" w:pos="1013" w:val="left"/>
        </w:tabs>
        <w:rPr>
          <w:sz w:val="20"/>
          <w:szCs w:val="20"/>
          <w:color w:val="auto"/>
        </w:rPr>
      </w:pPr>
      <w:r>
        <w:rPr>
          <w:rFonts w:ascii="Arial" w:cs="Arial" w:eastAsia="Arial" w:hAnsi="Arial"/>
          <w:sz w:val="14"/>
          <w:szCs w:val="14"/>
          <w:color w:val="auto"/>
        </w:rPr>
        <w:t>9.7.</w:t>
      </w:r>
      <w:r>
        <w:rPr>
          <w:sz w:val="20"/>
          <w:szCs w:val="20"/>
          <w:color w:val="auto"/>
        </w:rPr>
        <w:tab/>
      </w:r>
      <w:r>
        <w:rPr>
          <w:rFonts w:ascii="Arial" w:cs="Arial" w:eastAsia="Arial" w:hAnsi="Arial"/>
          <w:sz w:val="14"/>
          <w:szCs w:val="14"/>
          <w:u w:val="single" w:color="auto"/>
          <w:color w:val="auto"/>
        </w:rPr>
        <w:t>Responsibility for Licensed Patents</w:t>
      </w:r>
      <w:r>
        <w:rPr>
          <w:rFonts w:ascii="Arial" w:cs="Arial" w:eastAsia="Arial" w:hAnsi="Arial"/>
          <w:sz w:val="14"/>
          <w:szCs w:val="14"/>
          <w:color w:val="auto"/>
        </w:rPr>
        <w:t>. Notwithstanding anything herein to the contrary, Sublicensee will control and be responsible for preparing, filing, prosecuting, extending and</w:t>
      </w:r>
      <w:r>
        <w:rPr>
          <w:rFonts w:ascii="Arial" w:cs="Arial" w:eastAsia="Arial" w:hAnsi="Arial"/>
          <w:sz w:val="14"/>
          <w:szCs w:val="14"/>
          <w:u w:val="single" w:color="auto"/>
          <w:color w:val="auto"/>
        </w:rPr>
        <w:t xml:space="preserve"> </w:t>
      </w:r>
      <w:r>
        <w:rPr>
          <w:rFonts w:ascii="Arial" w:cs="Arial" w:eastAsia="Arial" w:hAnsi="Arial"/>
          <w:sz w:val="14"/>
          <w:szCs w:val="14"/>
          <w:color w:val="auto"/>
        </w:rPr>
        <w:t>maintaining patent rights within the Licensed Patents in the Licensed Territories. Sublicensee will have the first right to defend such patent rights and enforce them within the scope of this Agreement.</w:t>
      </w:r>
    </w:p>
    <w:p>
      <w:pPr>
        <w:spacing w:after="0" w:line="137" w:lineRule="exact"/>
        <w:rPr>
          <w:sz w:val="20"/>
          <w:szCs w:val="20"/>
          <w:color w:val="auto"/>
        </w:rPr>
      </w:pPr>
    </w:p>
    <w:p>
      <w:pPr>
        <w:ind w:left="514" w:hanging="514"/>
        <w:spacing w:after="0"/>
        <w:tabs>
          <w:tab w:leader="none" w:pos="514" w:val="left"/>
        </w:tabs>
        <w:numPr>
          <w:ilvl w:val="0"/>
          <w:numId w:val="154"/>
        </w:numPr>
        <w:rPr>
          <w:rFonts w:ascii="Arial" w:cs="Arial" w:eastAsia="Arial" w:hAnsi="Arial"/>
          <w:sz w:val="14"/>
          <w:szCs w:val="14"/>
          <w:color w:val="auto"/>
        </w:rPr>
      </w:pPr>
      <w:r>
        <w:rPr>
          <w:rFonts w:ascii="Arial" w:cs="Arial" w:eastAsia="Arial" w:hAnsi="Arial"/>
          <w:sz w:val="14"/>
          <w:szCs w:val="14"/>
          <w:b w:val="1"/>
          <w:bCs w:val="1"/>
          <w:color w:val="auto"/>
        </w:rPr>
        <w:t>Term and Termination</w:t>
      </w:r>
    </w:p>
    <w:p>
      <w:pPr>
        <w:spacing w:after="0" w:line="188" w:lineRule="exact"/>
        <w:rPr>
          <w:rFonts w:ascii="Arial" w:cs="Arial" w:eastAsia="Arial" w:hAnsi="Arial"/>
          <w:sz w:val="14"/>
          <w:szCs w:val="14"/>
          <w:color w:val="auto"/>
        </w:rPr>
      </w:pPr>
    </w:p>
    <w:p>
      <w:pPr>
        <w:ind w:left="1034" w:hanging="518"/>
        <w:spacing w:after="0" w:line="288" w:lineRule="auto"/>
        <w:rPr>
          <w:rFonts w:ascii="Arial" w:cs="Arial" w:eastAsia="Arial" w:hAnsi="Arial"/>
          <w:sz w:val="14"/>
          <w:szCs w:val="14"/>
          <w:color w:val="auto"/>
        </w:rPr>
      </w:pPr>
      <w:r>
        <w:rPr>
          <w:rFonts w:ascii="Arial" w:cs="Arial" w:eastAsia="Arial" w:hAnsi="Arial"/>
          <w:sz w:val="14"/>
          <w:szCs w:val="14"/>
          <w:color w:val="auto"/>
        </w:rPr>
        <w:t xml:space="preserve">10.1. </w:t>
      </w:r>
      <w:r>
        <w:rPr>
          <w:rFonts w:ascii="Arial" w:cs="Arial" w:eastAsia="Arial" w:hAnsi="Arial"/>
          <w:sz w:val="14"/>
          <w:szCs w:val="14"/>
          <w:u w:val="single" w:color="auto"/>
          <w:color w:val="auto"/>
        </w:rPr>
        <w:t>Term</w:t>
      </w:r>
      <w:r>
        <w:rPr>
          <w:rFonts w:ascii="Arial" w:cs="Arial" w:eastAsia="Arial" w:hAnsi="Arial"/>
          <w:sz w:val="14"/>
          <w:szCs w:val="14"/>
          <w:color w:val="auto"/>
        </w:rPr>
        <w:t>. The term of this Agreement shall begin on the Effective Date and shall, unless earlier terminated as provided herein, continue until the later of March 31, 2027 or the last-to-expire Valid Claim claiming or covering a Licensed Product under this Agreement expires.</w:t>
      </w:r>
    </w:p>
    <w:p>
      <w:pPr>
        <w:spacing w:after="0" w:line="132" w:lineRule="exact"/>
        <w:rPr>
          <w:sz w:val="20"/>
          <w:szCs w:val="20"/>
          <w:color w:val="auto"/>
        </w:rPr>
      </w:pPr>
    </w:p>
    <w:p>
      <w:pPr>
        <w:ind w:left="514"/>
        <w:spacing w:after="0"/>
        <w:tabs>
          <w:tab w:leader="none" w:pos="1013"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3"/>
          <w:szCs w:val="13"/>
          <w:u w:val="single" w:color="auto"/>
          <w:color w:val="auto"/>
        </w:rPr>
        <w:t>Sublicensor’s Right to Terminate</w:t>
      </w:r>
      <w:r>
        <w:rPr>
          <w:rFonts w:ascii="Arial" w:cs="Arial" w:eastAsia="Arial" w:hAnsi="Arial"/>
          <w:sz w:val="13"/>
          <w:szCs w:val="13"/>
          <w:color w:val="auto"/>
        </w:rPr>
        <w:t>. Under the following circumstances, in addition to any other rights of Sublicensor hereunder, Sublicensor may terminate this Agreement upon</w:t>
      </w:r>
    </w:p>
    <w:p>
      <w:pPr>
        <w:spacing w:after="0" w:line="21" w:lineRule="exact"/>
        <w:rPr>
          <w:sz w:val="20"/>
          <w:szCs w:val="20"/>
          <w:color w:val="auto"/>
        </w:rPr>
      </w:pPr>
    </w:p>
    <w:p>
      <w:pPr>
        <w:ind w:left="1034"/>
        <w:spacing w:after="0"/>
        <w:rPr>
          <w:sz w:val="20"/>
          <w:szCs w:val="20"/>
          <w:color w:val="auto"/>
        </w:rPr>
      </w:pPr>
      <w:r>
        <w:rPr>
          <w:rFonts w:ascii="Arial" w:cs="Arial" w:eastAsia="Arial" w:hAnsi="Arial"/>
          <w:sz w:val="14"/>
          <w:szCs w:val="14"/>
          <w:color w:val="auto"/>
        </w:rPr>
        <w:t>(30) day’s prior notice to Sublicensee without incurring any liability if:</w:t>
      </w:r>
    </w:p>
    <w:p>
      <w:pPr>
        <w:spacing w:after="0" w:line="175" w:lineRule="exact"/>
        <w:rPr>
          <w:sz w:val="20"/>
          <w:szCs w:val="20"/>
          <w:color w:val="auto"/>
        </w:rPr>
      </w:pPr>
    </w:p>
    <w:p>
      <w:pPr>
        <w:jc w:val="both"/>
        <w:ind w:left="1034"/>
        <w:spacing w:after="0" w:line="273" w:lineRule="auto"/>
        <w:rPr>
          <w:sz w:val="20"/>
          <w:szCs w:val="20"/>
          <w:color w:val="auto"/>
        </w:rPr>
      </w:pPr>
      <w:r>
        <w:rPr>
          <w:rFonts w:ascii="Arial" w:cs="Arial" w:eastAsia="Arial" w:hAnsi="Arial"/>
          <w:sz w:val="14"/>
          <w:szCs w:val="14"/>
          <w:color w:val="auto"/>
        </w:rPr>
        <w:t>10.2.1. Sublicensee has not made a payment of an amount not subject to a good faith dispute as provided for in this Agreement within sixty (60) days after such payment becomes due, or if Sublicensee otherwise materially breaches any term of this Agreement and does not cure such breach within thirty (30) days of receiving written notice thereof from Sublicensor.</w:t>
      </w:r>
    </w:p>
    <w:p>
      <w:pPr>
        <w:spacing w:after="0" w:line="141" w:lineRule="exact"/>
        <w:rPr>
          <w:sz w:val="20"/>
          <w:szCs w:val="20"/>
          <w:color w:val="auto"/>
        </w:rPr>
      </w:pPr>
    </w:p>
    <w:p>
      <w:pPr>
        <w:ind w:left="514"/>
        <w:spacing w:after="0"/>
        <w:tabs>
          <w:tab w:leader="none" w:pos="1013"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2"/>
          <w:szCs w:val="12"/>
          <w:u w:val="single" w:color="auto"/>
          <w:color w:val="auto"/>
        </w:rPr>
        <w:t>Sublicensee’s Right to Terminate</w:t>
      </w:r>
      <w:r>
        <w:rPr>
          <w:rFonts w:ascii="Arial" w:cs="Arial" w:eastAsia="Arial" w:hAnsi="Arial"/>
          <w:sz w:val="12"/>
          <w:szCs w:val="12"/>
          <w:color w:val="auto"/>
        </w:rPr>
        <w:t>. In addition to any other rights of Sublicensee hereunder, Sublicensee may terminate this Agreement:</w:t>
      </w:r>
    </w:p>
    <w:p>
      <w:pPr>
        <w:spacing w:after="0" w:line="184" w:lineRule="exact"/>
        <w:rPr>
          <w:sz w:val="20"/>
          <w:szCs w:val="20"/>
          <w:color w:val="auto"/>
        </w:rPr>
      </w:pPr>
    </w:p>
    <w:p>
      <w:pPr>
        <w:jc w:val="both"/>
        <w:ind w:left="1034"/>
        <w:spacing w:after="0" w:line="273" w:lineRule="auto"/>
        <w:rPr>
          <w:sz w:val="20"/>
          <w:szCs w:val="20"/>
          <w:color w:val="auto"/>
        </w:rPr>
      </w:pPr>
      <w:r>
        <w:rPr>
          <w:rFonts w:ascii="Arial" w:cs="Arial" w:eastAsia="Arial" w:hAnsi="Arial"/>
          <w:sz w:val="14"/>
          <w:szCs w:val="14"/>
          <w:color w:val="auto"/>
        </w:rPr>
        <w:t>10.3.1. Upon ninety (90) days prior written notice to Sublicensor without incurring any liability if any third party brings a claim against Sublicensee over the Licensed Patents or the Technology Information, which the parties reasonably believe may render achievement of their intent under this Agreement impossible, and such claim is not settled by Sublicensor within ninety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7159625" cy="6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74"/>
          </w:cols>
          <w:pgMar w:left="306" w:top="733" w:right="319" w:bottom="1440" w:gutter="0" w:footer="0" w:header="0"/>
        </w:sectPr>
      </w:pPr>
    </w:p>
    <w:bookmarkStart w:id="288" w:name="page289"/>
    <w:bookmarkEnd w:id="288"/>
    <w:p>
      <w:pPr>
        <w:ind w:left="1034"/>
        <w:spacing w:after="0"/>
        <w:tabs>
          <w:tab w:leader="none" w:pos="1553" w:val="left"/>
        </w:tabs>
        <w:rPr>
          <w:sz w:val="20"/>
          <w:szCs w:val="20"/>
          <w:color w:val="auto"/>
        </w:rPr>
      </w:pPr>
      <w:r>
        <w:rPr>
          <w:rFonts w:ascii="Arial" w:cs="Arial" w:eastAsia="Arial" w:hAnsi="Arial"/>
          <w:sz w:val="14"/>
          <w:szCs w:val="14"/>
          <w:color w:val="auto"/>
        </w:rPr>
        <w:t>10.3.2.</w:t>
      </w:r>
      <w:r>
        <w:rPr>
          <w:sz w:val="20"/>
          <w:szCs w:val="20"/>
          <w:color w:val="auto"/>
        </w:rPr>
        <w:tab/>
      </w:r>
      <w:r>
        <w:rPr>
          <w:rFonts w:ascii="Arial" w:cs="Arial" w:eastAsia="Arial" w:hAnsi="Arial"/>
          <w:sz w:val="13"/>
          <w:szCs w:val="13"/>
          <w:color w:val="auto"/>
        </w:rPr>
        <w:t>Upon sixty (60) days prior written notice.</w:t>
      </w:r>
    </w:p>
    <w:p>
      <w:pPr>
        <w:spacing w:after="0" w:line="184" w:lineRule="exact"/>
        <w:rPr>
          <w:sz w:val="20"/>
          <w:szCs w:val="20"/>
          <w:color w:val="auto"/>
        </w:rPr>
      </w:pPr>
    </w:p>
    <w:p>
      <w:pPr>
        <w:jc w:val="both"/>
        <w:ind w:left="1034" w:hanging="517"/>
        <w:spacing w:after="0" w:line="273" w:lineRule="auto"/>
        <w:tabs>
          <w:tab w:leader="none" w:pos="1013" w:val="left"/>
        </w:tabs>
        <w:rPr>
          <w:sz w:val="20"/>
          <w:szCs w:val="20"/>
          <w:color w:val="auto"/>
        </w:rPr>
      </w:pPr>
      <w:r>
        <w:rPr>
          <w:rFonts w:ascii="Arial" w:cs="Arial" w:eastAsia="Arial" w:hAnsi="Arial"/>
          <w:sz w:val="14"/>
          <w:szCs w:val="14"/>
          <w:color w:val="auto"/>
        </w:rPr>
        <w:t>10.4.</w:t>
        <w:tab/>
        <w:t>The parties agree that in the event of any termination of the UTokyo License with respect to any Licensed Rights sublicensed to Sublicensee hereunder, Sublicensee shall have any rights available under the UTokyo License to become a direct licensee of the licensor under such UTokyo License, and Sublicensor shall use its good faith efforts to assist Sublicensee in exercising such rights.</w:t>
      </w:r>
    </w:p>
    <w:p>
      <w:pPr>
        <w:spacing w:after="0" w:line="137" w:lineRule="exact"/>
        <w:rPr>
          <w:sz w:val="20"/>
          <w:szCs w:val="20"/>
          <w:color w:val="auto"/>
        </w:rPr>
      </w:pPr>
    </w:p>
    <w:p>
      <w:pPr>
        <w:ind w:left="514" w:hanging="514"/>
        <w:spacing w:after="0"/>
        <w:tabs>
          <w:tab w:leader="none" w:pos="514" w:val="left"/>
        </w:tabs>
        <w:numPr>
          <w:ilvl w:val="0"/>
          <w:numId w:val="155"/>
        </w:numPr>
        <w:rPr>
          <w:rFonts w:ascii="Arial" w:cs="Arial" w:eastAsia="Arial" w:hAnsi="Arial"/>
          <w:sz w:val="14"/>
          <w:szCs w:val="14"/>
          <w:color w:val="auto"/>
        </w:rPr>
      </w:pPr>
      <w:r>
        <w:rPr>
          <w:rFonts w:ascii="Arial" w:cs="Arial" w:eastAsia="Arial" w:hAnsi="Arial"/>
          <w:sz w:val="14"/>
          <w:szCs w:val="14"/>
          <w:b w:val="1"/>
          <w:bCs w:val="1"/>
          <w:color w:val="auto"/>
        </w:rPr>
        <w:t>Confidentiality</w:t>
      </w:r>
    </w:p>
    <w:p>
      <w:pPr>
        <w:spacing w:after="0" w:line="184" w:lineRule="exact"/>
        <w:rPr>
          <w:rFonts w:ascii="Arial" w:cs="Arial" w:eastAsia="Arial" w:hAnsi="Arial"/>
          <w:sz w:val="14"/>
          <w:szCs w:val="14"/>
          <w:color w:val="auto"/>
        </w:rPr>
      </w:pPr>
    </w:p>
    <w:p>
      <w:pPr>
        <w:jc w:val="right"/>
        <w:ind w:left="1034" w:hanging="518"/>
        <w:spacing w:after="0" w:line="281" w:lineRule="auto"/>
        <w:rPr>
          <w:rFonts w:ascii="Arial" w:cs="Arial" w:eastAsia="Arial" w:hAnsi="Arial"/>
          <w:sz w:val="14"/>
          <w:szCs w:val="14"/>
          <w:color w:val="auto"/>
        </w:rPr>
      </w:pPr>
      <w:r>
        <w:rPr>
          <w:rFonts w:ascii="Arial" w:cs="Arial" w:eastAsia="Arial" w:hAnsi="Arial"/>
          <w:sz w:val="13"/>
          <w:szCs w:val="13"/>
          <w:color w:val="auto"/>
        </w:rPr>
        <w:t xml:space="preserve">11.1.   </w:t>
      </w:r>
      <w:r>
        <w:rPr>
          <w:rFonts w:ascii="Arial" w:cs="Arial" w:eastAsia="Arial" w:hAnsi="Arial"/>
          <w:sz w:val="13"/>
          <w:szCs w:val="13"/>
          <w:u w:val="single" w:color="auto"/>
          <w:color w:val="auto"/>
        </w:rPr>
        <w:t>Definition of Confidential Information</w:t>
      </w:r>
      <w:r>
        <w:rPr>
          <w:rFonts w:ascii="Arial" w:cs="Arial" w:eastAsia="Arial" w:hAnsi="Arial"/>
          <w:sz w:val="13"/>
          <w:szCs w:val="13"/>
          <w:color w:val="auto"/>
        </w:rPr>
        <w:t>. “</w:t>
      </w:r>
      <w:r>
        <w:rPr>
          <w:rFonts w:ascii="Arial" w:cs="Arial" w:eastAsia="Arial" w:hAnsi="Arial"/>
          <w:sz w:val="13"/>
          <w:szCs w:val="13"/>
          <w:b w:val="1"/>
          <w:bCs w:val="1"/>
          <w:color w:val="auto"/>
        </w:rPr>
        <w:t>Confidential Information</w:t>
      </w:r>
      <w:r>
        <w:rPr>
          <w:rFonts w:ascii="Arial" w:cs="Arial" w:eastAsia="Arial" w:hAnsi="Arial"/>
          <w:sz w:val="13"/>
          <w:szCs w:val="13"/>
          <w:color w:val="auto"/>
        </w:rPr>
        <w:t>” shall mean proprietary or confidential information provided or disclosed by or on behalf of one party (the “</w:t>
      </w:r>
      <w:r>
        <w:rPr>
          <w:rFonts w:ascii="Arial" w:cs="Arial" w:eastAsia="Arial" w:hAnsi="Arial"/>
          <w:sz w:val="13"/>
          <w:szCs w:val="13"/>
          <w:b w:val="1"/>
          <w:bCs w:val="1"/>
          <w:color w:val="auto"/>
        </w:rPr>
        <w:t>Disclosing Party</w:t>
      </w:r>
      <w:r>
        <w:rPr>
          <w:rFonts w:ascii="Arial" w:cs="Arial" w:eastAsia="Arial" w:hAnsi="Arial"/>
          <w:sz w:val="13"/>
          <w:szCs w:val="13"/>
          <w:color w:val="auto"/>
        </w:rPr>
        <w:t>”) to the other party (the “</w:t>
      </w:r>
      <w:r>
        <w:rPr>
          <w:rFonts w:ascii="Arial" w:cs="Arial" w:eastAsia="Arial" w:hAnsi="Arial"/>
          <w:sz w:val="13"/>
          <w:szCs w:val="13"/>
          <w:b w:val="1"/>
          <w:bCs w:val="1"/>
          <w:color w:val="auto"/>
        </w:rPr>
        <w:t>Recipient</w:t>
      </w:r>
      <w:r>
        <w:rPr>
          <w:rFonts w:ascii="Arial" w:cs="Arial" w:eastAsia="Arial" w:hAnsi="Arial"/>
          <w:sz w:val="13"/>
          <w:szCs w:val="13"/>
          <w:color w:val="auto"/>
        </w:rPr>
        <w:t>”) in connection with this Agreement, regardless of the medium that (a) is orally disclosed and indicated at the time of disclosure to be confidential or is confirmed in writing within fourteen (14) days of disclosure to be confidential, or (b) information not disclosed by verbal means that is marked as confidential or proprietary, or (c) that would otherwise be understood to be confidential or proprietary by a reasonable person familiar with the Disclosing Party’s industry due to the nature and context of the disclosure. Confidential Information that falls under any of the following items shall be excluded from the definition of Confidential Information:</w:t>
      </w:r>
    </w:p>
    <w:p>
      <w:pPr>
        <w:spacing w:after="0" w:line="1" w:lineRule="exact"/>
        <w:rPr>
          <w:rFonts w:ascii="Arial" w:cs="Arial" w:eastAsia="Arial" w:hAnsi="Arial"/>
          <w:sz w:val="14"/>
          <w:szCs w:val="14"/>
          <w:color w:val="auto"/>
        </w:rPr>
      </w:pPr>
    </w:p>
    <w:p>
      <w:pPr>
        <w:jc w:val="both"/>
        <w:ind w:left="1034" w:firstLine="2"/>
        <w:spacing w:after="0" w:line="281" w:lineRule="auto"/>
        <w:tabs>
          <w:tab w:leader="none" w:pos="1205" w:val="left"/>
        </w:tabs>
        <w:numPr>
          <w:ilvl w:val="1"/>
          <w:numId w:val="155"/>
        </w:numPr>
        <w:rPr>
          <w:rFonts w:ascii="Arial" w:cs="Arial" w:eastAsia="Arial" w:hAnsi="Arial"/>
          <w:sz w:val="13"/>
          <w:szCs w:val="13"/>
          <w:color w:val="auto"/>
        </w:rPr>
      </w:pPr>
      <w:r>
        <w:rPr>
          <w:rFonts w:ascii="Arial" w:cs="Arial" w:eastAsia="Arial" w:hAnsi="Arial"/>
          <w:sz w:val="13"/>
          <w:szCs w:val="13"/>
          <w:color w:val="auto"/>
        </w:rPr>
        <w:t>information already in the possession of the Recipient at the time of provision or disclosure; (ii) information already publicly known at the time of provision or disclosure; (iii) information that became publicly known not due to the responsibility of the Recipient after provision or disclosure: (iv) information lawfully obtained from a third party with valid authority and no obligation of confidentiality to the Disclosing Party; (v) information independently developed by the Recipient without use of or reference to the Disclosing Party’s Confidential Information; or (vi) information with prior written consent to use or disclose from the Disclosing Party. The Recipient shall not use the Disclosing Party’s Confidential Information for any purpose other than to exercise its right or perform its obligations under this Agreement. The Recipient shall protect the confidentiality of the Disclosing Party’s Confidential Information using at least the same degree of care that it uses to protect its own confidential information of a similar nature, but in no event less than a reasonable degree of care. This Section 11 shall survive the expiration or termination of this Agreement for any reason for a period of five (5) years; provided, however, that this period can be lengthened or shortened upon written agreement between Sublicensor and Sublicensee. Nothing in this Agreement shall prohibit the Sublicensor from communicating certain terms of this Agreement to UTokyo to the extent necessary to comply with its obligations under the UTokyo License.</w:t>
      </w:r>
    </w:p>
    <w:p>
      <w:pPr>
        <w:spacing w:after="0" w:line="142" w:lineRule="exact"/>
        <w:rPr>
          <w:sz w:val="20"/>
          <w:szCs w:val="20"/>
          <w:color w:val="auto"/>
        </w:rPr>
      </w:pPr>
    </w:p>
    <w:p>
      <w:pPr>
        <w:jc w:val="both"/>
        <w:ind w:left="1034" w:hanging="517"/>
        <w:spacing w:after="0" w:line="267" w:lineRule="auto"/>
        <w:tabs>
          <w:tab w:leader="none" w:pos="1013" w:val="left"/>
        </w:tabs>
        <w:rPr>
          <w:sz w:val="20"/>
          <w:szCs w:val="20"/>
          <w:color w:val="auto"/>
        </w:rPr>
      </w:pPr>
      <w:r>
        <w:rPr>
          <w:rFonts w:ascii="Arial" w:cs="Arial" w:eastAsia="Arial" w:hAnsi="Arial"/>
          <w:sz w:val="14"/>
          <w:szCs w:val="14"/>
          <w:color w:val="auto"/>
        </w:rPr>
        <w:t>11.2.</w:t>
      </w:r>
      <w:r>
        <w:rPr>
          <w:sz w:val="20"/>
          <w:szCs w:val="20"/>
          <w:color w:val="auto"/>
        </w:rPr>
        <w:tab/>
      </w:r>
      <w:r>
        <w:rPr>
          <w:rFonts w:ascii="Arial" w:cs="Arial" w:eastAsia="Arial" w:hAnsi="Arial"/>
          <w:sz w:val="14"/>
          <w:szCs w:val="14"/>
          <w:u w:val="single" w:color="auto"/>
          <w:color w:val="auto"/>
        </w:rPr>
        <w:t>Third Party Disclosure</w:t>
      </w:r>
      <w:r>
        <w:rPr>
          <w:rFonts w:ascii="Arial" w:cs="Arial" w:eastAsia="Arial" w:hAnsi="Arial"/>
          <w:sz w:val="14"/>
          <w:szCs w:val="14"/>
          <w:color w:val="auto"/>
        </w:rPr>
        <w:t>. Neither party shall disclose the Disclosing Party’s Confidential Information to any party except its own executives, employees, Inventors and agents</w:t>
      </w:r>
      <w:r>
        <w:rPr>
          <w:rFonts w:ascii="Arial" w:cs="Arial" w:eastAsia="Arial" w:hAnsi="Arial"/>
          <w:sz w:val="14"/>
          <w:szCs w:val="14"/>
          <w:u w:val="single" w:color="auto"/>
          <w:color w:val="auto"/>
        </w:rPr>
        <w:t xml:space="preserve"> </w:t>
      </w:r>
      <w:r>
        <w:rPr>
          <w:rFonts w:ascii="Arial" w:cs="Arial" w:eastAsia="Arial" w:hAnsi="Arial"/>
          <w:sz w:val="14"/>
          <w:szCs w:val="14"/>
          <w:color w:val="auto"/>
        </w:rPr>
        <w:t>(including patent attorneys, attorneys, certified public accountants, tax accountants and consultants) who have a need to know such Confidential Information for the purpose of exercising the Recipient’s rights or performing the Recipient’s obligations under this Agreement and who have entered into a written confidentiality agreement with Recipient with provisions at least as restrictive as this Article 11 or who are subject to fiduciary obligations of nondisclosure and non-use.</w:t>
      </w:r>
    </w:p>
    <w:p>
      <w:pPr>
        <w:spacing w:after="0" w:line="147" w:lineRule="exact"/>
        <w:rPr>
          <w:sz w:val="20"/>
          <w:szCs w:val="20"/>
          <w:color w:val="auto"/>
        </w:rPr>
      </w:pPr>
    </w:p>
    <w:p>
      <w:pPr>
        <w:jc w:val="both"/>
        <w:ind w:left="1034" w:hanging="517"/>
        <w:spacing w:after="0" w:line="273" w:lineRule="auto"/>
        <w:tabs>
          <w:tab w:leader="none" w:pos="1013" w:val="left"/>
        </w:tabs>
        <w:rPr>
          <w:sz w:val="20"/>
          <w:szCs w:val="20"/>
          <w:color w:val="auto"/>
        </w:rPr>
      </w:pPr>
      <w:r>
        <w:rPr>
          <w:rFonts w:ascii="Arial" w:cs="Arial" w:eastAsia="Arial" w:hAnsi="Arial"/>
          <w:sz w:val="14"/>
          <w:szCs w:val="14"/>
          <w:color w:val="auto"/>
        </w:rPr>
        <w:t>11.3.</w:t>
      </w:r>
      <w:r>
        <w:rPr>
          <w:sz w:val="20"/>
          <w:szCs w:val="20"/>
          <w:color w:val="auto"/>
        </w:rPr>
        <w:tab/>
      </w:r>
      <w:r>
        <w:rPr>
          <w:rFonts w:ascii="Arial" w:cs="Arial" w:eastAsia="Arial" w:hAnsi="Arial"/>
          <w:sz w:val="14"/>
          <w:szCs w:val="14"/>
          <w:u w:val="single" w:color="auto"/>
          <w:color w:val="auto"/>
        </w:rPr>
        <w:t>Required Disclosure</w:t>
      </w:r>
      <w:r>
        <w:rPr>
          <w:rFonts w:ascii="Arial" w:cs="Arial" w:eastAsia="Arial" w:hAnsi="Arial"/>
          <w:sz w:val="14"/>
          <w:szCs w:val="14"/>
          <w:color w:val="auto"/>
        </w:rPr>
        <w:t>. Either party lawfully ordered to disclose the Disclosing Party’s Confidential Information by a court or government agency, may disclose such information</w:t>
      </w:r>
      <w:r>
        <w:rPr>
          <w:rFonts w:ascii="Arial" w:cs="Arial" w:eastAsia="Arial" w:hAnsi="Arial"/>
          <w:sz w:val="14"/>
          <w:szCs w:val="14"/>
          <w:u w:val="single" w:color="auto"/>
          <w:color w:val="auto"/>
        </w:rPr>
        <w:t xml:space="preserve"> </w:t>
      </w:r>
      <w:r>
        <w:rPr>
          <w:rFonts w:ascii="Arial" w:cs="Arial" w:eastAsia="Arial" w:hAnsi="Arial"/>
          <w:sz w:val="14"/>
          <w:szCs w:val="14"/>
          <w:color w:val="auto"/>
        </w:rPr>
        <w:t>to said court or government agency on the condition that: (i) such party notifies the other party of the details of the disclosure beforehand if legally permitted; (ii) the disclosure is limited to what has been legally ordered; and (iii) when making the disclosure, confidential treatment is requested for such information.</w:t>
      </w:r>
    </w:p>
    <w:p>
      <w:pPr>
        <w:spacing w:after="0" w:line="137" w:lineRule="exact"/>
        <w:rPr>
          <w:sz w:val="20"/>
          <w:szCs w:val="20"/>
          <w:color w:val="auto"/>
        </w:rPr>
      </w:pPr>
    </w:p>
    <w:p>
      <w:pPr>
        <w:ind w:left="514" w:hanging="514"/>
        <w:spacing w:after="0"/>
        <w:tabs>
          <w:tab w:leader="none" w:pos="514" w:val="left"/>
        </w:tabs>
        <w:numPr>
          <w:ilvl w:val="0"/>
          <w:numId w:val="156"/>
        </w:numPr>
        <w:rPr>
          <w:rFonts w:ascii="Arial" w:cs="Arial" w:eastAsia="Arial" w:hAnsi="Arial"/>
          <w:sz w:val="14"/>
          <w:szCs w:val="14"/>
          <w:color w:val="auto"/>
        </w:rPr>
      </w:pPr>
      <w:r>
        <w:rPr>
          <w:rFonts w:ascii="Arial" w:cs="Arial" w:eastAsia="Arial" w:hAnsi="Arial"/>
          <w:sz w:val="14"/>
          <w:szCs w:val="14"/>
          <w:b w:val="1"/>
          <w:bCs w:val="1"/>
          <w:color w:val="auto"/>
        </w:rPr>
        <w:t>Miscellaneous</w:t>
      </w:r>
      <w:r>
        <w:rPr>
          <w:rFonts w:ascii="Arial" w:cs="Arial" w:eastAsia="Arial" w:hAnsi="Arial"/>
          <w:sz w:val="14"/>
          <w:szCs w:val="14"/>
          <w:color w:val="auto"/>
        </w:rPr>
        <w:t>.</w:t>
      </w:r>
    </w:p>
    <w:p>
      <w:pPr>
        <w:spacing w:after="0" w:line="188" w:lineRule="exact"/>
        <w:rPr>
          <w:rFonts w:ascii="Arial" w:cs="Arial" w:eastAsia="Arial" w:hAnsi="Arial"/>
          <w:sz w:val="14"/>
          <w:szCs w:val="14"/>
          <w:color w:val="auto"/>
        </w:rPr>
      </w:pPr>
    </w:p>
    <w:p>
      <w:pPr>
        <w:ind w:left="1034" w:hanging="518"/>
        <w:spacing w:after="0" w:line="267" w:lineRule="auto"/>
        <w:rPr>
          <w:rFonts w:ascii="Arial" w:cs="Arial" w:eastAsia="Arial" w:hAnsi="Arial"/>
          <w:sz w:val="14"/>
          <w:szCs w:val="14"/>
          <w:color w:val="auto"/>
        </w:rPr>
      </w:pPr>
      <w:r>
        <w:rPr>
          <w:rFonts w:ascii="Arial" w:cs="Arial" w:eastAsia="Arial" w:hAnsi="Arial"/>
          <w:sz w:val="14"/>
          <w:szCs w:val="14"/>
          <w:color w:val="auto"/>
        </w:rPr>
        <w:t xml:space="preserve">12.1. </w:t>
      </w:r>
      <w:r>
        <w:rPr>
          <w:rFonts w:ascii="Arial" w:cs="Arial" w:eastAsia="Arial" w:hAnsi="Arial"/>
          <w:sz w:val="14"/>
          <w:szCs w:val="14"/>
          <w:u w:val="single" w:color="auto"/>
          <w:color w:val="auto"/>
        </w:rPr>
        <w:t>Assignment.</w:t>
      </w:r>
      <w:r>
        <w:rPr>
          <w:rFonts w:ascii="Arial" w:cs="Arial" w:eastAsia="Arial" w:hAnsi="Arial"/>
          <w:sz w:val="14"/>
          <w:szCs w:val="14"/>
          <w:color w:val="auto"/>
        </w:rPr>
        <w:t xml:space="preserve"> This Agreement shall inure to the benefit of and be binding upon the parties hereto and their respective successors, and permitted assigns. This Agreement shall be personal to each of the Sublicensee and Sublicensor and assignable or otherwise transferable only with the prior written consent of the other party, provided, however, that either party may assign or transfer this Agreement without the other party’s consent to an affiliate or to a successor by way of merger, consolidation or sale of all or substantially all of the assets to which this Agreement relates.</w:t>
      </w:r>
    </w:p>
    <w:p>
      <w:pPr>
        <w:spacing w:after="0" w:line="147" w:lineRule="exact"/>
        <w:rPr>
          <w:sz w:val="20"/>
          <w:szCs w:val="20"/>
          <w:color w:val="auto"/>
        </w:rPr>
      </w:pPr>
    </w:p>
    <w:p>
      <w:pPr>
        <w:jc w:val="both"/>
        <w:ind w:left="1034" w:hanging="517"/>
        <w:spacing w:after="0" w:line="288" w:lineRule="auto"/>
        <w:tabs>
          <w:tab w:leader="none" w:pos="1013" w:val="left"/>
        </w:tabs>
        <w:rPr>
          <w:sz w:val="20"/>
          <w:szCs w:val="20"/>
          <w:color w:val="auto"/>
        </w:rPr>
      </w:pPr>
      <w:r>
        <w:rPr>
          <w:rFonts w:ascii="Arial" w:cs="Arial" w:eastAsia="Arial" w:hAnsi="Arial"/>
          <w:sz w:val="14"/>
          <w:szCs w:val="14"/>
          <w:color w:val="auto"/>
        </w:rPr>
        <w:t>12.2.</w:t>
      </w:r>
      <w:r>
        <w:rPr>
          <w:sz w:val="20"/>
          <w:szCs w:val="20"/>
          <w:color w:val="auto"/>
        </w:rPr>
        <w:tab/>
      </w:r>
      <w:r>
        <w:rPr>
          <w:rFonts w:ascii="Arial" w:cs="Arial" w:eastAsia="Arial" w:hAnsi="Arial"/>
          <w:sz w:val="14"/>
          <w:szCs w:val="14"/>
          <w:u w:val="single" w:color="auto"/>
          <w:color w:val="auto"/>
        </w:rPr>
        <w:t>Notices</w:t>
      </w:r>
      <w:r>
        <w:rPr>
          <w:rFonts w:ascii="Arial" w:cs="Arial" w:eastAsia="Arial" w:hAnsi="Arial"/>
          <w:sz w:val="14"/>
          <w:szCs w:val="14"/>
          <w:color w:val="auto"/>
        </w:rPr>
        <w:t>. All notices and payments required or contemplated hereunder by one party to the other shall be in writing and shall be deemed to have been duly made and given upon</w:t>
      </w:r>
      <w:r>
        <w:rPr>
          <w:rFonts w:ascii="Arial" w:cs="Arial" w:eastAsia="Arial" w:hAnsi="Arial"/>
          <w:sz w:val="14"/>
          <w:szCs w:val="14"/>
          <w:u w:val="single" w:color="auto"/>
          <w:color w:val="auto"/>
        </w:rPr>
        <w:t xml:space="preserve"> </w:t>
      </w:r>
      <w:r>
        <w:rPr>
          <w:rFonts w:ascii="Arial" w:cs="Arial" w:eastAsia="Arial" w:hAnsi="Arial"/>
          <w:sz w:val="14"/>
          <w:szCs w:val="14"/>
          <w:color w:val="auto"/>
        </w:rPr>
        <w:t>delivery if in person or by mailing if mailed by first-class mail, postage prepaid, and addressed as follows:</w:t>
      </w:r>
    </w:p>
    <w:p>
      <w:pPr>
        <w:spacing w:after="0" w:line="132" w:lineRule="exact"/>
        <w:rPr>
          <w:sz w:val="20"/>
          <w:szCs w:val="20"/>
          <w:color w:val="auto"/>
        </w:rPr>
      </w:pPr>
    </w:p>
    <w:p>
      <w:pPr>
        <w:ind w:left="1034"/>
        <w:spacing w:after="0"/>
        <w:rPr>
          <w:sz w:val="20"/>
          <w:szCs w:val="20"/>
          <w:color w:val="auto"/>
        </w:rPr>
      </w:pPr>
      <w:r>
        <w:rPr>
          <w:rFonts w:ascii="Arial" w:cs="Arial" w:eastAsia="Arial" w:hAnsi="Arial"/>
          <w:sz w:val="14"/>
          <w:szCs w:val="14"/>
          <w:color w:val="auto"/>
        </w:rPr>
        <w:t>to Sublicensor: Tokyo Twin Parks 25-26 FL (2505),</w:t>
      </w:r>
    </w:p>
    <w:p>
      <w:pPr>
        <w:spacing w:after="0" w:line="184" w:lineRule="exact"/>
        <w:rPr>
          <w:sz w:val="20"/>
          <w:szCs w:val="20"/>
          <w:color w:val="auto"/>
        </w:rPr>
      </w:pPr>
    </w:p>
    <w:p>
      <w:pPr>
        <w:ind w:left="1954"/>
        <w:spacing w:after="0"/>
        <w:rPr>
          <w:sz w:val="20"/>
          <w:szCs w:val="20"/>
          <w:color w:val="auto"/>
        </w:rPr>
      </w:pPr>
      <w:r>
        <w:rPr>
          <w:rFonts w:ascii="Arial" w:cs="Arial" w:eastAsia="Arial" w:hAnsi="Arial"/>
          <w:sz w:val="14"/>
          <w:szCs w:val="14"/>
          <w:color w:val="auto"/>
        </w:rPr>
        <w:t>Higashi-Shinbashi 1-10-2, Minato-ku, Tokyo 105-0021 Japan,</w:t>
      </w:r>
    </w:p>
    <w:p>
      <w:pPr>
        <w:spacing w:after="0" w:line="184" w:lineRule="exact"/>
        <w:rPr>
          <w:sz w:val="20"/>
          <w:szCs w:val="20"/>
          <w:color w:val="auto"/>
        </w:rPr>
      </w:pPr>
    </w:p>
    <w:p>
      <w:pPr>
        <w:ind w:left="1034"/>
        <w:spacing w:after="0"/>
        <w:rPr>
          <w:sz w:val="20"/>
          <w:szCs w:val="20"/>
          <w:color w:val="auto"/>
        </w:rPr>
      </w:pPr>
      <w:r>
        <w:rPr>
          <w:rFonts w:ascii="Arial" w:cs="Arial" w:eastAsia="Arial" w:hAnsi="Arial"/>
          <w:sz w:val="14"/>
          <w:szCs w:val="14"/>
          <w:color w:val="auto"/>
        </w:rPr>
        <w:t>to Sublicensee: Century Therapeutics, LLC</w:t>
      </w:r>
    </w:p>
    <w:p>
      <w:pPr>
        <w:spacing w:after="0" w:line="184" w:lineRule="exact"/>
        <w:rPr>
          <w:sz w:val="20"/>
          <w:szCs w:val="20"/>
          <w:color w:val="auto"/>
        </w:rPr>
      </w:pPr>
    </w:p>
    <w:p>
      <w:pPr>
        <w:ind w:left="1954"/>
        <w:spacing w:after="0"/>
        <w:rPr>
          <w:sz w:val="20"/>
          <w:szCs w:val="20"/>
          <w:color w:val="auto"/>
        </w:rPr>
      </w:pPr>
      <w:r>
        <w:rPr>
          <w:rFonts w:ascii="Arial" w:cs="Arial" w:eastAsia="Arial" w:hAnsi="Arial"/>
          <w:sz w:val="14"/>
          <w:szCs w:val="14"/>
          <w:color w:val="auto"/>
        </w:rPr>
        <w:t>3675 Market St.</w:t>
      </w:r>
    </w:p>
    <w:p>
      <w:pPr>
        <w:spacing w:after="0" w:line="184" w:lineRule="exact"/>
        <w:rPr>
          <w:sz w:val="20"/>
          <w:szCs w:val="20"/>
          <w:color w:val="auto"/>
        </w:rPr>
      </w:pPr>
    </w:p>
    <w:p>
      <w:pPr>
        <w:ind w:left="1954"/>
        <w:spacing w:after="0"/>
        <w:rPr>
          <w:sz w:val="20"/>
          <w:szCs w:val="20"/>
          <w:color w:val="auto"/>
        </w:rPr>
      </w:pPr>
      <w:r>
        <w:rPr>
          <w:rFonts w:ascii="Arial" w:cs="Arial" w:eastAsia="Arial" w:hAnsi="Arial"/>
          <w:sz w:val="14"/>
          <w:szCs w:val="14"/>
          <w:color w:val="auto"/>
        </w:rPr>
        <w:t>Philadelphia, PA 19104</w:t>
      </w:r>
    </w:p>
    <w:p>
      <w:pPr>
        <w:spacing w:after="0" w:line="184" w:lineRule="exact"/>
        <w:rPr>
          <w:sz w:val="20"/>
          <w:szCs w:val="20"/>
          <w:color w:val="auto"/>
        </w:rPr>
      </w:pPr>
    </w:p>
    <w:p>
      <w:pPr>
        <w:ind w:left="1954"/>
        <w:spacing w:after="0"/>
        <w:rPr>
          <w:sz w:val="20"/>
          <w:szCs w:val="20"/>
          <w:color w:val="auto"/>
        </w:rPr>
      </w:pPr>
      <w:r>
        <w:rPr>
          <w:rFonts w:ascii="Arial" w:cs="Arial" w:eastAsia="Arial" w:hAnsi="Arial"/>
          <w:sz w:val="14"/>
          <w:szCs w:val="14"/>
          <w:color w:val="auto"/>
        </w:rPr>
        <w:t>Attn: Janelle R. Anderson</w:t>
      </w:r>
    </w:p>
    <w:p>
      <w:pPr>
        <w:spacing w:after="0" w:line="184" w:lineRule="exact"/>
        <w:rPr>
          <w:sz w:val="20"/>
          <w:szCs w:val="20"/>
          <w:color w:val="auto"/>
        </w:rPr>
      </w:pPr>
    </w:p>
    <w:p>
      <w:pPr>
        <w:ind w:left="1034"/>
        <w:spacing w:after="0"/>
        <w:rPr>
          <w:sz w:val="20"/>
          <w:szCs w:val="20"/>
          <w:color w:val="auto"/>
        </w:rPr>
      </w:pPr>
      <w:r>
        <w:rPr>
          <w:rFonts w:ascii="Arial" w:cs="Arial" w:eastAsia="Arial" w:hAnsi="Arial"/>
          <w:sz w:val="14"/>
          <w:szCs w:val="14"/>
          <w:color w:val="auto"/>
        </w:rPr>
        <w:t>Either party may change its address for the purpose of this Agreement by notice in writing to the other party.</w:t>
      </w:r>
    </w:p>
    <w:p>
      <w:pPr>
        <w:spacing w:after="0" w:line="184" w:lineRule="exact"/>
        <w:rPr>
          <w:sz w:val="20"/>
          <w:szCs w:val="20"/>
          <w:color w:val="auto"/>
        </w:rPr>
      </w:pPr>
    </w:p>
    <w:p>
      <w:pPr>
        <w:jc w:val="both"/>
        <w:ind w:left="1034" w:hanging="517"/>
        <w:spacing w:after="0" w:line="288" w:lineRule="auto"/>
        <w:tabs>
          <w:tab w:leader="none" w:pos="1013" w:val="left"/>
        </w:tabs>
        <w:rPr>
          <w:sz w:val="20"/>
          <w:szCs w:val="20"/>
          <w:color w:val="auto"/>
        </w:rPr>
      </w:pPr>
      <w:r>
        <w:rPr>
          <w:rFonts w:ascii="Arial" w:cs="Arial" w:eastAsia="Arial" w:hAnsi="Arial"/>
          <w:sz w:val="14"/>
          <w:szCs w:val="14"/>
          <w:color w:val="auto"/>
        </w:rPr>
        <w:t>12.3.</w:t>
      </w:r>
      <w:r>
        <w:rPr>
          <w:sz w:val="20"/>
          <w:szCs w:val="20"/>
          <w:color w:val="auto"/>
        </w:rPr>
        <w:tab/>
      </w:r>
      <w:r>
        <w:rPr>
          <w:rFonts w:ascii="Arial" w:cs="Arial" w:eastAsia="Arial" w:hAnsi="Arial"/>
          <w:sz w:val="14"/>
          <w:szCs w:val="14"/>
          <w:u w:val="single" w:color="auto"/>
          <w:color w:val="auto"/>
        </w:rPr>
        <w:t>Entire Agreement: Amendment</w:t>
      </w:r>
      <w:r>
        <w:rPr>
          <w:rFonts w:ascii="Arial" w:cs="Arial" w:eastAsia="Arial" w:hAnsi="Arial"/>
          <w:sz w:val="14"/>
          <w:szCs w:val="14"/>
          <w:color w:val="auto"/>
        </w:rPr>
        <w:t>. This Agreement constitutes the entire agreement between the parties respecting the subject matter hereof and shall not be modified, amended, or</w:t>
      </w:r>
      <w:r>
        <w:rPr>
          <w:rFonts w:ascii="Arial" w:cs="Arial" w:eastAsia="Arial" w:hAnsi="Arial"/>
          <w:sz w:val="14"/>
          <w:szCs w:val="14"/>
          <w:u w:val="single" w:color="auto"/>
          <w:color w:val="auto"/>
        </w:rPr>
        <w:t xml:space="preserve"> </w:t>
      </w:r>
      <w:r>
        <w:rPr>
          <w:rFonts w:ascii="Arial" w:cs="Arial" w:eastAsia="Arial" w:hAnsi="Arial"/>
          <w:sz w:val="14"/>
          <w:szCs w:val="14"/>
          <w:color w:val="auto"/>
        </w:rPr>
        <w:t>terminated except as provided herein or except by another agreement in writing executed by an authorized representative of each of the parties hereto.</w:t>
      </w:r>
    </w:p>
    <w:p>
      <w:pPr>
        <w:spacing w:after="0" w:line="132" w:lineRule="exact"/>
        <w:rPr>
          <w:sz w:val="20"/>
          <w:szCs w:val="20"/>
          <w:color w:val="auto"/>
        </w:rPr>
      </w:pPr>
    </w:p>
    <w:p>
      <w:pPr>
        <w:jc w:val="both"/>
        <w:ind w:left="1034" w:hanging="517"/>
        <w:spacing w:after="0" w:line="273" w:lineRule="auto"/>
        <w:tabs>
          <w:tab w:leader="none" w:pos="1013" w:val="left"/>
        </w:tabs>
        <w:rPr>
          <w:sz w:val="20"/>
          <w:szCs w:val="20"/>
          <w:color w:val="auto"/>
        </w:rPr>
      </w:pPr>
      <w:r>
        <w:rPr>
          <w:rFonts w:ascii="Arial" w:cs="Arial" w:eastAsia="Arial" w:hAnsi="Arial"/>
          <w:sz w:val="14"/>
          <w:szCs w:val="14"/>
          <w:color w:val="auto"/>
        </w:rPr>
        <w:t>12.4.</w:t>
      </w:r>
      <w:r>
        <w:rPr>
          <w:sz w:val="20"/>
          <w:szCs w:val="20"/>
          <w:color w:val="auto"/>
        </w:rPr>
        <w:tab/>
      </w:r>
      <w:r>
        <w:rPr>
          <w:rFonts w:ascii="Arial" w:cs="Arial" w:eastAsia="Arial" w:hAnsi="Arial"/>
          <w:sz w:val="14"/>
          <w:szCs w:val="14"/>
          <w:u w:val="single" w:color="auto"/>
          <w:color w:val="auto"/>
        </w:rPr>
        <w:t>Applicable Law; Venue</w:t>
      </w:r>
      <w:r>
        <w:rPr>
          <w:rFonts w:ascii="Arial" w:cs="Arial" w:eastAsia="Arial" w:hAnsi="Arial"/>
          <w:sz w:val="14"/>
          <w:szCs w:val="14"/>
          <w:color w:val="auto"/>
        </w:rPr>
        <w:t>. This Agreement shall be governed, construed, and enforced in accordance with the laws of the State of California, United States of America, without</w:t>
      </w:r>
      <w:r>
        <w:rPr>
          <w:rFonts w:ascii="Arial" w:cs="Arial" w:eastAsia="Arial" w:hAnsi="Arial"/>
          <w:sz w:val="14"/>
          <w:szCs w:val="14"/>
          <w:u w:val="single" w:color="auto"/>
          <w:color w:val="auto"/>
        </w:rPr>
        <w:t xml:space="preserve"> </w:t>
      </w:r>
      <w:r>
        <w:rPr>
          <w:rFonts w:ascii="Arial" w:cs="Arial" w:eastAsia="Arial" w:hAnsi="Arial"/>
          <w:sz w:val="14"/>
          <w:szCs w:val="14"/>
          <w:color w:val="auto"/>
        </w:rPr>
        <w:t>application of its conflicts of laws principles. Each party irrevocably agrees, consents and submits to jurisdiction and venue in the federal and state courts in San Francisco, California, with respect to any dispute arising out of or relating in any way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7159625"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74"/>
          </w:cols>
          <w:pgMar w:left="306" w:top="734" w:right="319" w:bottom="1440" w:gutter="0" w:footer="0" w:header="0"/>
        </w:sectPr>
      </w:pPr>
    </w:p>
    <w:bookmarkStart w:id="289" w:name="page290"/>
    <w:bookmarkEnd w:id="289"/>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12.5.</w:t>
      </w:r>
      <w:r>
        <w:rPr>
          <w:sz w:val="20"/>
          <w:szCs w:val="20"/>
          <w:color w:val="auto"/>
        </w:rPr>
        <w:tab/>
      </w:r>
      <w:r>
        <w:rPr>
          <w:rFonts w:ascii="Arial" w:cs="Arial" w:eastAsia="Arial" w:hAnsi="Arial"/>
          <w:sz w:val="14"/>
          <w:szCs w:val="14"/>
          <w:u w:val="single" w:color="auto"/>
          <w:color w:val="auto"/>
        </w:rPr>
        <w:t>No Partnership</w:t>
      </w:r>
      <w:r>
        <w:rPr>
          <w:rFonts w:ascii="Arial" w:cs="Arial" w:eastAsia="Arial" w:hAnsi="Arial"/>
          <w:sz w:val="14"/>
          <w:szCs w:val="14"/>
          <w:color w:val="auto"/>
        </w:rPr>
        <w:t>. Nothing in this Agreement shall be construed as creating or constituting a joint venture, partnership, employment relationship, or franchise between Sublicensor</w:t>
      </w:r>
      <w:r>
        <w:rPr>
          <w:rFonts w:ascii="Arial" w:cs="Arial" w:eastAsia="Arial" w:hAnsi="Arial"/>
          <w:sz w:val="14"/>
          <w:szCs w:val="14"/>
          <w:u w:val="single" w:color="auto"/>
          <w:color w:val="auto"/>
        </w:rPr>
        <w:t xml:space="preserve"> </w:t>
      </w:r>
      <w:r>
        <w:rPr>
          <w:rFonts w:ascii="Arial" w:cs="Arial" w:eastAsia="Arial" w:hAnsi="Arial"/>
          <w:sz w:val="14"/>
          <w:szCs w:val="14"/>
          <w:color w:val="auto"/>
        </w:rPr>
        <w:t>and Sublicensee.</w:t>
      </w:r>
    </w:p>
    <w:p>
      <w:pPr>
        <w:spacing w:after="0" w:line="132" w:lineRule="exact"/>
        <w:rPr>
          <w:sz w:val="20"/>
          <w:szCs w:val="20"/>
          <w:color w:val="auto"/>
        </w:rPr>
      </w:pPr>
    </w:p>
    <w:p>
      <w:pPr>
        <w:jc w:val="both"/>
        <w:ind w:left="520" w:hanging="517"/>
        <w:spacing w:after="0" w:line="267" w:lineRule="auto"/>
        <w:tabs>
          <w:tab w:leader="none" w:pos="500" w:val="left"/>
        </w:tabs>
        <w:rPr>
          <w:sz w:val="20"/>
          <w:szCs w:val="20"/>
          <w:color w:val="auto"/>
        </w:rPr>
      </w:pPr>
      <w:r>
        <w:rPr>
          <w:rFonts w:ascii="Arial" w:cs="Arial" w:eastAsia="Arial" w:hAnsi="Arial"/>
          <w:sz w:val="14"/>
          <w:szCs w:val="14"/>
          <w:color w:val="auto"/>
        </w:rPr>
        <w:t>12.6.</w:t>
      </w:r>
      <w:r>
        <w:rPr>
          <w:sz w:val="20"/>
          <w:szCs w:val="20"/>
          <w:color w:val="auto"/>
        </w:rPr>
        <w:tab/>
      </w:r>
      <w:r>
        <w:rPr>
          <w:rFonts w:ascii="Arial" w:cs="Arial" w:eastAsia="Arial" w:hAnsi="Arial"/>
          <w:sz w:val="14"/>
          <w:szCs w:val="14"/>
          <w:u w:val="single" w:color="auto"/>
          <w:color w:val="auto"/>
        </w:rPr>
        <w:t>Severability</w:t>
      </w:r>
      <w:r>
        <w:rPr>
          <w:rFonts w:ascii="Arial" w:cs="Arial" w:eastAsia="Arial" w:hAnsi="Arial"/>
          <w:sz w:val="14"/>
          <w:szCs w:val="14"/>
          <w:color w:val="auto"/>
        </w:rPr>
        <w:t>. All rights and restrictions contained in this Agreement may be exercised and shall be applicable and binding only to the extent that they do not violate any</w:t>
      </w:r>
      <w:r>
        <w:rPr>
          <w:rFonts w:ascii="Arial" w:cs="Arial" w:eastAsia="Arial" w:hAnsi="Arial"/>
          <w:sz w:val="14"/>
          <w:szCs w:val="14"/>
          <w:u w:val="single" w:color="auto"/>
          <w:color w:val="auto"/>
        </w:rPr>
        <w:t xml:space="preserve"> </w:t>
      </w:r>
      <w:r>
        <w:rPr>
          <w:rFonts w:ascii="Arial" w:cs="Arial" w:eastAsia="Arial" w:hAnsi="Arial"/>
          <w:sz w:val="14"/>
          <w:szCs w:val="14"/>
          <w:color w:val="auto"/>
        </w:rPr>
        <w:t>applicable laws and are intended to be limited to the extent necessary so that they will not render this Agreement illegal, invalid or unenforceable. If any term of this Agreement shall be held to be illegal, invalid, or unenforceable, it is the intention of the parties that the remaining parts hereof shall constitute their Agreement with respect to the subject matter hereof and all of its remaining terms shall be in full force and effect.</w:t>
      </w:r>
    </w:p>
    <w:p>
      <w:pPr>
        <w:spacing w:after="0" w:line="147"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12.7.</w:t>
      </w:r>
      <w:r>
        <w:rPr>
          <w:sz w:val="20"/>
          <w:szCs w:val="20"/>
          <w:color w:val="auto"/>
        </w:rPr>
        <w:tab/>
      </w:r>
      <w:r>
        <w:rPr>
          <w:rFonts w:ascii="Arial" w:cs="Arial" w:eastAsia="Arial" w:hAnsi="Arial"/>
          <w:sz w:val="14"/>
          <w:szCs w:val="14"/>
          <w:u w:val="single" w:color="auto"/>
          <w:color w:val="auto"/>
        </w:rPr>
        <w:t>Waiver</w:t>
      </w:r>
      <w:r>
        <w:rPr>
          <w:rFonts w:ascii="Arial" w:cs="Arial" w:eastAsia="Arial" w:hAnsi="Arial"/>
          <w:sz w:val="14"/>
          <w:szCs w:val="14"/>
          <w:color w:val="auto"/>
        </w:rPr>
        <w:t>. Waiver by either party of any term or provision of this Agreement shall not constitute a continuing waiver thereof nor of any further or additional rights such party may</w:t>
      </w:r>
      <w:r>
        <w:rPr>
          <w:rFonts w:ascii="Arial" w:cs="Arial" w:eastAsia="Arial" w:hAnsi="Arial"/>
          <w:sz w:val="14"/>
          <w:szCs w:val="14"/>
          <w:u w:val="single" w:color="auto"/>
          <w:color w:val="auto"/>
        </w:rPr>
        <w:t xml:space="preserve"> </w:t>
      </w:r>
      <w:r>
        <w:rPr>
          <w:rFonts w:ascii="Arial" w:cs="Arial" w:eastAsia="Arial" w:hAnsi="Arial"/>
          <w:sz w:val="14"/>
          <w:szCs w:val="14"/>
          <w:color w:val="auto"/>
        </w:rPr>
        <w:t>hold under this Agreement.</w:t>
      </w:r>
    </w:p>
    <w:p>
      <w:pPr>
        <w:spacing w:after="0" w:line="132" w:lineRule="exact"/>
        <w:rPr>
          <w:sz w:val="20"/>
          <w:szCs w:val="20"/>
          <w:color w:val="auto"/>
        </w:rPr>
      </w:pPr>
    </w:p>
    <w:p>
      <w:pPr>
        <w:jc w:val="both"/>
        <w:ind w:left="520" w:hanging="517"/>
        <w:spacing w:after="0" w:line="288" w:lineRule="auto"/>
        <w:tabs>
          <w:tab w:leader="none" w:pos="500" w:val="left"/>
        </w:tabs>
        <w:rPr>
          <w:sz w:val="20"/>
          <w:szCs w:val="20"/>
          <w:color w:val="auto"/>
        </w:rPr>
      </w:pPr>
      <w:r>
        <w:rPr>
          <w:rFonts w:ascii="Arial" w:cs="Arial" w:eastAsia="Arial" w:hAnsi="Arial"/>
          <w:sz w:val="14"/>
          <w:szCs w:val="14"/>
          <w:color w:val="auto"/>
        </w:rPr>
        <w:t>12.8.</w:t>
      </w:r>
      <w:r>
        <w:rPr>
          <w:sz w:val="20"/>
          <w:szCs w:val="20"/>
          <w:color w:val="auto"/>
        </w:rPr>
        <w:tab/>
      </w:r>
      <w:r>
        <w:rPr>
          <w:rFonts w:ascii="Arial" w:cs="Arial" w:eastAsia="Arial" w:hAnsi="Arial"/>
          <w:sz w:val="14"/>
          <w:szCs w:val="14"/>
          <w:u w:val="single" w:color="auto"/>
          <w:color w:val="auto"/>
        </w:rPr>
        <w:t>Hearings</w:t>
      </w:r>
      <w:r>
        <w:rPr>
          <w:rFonts w:ascii="Arial" w:cs="Arial" w:eastAsia="Arial" w:hAnsi="Arial"/>
          <w:sz w:val="14"/>
          <w:szCs w:val="14"/>
          <w:color w:val="auto"/>
        </w:rPr>
        <w:t>. Article and Section headings have been inserted herein for convenience of reference only and shall in no way modify or restrict any of the terms or provisions of this</w:t>
      </w:r>
      <w:r>
        <w:rPr>
          <w:rFonts w:ascii="Arial" w:cs="Arial" w:eastAsia="Arial" w:hAnsi="Arial"/>
          <w:sz w:val="14"/>
          <w:szCs w:val="14"/>
          <w:u w:val="single" w:color="auto"/>
          <w:color w:val="auto"/>
        </w:rPr>
        <w:t xml:space="preserve"> </w:t>
      </w:r>
      <w:r>
        <w:rPr>
          <w:rFonts w:ascii="Arial" w:cs="Arial" w:eastAsia="Arial" w:hAnsi="Arial"/>
          <w:sz w:val="14"/>
          <w:szCs w:val="14"/>
          <w:color w:val="auto"/>
        </w:rPr>
        <w:t>Agreement.</w:t>
      </w:r>
    </w:p>
    <w:p>
      <w:pPr>
        <w:spacing w:after="0" w:line="132" w:lineRule="exact"/>
        <w:rPr>
          <w:sz w:val="20"/>
          <w:szCs w:val="20"/>
          <w:color w:val="auto"/>
        </w:rPr>
      </w:pPr>
    </w:p>
    <w:p>
      <w:pPr>
        <w:jc w:val="both"/>
        <w:ind w:left="520" w:hanging="517"/>
        <w:spacing w:after="0" w:line="273" w:lineRule="auto"/>
        <w:tabs>
          <w:tab w:leader="none" w:pos="500" w:val="left"/>
        </w:tabs>
        <w:rPr>
          <w:sz w:val="20"/>
          <w:szCs w:val="20"/>
          <w:color w:val="auto"/>
        </w:rPr>
      </w:pPr>
      <w:r>
        <w:rPr>
          <w:rFonts w:ascii="Arial" w:cs="Arial" w:eastAsia="Arial" w:hAnsi="Arial"/>
          <w:sz w:val="14"/>
          <w:szCs w:val="14"/>
          <w:color w:val="auto"/>
        </w:rPr>
        <w:t>12.9.</w:t>
      </w:r>
      <w:r>
        <w:rPr>
          <w:sz w:val="20"/>
          <w:szCs w:val="20"/>
          <w:color w:val="auto"/>
        </w:rPr>
        <w:tab/>
      </w:r>
      <w:r>
        <w:rPr>
          <w:rFonts w:ascii="Arial" w:cs="Arial" w:eastAsia="Arial" w:hAnsi="Arial"/>
          <w:sz w:val="14"/>
          <w:szCs w:val="14"/>
          <w:u w:val="single" w:color="auto"/>
          <w:color w:val="auto"/>
        </w:rPr>
        <w:t>Survival</w:t>
      </w:r>
      <w:r>
        <w:rPr>
          <w:rFonts w:ascii="Arial" w:cs="Arial" w:eastAsia="Arial" w:hAnsi="Arial"/>
          <w:sz w:val="14"/>
          <w:szCs w:val="14"/>
          <w:color w:val="auto"/>
        </w:rPr>
        <w:t>. The provisions of Articles 1, 5, 7.3, 8, 10.4, 11, and 12 shall survive and remain valid even after the expiration or termination of the Agreement (regardless of the</w:t>
      </w:r>
      <w:r>
        <w:rPr>
          <w:rFonts w:ascii="Arial" w:cs="Arial" w:eastAsia="Arial" w:hAnsi="Arial"/>
          <w:sz w:val="14"/>
          <w:szCs w:val="14"/>
          <w:u w:val="single" w:color="auto"/>
          <w:color w:val="auto"/>
        </w:rPr>
        <w:t xml:space="preserve"> </w:t>
      </w:r>
      <w:r>
        <w:rPr>
          <w:rFonts w:ascii="Arial" w:cs="Arial" w:eastAsia="Arial" w:hAnsi="Arial"/>
          <w:sz w:val="14"/>
          <w:szCs w:val="14"/>
          <w:color w:val="auto"/>
        </w:rPr>
        <w:t>reason for termination). Clauses with a surviving period of validity clearly stated in the Agreement shall remain valid for said period even after the expiration or termination of the Agreement (regardless of the reason for termination).</w:t>
      </w:r>
    </w:p>
    <w:p>
      <w:pPr>
        <w:spacing w:after="0" w:line="141" w:lineRule="exact"/>
        <w:rPr>
          <w:sz w:val="20"/>
          <w:szCs w:val="20"/>
          <w:color w:val="auto"/>
        </w:rPr>
      </w:pPr>
    </w:p>
    <w:p>
      <w:pPr>
        <w:jc w:val="both"/>
        <w:ind w:left="520" w:hanging="517"/>
        <w:spacing w:after="0" w:line="273" w:lineRule="auto"/>
        <w:tabs>
          <w:tab w:leader="none" w:pos="500" w:val="left"/>
        </w:tabs>
        <w:rPr>
          <w:sz w:val="20"/>
          <w:szCs w:val="20"/>
          <w:color w:val="auto"/>
        </w:rPr>
      </w:pPr>
      <w:r>
        <w:rPr>
          <w:rFonts w:ascii="Arial" w:cs="Arial" w:eastAsia="Arial" w:hAnsi="Arial"/>
          <w:sz w:val="14"/>
          <w:szCs w:val="14"/>
          <w:color w:val="auto"/>
        </w:rPr>
        <w:t>12.10.</w:t>
      </w:r>
      <w:r>
        <w:rPr>
          <w:sz w:val="20"/>
          <w:szCs w:val="20"/>
          <w:color w:val="auto"/>
        </w:rPr>
        <w:tab/>
      </w:r>
      <w:r>
        <w:rPr>
          <w:rFonts w:ascii="Arial" w:cs="Arial" w:eastAsia="Arial" w:hAnsi="Arial"/>
          <w:sz w:val="14"/>
          <w:szCs w:val="14"/>
          <w:u w:val="single" w:color="auto"/>
          <w:color w:val="auto"/>
        </w:rPr>
        <w:t>Export</w:t>
      </w:r>
      <w:r>
        <w:rPr>
          <w:rFonts w:ascii="Arial" w:cs="Arial" w:eastAsia="Arial" w:hAnsi="Arial"/>
          <w:sz w:val="14"/>
          <w:szCs w:val="14"/>
          <w:color w:val="auto"/>
        </w:rPr>
        <w:t>. Sublicensee acknowledges that the Licensed Products may be subject to United States laws and regulations controlling the export of technical data, biological materials,</w:t>
      </w:r>
      <w:r>
        <w:rPr>
          <w:rFonts w:ascii="Arial" w:cs="Arial" w:eastAsia="Arial" w:hAnsi="Arial"/>
          <w:sz w:val="14"/>
          <w:szCs w:val="14"/>
          <w:u w:val="single" w:color="auto"/>
          <w:color w:val="auto"/>
        </w:rPr>
        <w:t xml:space="preserve"> </w:t>
      </w:r>
      <w:r>
        <w:rPr>
          <w:rFonts w:ascii="Arial" w:cs="Arial" w:eastAsia="Arial" w:hAnsi="Arial"/>
          <w:sz w:val="14"/>
          <w:szCs w:val="14"/>
          <w:color w:val="auto"/>
        </w:rPr>
        <w:t>chemical compositions, computer software, laboratory prototypes and other commodities and that Sublicensee shall be responsible for compliance with applicable United States export laws and regulations.</w:t>
      </w:r>
    </w:p>
    <w:p>
      <w:pPr>
        <w:spacing w:after="0" w:line="14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12.11.</w:t>
      </w:r>
      <w:r>
        <w:rPr>
          <w:sz w:val="20"/>
          <w:szCs w:val="20"/>
          <w:color w:val="auto"/>
        </w:rPr>
        <w:tab/>
      </w:r>
      <w:r>
        <w:rPr>
          <w:rFonts w:ascii="Arial" w:cs="Arial" w:eastAsia="Arial" w:hAnsi="Arial"/>
          <w:sz w:val="12"/>
          <w:szCs w:val="12"/>
          <w:u w:val="single" w:color="auto"/>
          <w:color w:val="auto"/>
        </w:rPr>
        <w:t>Counterparts</w:t>
      </w:r>
      <w:r>
        <w:rPr>
          <w:rFonts w:ascii="Arial" w:cs="Arial" w:eastAsia="Arial" w:hAnsi="Arial"/>
          <w:sz w:val="12"/>
          <w:szCs w:val="12"/>
          <w:color w:val="auto"/>
        </w:rPr>
        <w:t>. This Agreement may be executed in counterparts and by facsimile or electronic means each of which shall be an original and together one and the same instrument.</w:t>
      </w:r>
    </w:p>
    <w:p>
      <w:pPr>
        <w:spacing w:after="0" w:line="184" w:lineRule="exact"/>
        <w:rPr>
          <w:sz w:val="20"/>
          <w:szCs w:val="20"/>
          <w:color w:val="auto"/>
        </w:rPr>
      </w:pPr>
    </w:p>
    <w:p>
      <w:pPr>
        <w:ind w:left="3960"/>
        <w:spacing w:after="0"/>
        <w:rPr>
          <w:sz w:val="20"/>
          <w:szCs w:val="20"/>
          <w:color w:val="auto"/>
        </w:rPr>
      </w:pPr>
      <w:r>
        <w:rPr>
          <w:rFonts w:ascii="Arial" w:cs="Arial" w:eastAsia="Arial" w:hAnsi="Arial"/>
          <w:sz w:val="14"/>
          <w:szCs w:val="14"/>
          <w:i w:val="1"/>
          <w:iCs w:val="1"/>
          <w:color w:val="auto"/>
        </w:rPr>
        <w:t>[Signatures Appear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233680</wp:posOffset>
            </wp:positionV>
            <wp:extent cx="7159625"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760"/>
          </w:cols>
          <w:pgMar w:left="820" w:top="733" w:right="319" w:bottom="1440" w:gutter="0" w:footer="0" w:header="0"/>
        </w:sectPr>
      </w:pPr>
    </w:p>
    <w:bookmarkStart w:id="290" w:name="page291"/>
    <w:bookmarkEnd w:id="290"/>
    <w:p>
      <w:pPr>
        <w:jc w:val="right"/>
        <w:ind w:right="3439"/>
        <w:spacing w:after="0"/>
        <w:rPr>
          <w:sz w:val="20"/>
          <w:szCs w:val="20"/>
          <w:color w:val="auto"/>
        </w:rPr>
      </w:pPr>
      <w:r>
        <w:rPr>
          <w:rFonts w:ascii="Arial" w:cs="Arial" w:eastAsia="Arial" w:hAnsi="Arial"/>
          <w:sz w:val="14"/>
          <w:szCs w:val="14"/>
          <w:color w:val="auto"/>
        </w:rPr>
        <w:t>IN WITNESS WHEREOF, the parties hereto have affixed their signatures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SUBLICENSOR</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iCELL Inc.</w:t>
      </w:r>
    </w:p>
    <w:p>
      <w:pPr>
        <w:spacing w:after="0" w:line="184"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Genjiro Miwa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13970</wp:posOffset>
            </wp:positionV>
            <wp:extent cx="3364230"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Name: Genjiro Miwa</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Title: Representative Director</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SUBLICENSEE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Century Therapeutics, LLC</w:t>
      </w:r>
    </w:p>
    <w:p>
      <w:pPr>
        <w:spacing w:after="0" w:line="184"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Osvaldo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13970</wp:posOffset>
            </wp:positionV>
            <wp:extent cx="3364230"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364230" cy="698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Name: Osvaldo (Lalo) Flores, PhD</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233680</wp:posOffset>
            </wp:positionV>
            <wp:extent cx="7159625" cy="69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733" w:right="1440" w:bottom="1440" w:gutter="0" w:footer="0" w:header="0"/>
        </w:sectPr>
      </w:pPr>
    </w:p>
    <w:bookmarkStart w:id="291" w:name="page292"/>
    <w:bookmarkEnd w:id="291"/>
    <w:p>
      <w:pPr>
        <w:jc w:val="center"/>
        <w:ind w:right="-1140"/>
        <w:spacing w:after="0"/>
        <w:rPr>
          <w:sz w:val="20"/>
          <w:szCs w:val="20"/>
          <w:color w:val="auto"/>
        </w:rPr>
      </w:pPr>
      <w:r>
        <w:rPr>
          <w:rFonts w:ascii="Arial" w:cs="Arial" w:eastAsia="Arial" w:hAnsi="Arial"/>
          <w:sz w:val="14"/>
          <w:szCs w:val="14"/>
          <w:color w:val="auto"/>
        </w:rPr>
        <w:t>Exhibit A</w:t>
      </w:r>
    </w:p>
    <w:p>
      <w:pPr>
        <w:spacing w:after="0" w:line="184" w:lineRule="exact"/>
        <w:rPr>
          <w:sz w:val="20"/>
          <w:szCs w:val="20"/>
          <w:color w:val="auto"/>
        </w:rPr>
      </w:pPr>
    </w:p>
    <w:p>
      <w:pPr>
        <w:jc w:val="right"/>
        <w:ind w:right="2279"/>
        <w:spacing w:after="0"/>
        <w:rPr>
          <w:sz w:val="20"/>
          <w:szCs w:val="20"/>
          <w:color w:val="auto"/>
        </w:rPr>
      </w:pPr>
      <w:r>
        <w:rPr>
          <w:rFonts w:ascii="Arial" w:cs="Arial" w:eastAsia="Arial" w:hAnsi="Arial"/>
          <w:sz w:val="14"/>
          <w:szCs w:val="14"/>
          <w:color w:val="auto"/>
        </w:rPr>
        <w:t>TABLE OF PATENTS LICENSED FROM THE UNIVERSITY OF TOKYO</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233680</wp:posOffset>
            </wp:positionV>
            <wp:extent cx="7159625" cy="69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0159"/>
          </w:cols>
          <w:pgMar w:left="300" w:top="733" w:right="1440" w:bottom="1440" w:gutter="0" w:footer="0" w:header="0"/>
        </w:sectPr>
      </w:pPr>
    </w:p>
    <w:bookmarkStart w:id="292" w:name="page293"/>
    <w:bookmarkEnd w:id="292"/>
    <w:p>
      <w:pPr>
        <w:jc w:val="center"/>
        <w:ind w:right="19"/>
        <w:spacing w:after="0"/>
        <w:rPr>
          <w:sz w:val="20"/>
          <w:szCs w:val="20"/>
          <w:color w:val="auto"/>
        </w:rPr>
      </w:pPr>
      <w:r>
        <w:rPr>
          <w:rFonts w:ascii="Arial" w:cs="Arial" w:eastAsia="Arial" w:hAnsi="Arial"/>
          <w:sz w:val="14"/>
          <w:szCs w:val="14"/>
          <w:color w:val="auto"/>
        </w:rPr>
        <w:t>Schedule 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UTOKYO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233680</wp:posOffset>
            </wp:positionV>
            <wp:extent cx="7159625" cy="69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293" w:name="page294"/>
    <w:bookmarkEnd w:id="293"/>
    <w:p>
      <w:pPr>
        <w:jc w:val="right"/>
        <w:spacing w:after="0"/>
        <w:rPr>
          <w:sz w:val="20"/>
          <w:szCs w:val="20"/>
          <w:color w:val="auto"/>
        </w:rPr>
      </w:pPr>
      <w:r>
        <w:rPr>
          <w:rFonts w:ascii="Arial" w:cs="Arial" w:eastAsia="Arial" w:hAnsi="Arial"/>
          <w:sz w:val="14"/>
          <w:szCs w:val="14"/>
          <w:b w:val="1"/>
          <w:bCs w:val="1"/>
          <w:color w:val="auto"/>
        </w:rPr>
        <w:t>Exhibit 10.26</w:t>
      </w:r>
    </w:p>
    <w:p>
      <w:pPr>
        <w:spacing w:after="0" w:line="188" w:lineRule="exact"/>
        <w:rPr>
          <w:sz w:val="20"/>
          <w:szCs w:val="20"/>
          <w:color w:val="auto"/>
        </w:rPr>
      </w:pPr>
    </w:p>
    <w:p>
      <w:pPr>
        <w:ind w:left="3400" w:right="3040" w:hanging="384"/>
        <w:spacing w:after="0" w:line="284" w:lineRule="auto"/>
        <w:tabs>
          <w:tab w:leader="none" w:pos="336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Certain information in this document has been excluded pursuant to Regulation S-K, Item 601(b)(10). Such excluded information is not material and the registrant</w:t>
      </w:r>
    </w:p>
    <w:p>
      <w:pPr>
        <w:ind w:left="3960"/>
        <w:spacing w:after="0"/>
        <w:rPr>
          <w:rFonts w:ascii="Arial" w:cs="Arial" w:eastAsia="Arial" w:hAnsi="Arial"/>
          <w:sz w:val="13"/>
          <w:szCs w:val="13"/>
          <w:color w:val="auto"/>
        </w:rPr>
      </w:pPr>
      <w:r>
        <w:rPr>
          <w:rFonts w:ascii="Arial" w:cs="Arial" w:eastAsia="Arial" w:hAnsi="Arial"/>
          <w:sz w:val="14"/>
          <w:szCs w:val="14"/>
          <w:color w:val="auto"/>
        </w:rPr>
        <w:t>customarily and actually treats as private and confidential.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LICENSE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THIS LICENSE AGREEMENT </w:t>
      </w:r>
      <w:r>
        <w:rPr>
          <w:rFonts w:ascii="Arial" w:cs="Arial" w:eastAsia="Arial" w:hAnsi="Arial"/>
          <w:sz w:val="14"/>
          <w:szCs w:val="14"/>
          <w:color w:val="auto"/>
        </w:rPr>
        <w:t>is made and effective as of the 22 day of January 2019 (the “</w:t>
      </w:r>
      <w:r>
        <w:rPr>
          <w:rFonts w:ascii="Arial" w:cs="Arial" w:eastAsia="Arial" w:hAnsi="Arial"/>
          <w:sz w:val="14"/>
          <w:szCs w:val="14"/>
          <w:b w:val="1"/>
          <w:bCs w:val="1"/>
          <w:color w:val="auto"/>
        </w:rPr>
        <w:t>Effective Date</w:t>
      </w:r>
      <w:r>
        <w:rPr>
          <w:rFonts w:ascii="Arial" w:cs="Arial" w:eastAsia="Arial" w:hAnsi="Arial"/>
          <w:sz w:val="14"/>
          <w:szCs w:val="14"/>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BETWEEN:</w:t>
      </w:r>
    </w:p>
    <w:p>
      <w:pPr>
        <w:spacing w:after="0" w:line="184" w:lineRule="exact"/>
        <w:rPr>
          <w:sz w:val="20"/>
          <w:szCs w:val="20"/>
          <w:color w:val="auto"/>
        </w:rPr>
      </w:pPr>
    </w:p>
    <w:p>
      <w:pPr>
        <w:ind w:left="520" w:right="520"/>
        <w:spacing w:after="0" w:line="294" w:lineRule="auto"/>
        <w:rPr>
          <w:sz w:val="20"/>
          <w:szCs w:val="20"/>
          <w:color w:val="auto"/>
        </w:rPr>
      </w:pPr>
      <w:r>
        <w:rPr>
          <w:rFonts w:ascii="Arial" w:cs="Arial" w:eastAsia="Arial" w:hAnsi="Arial"/>
          <w:sz w:val="14"/>
          <w:szCs w:val="14"/>
          <w:b w:val="1"/>
          <w:bCs w:val="1"/>
          <w:color w:val="auto"/>
        </w:rPr>
        <w:t>THE GOVERNING COUNCIL OF THE UNIVERSITY OF TORONTO</w:t>
      </w:r>
      <w:r>
        <w:rPr>
          <w:rFonts w:ascii="Arial" w:cs="Arial" w:eastAsia="Arial" w:hAnsi="Arial"/>
          <w:sz w:val="14"/>
          <w:szCs w:val="14"/>
          <w:color w:val="auto"/>
        </w:rPr>
        <w:t>, a corporation vested with the government, management and control of the University of Toronto</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by the </w:t>
      </w:r>
      <w:r>
        <w:rPr>
          <w:rFonts w:ascii="Arial" w:cs="Arial" w:eastAsia="Arial" w:hAnsi="Arial"/>
          <w:sz w:val="14"/>
          <w:szCs w:val="14"/>
          <w:i w:val="1"/>
          <w:iCs w:val="1"/>
          <w:color w:val="auto"/>
        </w:rPr>
        <w:t>University of Toronto Act, 1971</w:t>
      </w:r>
      <w:r>
        <w:rPr>
          <w:rFonts w:ascii="Arial" w:cs="Arial" w:eastAsia="Arial" w:hAnsi="Arial"/>
          <w:sz w:val="14"/>
          <w:szCs w:val="14"/>
          <w:color w:val="auto"/>
        </w:rPr>
        <w:t xml:space="preserve"> and having offices at Banting Institute, 100 College Street, Suite 413, Toronto, Ontario M5G 1L5, Canada</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(hereinafter refer to as “</w:t>
      </w:r>
      <w:r>
        <w:rPr>
          <w:rFonts w:ascii="Arial" w:cs="Arial" w:eastAsia="Arial" w:hAnsi="Arial"/>
          <w:sz w:val="14"/>
          <w:szCs w:val="14"/>
          <w:b w:val="1"/>
          <w:bCs w:val="1"/>
          <w:color w:val="auto"/>
        </w:rPr>
        <w:t>UT</w:t>
      </w:r>
      <w:r>
        <w:rPr>
          <w:rFonts w:ascii="Arial" w:cs="Arial" w:eastAsia="Arial" w:hAnsi="Arial"/>
          <w:sz w:val="14"/>
          <w:szCs w:val="14"/>
          <w:color w:val="auto"/>
        </w:rPr>
        <w: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 xml:space="preserve">THE MCMASTER UNIVERSITY, </w:t>
      </w:r>
      <w:r>
        <w:rPr>
          <w:rFonts w:ascii="Arial" w:cs="Arial" w:eastAsia="Arial" w:hAnsi="Arial"/>
          <w:sz w:val="14"/>
          <w:szCs w:val="14"/>
          <w:color w:val="auto"/>
        </w:rPr>
        <w:t>having an office at 1280 Main Street West, Hamilton, Ontario, L8S 4L8</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(hereinafter refer to as “</w:t>
      </w:r>
      <w:r>
        <w:rPr>
          <w:rFonts w:ascii="Arial" w:cs="Arial" w:eastAsia="Arial" w:hAnsi="Arial"/>
          <w:sz w:val="14"/>
          <w:szCs w:val="14"/>
          <w:b w:val="1"/>
          <w:bCs w:val="1"/>
          <w:color w:val="auto"/>
        </w:rPr>
        <w:t>MAC</w:t>
      </w:r>
      <w:r>
        <w:rPr>
          <w:rFonts w:ascii="Arial" w:cs="Arial" w:eastAsia="Arial" w:hAnsi="Arial"/>
          <w:sz w:val="14"/>
          <w:szCs w:val="14"/>
          <w:color w:val="auto"/>
        </w:rPr>
        <w: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(UT and MAC together hereinafter referred to as the “</w:t>
      </w:r>
      <w:r>
        <w:rPr>
          <w:rFonts w:ascii="Arial" w:cs="Arial" w:eastAsia="Arial" w:hAnsi="Arial"/>
          <w:sz w:val="14"/>
          <w:szCs w:val="14"/>
          <w:b w:val="1"/>
          <w:bCs w:val="1"/>
          <w:color w:val="auto"/>
        </w:rPr>
        <w:t>INSTITUTIONS</w:t>
      </w:r>
      <w:r>
        <w:rPr>
          <w:rFonts w:ascii="Arial" w:cs="Arial" w:eastAsia="Arial" w:hAnsi="Arial"/>
          <w:sz w:val="14"/>
          <w:szCs w:val="14"/>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and -</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EMPIRICA THERAPEUTICS an Ontario corporation,</w:t>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having an office at McMaster Innovation Park, Suite 305, 175</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Longwood Road South, Hamilton, ON L8P 0A1</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(hereinafter refer to as “</w:t>
      </w:r>
      <w:r>
        <w:rPr>
          <w:rFonts w:ascii="Arial" w:cs="Arial" w:eastAsia="Arial" w:hAnsi="Arial"/>
          <w:sz w:val="14"/>
          <w:szCs w:val="14"/>
          <w:b w:val="1"/>
          <w:bCs w:val="1"/>
          <w:color w:val="auto"/>
        </w:rPr>
        <w:t>EMPIRICA</w:t>
      </w:r>
      <w:r>
        <w:rPr>
          <w:rFonts w:ascii="Arial" w:cs="Arial" w:eastAsia="Arial" w:hAnsi="Arial"/>
          <w:sz w:val="14"/>
          <w:szCs w:val="14"/>
          <w:color w:val="auto"/>
        </w:rPr>
        <w:t>”)</w:t>
      </w:r>
    </w:p>
    <w:p>
      <w:pPr>
        <w:spacing w:after="0" w:line="184" w:lineRule="exact"/>
        <w:rPr>
          <w:sz w:val="20"/>
          <w:szCs w:val="20"/>
          <w:color w:val="auto"/>
        </w:rPr>
      </w:pPr>
    </w:p>
    <w:p>
      <w:pPr>
        <w:spacing w:after="0" w:line="294"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the INSTITUTIONS have granted EMPIRICA an Option to License and Term Sheet dated October 24, 2018 attached to this Agreement as Schedule “A” (“Term Sheet”) to obtain an</w:t>
      </w:r>
      <w:r>
        <w:rPr>
          <w:rFonts w:ascii="Arial" w:cs="Arial" w:eastAsia="Arial" w:hAnsi="Arial"/>
          <w:sz w:val="14"/>
          <w:szCs w:val="14"/>
          <w:b w:val="1"/>
          <w:bCs w:val="1"/>
          <w:color w:val="auto"/>
        </w:rPr>
        <w:t xml:space="preserve"> </w:t>
      </w:r>
      <w:r>
        <w:rPr>
          <w:rFonts w:ascii="Arial" w:cs="Arial" w:eastAsia="Arial" w:hAnsi="Arial"/>
          <w:sz w:val="14"/>
          <w:szCs w:val="14"/>
          <w:color w:val="auto"/>
        </w:rPr>
        <w:t>exclusive license to commercialize the Intellectual Property Rights disclosed by the INSTITUTIONS to EMPIRICA;</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EMPIRICA exercised its option in accordance with the Term Sheet on 22 January 2019;</w:t>
      </w:r>
    </w:p>
    <w:p>
      <w:pPr>
        <w:spacing w:after="0" w:line="184" w:lineRule="exact"/>
        <w:rPr>
          <w:sz w:val="20"/>
          <w:szCs w:val="20"/>
          <w:color w:val="auto"/>
        </w:rPr>
      </w:pPr>
    </w:p>
    <w:p>
      <w:pPr>
        <w:spacing w:after="0" w:line="294"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UT, under a separate agreement, has contracted the Centre for the Commercialization of Antibodies and Biologics (“</w:t>
      </w:r>
      <w:r>
        <w:rPr>
          <w:rFonts w:ascii="Arial" w:cs="Arial" w:eastAsia="Arial" w:hAnsi="Arial"/>
          <w:sz w:val="14"/>
          <w:szCs w:val="14"/>
          <w:b w:val="1"/>
          <w:bCs w:val="1"/>
          <w:color w:val="auto"/>
        </w:rPr>
        <w:t>CCAB</w:t>
      </w:r>
      <w:r>
        <w:rPr>
          <w:rFonts w:ascii="Arial" w:cs="Arial" w:eastAsia="Arial" w:hAnsi="Arial"/>
          <w:sz w:val="14"/>
          <w:szCs w:val="14"/>
          <w:color w:val="auto"/>
        </w:rPr>
        <w:t>”) to perform certain commercialization services on behalf</w:t>
      </w:r>
      <w:r>
        <w:rPr>
          <w:rFonts w:ascii="Arial" w:cs="Arial" w:eastAsia="Arial" w:hAnsi="Arial"/>
          <w:sz w:val="14"/>
          <w:szCs w:val="14"/>
          <w:b w:val="1"/>
          <w:bCs w:val="1"/>
          <w:color w:val="auto"/>
        </w:rPr>
        <w:t xml:space="preserve"> </w:t>
      </w:r>
      <w:r>
        <w:rPr>
          <w:rFonts w:ascii="Arial" w:cs="Arial" w:eastAsia="Arial" w:hAnsi="Arial"/>
          <w:sz w:val="14"/>
          <w:szCs w:val="14"/>
          <w:color w:val="auto"/>
        </w:rPr>
        <w:t>of UT, including the negotiation of commercial agreements and management of intellectual property;</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94" w:name="page295"/>
    <w:bookmarkEnd w:id="294"/>
    <w:p>
      <w:pPr>
        <w:jc w:val="both"/>
        <w:spacing w:after="0" w:line="294" w:lineRule="auto"/>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the INSTITUTIONS have assigned CCAB as the commercialization agent for the collaboration between UT and MAC under the Collaboration and Material Exchange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UT2017-0514, and shall continue to act as the Representative for the INSTITUTIONS in the administration of this Agreement;</w:t>
      </w:r>
    </w:p>
    <w:p>
      <w:pPr>
        <w:spacing w:after="0" w:line="123"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 xml:space="preserve">NOW THEREFORE </w:t>
      </w:r>
      <w:r>
        <w:rPr>
          <w:rFonts w:ascii="Arial" w:cs="Arial" w:eastAsia="Arial" w:hAnsi="Arial"/>
          <w:sz w:val="14"/>
          <w:szCs w:val="14"/>
          <w:color w:val="auto"/>
        </w:rPr>
        <w:t>in consideration of the premises and the mutual covenants, terms and conditions contained herein, and other good and valuable consideration, the sufficiency of which is</w:t>
      </w:r>
      <w:r>
        <w:rPr>
          <w:rFonts w:ascii="Arial" w:cs="Arial" w:eastAsia="Arial" w:hAnsi="Arial"/>
          <w:sz w:val="14"/>
          <w:szCs w:val="14"/>
          <w:b w:val="1"/>
          <w:bCs w:val="1"/>
          <w:color w:val="auto"/>
        </w:rPr>
        <w:t xml:space="preserve"> </w:t>
      </w:r>
      <w:r>
        <w:rPr>
          <w:rFonts w:ascii="Arial" w:cs="Arial" w:eastAsia="Arial" w:hAnsi="Arial"/>
          <w:sz w:val="14"/>
          <w:szCs w:val="14"/>
          <w:color w:val="auto"/>
        </w:rPr>
        <w:t>hereby acknowledged, the Parties hereto agree as follows: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INTERPRETATION</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3"/>
          <w:szCs w:val="13"/>
          <w:b w:val="1"/>
          <w:bCs w:val="1"/>
          <w:color w:val="auto"/>
        </w:rPr>
        <w:t>Definitions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In this Agreement, the following terms have the meanings set forth below:</w:t>
      </w:r>
    </w:p>
    <w:p>
      <w:pPr>
        <w:spacing w:after="0" w:line="180"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Affiliates</w:t>
      </w:r>
      <w:r>
        <w:rPr>
          <w:rFonts w:ascii="Arial" w:cs="Arial" w:eastAsia="Arial" w:hAnsi="Arial"/>
          <w:sz w:val="14"/>
          <w:szCs w:val="14"/>
          <w:color w:val="auto"/>
        </w:rPr>
        <w:t>” shall mean, with respect to any Person, any other Person directly or indirectly controlling, controlled by or under common control with the first Person. The term “control” means the ability to direct the management and policies of such Person, whether through ownership of equity, by contract or otherwise;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Agreement</w:t>
      </w:r>
      <w:r>
        <w:rPr>
          <w:rFonts w:ascii="Arial" w:cs="Arial" w:eastAsia="Arial" w:hAnsi="Arial"/>
          <w:sz w:val="14"/>
          <w:szCs w:val="14"/>
          <w:color w:val="auto"/>
        </w:rPr>
        <w:t>” means this license agreement including all attached schedules, as the same may be supplemented, amended, restated or replaced in writing from time to time;</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Antibody</w:t>
      </w:r>
      <w:r>
        <w:rPr>
          <w:rFonts w:ascii="Arial" w:cs="Arial" w:eastAsia="Arial" w:hAnsi="Arial"/>
          <w:sz w:val="14"/>
          <w:szCs w:val="14"/>
          <w:color w:val="auto"/>
        </w:rPr>
        <w:t>” means a composition of matter that contains complementarity determining regions, including any antibody and any and all antigen binding domains or sequences or portions, variants, fragments or derivatives thereof (e.g., chimeric, humanized, human, non-human, single chain, monovalent, divalent, bispecific, polyvalent, multi-specific, unmodified, modified, or conjugates) and includes full length-immunoglobulins’.</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Antibody Sequences</w:t>
      </w:r>
      <w:r>
        <w:rPr>
          <w:rFonts w:ascii="Arial" w:cs="Arial" w:eastAsia="Arial" w:hAnsi="Arial"/>
          <w:sz w:val="14"/>
          <w:szCs w:val="14"/>
          <w:color w:val="auto"/>
        </w:rPr>
        <w:t>” means sequence data (including nucleic acid and peptide) for any and all Antibodies resulting from the screening of Antibody panels against cell surface receptor targets and including sequence data for any Antibodies having documented lineage (with respect to an Antibody, that such Antibody has lineage derived from a predecessor Antibody as documented in lab notebooks or in regulatory filings) to such Antibodies.</w:t>
      </w:r>
    </w:p>
    <w:p>
      <w:pPr>
        <w:spacing w:after="0" w:line="135"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Beneficiaries</w:t>
      </w:r>
      <w:r>
        <w:rPr>
          <w:rFonts w:ascii="Arial" w:cs="Arial" w:eastAsia="Arial" w:hAnsi="Arial"/>
          <w:sz w:val="14"/>
          <w:szCs w:val="14"/>
          <w:color w:val="auto"/>
        </w:rPr>
        <w:t>” means the INSTITUTIONS and their Affiliates, as applicable, and the INSTITUTIONS’ current, former and future trustees, board members, officers, employees, appointees, faculty, professional staff, consultants, affiliated corporations and agents and their respective heirs, successors and assigns and “</w:t>
      </w:r>
      <w:r>
        <w:rPr>
          <w:rFonts w:ascii="Arial" w:cs="Arial" w:eastAsia="Arial" w:hAnsi="Arial"/>
          <w:sz w:val="14"/>
          <w:szCs w:val="14"/>
          <w:b w:val="1"/>
          <w:bCs w:val="1"/>
          <w:color w:val="auto"/>
        </w:rPr>
        <w:t>Beneficiary</w:t>
      </w:r>
      <w:r>
        <w:rPr>
          <w:rFonts w:ascii="Arial" w:cs="Arial" w:eastAsia="Arial" w:hAnsi="Arial"/>
          <w:sz w:val="14"/>
          <w:szCs w:val="14"/>
          <w:color w:val="auto"/>
        </w:rPr>
        <w:t>” means one of them;</w:t>
      </w:r>
    </w:p>
    <w:p>
      <w:pPr>
        <w:spacing w:after="0" w:line="123"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Best Efforts</w:t>
      </w:r>
      <w:r>
        <w:rPr>
          <w:rFonts w:ascii="Arial" w:cs="Arial" w:eastAsia="Arial" w:hAnsi="Arial"/>
          <w:sz w:val="14"/>
          <w:szCs w:val="14"/>
          <w:color w:val="auto"/>
        </w:rPr>
        <w:t>” means the efforts that a prudent person desirous of achieving a result would use in similar circumstances to ensure that such result is achieved as expeditiously as possible; provided, however, that an obligation to use best efforts under this Agreement</w:t>
      </w:r>
    </w:p>
    <w:p>
      <w:pPr>
        <w:spacing w:after="0" w:line="3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295" w:name="page296"/>
    <w:bookmarkEnd w:id="295"/>
    <w:p>
      <w:pPr>
        <w:spacing w:after="0"/>
        <w:rPr>
          <w:sz w:val="20"/>
          <w:szCs w:val="20"/>
          <w:color w:val="auto"/>
        </w:rPr>
      </w:pPr>
      <w:r>
        <w:rPr>
          <w:rFonts w:ascii="Arial" w:cs="Arial" w:eastAsia="Arial" w:hAnsi="Arial"/>
          <w:sz w:val="14"/>
          <w:szCs w:val="14"/>
          <w:color w:val="auto"/>
        </w:rPr>
        <w:t>does not require the person subject to that obligation to take actions that would result in a materially adverse change in the benefits to such person of this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Calendar Year</w:t>
      </w:r>
      <w:r>
        <w:rPr>
          <w:rFonts w:ascii="Arial" w:cs="Arial" w:eastAsia="Arial" w:hAnsi="Arial"/>
          <w:sz w:val="14"/>
          <w:szCs w:val="14"/>
          <w:color w:val="auto"/>
        </w:rPr>
        <w:t>” means January 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through to December 31</w:t>
      </w:r>
      <w:r>
        <w:rPr>
          <w:rFonts w:ascii="Arial" w:cs="Arial" w:eastAsia="Arial" w:hAnsi="Arial"/>
          <w:sz w:val="23"/>
          <w:szCs w:val="23"/>
          <w:color w:val="auto"/>
          <w:vertAlign w:val="superscript"/>
        </w:rPr>
        <w:t>st</w:t>
      </w:r>
      <w:r>
        <w:rPr>
          <w:rFonts w:ascii="Arial" w:cs="Arial" w:eastAsia="Arial" w:hAnsi="Arial"/>
          <w:sz w:val="14"/>
          <w:szCs w:val="14"/>
          <w:color w:val="auto"/>
        </w:rPr>
        <w:t>;</w:t>
      </w:r>
    </w:p>
    <w:p>
      <w:pPr>
        <w:spacing w:after="0" w:line="107"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Commercially Reasonable Efforts</w:t>
      </w:r>
      <w:r>
        <w:rPr>
          <w:rFonts w:ascii="Arial" w:cs="Arial" w:eastAsia="Arial" w:hAnsi="Arial"/>
          <w:sz w:val="14"/>
          <w:szCs w:val="14"/>
          <w:color w:val="auto"/>
        </w:rPr>
        <w:t>” shall mean reasonable, diligent, good-faith efforts to accomplish an objective comparable to the efforts commonly used by similarly situated Persons to accomplish a similar objective under similar circumstances for products owned by it or to which it has rights having similar sales potential, at a similar stage in development or product life, and taking into account relevant product and business considerations, including product profile, regulation, costs and competitive environment;</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Confidential Information</w:t>
      </w:r>
      <w:r>
        <w:rPr>
          <w:rFonts w:ascii="Arial" w:cs="Arial" w:eastAsia="Arial" w:hAnsi="Arial"/>
          <w:sz w:val="14"/>
          <w:szCs w:val="14"/>
          <w:color w:val="auto"/>
        </w:rPr>
        <w:t>” means the specific terms and conditions set forth in this Agreement, the Know-how, and any information, which is non-public, confidential or proprietary in nature, including, without limitation, business information, trade secrets, and any information related to any Licensed Product or Therapeutic Products, whether written, oral or in electronic form, provided that tangible materials are marked as confidential, and provided that information given orally is identified as confidential at the time of disclosure, and confirmed as confidential in writing within fifteen (15) days, but shall not include information that:</w:t>
      </w:r>
    </w:p>
    <w:p>
      <w:pPr>
        <w:spacing w:after="0" w:line="145" w:lineRule="exact"/>
        <w:rPr>
          <w:sz w:val="20"/>
          <w:szCs w:val="20"/>
          <w:color w:val="auto"/>
        </w:rPr>
      </w:pPr>
    </w:p>
    <w:p>
      <w:pPr>
        <w:ind w:left="1040" w:hanging="516"/>
        <w:spacing w:after="0"/>
        <w:tabs>
          <w:tab w:leader="none" w:pos="10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is or becomes generally available to the public other than as a result of any act by a receiving Party to this Agreement;</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is rightfully received from a Third Party without similar restriction or without breach of this Agreement;</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a receiving Party is able to demonstrate, in writing, was known to it on a non-confidential basis; or</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was independently developed by a receiving Party without the use of any of the Confidential Information.</w:t>
      </w:r>
    </w:p>
    <w:p>
      <w:pPr>
        <w:spacing w:after="0" w:line="180"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Diagnostic Product</w:t>
      </w:r>
      <w:r>
        <w:rPr>
          <w:rFonts w:ascii="Arial" w:cs="Arial" w:eastAsia="Arial" w:hAnsi="Arial"/>
          <w:sz w:val="14"/>
          <w:szCs w:val="14"/>
          <w:color w:val="auto"/>
        </w:rPr>
        <w:t>” means any Licensed Product or derivative thereof, sold, used, manufactured or distributed by EMPIRICA, its Affiliates, any Sub-Licensees under this Agreement, as part of a diagnostic product anywhere in the Territory;</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Encumbrance</w:t>
      </w:r>
      <w:r>
        <w:rPr>
          <w:rFonts w:ascii="Arial" w:cs="Arial" w:eastAsia="Arial" w:hAnsi="Arial"/>
          <w:sz w:val="13"/>
          <w:szCs w:val="13"/>
          <w:color w:val="auto"/>
        </w:rPr>
        <w:t>” means any mortgage, charge, pledge, hypothecation, lien, encumbrance, restriction, option or security interest of any kind and “</w:t>
      </w:r>
      <w:r>
        <w:rPr>
          <w:rFonts w:ascii="Arial" w:cs="Arial" w:eastAsia="Arial" w:hAnsi="Arial"/>
          <w:sz w:val="13"/>
          <w:szCs w:val="13"/>
          <w:b w:val="1"/>
          <w:bCs w:val="1"/>
          <w:color w:val="auto"/>
        </w:rPr>
        <w:t>Encumber</w:t>
      </w:r>
      <w:r>
        <w:rPr>
          <w:rFonts w:ascii="Arial" w:cs="Arial" w:eastAsia="Arial" w:hAnsi="Arial"/>
          <w:sz w:val="13"/>
          <w:szCs w:val="13"/>
          <w:color w:val="auto"/>
        </w:rPr>
        <w:t>” means to create an Encumbrance;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Field of Use</w:t>
      </w:r>
      <w:r>
        <w:rPr>
          <w:rFonts w:ascii="Arial" w:cs="Arial" w:eastAsia="Arial" w:hAnsi="Arial"/>
          <w:sz w:val="14"/>
          <w:szCs w:val="14"/>
          <w:color w:val="auto"/>
        </w:rPr>
        <w:t>” shall mean therapeutic and diagnostic use for all indications;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First Commercial Sale</w:t>
      </w:r>
      <w:r>
        <w:rPr>
          <w:rFonts w:ascii="Arial" w:cs="Arial" w:eastAsia="Arial" w:hAnsi="Arial"/>
          <w:sz w:val="14"/>
          <w:szCs w:val="14"/>
          <w:color w:val="auto"/>
        </w:rPr>
        <w:t>” means the first sale of a Therapeutic Products in the Territory (as hereinafter defined), by EMPIRICA, its Affiliates, or any Sub-Licensees to any Third Party;</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96" w:name="page297"/>
    <w:bookmarkEnd w:id="296"/>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Intellectual Property Rights</w:t>
      </w:r>
      <w:r>
        <w:rPr>
          <w:rFonts w:ascii="Arial" w:cs="Arial" w:eastAsia="Arial" w:hAnsi="Arial"/>
          <w:sz w:val="14"/>
          <w:szCs w:val="14"/>
          <w:color w:val="auto"/>
        </w:rPr>
        <w:t>” means all patents, patent applications, copyrights, trademarks, trade-names, and other intangible property rights, whether registered or not;</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Inventor(s)</w:t>
      </w:r>
      <w:r>
        <w:rPr>
          <w:rFonts w:ascii="Arial" w:cs="Arial" w:eastAsia="Arial" w:hAnsi="Arial"/>
          <w:sz w:val="14"/>
          <w:szCs w:val="14"/>
          <w:color w:val="auto"/>
        </w:rPr>
        <w:t>” means any individual listed as an inventor on any Patent or Licensed Inventions;</w:t>
      </w:r>
    </w:p>
    <w:p>
      <w:pPr>
        <w:spacing w:after="0" w:line="184"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Know-how</w:t>
      </w:r>
      <w:r>
        <w:rPr>
          <w:rFonts w:ascii="Arial" w:cs="Arial" w:eastAsia="Arial" w:hAnsi="Arial"/>
          <w:sz w:val="14"/>
          <w:szCs w:val="14"/>
          <w:color w:val="auto"/>
        </w:rPr>
        <w:t>” means any and all trade secrets, technical expertise, knowledge, and confidential information specifically relating to the Licensed Inventions. For the avoidance of doubt, this excludes Know-how that apply to other technologies not covered by this Agreement;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Licensed Inventions</w:t>
      </w:r>
      <w:r>
        <w:rPr>
          <w:rFonts w:ascii="Arial" w:cs="Arial" w:eastAsia="Arial" w:hAnsi="Arial"/>
          <w:sz w:val="14"/>
          <w:szCs w:val="14"/>
          <w:color w:val="auto"/>
        </w:rPr>
        <w:t xml:space="preserve">” means the Patents and Antibody Sequences described in </w:t>
      </w:r>
      <w:r>
        <w:rPr>
          <w:rFonts w:ascii="Arial" w:cs="Arial" w:eastAsia="Arial" w:hAnsi="Arial"/>
          <w:sz w:val="14"/>
          <w:szCs w:val="14"/>
          <w:b w:val="1"/>
          <w:bCs w:val="1"/>
          <w:color w:val="auto"/>
        </w:rPr>
        <w:t>Schedule</w:t>
      </w:r>
      <w:r>
        <w:rPr>
          <w:rFonts w:ascii="Arial" w:cs="Arial" w:eastAsia="Arial" w:hAnsi="Arial"/>
          <w:sz w:val="14"/>
          <w:szCs w:val="14"/>
          <w:color w:val="auto"/>
        </w:rPr>
        <w:t xml:space="preserve"> “</w:t>
      </w:r>
      <w:r>
        <w:rPr>
          <w:rFonts w:ascii="Arial" w:cs="Arial" w:eastAsia="Arial" w:hAnsi="Arial"/>
          <w:sz w:val="14"/>
          <w:szCs w:val="14"/>
          <w:b w:val="1"/>
          <w:bCs w:val="1"/>
          <w:color w:val="auto"/>
        </w:rPr>
        <w:t>B</w:t>
      </w:r>
      <w:r>
        <w:rPr>
          <w:rFonts w:ascii="Arial" w:cs="Arial" w:eastAsia="Arial" w:hAnsi="Arial"/>
          <w:sz w:val="14"/>
          <w:szCs w:val="14"/>
          <w:color w:val="auto"/>
        </w:rPr>
        <w:t>”</w:t>
      </w:r>
      <w:r>
        <w:rPr>
          <w:rFonts w:ascii="Arial" w:cs="Arial" w:eastAsia="Arial" w:hAnsi="Arial"/>
          <w:sz w:val="14"/>
          <w:szCs w:val="14"/>
          <w:b w:val="1"/>
          <w:bCs w:val="1"/>
          <w:color w:val="auto"/>
        </w:rPr>
        <w:t>,</w:t>
      </w:r>
      <w:r>
        <w:rPr>
          <w:rFonts w:ascii="Arial" w:cs="Arial" w:eastAsia="Arial" w:hAnsi="Arial"/>
          <w:sz w:val="14"/>
          <w:szCs w:val="14"/>
          <w:color w:val="auto"/>
        </w:rPr>
        <w:t xml:space="preserve"> any related Intellectual Property Rights and Know-how, including but not limited to:</w:t>
      </w:r>
    </w:p>
    <w:p>
      <w:pPr>
        <w:spacing w:after="0" w:line="188" w:lineRule="exact"/>
        <w:rPr>
          <w:sz w:val="20"/>
          <w:szCs w:val="20"/>
          <w:color w:val="auto"/>
        </w:rPr>
      </w:pPr>
    </w:p>
    <w:p>
      <w:pPr>
        <w:ind w:left="1040" w:hanging="516"/>
        <w:spacing w:after="0" w:line="288" w:lineRule="auto"/>
        <w:tabs>
          <w:tab w:leader="none" w:pos="104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Antibody Sequences that are at least 70% homologous at the amino acid level to the complementarity-determining regions (CDR) of the Antibody Sequences set forth in Schedule B;</w:t>
      </w:r>
    </w:p>
    <w:p>
      <w:pPr>
        <w:spacing w:after="0" w:line="127" w:lineRule="exact"/>
        <w:rPr>
          <w:rFonts w:ascii="Arial" w:cs="Arial" w:eastAsia="Arial" w:hAnsi="Arial"/>
          <w:sz w:val="14"/>
          <w:szCs w:val="14"/>
          <w:color w:val="auto"/>
        </w:rPr>
      </w:pPr>
    </w:p>
    <w:p>
      <w:pPr>
        <w:ind w:left="1040" w:hanging="516"/>
        <w:spacing w:after="0" w:line="294" w:lineRule="auto"/>
        <w:tabs>
          <w:tab w:leader="none" w:pos="104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 xml:space="preserve">any continuations of the patent applications identified in </w:t>
      </w:r>
      <w:r>
        <w:rPr>
          <w:rFonts w:ascii="Arial" w:cs="Arial" w:eastAsia="Arial" w:hAnsi="Arial"/>
          <w:sz w:val="14"/>
          <w:szCs w:val="14"/>
          <w:b w:val="1"/>
          <w:bCs w:val="1"/>
          <w:color w:val="auto"/>
        </w:rPr>
        <w:t>Schedule “B”</w:t>
      </w:r>
      <w:r>
        <w:rPr>
          <w:rFonts w:ascii="Arial" w:cs="Arial" w:eastAsia="Arial" w:hAnsi="Arial"/>
          <w:sz w:val="14"/>
          <w:szCs w:val="14"/>
          <w:color w:val="auto"/>
        </w:rPr>
        <w:t>, including divisionals, continuations and continuation-in-part applications, except in any subject-matter or claim of continuation-in-part applications which is not disclosed nor enabled in patent applications thereof;</w:t>
      </w:r>
    </w:p>
    <w:p>
      <w:pPr>
        <w:spacing w:after="0" w:line="123" w:lineRule="exact"/>
        <w:rPr>
          <w:rFonts w:ascii="Arial" w:cs="Arial" w:eastAsia="Arial" w:hAnsi="Arial"/>
          <w:sz w:val="14"/>
          <w:szCs w:val="14"/>
          <w:color w:val="auto"/>
        </w:rPr>
      </w:pPr>
    </w:p>
    <w:p>
      <w:pPr>
        <w:ind w:left="1040" w:hanging="516"/>
        <w:spacing w:after="0" w:line="294" w:lineRule="auto"/>
        <w:tabs>
          <w:tab w:leader="none" w:pos="104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 xml:space="preserve">any patents or patent applications, in any jurisdiction, corresponding to Patents in </w:t>
      </w:r>
      <w:r>
        <w:rPr>
          <w:rFonts w:ascii="Arial" w:cs="Arial" w:eastAsia="Arial" w:hAnsi="Arial"/>
          <w:sz w:val="14"/>
          <w:szCs w:val="14"/>
          <w:b w:val="1"/>
          <w:bCs w:val="1"/>
          <w:color w:val="auto"/>
        </w:rPr>
        <w:t>Schedule</w:t>
      </w:r>
      <w:r>
        <w:rPr>
          <w:rFonts w:ascii="Arial" w:cs="Arial" w:eastAsia="Arial" w:hAnsi="Arial"/>
          <w:sz w:val="14"/>
          <w:szCs w:val="14"/>
          <w:color w:val="auto"/>
        </w:rPr>
        <w:t xml:space="preserve"> “</w:t>
      </w:r>
      <w:r>
        <w:rPr>
          <w:rFonts w:ascii="Arial" w:cs="Arial" w:eastAsia="Arial" w:hAnsi="Arial"/>
          <w:sz w:val="14"/>
          <w:szCs w:val="14"/>
          <w:b w:val="1"/>
          <w:bCs w:val="1"/>
          <w:color w:val="auto"/>
        </w:rPr>
        <w:t>B</w:t>
      </w:r>
      <w:r>
        <w:rPr>
          <w:rFonts w:ascii="Arial" w:cs="Arial" w:eastAsia="Arial" w:hAnsi="Arial"/>
          <w:sz w:val="14"/>
          <w:szCs w:val="14"/>
          <w:color w:val="auto"/>
        </w:rPr>
        <w:t xml:space="preserve">”; except in any issued patent claims, arising from continuation-in-part applications, of which the subject-matter is not disclosed nor enabled in the patent applications disclosed in </w:t>
      </w:r>
      <w:r>
        <w:rPr>
          <w:rFonts w:ascii="Arial" w:cs="Arial" w:eastAsia="Arial" w:hAnsi="Arial"/>
          <w:sz w:val="14"/>
          <w:szCs w:val="14"/>
          <w:b w:val="1"/>
          <w:bCs w:val="1"/>
          <w:color w:val="auto"/>
        </w:rPr>
        <w:t>Schedule “B”</w:t>
      </w:r>
      <w:r>
        <w:rPr>
          <w:rFonts w:ascii="Arial" w:cs="Arial" w:eastAsia="Arial" w:hAnsi="Arial"/>
          <w:sz w:val="14"/>
          <w:szCs w:val="14"/>
          <w:color w:val="auto"/>
        </w:rPr>
        <w:t>.</w:t>
      </w:r>
    </w:p>
    <w:p>
      <w:pPr>
        <w:spacing w:after="0" w:line="123"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Licensed Products</w:t>
      </w:r>
      <w:r>
        <w:rPr>
          <w:rFonts w:ascii="Arial" w:cs="Arial" w:eastAsia="Arial" w:hAnsi="Arial"/>
          <w:sz w:val="14"/>
          <w:szCs w:val="14"/>
          <w:color w:val="auto"/>
        </w:rPr>
        <w:t>” means any Antibody or Antibody Sequences derived technology including but not limited to BiTE and Bi-Specific or engineered T-Cells including but not limited to chimeric antigen receptors (CAR-Ts) derived in whole or in part from the Licensed Inventions;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Milestone Payments</w:t>
      </w:r>
      <w:r>
        <w:rPr>
          <w:rFonts w:ascii="Arial" w:cs="Arial" w:eastAsia="Arial" w:hAnsi="Arial"/>
          <w:sz w:val="14"/>
          <w:szCs w:val="14"/>
          <w:color w:val="auto"/>
        </w:rPr>
        <w:t>” has the meaning attributed in Subsection 3.2.1;</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Net Sales</w:t>
      </w:r>
      <w:r>
        <w:rPr>
          <w:rFonts w:ascii="Arial" w:cs="Arial" w:eastAsia="Arial" w:hAnsi="Arial"/>
          <w:sz w:val="14"/>
          <w:szCs w:val="14"/>
          <w:color w:val="auto"/>
        </w:rPr>
        <w:t>” means the total of the gross invoice price (including, without limitation, the fair market value of any non-cash consideration received directly in connection therewith) of Therapeutic Products sold by EMPIRICA, its Affiliates and Sub-Licensees, or any combination thereof, in the Territory, minus the sum of the following actual and customary industry deductions where applicable as follows:</w:t>
      </w:r>
    </w:p>
    <w:p>
      <w:pPr>
        <w:spacing w:after="0" w:line="139" w:lineRule="exact"/>
        <w:rPr>
          <w:sz w:val="20"/>
          <w:szCs w:val="20"/>
          <w:color w:val="auto"/>
        </w:rPr>
      </w:pPr>
    </w:p>
    <w:p>
      <w:pPr>
        <w:ind w:left="1040" w:hanging="516"/>
        <w:spacing w:after="0"/>
        <w:tabs>
          <w:tab w:leader="none" w:pos="10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normal trade and cash discounts;</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rebates and chargebacks to customers and Third Parties (including Medicare, Medicaid, TriCare, Managed Healthcare);</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297" w:name="page298"/>
    <w:bookmarkEnd w:id="297"/>
    <w:p>
      <w:pPr>
        <w:ind w:left="1040" w:hanging="516"/>
        <w:spacing w:after="0"/>
        <w:tabs>
          <w:tab w:leader="none" w:pos="104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any amounts recorded in gross revenue associated with goods provided to customers for free - with the exception of samples;</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amounts paid or credited to customers through coupons, other discount programs and co-pay assistance programs;</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credits, rebates or allowances because of damaged goods or returns with respect to Therapeutic Products;</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freight, postage, shipping and insurance charges incurred in transporting the Therapeutic Products to the end customer;</w:t>
      </w:r>
    </w:p>
    <w:p>
      <w:pPr>
        <w:spacing w:after="0" w:line="184" w:lineRule="exact"/>
        <w:rPr>
          <w:rFonts w:ascii="Arial" w:cs="Arial" w:eastAsia="Arial" w:hAnsi="Arial"/>
          <w:sz w:val="14"/>
          <w:szCs w:val="14"/>
          <w:color w:val="auto"/>
        </w:rPr>
      </w:pPr>
    </w:p>
    <w:p>
      <w:pPr>
        <w:ind w:left="520" w:right="1160" w:firstLine="4"/>
        <w:spacing w:after="0" w:line="551" w:lineRule="auto"/>
        <w:tabs>
          <w:tab w:leader="none" w:pos="1038"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taxes, duties, tariffs, or other governmental charges (other than income taxes) levied on, absorbed or otherwise imposed on sales of Therapeutic Products; and A sale will be deemed to have occurred on the day when EMPIRICA, its Affiliates or any Sub-Licensees receive payment for the sold Therapeutic Products.</w:t>
      </w: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Parties</w:t>
      </w:r>
      <w:r>
        <w:rPr>
          <w:rFonts w:ascii="Arial" w:cs="Arial" w:eastAsia="Arial" w:hAnsi="Arial"/>
          <w:sz w:val="14"/>
          <w:szCs w:val="14"/>
          <w:color w:val="auto"/>
        </w:rPr>
        <w:t>” means the INSTITUTIONS and EMPIRICA collectively, and “</w:t>
      </w:r>
      <w:r>
        <w:rPr>
          <w:rFonts w:ascii="Arial" w:cs="Arial" w:eastAsia="Arial" w:hAnsi="Arial"/>
          <w:sz w:val="14"/>
          <w:szCs w:val="14"/>
          <w:b w:val="1"/>
          <w:bCs w:val="1"/>
          <w:color w:val="auto"/>
        </w:rPr>
        <w:t>Party</w:t>
      </w:r>
      <w:r>
        <w:rPr>
          <w:rFonts w:ascii="Arial" w:cs="Arial" w:eastAsia="Arial" w:hAnsi="Arial"/>
          <w:sz w:val="14"/>
          <w:szCs w:val="14"/>
          <w:color w:val="auto"/>
        </w:rPr>
        <w:t>” means one of them, including UT and/or MAC;</w:t>
      </w:r>
    </w:p>
    <w:p>
      <w:pPr>
        <w:spacing w:after="0" w:line="184"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Patents</w:t>
      </w:r>
      <w:r>
        <w:rPr>
          <w:rFonts w:ascii="Arial" w:cs="Arial" w:eastAsia="Arial" w:hAnsi="Arial"/>
          <w:sz w:val="14"/>
          <w:szCs w:val="14"/>
          <w:color w:val="auto"/>
        </w:rPr>
        <w:t xml:space="preserve">” means the patents and/or patent applications listed in </w:t>
      </w:r>
      <w:r>
        <w:rPr>
          <w:rFonts w:ascii="Arial" w:cs="Arial" w:eastAsia="Arial" w:hAnsi="Arial"/>
          <w:sz w:val="14"/>
          <w:szCs w:val="14"/>
          <w:b w:val="1"/>
          <w:bCs w:val="1"/>
          <w:color w:val="auto"/>
        </w:rPr>
        <w:t>Schedule “B”</w:t>
      </w:r>
      <w:r>
        <w:rPr>
          <w:rFonts w:ascii="Arial" w:cs="Arial" w:eastAsia="Arial" w:hAnsi="Arial"/>
          <w:sz w:val="14"/>
          <w:szCs w:val="14"/>
          <w:color w:val="auto"/>
        </w:rPr>
        <w:t>, as may be updated from time to time, and shall include any divisional, re-examination or renewal based on the said patents and /or patent applications, any patents which may issue on, from, or as a result of, any of the foregoing and any reissue of said patents;</w:t>
      </w:r>
    </w:p>
    <w:p>
      <w:pPr>
        <w:spacing w:after="0" w:line="123"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Person</w:t>
      </w:r>
      <w:r>
        <w:rPr>
          <w:rFonts w:ascii="Arial" w:cs="Arial" w:eastAsia="Arial" w:hAnsi="Arial"/>
          <w:sz w:val="14"/>
          <w:szCs w:val="14"/>
          <w:color w:val="auto"/>
        </w:rPr>
        <w:t>” means any individual, sole proprietorship, partnership, unincorporated association, unincorporated syndicate, unincorporated organization, trust, body corporate and/or a natural person in his or her capacity as trustee, executor, administrator or other legal representative;</w:t>
      </w:r>
    </w:p>
    <w:p>
      <w:pPr>
        <w:spacing w:after="0" w:line="123" w:lineRule="exact"/>
        <w:rPr>
          <w:sz w:val="20"/>
          <w:szCs w:val="20"/>
          <w:color w:val="auto"/>
        </w:rPr>
      </w:pPr>
    </w:p>
    <w:p>
      <w:pPr>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Prime Rate</w:t>
      </w:r>
      <w:r>
        <w:rPr>
          <w:rFonts w:ascii="Arial" w:cs="Arial" w:eastAsia="Arial" w:hAnsi="Arial"/>
          <w:sz w:val="14"/>
          <w:szCs w:val="14"/>
          <w:color w:val="auto"/>
        </w:rPr>
        <w:t>” means the rate of interest expressed as a rate per annum that the Canadian Imperial Bank of Commerce establishes at its head office in Toronto as the reference rate of interest that it will charge on a specified day for demand loans and which it at present refers to as its prime rate;</w:t>
      </w:r>
    </w:p>
    <w:p>
      <w:pPr>
        <w:spacing w:after="0" w:line="123" w:lineRule="exact"/>
        <w:rPr>
          <w:sz w:val="20"/>
          <w:szCs w:val="20"/>
          <w:color w:val="auto"/>
        </w:rPr>
      </w:pPr>
    </w:p>
    <w:p>
      <w:pPr>
        <w:ind w:right="1620"/>
        <w:spacing w:after="0" w:line="55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EMPIRICA Improvements</w:t>
      </w:r>
      <w:r>
        <w:rPr>
          <w:rFonts w:ascii="Arial" w:cs="Arial" w:eastAsia="Arial" w:hAnsi="Arial"/>
          <w:sz w:val="13"/>
          <w:szCs w:val="13"/>
          <w:color w:val="auto"/>
        </w:rPr>
        <w:t>” means any modifications, enhancements, upgrades or additions to the Licensed Inventions made or created solely by or for EMPIRICA; “</w:t>
      </w:r>
      <w:r>
        <w:rPr>
          <w:rFonts w:ascii="Arial" w:cs="Arial" w:eastAsia="Arial" w:hAnsi="Arial"/>
          <w:sz w:val="13"/>
          <w:szCs w:val="13"/>
          <w:b w:val="1"/>
          <w:bCs w:val="1"/>
          <w:color w:val="auto"/>
        </w:rPr>
        <w:t>Phase I clinical trial</w:t>
      </w:r>
      <w:r>
        <w:rPr>
          <w:rFonts w:ascii="Arial" w:cs="Arial" w:eastAsia="Arial" w:hAnsi="Arial"/>
          <w:sz w:val="13"/>
          <w:szCs w:val="13"/>
          <w:color w:val="auto"/>
        </w:rPr>
        <w:t>” means a human clinical trial with the first testing in humans to test the safety, side effects, best dose, and formulation method for a product;</w:t>
      </w: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Phase II clinical trial</w:t>
      </w:r>
      <w:r>
        <w:rPr>
          <w:rFonts w:ascii="Arial" w:cs="Arial" w:eastAsia="Arial" w:hAnsi="Arial"/>
          <w:sz w:val="14"/>
          <w:szCs w:val="14"/>
          <w:color w:val="auto"/>
        </w:rPr>
        <w:t>” means a human clinical trial or the adaptation of an existing human clinical trial in any country of a product, for which the primary endpoints include</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98" w:name="page299"/>
    <w:bookmarkEnd w:id="298"/>
    <w:p>
      <w:pPr>
        <w:jc w:val="both"/>
        <w:spacing w:after="0" w:line="265" w:lineRule="auto"/>
        <w:rPr>
          <w:sz w:val="20"/>
          <w:szCs w:val="20"/>
          <w:color w:val="auto"/>
        </w:rPr>
      </w:pPr>
      <w:r>
        <w:rPr>
          <w:rFonts w:ascii="Arial" w:cs="Arial" w:eastAsia="Arial" w:hAnsi="Arial"/>
          <w:sz w:val="14"/>
          <w:szCs w:val="14"/>
          <w:color w:val="auto"/>
        </w:rPr>
        <w:t>a determination of dose ranges and/or a preliminary determination of efficacy and/or pharmacodynamic activity. A Phase II Trial includes: (i) a small scale Phase II Trial or a portion of Phase II thereof in which a human clinical trial is performed, the primary purpose of which is to estimate the biologic or clinical effect of a pharmaceutical product in a target population (known as a Phase IIa Study); and (ii) a Phase II Trial or a portion of Phase II thereof in which a placebo or active drug controlled, randomized human clinical trial is performed to gain evidence of the efficacy of a pharmaceutical product in a target population, and/or to establish the optimal dosing regimen for such product and any other clinical trial that is not a Phase I Trial, Phase IIa Trial or Phase III Trial (known as a Phase IIb Trial).</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Phase III clinical trial</w:t>
      </w:r>
      <w:r>
        <w:rPr>
          <w:rFonts w:ascii="Arial" w:cs="Arial" w:eastAsia="Arial" w:hAnsi="Arial"/>
          <w:sz w:val="14"/>
          <w:szCs w:val="14"/>
          <w:color w:val="auto"/>
        </w:rPr>
        <w:t>” means a large scale, pivotal, usually multicentred human clinical trial that is prospectively designed to demonstrate statistically whether a product is safe and effective for use in humans in a manner sufficient to obtain regulatory approval to market such product in patients having the disease or condition being studied. A Phase III trial also includes any well controlled study intended to provide the substantial evidence of efficacy necessary to support an NDA (New Drug Application) Filing (such as a combined Phase II/Phase III Trial, or any Phase III Trial in lieu of a Phase II Trial), whether or not such study is a traditional Phase III Trial.</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Reporting Period</w:t>
      </w:r>
      <w:r>
        <w:rPr>
          <w:rFonts w:ascii="Arial" w:cs="Arial" w:eastAsia="Arial" w:hAnsi="Arial"/>
          <w:sz w:val="14"/>
          <w:szCs w:val="14"/>
          <w:color w:val="auto"/>
        </w:rPr>
        <w:t>” shall mean each three-month period ending March 31, June 30, September 30 and December 31;</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Representative(s)</w:t>
      </w:r>
      <w:r>
        <w:rPr>
          <w:rFonts w:ascii="Arial" w:cs="Arial" w:eastAsia="Arial" w:hAnsi="Arial"/>
          <w:sz w:val="14"/>
          <w:szCs w:val="14"/>
          <w:color w:val="auto"/>
        </w:rPr>
        <w:t>” means board members, officers, employees, professional advisors, consultants, and agents of a Party; and in the case of INSTITUTIONS the Representatives shall be appointed by UT and MAC;</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Royalty Payments</w:t>
      </w:r>
      <w:r>
        <w:rPr>
          <w:rFonts w:ascii="Arial" w:cs="Arial" w:eastAsia="Arial" w:hAnsi="Arial"/>
          <w:sz w:val="14"/>
          <w:szCs w:val="14"/>
          <w:color w:val="auto"/>
        </w:rPr>
        <w:t>” means Royalty Payments calculated for Therapeutic Products;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Semi-annual Period</w:t>
      </w:r>
      <w:r>
        <w:rPr>
          <w:rFonts w:ascii="Arial" w:cs="Arial" w:eastAsia="Arial" w:hAnsi="Arial"/>
          <w:sz w:val="14"/>
          <w:szCs w:val="14"/>
          <w:color w:val="auto"/>
        </w:rPr>
        <w:t>” means the periods of time beginning on January 1 and ending on June 30 and beginning on July 1 and ending on December 31 of each year;</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Sub-Licensees</w:t>
      </w:r>
      <w:r>
        <w:rPr>
          <w:rFonts w:ascii="Arial" w:cs="Arial" w:eastAsia="Arial" w:hAnsi="Arial"/>
          <w:sz w:val="14"/>
          <w:szCs w:val="14"/>
          <w:color w:val="auto"/>
        </w:rPr>
        <w:t>” means a Third Party licensed by EMPIRICA or an Affiliate of EMPIRICA and includes but not limited to joint venture, co-development and other equivalent relationships but excludes distributor relationships;</w:t>
      </w:r>
    </w:p>
    <w:p>
      <w:pPr>
        <w:spacing w:after="0" w:line="123"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Term</w:t>
      </w:r>
      <w:r>
        <w:rPr>
          <w:rFonts w:ascii="Arial" w:cs="Arial" w:eastAsia="Arial" w:hAnsi="Arial"/>
          <w:sz w:val="14"/>
          <w:szCs w:val="14"/>
          <w:color w:val="auto"/>
        </w:rPr>
        <w:t>” means a period of 20 years commencing on the Effective Date or terminating on the last to expire Valid Claim within the Licensed Inventions covering such Licensed Product in such country;</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Territory</w:t>
      </w:r>
      <w:r>
        <w:rPr>
          <w:rFonts w:ascii="Arial" w:cs="Arial" w:eastAsia="Arial" w:hAnsi="Arial"/>
          <w:sz w:val="14"/>
          <w:szCs w:val="14"/>
          <w:color w:val="auto"/>
        </w:rPr>
        <w:t>” means each and every country of the world;</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Therapeutic Products</w:t>
      </w:r>
      <w:r>
        <w:rPr>
          <w:rFonts w:ascii="Arial" w:cs="Arial" w:eastAsia="Arial" w:hAnsi="Arial"/>
          <w:sz w:val="14"/>
          <w:szCs w:val="14"/>
          <w:color w:val="auto"/>
        </w:rPr>
        <w:t>” means any Licensed Products or derivatives thereof, sold, used, manufactured or distributed by EMPIRICA, its Affiliates, any Sub-Licensees under this Agreement as a therapeutic product anywhere in the Territory;</w:t>
      </w:r>
    </w:p>
    <w:p>
      <w:pPr>
        <w:spacing w:after="0" w:line="300" w:lineRule="exact"/>
        <w:rPr>
          <w:sz w:val="20"/>
          <w:szCs w:val="20"/>
          <w:color w:val="auto"/>
        </w:rPr>
      </w:pPr>
    </w:p>
    <w:p>
      <w:pPr>
        <w:ind w:left="10560"/>
        <w:spacing w:after="0"/>
        <w:rPr>
          <w:sz w:val="20"/>
          <w:szCs w:val="20"/>
          <w:color w:val="auto"/>
        </w:rPr>
      </w:pPr>
      <w:r>
        <w:rPr>
          <w:rFonts w:ascii="Arial" w:cs="Arial" w:eastAsia="Arial" w:hAnsi="Arial"/>
          <w:sz w:val="12"/>
          <w:szCs w:val="12"/>
          <w:color w:val="auto"/>
        </w:rPr>
        <w:t>Page 6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7159625"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299" w:name="page300"/>
    <w:bookmarkEnd w:id="299"/>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Third Party</w:t>
      </w:r>
      <w:r>
        <w:rPr>
          <w:rFonts w:ascii="Arial" w:cs="Arial" w:eastAsia="Arial" w:hAnsi="Arial"/>
          <w:sz w:val="14"/>
          <w:szCs w:val="14"/>
          <w:color w:val="auto"/>
        </w:rPr>
        <w:t xml:space="preserve">” means, in respect of a Party, a Person who deals with such Party at arm’s length, as that term is defined in the </w:t>
      </w:r>
      <w:r>
        <w:rPr>
          <w:rFonts w:ascii="Arial" w:cs="Arial" w:eastAsia="Arial" w:hAnsi="Arial"/>
          <w:sz w:val="14"/>
          <w:szCs w:val="14"/>
          <w:i w:val="1"/>
          <w:iCs w:val="1"/>
          <w:color w:val="auto"/>
        </w:rPr>
        <w:t>Income Tax Act</w:t>
      </w:r>
      <w:r>
        <w:rPr>
          <w:rFonts w:ascii="Arial" w:cs="Arial" w:eastAsia="Arial" w:hAnsi="Arial"/>
          <w:sz w:val="14"/>
          <w:szCs w:val="14"/>
          <w:color w:val="auto"/>
        </w:rPr>
        <w:t xml:space="preserve"> (Canada) on the date hereof; and</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Valid Claim</w:t>
      </w:r>
      <w:r>
        <w:rPr>
          <w:rFonts w:ascii="Arial" w:cs="Arial" w:eastAsia="Arial" w:hAnsi="Arial"/>
          <w:sz w:val="14"/>
          <w:szCs w:val="14"/>
          <w:color w:val="auto"/>
        </w:rPr>
        <w:t>” means, on a country by country basis, a claim in: (a) any issued and unexpired Patents which has not been permanently revoked or held unenforceable, unpatentable or invalid by a decision of a court or other governmental agency of competent jurisdiction, which decision is unappealable or not appealed within the time allowed for appeal, has not been donated to the public and has not been cancelled, withdrawn, abandoned, disclaimed or admitted to be invalid or unenforceable through reissue, disclaimer or otherwise; or (b) pending Patents that (i) have been filed in good faith, that (ii) have not been cancelled, withdrawn, finally rejected, expired or abandoned without the possibility of an appeal or refiling, or ten (10) years after the earliest priority filing date for any such application.</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Voting Common Shares</w:t>
      </w: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 xml:space="preserve"> means Voting Common Shares in the capital of Empirica Therapeutics</w:t>
      </w:r>
    </w:p>
    <w:p>
      <w:pPr>
        <w:spacing w:after="0" w:line="18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1.2</w:t>
      </w:r>
      <w:r>
        <w:rPr>
          <w:sz w:val="20"/>
          <w:szCs w:val="20"/>
          <w:color w:val="auto"/>
        </w:rPr>
        <w:tab/>
      </w:r>
      <w:r>
        <w:rPr>
          <w:rFonts w:ascii="Arial" w:cs="Arial" w:eastAsia="Arial" w:hAnsi="Arial"/>
          <w:sz w:val="12"/>
          <w:szCs w:val="12"/>
          <w:b w:val="1"/>
          <w:bCs w:val="1"/>
          <w:color w:val="auto"/>
        </w:rPr>
        <w:t>Headings</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The division of this Agreement into articles, sections, subsections and schedules and the insertion of headings are for convenience of reference only and shall not affect the construction or interpretation of this Agreement. The article, section, subsection and schedule headings in this Agreement are not intended to be full or precise descriptions of the text to which they refer and are not to be considered part of this Agreement. All uses of the words “hereto”, “herein”, “hereof”, “hereby” and “hereunder” and similar expressions refer to this Agreement and not to any particular section or portion of it. References to an Article, Section, Subsection or Schedule refer to the applicable article, section, subsection or schedule of this Agreement unless explicitly noted otherwise.</w:t>
      </w:r>
    </w:p>
    <w:p>
      <w:pPr>
        <w:spacing w:after="0" w:line="12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1.3</w:t>
      </w:r>
      <w:r>
        <w:rPr>
          <w:sz w:val="20"/>
          <w:szCs w:val="20"/>
          <w:color w:val="auto"/>
        </w:rPr>
        <w:tab/>
      </w:r>
      <w:r>
        <w:rPr>
          <w:rFonts w:ascii="Arial" w:cs="Arial" w:eastAsia="Arial" w:hAnsi="Arial"/>
          <w:sz w:val="13"/>
          <w:szCs w:val="13"/>
          <w:b w:val="1"/>
          <w:bCs w:val="1"/>
          <w:color w:val="auto"/>
        </w:rPr>
        <w:t>Currency</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Unless specified otherwise, all statements of or references to dollar amounts in this Agreement are to lawful money of the United States.</w:t>
      </w:r>
    </w:p>
    <w:p>
      <w:pPr>
        <w:spacing w:after="0" w:line="180"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b w:val="1"/>
          <w:bCs w:val="1"/>
          <w:color w:val="auto"/>
        </w:rPr>
        <w:t>1.4</w:t>
      </w:r>
      <w:r>
        <w:rPr>
          <w:sz w:val="20"/>
          <w:szCs w:val="20"/>
          <w:color w:val="auto"/>
        </w:rPr>
        <w:tab/>
      </w:r>
      <w:r>
        <w:rPr>
          <w:rFonts w:ascii="Arial" w:cs="Arial" w:eastAsia="Arial" w:hAnsi="Arial"/>
          <w:sz w:val="11"/>
          <w:szCs w:val="11"/>
          <w:b w:val="1"/>
          <w:bCs w:val="1"/>
          <w:color w:val="auto"/>
        </w:rPr>
        <w:t>Schedules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schedules are attached to and incorporated by reference into this Agreement:</w:t>
      </w:r>
    </w:p>
    <w:p>
      <w:pPr>
        <w:sectPr>
          <w:pgSz w:w="11900" w:h="16838" w:orient="portrait"/>
          <w:cols w:equalWidth="0" w:num="1">
            <w:col w:w="11280"/>
          </w:cols>
          <w:pgMar w:left="300" w:top="729" w:right="319" w:bottom="1440" w:gutter="0" w:footer="0" w:header="0"/>
        </w:sectPr>
      </w:pPr>
    </w:p>
    <w:p>
      <w:pPr>
        <w:spacing w:after="0" w:line="180" w:lineRule="exact"/>
        <w:rPr>
          <w:sz w:val="20"/>
          <w:szCs w:val="20"/>
          <w:color w:val="auto"/>
        </w:rPr>
      </w:pPr>
    </w:p>
    <w:p>
      <w:pPr>
        <w:jc w:val="both"/>
        <w:spacing w:after="0" w:line="336" w:lineRule="auto"/>
        <w:rPr>
          <w:sz w:val="20"/>
          <w:szCs w:val="20"/>
          <w:color w:val="auto"/>
        </w:rPr>
      </w:pPr>
      <w:r>
        <w:rPr>
          <w:rFonts w:ascii="Arial" w:cs="Arial" w:eastAsia="Arial" w:hAnsi="Arial"/>
          <w:sz w:val="13"/>
          <w:szCs w:val="13"/>
          <w:b w:val="1"/>
          <w:bCs w:val="1"/>
          <w:color w:val="auto"/>
        </w:rPr>
        <w:t xml:space="preserve">Schedule </w:t>
      </w:r>
      <w:r>
        <w:rPr>
          <w:rFonts w:ascii="Arial" w:cs="Arial" w:eastAsia="Arial" w:hAnsi="Arial"/>
          <w:sz w:val="13"/>
          <w:szCs w:val="13"/>
          <w:color w:val="auto"/>
        </w:rPr>
        <w:t>“</w:t>
      </w:r>
      <w:r>
        <w:rPr>
          <w:rFonts w:ascii="Arial" w:cs="Arial" w:eastAsia="Arial" w:hAnsi="Arial"/>
          <w:sz w:val="13"/>
          <w:szCs w:val="13"/>
          <w:b w:val="1"/>
          <w:bCs w:val="1"/>
          <w:color w:val="auto"/>
        </w:rPr>
        <w:t>A</w:t>
      </w:r>
      <w:r>
        <w:rPr>
          <w:rFonts w:ascii="Arial" w:cs="Arial" w:eastAsia="Arial" w:hAnsi="Arial"/>
          <w:sz w:val="13"/>
          <w:szCs w:val="13"/>
          <w:color w:val="auto"/>
        </w:rPr>
        <w:t>”</w:t>
      </w:r>
      <w:r>
        <w:rPr>
          <w:rFonts w:ascii="Arial" w:cs="Arial" w:eastAsia="Arial" w:hAnsi="Arial"/>
          <w:sz w:val="13"/>
          <w:szCs w:val="13"/>
          <w:b w:val="1"/>
          <w:bCs w:val="1"/>
          <w:color w:val="auto"/>
        </w:rPr>
        <w:t xml:space="preserve"> Schedule “B”</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Option to License and Term Sheet dated October 24, 2018</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Licensed Inventions</w:t>
      </w:r>
    </w:p>
    <w:p>
      <w:pPr>
        <w:spacing w:after="0" w:line="271" w:lineRule="exact"/>
        <w:rPr>
          <w:sz w:val="20"/>
          <w:szCs w:val="20"/>
          <w:color w:val="auto"/>
        </w:rPr>
      </w:pPr>
    </w:p>
    <w:p>
      <w:pPr>
        <w:sectPr>
          <w:pgSz w:w="11900" w:h="16838" w:orient="portrait"/>
          <w:cols w:equalWidth="0" w:num="2">
            <w:col w:w="840" w:space="460"/>
            <w:col w:w="9980"/>
          </w:cols>
          <w:pgMar w:left="300" w:top="729" w:right="319" w:bottom="1440" w:gutter="0" w:footer="0" w:header="0"/>
          <w:type w:val="continuous"/>
        </w:sectPr>
      </w:pPr>
    </w:p>
    <w:p>
      <w:pPr>
        <w:spacing w:after="0" w:line="7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Page 7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7159625" cy="6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type w:val="continuous"/>
        </w:sectPr>
      </w:pPr>
    </w:p>
    <w:bookmarkStart w:id="300" w:name="page301"/>
    <w:bookmarkEnd w:id="300"/>
    <w:p>
      <w:pPr>
        <w:jc w:val="center"/>
        <w:ind w:right="40"/>
        <w:spacing w:after="0"/>
        <w:rPr>
          <w:sz w:val="20"/>
          <w:szCs w:val="20"/>
          <w:color w:val="auto"/>
        </w:rPr>
      </w:pPr>
      <w:r>
        <w:rPr>
          <w:rFonts w:ascii="Arial" w:cs="Arial" w:eastAsia="Arial" w:hAnsi="Arial"/>
          <w:sz w:val="14"/>
          <w:szCs w:val="14"/>
          <w:b w:val="1"/>
          <w:bCs w:val="1"/>
          <w:color w:val="auto"/>
        </w:rPr>
        <w:t>ARTICLE 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TECHNOLOGY LICENSE</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2.1</w:t>
      </w:r>
      <w:r>
        <w:rPr>
          <w:sz w:val="20"/>
          <w:szCs w:val="20"/>
          <w:color w:val="auto"/>
        </w:rPr>
        <w:tab/>
      </w:r>
      <w:r>
        <w:rPr>
          <w:rFonts w:ascii="Arial" w:cs="Arial" w:eastAsia="Arial" w:hAnsi="Arial"/>
          <w:sz w:val="13"/>
          <w:szCs w:val="13"/>
          <w:b w:val="1"/>
          <w:bCs w:val="1"/>
          <w:color w:val="auto"/>
        </w:rPr>
        <w:t>Grant of License</w:t>
      </w:r>
    </w:p>
    <w:p>
      <w:pPr>
        <w:spacing w:after="0" w:line="188" w:lineRule="exact"/>
        <w:rPr>
          <w:sz w:val="20"/>
          <w:szCs w:val="20"/>
          <w:color w:val="auto"/>
        </w:rPr>
      </w:pPr>
    </w:p>
    <w:p>
      <w:pPr>
        <w:ind w:left="1040" w:hanging="516"/>
        <w:spacing w:after="0" w:line="288" w:lineRule="auto"/>
        <w:tabs>
          <w:tab w:leader="none" w:pos="104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Subject to the terms and conditions of this Agreement, the INSTITUTIONS hereby grant to EMPIRICA an exclusive, non- transferable, sub-licensable license to the Licensed Inventions throughout the Territory in the Field of Use to:</w:t>
      </w:r>
    </w:p>
    <w:p>
      <w:pPr>
        <w:spacing w:after="0" w:line="131" w:lineRule="exact"/>
        <w:rPr>
          <w:rFonts w:ascii="Arial" w:cs="Arial" w:eastAsia="Arial" w:hAnsi="Arial"/>
          <w:sz w:val="14"/>
          <w:szCs w:val="14"/>
          <w:color w:val="auto"/>
        </w:rPr>
      </w:pPr>
    </w:p>
    <w:p>
      <w:pPr>
        <w:ind w:left="1560" w:hanging="518"/>
        <w:spacing w:after="0"/>
        <w:tabs>
          <w:tab w:leader="none" w:pos="1560" w:val="left"/>
        </w:tabs>
        <w:numPr>
          <w:ilvl w:val="1"/>
          <w:numId w:val="162"/>
        </w:numPr>
        <w:rPr>
          <w:rFonts w:ascii="Arial" w:cs="Arial" w:eastAsia="Arial" w:hAnsi="Arial"/>
          <w:sz w:val="14"/>
          <w:szCs w:val="14"/>
          <w:color w:val="auto"/>
        </w:rPr>
      </w:pPr>
      <w:r>
        <w:rPr>
          <w:rFonts w:ascii="Arial" w:cs="Arial" w:eastAsia="Arial" w:hAnsi="Arial"/>
          <w:sz w:val="14"/>
          <w:szCs w:val="14"/>
          <w:color w:val="auto"/>
        </w:rPr>
        <w:t>reproduce, manufacture, have made, use, import, offer for sale and sell any Therapeutic Products and to export any Therapeutic Products;</w:t>
      </w:r>
    </w:p>
    <w:p>
      <w:pPr>
        <w:spacing w:after="0" w:line="184" w:lineRule="exact"/>
        <w:rPr>
          <w:rFonts w:ascii="Arial" w:cs="Arial" w:eastAsia="Arial" w:hAnsi="Arial"/>
          <w:sz w:val="14"/>
          <w:szCs w:val="14"/>
          <w:color w:val="auto"/>
        </w:rPr>
      </w:pPr>
    </w:p>
    <w:p>
      <w:pPr>
        <w:ind w:left="1560" w:hanging="518"/>
        <w:spacing w:after="0" w:line="288" w:lineRule="auto"/>
        <w:tabs>
          <w:tab w:leader="none" w:pos="1560" w:val="left"/>
        </w:tabs>
        <w:numPr>
          <w:ilvl w:val="1"/>
          <w:numId w:val="162"/>
        </w:numPr>
        <w:rPr>
          <w:rFonts w:ascii="Arial" w:cs="Arial" w:eastAsia="Arial" w:hAnsi="Arial"/>
          <w:sz w:val="14"/>
          <w:szCs w:val="14"/>
          <w:color w:val="auto"/>
        </w:rPr>
      </w:pPr>
      <w:r>
        <w:rPr>
          <w:rFonts w:ascii="Arial" w:cs="Arial" w:eastAsia="Arial" w:hAnsi="Arial"/>
          <w:sz w:val="14"/>
          <w:szCs w:val="14"/>
          <w:color w:val="auto"/>
        </w:rPr>
        <w:t>engage vendors, contractors, sub-contractors or other parties to reproduce or make components of subsystems that incorporate or embody or that are derived from any parts of the Licensed Inventions to be used or sold by EMPIRICA;</w:t>
      </w:r>
    </w:p>
    <w:p>
      <w:pPr>
        <w:spacing w:after="0" w:line="131" w:lineRule="exact"/>
        <w:rPr>
          <w:rFonts w:ascii="Arial" w:cs="Arial" w:eastAsia="Arial" w:hAnsi="Arial"/>
          <w:sz w:val="14"/>
          <w:szCs w:val="14"/>
          <w:color w:val="auto"/>
        </w:rPr>
      </w:pPr>
    </w:p>
    <w:p>
      <w:pPr>
        <w:ind w:left="1560" w:hanging="518"/>
        <w:spacing w:after="0"/>
        <w:tabs>
          <w:tab w:leader="none" w:pos="1560" w:val="left"/>
        </w:tabs>
        <w:numPr>
          <w:ilvl w:val="1"/>
          <w:numId w:val="162"/>
        </w:numPr>
        <w:rPr>
          <w:rFonts w:ascii="Arial" w:cs="Arial" w:eastAsia="Arial" w:hAnsi="Arial"/>
          <w:sz w:val="14"/>
          <w:szCs w:val="14"/>
          <w:color w:val="auto"/>
        </w:rPr>
      </w:pPr>
      <w:r>
        <w:rPr>
          <w:rFonts w:ascii="Arial" w:cs="Arial" w:eastAsia="Arial" w:hAnsi="Arial"/>
          <w:sz w:val="14"/>
          <w:szCs w:val="14"/>
          <w:color w:val="auto"/>
        </w:rPr>
        <w:t>copy, translate or modify any artistic or literary works, including drawings or software relating to the Licensed Inventions;</w:t>
      </w:r>
    </w:p>
    <w:p>
      <w:pPr>
        <w:spacing w:after="0" w:line="184" w:lineRule="exact"/>
        <w:rPr>
          <w:rFonts w:ascii="Arial" w:cs="Arial" w:eastAsia="Arial" w:hAnsi="Arial"/>
          <w:sz w:val="14"/>
          <w:szCs w:val="14"/>
          <w:color w:val="auto"/>
        </w:rPr>
      </w:pPr>
    </w:p>
    <w:p>
      <w:pPr>
        <w:ind w:left="1560" w:hanging="518"/>
        <w:spacing w:after="0"/>
        <w:tabs>
          <w:tab w:leader="none" w:pos="1560" w:val="left"/>
        </w:tabs>
        <w:numPr>
          <w:ilvl w:val="1"/>
          <w:numId w:val="162"/>
        </w:numPr>
        <w:rPr>
          <w:rFonts w:ascii="Arial" w:cs="Arial" w:eastAsia="Arial" w:hAnsi="Arial"/>
          <w:sz w:val="14"/>
          <w:szCs w:val="14"/>
          <w:color w:val="auto"/>
        </w:rPr>
      </w:pPr>
      <w:r>
        <w:rPr>
          <w:rFonts w:ascii="Arial" w:cs="Arial" w:eastAsia="Arial" w:hAnsi="Arial"/>
          <w:sz w:val="14"/>
          <w:szCs w:val="14"/>
          <w:color w:val="auto"/>
        </w:rPr>
        <w:t>otherwise practice the Licensed Inventions (including making improvements as described at Section 4.4); and</w:t>
      </w:r>
    </w:p>
    <w:p>
      <w:pPr>
        <w:spacing w:after="0" w:line="184" w:lineRule="exact"/>
        <w:rPr>
          <w:rFonts w:ascii="Arial" w:cs="Arial" w:eastAsia="Arial" w:hAnsi="Arial"/>
          <w:sz w:val="14"/>
          <w:szCs w:val="14"/>
          <w:color w:val="auto"/>
        </w:rPr>
      </w:pPr>
    </w:p>
    <w:p>
      <w:pPr>
        <w:ind w:left="1560" w:hanging="518"/>
        <w:spacing w:after="0"/>
        <w:tabs>
          <w:tab w:leader="none" w:pos="1560" w:val="left"/>
        </w:tabs>
        <w:numPr>
          <w:ilvl w:val="1"/>
          <w:numId w:val="162"/>
        </w:numPr>
        <w:rPr>
          <w:rFonts w:ascii="Arial" w:cs="Arial" w:eastAsia="Arial" w:hAnsi="Arial"/>
          <w:sz w:val="14"/>
          <w:szCs w:val="14"/>
          <w:color w:val="auto"/>
        </w:rPr>
      </w:pPr>
      <w:r>
        <w:rPr>
          <w:rFonts w:ascii="Arial" w:cs="Arial" w:eastAsia="Arial" w:hAnsi="Arial"/>
          <w:sz w:val="14"/>
          <w:szCs w:val="14"/>
          <w:color w:val="auto"/>
        </w:rPr>
        <w:t>grant sub-licenses of all rights set out in Paragraphs 2.1(a)(i) through 2.l(a)(v) provided that:</w:t>
      </w:r>
    </w:p>
    <w:p>
      <w:pPr>
        <w:spacing w:after="0" w:line="184" w:lineRule="exact"/>
        <w:rPr>
          <w:rFonts w:ascii="Arial" w:cs="Arial" w:eastAsia="Arial" w:hAnsi="Arial"/>
          <w:sz w:val="14"/>
          <w:szCs w:val="14"/>
          <w:color w:val="auto"/>
        </w:rPr>
      </w:pPr>
    </w:p>
    <w:p>
      <w:pPr>
        <w:ind w:left="2080" w:hanging="520"/>
        <w:spacing w:after="0" w:line="288" w:lineRule="auto"/>
        <w:tabs>
          <w:tab w:leader="none" w:pos="2080" w:val="left"/>
        </w:tabs>
        <w:numPr>
          <w:ilvl w:val="2"/>
          <w:numId w:val="162"/>
        </w:numPr>
        <w:rPr>
          <w:rFonts w:ascii="Arial" w:cs="Arial" w:eastAsia="Arial" w:hAnsi="Arial"/>
          <w:sz w:val="14"/>
          <w:szCs w:val="14"/>
          <w:color w:val="auto"/>
        </w:rPr>
      </w:pPr>
      <w:r>
        <w:rPr>
          <w:rFonts w:ascii="Arial" w:cs="Arial" w:eastAsia="Arial" w:hAnsi="Arial"/>
          <w:sz w:val="14"/>
          <w:szCs w:val="14"/>
          <w:color w:val="auto"/>
        </w:rPr>
        <w:t>EMPIRICA shall have the right to audit the books and records of each such Sub-Licensee in the same manner as the INSTITUTIONS as per Section 3.5(e); and</w:t>
      </w:r>
    </w:p>
    <w:p>
      <w:pPr>
        <w:spacing w:after="0" w:line="131" w:lineRule="exact"/>
        <w:rPr>
          <w:rFonts w:ascii="Arial" w:cs="Arial" w:eastAsia="Arial" w:hAnsi="Arial"/>
          <w:sz w:val="14"/>
          <w:szCs w:val="14"/>
          <w:color w:val="auto"/>
        </w:rPr>
      </w:pPr>
    </w:p>
    <w:p>
      <w:pPr>
        <w:ind w:left="2080" w:hanging="520"/>
        <w:spacing w:after="0"/>
        <w:tabs>
          <w:tab w:leader="none" w:pos="2080" w:val="left"/>
        </w:tabs>
        <w:numPr>
          <w:ilvl w:val="2"/>
          <w:numId w:val="162"/>
        </w:numPr>
        <w:rPr>
          <w:rFonts w:ascii="Arial" w:cs="Arial" w:eastAsia="Arial" w:hAnsi="Arial"/>
          <w:sz w:val="14"/>
          <w:szCs w:val="14"/>
          <w:color w:val="auto"/>
        </w:rPr>
      </w:pPr>
      <w:r>
        <w:rPr>
          <w:rFonts w:ascii="Arial" w:cs="Arial" w:eastAsia="Arial" w:hAnsi="Arial"/>
          <w:sz w:val="14"/>
          <w:szCs w:val="14"/>
          <w:color w:val="auto"/>
        </w:rPr>
        <w:t>any such sub-licenses shall also be subject to Section 2.2.</w:t>
      </w:r>
    </w:p>
    <w:p>
      <w:pPr>
        <w:spacing w:after="0" w:line="184"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Notwithstanding any other provision, EMPIRICA, its Affiliates, and all Sub-Licensees shall reproduce, manufacture, have made, import, sell, and export the Therapeutic Products in accordance with recognized best practices, including but not limited to good manufacturing practices for any Therapeutic Products.</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2.2</w:t>
      </w:r>
      <w:r>
        <w:rPr>
          <w:sz w:val="20"/>
          <w:szCs w:val="20"/>
          <w:color w:val="auto"/>
        </w:rPr>
        <w:tab/>
      </w:r>
      <w:r>
        <w:rPr>
          <w:rFonts w:ascii="Arial" w:cs="Arial" w:eastAsia="Arial" w:hAnsi="Arial"/>
          <w:sz w:val="12"/>
          <w:szCs w:val="12"/>
          <w:b w:val="1"/>
          <w:bCs w:val="1"/>
          <w:color w:val="auto"/>
        </w:rPr>
        <w:t>Sub-Licensing</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When sub-licensing any rights under this Agreement to any Sub-Licensee, EMPIRICA shall:</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8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01" w:name="page302"/>
    <w:bookmarkEnd w:id="301"/>
    <w:p>
      <w:pPr>
        <w:ind w:left="1040" w:hanging="516"/>
        <w:spacing w:after="0"/>
        <w:tabs>
          <w:tab w:leader="none" w:pos="10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promptly notify the Representatives of INSTITUTIONS of proposed terms of all sub-license agreements and the identity of the parties thereto;</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not grant any royalty-free sub-licenses or any sub-licenses for consideration less than fair market value;</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grant sub-licenses solely to Third Parties by written contract and Affiliates of EMPIRICA;</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not grant any irrevocable sub-licenses;</w:t>
      </w:r>
    </w:p>
    <w:p>
      <w:pPr>
        <w:spacing w:after="0" w:line="184"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ensure that all Sub-Licensees are bound by terms consistent with those in Sections 2.1(b) (Grant of License), 2.2 (Sub-Licensing), 2.3 (Reserved Rights), 2.4 (License Restrictions), 3.5 (Accounting and Records), 4.1 (Ownership), 4.6 (Infringement), 4.6 (Confidentiality), 5.3 (Indemnity), 5.4 (Insurance), 5.5 (Limitation of Liability), and Article 7 (General Provisions) herein;</w:t>
      </w:r>
    </w:p>
    <w:p>
      <w:pPr>
        <w:spacing w:after="0" w:line="141" w:lineRule="exact"/>
        <w:rPr>
          <w:rFonts w:ascii="Arial" w:cs="Arial" w:eastAsia="Arial" w:hAnsi="Arial"/>
          <w:sz w:val="14"/>
          <w:szCs w:val="14"/>
          <w:color w:val="auto"/>
        </w:rPr>
      </w:pPr>
    </w:p>
    <w:p>
      <w:pPr>
        <w:ind w:left="1040" w:hanging="516"/>
        <w:spacing w:after="0"/>
        <w:tabs>
          <w:tab w:leader="none" w:pos="10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ensure that Sub-Licensees do not Encumber any Licensed Inventions or apply for any intellectual property registrations in respect of the Licensed Inventions;</w:t>
      </w:r>
    </w:p>
    <w:p>
      <w:pPr>
        <w:spacing w:after="0" w:line="184"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provide the Representatives of INSTITUTIONS with reasonable access, at the INSTITUTIONS’ cost and expense, to books and records during ordinary business hours in order that the INSTITUTIONS can assure itself that EMPIRICA’s obligations under this Section 2.2 are fulfilled; and</w:t>
      </w:r>
    </w:p>
    <w:p>
      <w:pPr>
        <w:spacing w:after="0" w:line="131" w:lineRule="exact"/>
        <w:rPr>
          <w:rFonts w:ascii="Arial" w:cs="Arial" w:eastAsia="Arial" w:hAnsi="Arial"/>
          <w:sz w:val="14"/>
          <w:szCs w:val="14"/>
          <w:color w:val="auto"/>
        </w:rPr>
      </w:pPr>
    </w:p>
    <w:p>
      <w:pPr>
        <w:ind w:left="1040" w:hanging="516"/>
        <w:spacing w:after="0"/>
        <w:tabs>
          <w:tab w:leader="none" w:pos="104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promptly provide the Representatives of INSTITUTIONS with a copy of each sub-license agreement following the execution of such agreements.</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2.3</w:t>
      </w:r>
      <w:r>
        <w:rPr>
          <w:sz w:val="20"/>
          <w:szCs w:val="20"/>
          <w:color w:val="auto"/>
        </w:rPr>
        <w:tab/>
      </w:r>
      <w:r>
        <w:rPr>
          <w:rFonts w:ascii="Arial" w:cs="Arial" w:eastAsia="Arial" w:hAnsi="Arial"/>
          <w:sz w:val="12"/>
          <w:szCs w:val="12"/>
          <w:b w:val="1"/>
          <w:bCs w:val="1"/>
          <w:color w:val="auto"/>
        </w:rPr>
        <w:t>Reserved Rights</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EMPIRICA acknowledges that the INSTITUTIONS on behalf of themselves and on behalf of the Inventors have reserved a royalty-free, non-exclusive perpetual irrevocable license to use the Licensed Inventions for non-commercial research, educational and administrative purposes.</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2.4</w:t>
      </w:r>
      <w:r>
        <w:rPr>
          <w:sz w:val="20"/>
          <w:szCs w:val="20"/>
          <w:color w:val="auto"/>
        </w:rPr>
        <w:tab/>
      </w:r>
      <w:r>
        <w:rPr>
          <w:rFonts w:ascii="Arial" w:cs="Arial" w:eastAsia="Arial" w:hAnsi="Arial"/>
          <w:sz w:val="12"/>
          <w:szCs w:val="12"/>
          <w:b w:val="1"/>
          <w:bCs w:val="1"/>
          <w:color w:val="auto"/>
        </w:rPr>
        <w:t>License Restrictions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EMPIRICA acknowledges and agrees that EMPIRICA, its Affiliates and all Sub-Licensees:</w:t>
      </w:r>
    </w:p>
    <w:p>
      <w:pPr>
        <w:spacing w:after="0" w:line="184" w:lineRule="exact"/>
        <w:rPr>
          <w:sz w:val="20"/>
          <w:szCs w:val="20"/>
          <w:color w:val="auto"/>
        </w:rPr>
      </w:pPr>
    </w:p>
    <w:p>
      <w:pPr>
        <w:ind w:left="1040" w:hanging="516"/>
        <w:spacing w:after="0" w:line="288" w:lineRule="auto"/>
        <w:tabs>
          <w:tab w:leader="none" w:pos="10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shall not use the Licensed Inventions or advertise, promote, market or otherwise offer Therapeutic Products for sale in any manner which will adversely affect the reputation of the INSTITUTIONS;</w:t>
      </w:r>
    </w:p>
    <w:p>
      <w:pPr>
        <w:spacing w:after="0" w:line="131" w:lineRule="exact"/>
        <w:rPr>
          <w:rFonts w:ascii="Arial" w:cs="Arial" w:eastAsia="Arial" w:hAnsi="Arial"/>
          <w:sz w:val="14"/>
          <w:szCs w:val="14"/>
          <w:color w:val="auto"/>
        </w:rPr>
      </w:pPr>
    </w:p>
    <w:p>
      <w:pPr>
        <w:ind w:left="1040" w:hanging="516"/>
        <w:spacing w:after="0"/>
        <w:tabs>
          <w:tab w:leader="none" w:pos="104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shall not, at any time, use the Licensed Inventions for any purpose except as authorized by this Agreement, nor in any manner likely to negate,</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9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02" w:name="page303"/>
    <w:bookmarkEnd w:id="302"/>
    <w:p>
      <w:pPr>
        <w:ind w:left="1040"/>
        <w:spacing w:after="0"/>
        <w:rPr>
          <w:sz w:val="20"/>
          <w:szCs w:val="20"/>
          <w:color w:val="auto"/>
        </w:rPr>
      </w:pPr>
      <w:r>
        <w:rPr>
          <w:rFonts w:ascii="Arial" w:cs="Arial" w:eastAsia="Arial" w:hAnsi="Arial"/>
          <w:sz w:val="14"/>
          <w:szCs w:val="14"/>
          <w:color w:val="auto"/>
        </w:rPr>
        <w:t>impair or dilute any of the rights of the INSTITUTIONS as owners of the Licensed Inventions;</w:t>
      </w:r>
    </w:p>
    <w:p>
      <w:pPr>
        <w:spacing w:after="0" w:line="184" w:lineRule="exact"/>
        <w:rPr>
          <w:sz w:val="20"/>
          <w:szCs w:val="20"/>
          <w:color w:val="auto"/>
        </w:rPr>
      </w:pPr>
    </w:p>
    <w:p>
      <w:pPr>
        <w:ind w:left="1040" w:hanging="516"/>
        <w:spacing w:after="0"/>
        <w:tabs>
          <w:tab w:leader="none" w:pos="104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shall not, at any time, directly or indirectly, dispute or contest:</w:t>
      </w:r>
    </w:p>
    <w:p>
      <w:pPr>
        <w:spacing w:after="0" w:line="184" w:lineRule="exact"/>
        <w:rPr>
          <w:rFonts w:ascii="Arial" w:cs="Arial" w:eastAsia="Arial" w:hAnsi="Arial"/>
          <w:sz w:val="14"/>
          <w:szCs w:val="14"/>
          <w:color w:val="auto"/>
        </w:rPr>
      </w:pPr>
    </w:p>
    <w:p>
      <w:pPr>
        <w:ind w:left="1560" w:hanging="518"/>
        <w:spacing w:after="0"/>
        <w:tabs>
          <w:tab w:leader="none" w:pos="1560" w:val="left"/>
        </w:tabs>
        <w:numPr>
          <w:ilvl w:val="1"/>
          <w:numId w:val="165"/>
        </w:numPr>
        <w:rPr>
          <w:rFonts w:ascii="Arial" w:cs="Arial" w:eastAsia="Arial" w:hAnsi="Arial"/>
          <w:sz w:val="14"/>
          <w:szCs w:val="14"/>
          <w:color w:val="auto"/>
        </w:rPr>
      </w:pPr>
      <w:r>
        <w:rPr>
          <w:rFonts w:ascii="Arial" w:cs="Arial" w:eastAsia="Arial" w:hAnsi="Arial"/>
          <w:sz w:val="14"/>
          <w:szCs w:val="14"/>
          <w:color w:val="auto"/>
        </w:rPr>
        <w:t>the validity or enforceability of the INSTITUTIONS’ Intellectual Property Rights in the Licensed Inventions; or</w:t>
      </w:r>
    </w:p>
    <w:p>
      <w:pPr>
        <w:spacing w:after="0" w:line="184" w:lineRule="exact"/>
        <w:rPr>
          <w:rFonts w:ascii="Arial" w:cs="Arial" w:eastAsia="Arial" w:hAnsi="Arial"/>
          <w:sz w:val="14"/>
          <w:szCs w:val="14"/>
          <w:color w:val="auto"/>
        </w:rPr>
      </w:pPr>
    </w:p>
    <w:p>
      <w:pPr>
        <w:ind w:left="1560" w:hanging="518"/>
        <w:spacing w:after="0"/>
        <w:tabs>
          <w:tab w:leader="none" w:pos="1560" w:val="left"/>
        </w:tabs>
        <w:numPr>
          <w:ilvl w:val="1"/>
          <w:numId w:val="165"/>
        </w:numPr>
        <w:rPr>
          <w:rFonts w:ascii="Arial" w:cs="Arial" w:eastAsia="Arial" w:hAnsi="Arial"/>
          <w:sz w:val="14"/>
          <w:szCs w:val="14"/>
          <w:color w:val="auto"/>
        </w:rPr>
      </w:pPr>
      <w:r>
        <w:rPr>
          <w:rFonts w:ascii="Arial" w:cs="Arial" w:eastAsia="Arial" w:hAnsi="Arial"/>
          <w:sz w:val="14"/>
          <w:szCs w:val="14"/>
          <w:color w:val="auto"/>
        </w:rPr>
        <w:t>the ownership rights of the INSTITUTIONS in and to the Licensed Inventions.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3</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CONSIDERATION</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3.1</w:t>
      </w:r>
      <w:r>
        <w:rPr>
          <w:sz w:val="20"/>
          <w:szCs w:val="20"/>
          <w:color w:val="auto"/>
        </w:rPr>
        <w:tab/>
      </w:r>
      <w:r>
        <w:rPr>
          <w:rFonts w:ascii="Arial" w:cs="Arial" w:eastAsia="Arial" w:hAnsi="Arial"/>
          <w:sz w:val="12"/>
          <w:szCs w:val="12"/>
          <w:b w:val="1"/>
          <w:bCs w:val="1"/>
          <w:color w:val="auto"/>
        </w:rPr>
        <w:t>License Fees</w:t>
      </w:r>
    </w:p>
    <w:p>
      <w:pPr>
        <w:spacing w:after="0" w:line="184"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4"/>
          <w:szCs w:val="14"/>
          <w:b w:val="1"/>
          <w:bCs w:val="1"/>
          <w:color w:val="auto"/>
        </w:rPr>
        <w:t>3.1.1</w:t>
      </w:r>
      <w:r>
        <w:rPr>
          <w:sz w:val="20"/>
          <w:szCs w:val="20"/>
          <w:color w:val="auto"/>
        </w:rPr>
        <w:tab/>
      </w:r>
      <w:r>
        <w:rPr>
          <w:rFonts w:ascii="Arial" w:cs="Arial" w:eastAsia="Arial" w:hAnsi="Arial"/>
          <w:sz w:val="12"/>
          <w:szCs w:val="12"/>
          <w:b w:val="1"/>
          <w:bCs w:val="1"/>
          <w:i w:val="1"/>
          <w:iCs w:val="1"/>
          <w:color w:val="auto"/>
        </w:rPr>
        <w:t>Upfront License Fee</w:t>
      </w:r>
      <w:r>
        <w:rPr>
          <w:rFonts w:ascii="Arial" w:cs="Arial" w:eastAsia="Arial" w:hAnsi="Arial"/>
          <w:sz w:val="12"/>
          <w:szCs w:val="12"/>
          <w:i w:val="1"/>
          <w:iCs w:val="1"/>
          <w:color w:val="auto"/>
        </w:rPr>
        <w:t>.</w:t>
      </w:r>
    </w:p>
    <w:p>
      <w:pPr>
        <w:spacing w:after="0" w:line="188" w:lineRule="exact"/>
        <w:rPr>
          <w:sz w:val="20"/>
          <w:szCs w:val="20"/>
          <w:color w:val="auto"/>
        </w:rPr>
      </w:pPr>
    </w:p>
    <w:p>
      <w:pPr>
        <w:jc w:val="both"/>
        <w:ind w:left="1040" w:hanging="516"/>
        <w:spacing w:after="0" w:line="273" w:lineRule="auto"/>
        <w:tabs>
          <w:tab w:leader="none" w:pos="104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There shall be upon execution of this Agreement, an issuance by EMPIRICA in favour of the Representative of the INSTITUTIONS of the number of Voting Common Shares equal to 5% of the issued and outstanding shares in the capital of EMPIRICA, on an as converted and fully-diluted basis (calculating at the time of issuance and including those shares contemplated to be issued under this fee structure option) (“</w:t>
      </w:r>
      <w:r>
        <w:rPr>
          <w:rFonts w:ascii="Arial" w:cs="Arial" w:eastAsia="Arial" w:hAnsi="Arial"/>
          <w:sz w:val="14"/>
          <w:szCs w:val="14"/>
          <w:b w:val="1"/>
          <w:bCs w:val="1"/>
          <w:color w:val="auto"/>
        </w:rPr>
        <w:t>Equity Consideration</w:t>
      </w:r>
      <w:r>
        <w:rPr>
          <w:rFonts w:ascii="Arial" w:cs="Arial" w:eastAsia="Arial" w:hAnsi="Arial"/>
          <w:sz w:val="14"/>
          <w:szCs w:val="14"/>
          <w:color w:val="auto"/>
        </w:rPr>
        <w:t>”)</w:t>
      </w:r>
      <w:r>
        <w:rPr>
          <w:rFonts w:ascii="Arial" w:cs="Arial" w:eastAsia="Arial" w:hAnsi="Arial"/>
          <w:sz w:val="14"/>
          <w:szCs w:val="14"/>
          <w:b w:val="1"/>
          <w:bCs w:val="1"/>
          <w:color w:val="auto"/>
        </w:rPr>
        <w:t>;</w:t>
      </w:r>
    </w:p>
    <w:p>
      <w:pPr>
        <w:spacing w:after="0" w:line="141"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Each of the Representative of the INSTITUTIONS shall, prior to receiving the Equity Consideration, sign and deliver to EMPIRICA an adoption agreement or counterpart and acknowledgement to EMPIRICA’S Shareholders Agreement and any other agreement that the company requires a holder of Voting Common Shares to sign in form and substance satisfactory to EMPIRICA.</w:t>
      </w:r>
    </w:p>
    <w:p>
      <w:pPr>
        <w:spacing w:after="0" w:line="13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3.2</w:t>
      </w:r>
      <w:r>
        <w:rPr>
          <w:sz w:val="20"/>
          <w:szCs w:val="20"/>
          <w:color w:val="auto"/>
        </w:rPr>
        <w:tab/>
      </w:r>
      <w:r>
        <w:rPr>
          <w:rFonts w:ascii="Arial" w:cs="Arial" w:eastAsia="Arial" w:hAnsi="Arial"/>
          <w:sz w:val="12"/>
          <w:szCs w:val="12"/>
          <w:b w:val="1"/>
          <w:bCs w:val="1"/>
          <w:color w:val="auto"/>
        </w:rPr>
        <w:t>Milestone Payments and Royalty</w:t>
      </w:r>
    </w:p>
    <w:p>
      <w:pPr>
        <w:spacing w:after="0" w:line="184" w:lineRule="exact"/>
        <w:rPr>
          <w:sz w:val="20"/>
          <w:szCs w:val="20"/>
          <w:color w:val="auto"/>
        </w:rPr>
      </w:pPr>
    </w:p>
    <w:p>
      <w:pPr>
        <w:ind w:left="1040" w:hanging="517"/>
        <w:spacing w:after="0" w:line="294" w:lineRule="auto"/>
        <w:tabs>
          <w:tab w:leader="none" w:pos="1020" w:val="left"/>
        </w:tabs>
        <w:rPr>
          <w:sz w:val="20"/>
          <w:szCs w:val="20"/>
          <w:color w:val="auto"/>
        </w:rPr>
      </w:pPr>
      <w:r>
        <w:rPr>
          <w:rFonts w:ascii="Arial" w:cs="Arial" w:eastAsia="Arial" w:hAnsi="Arial"/>
          <w:sz w:val="14"/>
          <w:szCs w:val="14"/>
          <w:b w:val="1"/>
          <w:bCs w:val="1"/>
          <w:color w:val="auto"/>
        </w:rPr>
        <w:t>3.2.1</w:t>
      </w:r>
      <w:r>
        <w:rPr>
          <w:sz w:val="20"/>
          <w:szCs w:val="20"/>
          <w:color w:val="auto"/>
        </w:rPr>
        <w:tab/>
      </w:r>
      <w:r>
        <w:rPr>
          <w:rFonts w:ascii="Arial" w:cs="Arial" w:eastAsia="Arial" w:hAnsi="Arial"/>
          <w:sz w:val="14"/>
          <w:szCs w:val="14"/>
          <w:b w:val="1"/>
          <w:bCs w:val="1"/>
          <w:i w:val="1"/>
          <w:iCs w:val="1"/>
          <w:color w:val="auto"/>
        </w:rPr>
        <w:t xml:space="preserve">Milestone Payment. </w:t>
      </w:r>
      <w:r>
        <w:rPr>
          <w:rFonts w:ascii="Arial" w:cs="Arial" w:eastAsia="Arial" w:hAnsi="Arial"/>
          <w:sz w:val="14"/>
          <w:szCs w:val="14"/>
          <w:color w:val="auto"/>
        </w:rPr>
        <w:t>EMPIRICA shall pay to the Representative of the INSTITUTIONS the following “</w:t>
      </w:r>
      <w:r>
        <w:rPr>
          <w:rFonts w:ascii="Arial" w:cs="Arial" w:eastAsia="Arial" w:hAnsi="Arial"/>
          <w:sz w:val="14"/>
          <w:szCs w:val="14"/>
          <w:b w:val="1"/>
          <w:bCs w:val="1"/>
          <w:color w:val="auto"/>
        </w:rPr>
        <w:t>Milestone Payments</w:t>
      </w:r>
      <w:r>
        <w:rPr>
          <w:rFonts w:ascii="Arial" w:cs="Arial" w:eastAsia="Arial" w:hAnsi="Arial"/>
          <w:sz w:val="14"/>
          <w:szCs w:val="14"/>
          <w:color w:val="auto"/>
        </w:rPr>
        <w:t>” for each of the Therapeutic Products to achieve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specified milestone, as applicable:</w:t>
      </w:r>
    </w:p>
    <w:p>
      <w:pPr>
        <w:spacing w:after="0" w:line="127" w:lineRule="exact"/>
        <w:rPr>
          <w:sz w:val="20"/>
          <w:szCs w:val="20"/>
          <w:color w:val="auto"/>
        </w:rPr>
      </w:pPr>
    </w:p>
    <w:p>
      <w:pPr>
        <w:ind w:left="1560" w:hanging="518"/>
        <w:spacing w:after="0"/>
        <w:tabs>
          <w:tab w:leader="none" w:pos="156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w:t>
      </w:r>
    </w:p>
    <w:p>
      <w:pPr>
        <w:spacing w:after="0" w:line="184" w:lineRule="exact"/>
        <w:rPr>
          <w:rFonts w:ascii="Arial" w:cs="Arial" w:eastAsia="Arial" w:hAnsi="Arial"/>
          <w:sz w:val="14"/>
          <w:szCs w:val="14"/>
          <w:color w:val="auto"/>
        </w:rPr>
      </w:pPr>
    </w:p>
    <w:p>
      <w:pPr>
        <w:ind w:left="1560" w:hanging="518"/>
        <w:spacing w:after="0"/>
        <w:tabs>
          <w:tab w:leader="none" w:pos="156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 and</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10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03" w:name="page304"/>
    <w:bookmarkEnd w:id="303"/>
    <w:p>
      <w:pPr>
        <w:ind w:left="1560" w:hanging="518"/>
        <w:spacing w:after="0"/>
        <w:tabs>
          <w:tab w:leader="none" w:pos="156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w:t>
      </w:r>
    </w:p>
    <w:p>
      <w:pPr>
        <w:spacing w:after="0" w:line="184" w:lineRule="exact"/>
        <w:rPr>
          <w:sz w:val="20"/>
          <w:szCs w:val="20"/>
          <w:color w:val="auto"/>
        </w:rPr>
      </w:pPr>
    </w:p>
    <w:p>
      <w:pPr>
        <w:jc w:val="both"/>
        <w:ind w:left="520"/>
        <w:spacing w:after="0" w:line="288" w:lineRule="auto"/>
        <w:rPr>
          <w:sz w:val="20"/>
          <w:szCs w:val="20"/>
          <w:color w:val="auto"/>
        </w:rPr>
      </w:pPr>
      <w:r>
        <w:rPr>
          <w:rFonts w:ascii="Arial" w:cs="Arial" w:eastAsia="Arial" w:hAnsi="Arial"/>
          <w:sz w:val="14"/>
          <w:szCs w:val="14"/>
          <w:b w:val="1"/>
          <w:bCs w:val="1"/>
          <w:i w:val="1"/>
          <w:iCs w:val="1"/>
          <w:color w:val="auto"/>
        </w:rPr>
        <w:t xml:space="preserve">Products Royalty Payments. </w:t>
      </w:r>
      <w:r>
        <w:rPr>
          <w:rFonts w:ascii="Arial" w:cs="Arial" w:eastAsia="Arial" w:hAnsi="Arial"/>
          <w:sz w:val="14"/>
          <w:szCs w:val="14"/>
          <w:color w:val="auto"/>
        </w:rPr>
        <w:t>EMPIRICA shall pay to the Representative of the INSTITUTIONS a royalty rate of [***] of the Net Sales by EMPIRICA for each of the Therapeutic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Products or Diagnostic Products.</w:t>
      </w:r>
    </w:p>
    <w:p>
      <w:pPr>
        <w:spacing w:after="0" w:line="132" w:lineRule="exact"/>
        <w:rPr>
          <w:sz w:val="20"/>
          <w:szCs w:val="20"/>
          <w:color w:val="auto"/>
        </w:rPr>
      </w:pPr>
    </w:p>
    <w:p>
      <w:pPr>
        <w:jc w:val="both"/>
        <w:ind w:left="520"/>
        <w:spacing w:after="0" w:line="303" w:lineRule="auto"/>
        <w:rPr>
          <w:sz w:val="20"/>
          <w:szCs w:val="20"/>
          <w:color w:val="auto"/>
        </w:rPr>
      </w:pPr>
      <w:r>
        <w:rPr>
          <w:rFonts w:ascii="Arial" w:cs="Arial" w:eastAsia="Arial" w:hAnsi="Arial"/>
          <w:sz w:val="13"/>
          <w:szCs w:val="13"/>
          <w:color w:val="auto"/>
        </w:rPr>
        <w:t>If EMPIRICA provides the Representative of the INSTITUTIONS with reasonably satisfactory evidence that it is required to license a Third Party’s technology in order to commercialize the Licensed Invention, then, upon written approval by the INSTITUTIONS, EMPIRICA shall be entitled to deduct such Third Party royalties from the INSTITUTIONS’ Products Royalty Payments up to a maximum of [***] of the INSTITUTIONS’ Royalty Payments, provided that in no event shall such Royalty Payments be less than [***] for annual Net Sales.</w:t>
      </w:r>
    </w:p>
    <w:p>
      <w:pPr>
        <w:spacing w:after="0" w:line="12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3.3</w:t>
      </w:r>
      <w:r>
        <w:rPr>
          <w:sz w:val="20"/>
          <w:szCs w:val="20"/>
          <w:color w:val="auto"/>
        </w:rPr>
        <w:tab/>
      </w:r>
      <w:r>
        <w:rPr>
          <w:rFonts w:ascii="Arial" w:cs="Arial" w:eastAsia="Arial" w:hAnsi="Arial"/>
          <w:sz w:val="12"/>
          <w:szCs w:val="12"/>
          <w:b w:val="1"/>
          <w:bCs w:val="1"/>
          <w:color w:val="auto"/>
        </w:rPr>
        <w:t>Sub-License Fee Payments</w:t>
      </w:r>
    </w:p>
    <w:p>
      <w:pPr>
        <w:spacing w:after="0" w:line="184" w:lineRule="exact"/>
        <w:rPr>
          <w:sz w:val="20"/>
          <w:szCs w:val="20"/>
          <w:color w:val="auto"/>
        </w:rPr>
      </w:pPr>
    </w:p>
    <w:p>
      <w:pPr>
        <w:jc w:val="both"/>
        <w:ind w:left="1040" w:hanging="517"/>
        <w:spacing w:after="0" w:line="288" w:lineRule="auto"/>
        <w:tabs>
          <w:tab w:leader="none" w:pos="1020" w:val="left"/>
        </w:tabs>
        <w:rPr>
          <w:sz w:val="20"/>
          <w:szCs w:val="20"/>
          <w:color w:val="auto"/>
        </w:rPr>
      </w:pPr>
      <w:r>
        <w:rPr>
          <w:rFonts w:ascii="Arial" w:cs="Arial" w:eastAsia="Arial" w:hAnsi="Arial"/>
          <w:sz w:val="14"/>
          <w:szCs w:val="14"/>
          <w:b w:val="1"/>
          <w:bCs w:val="1"/>
          <w:color w:val="auto"/>
        </w:rPr>
        <w:t>3.3.1</w:t>
      </w:r>
      <w:r>
        <w:rPr>
          <w:sz w:val="20"/>
          <w:szCs w:val="20"/>
          <w:color w:val="auto"/>
        </w:rPr>
        <w:tab/>
      </w:r>
      <w:r>
        <w:rPr>
          <w:rFonts w:ascii="Arial" w:cs="Arial" w:eastAsia="Arial" w:hAnsi="Arial"/>
          <w:sz w:val="14"/>
          <w:szCs w:val="14"/>
          <w:b w:val="1"/>
          <w:bCs w:val="1"/>
          <w:i w:val="1"/>
          <w:iCs w:val="1"/>
          <w:color w:val="auto"/>
        </w:rPr>
        <w:t xml:space="preserve">Sub-License Fees. </w:t>
      </w:r>
      <w:r>
        <w:rPr>
          <w:rFonts w:ascii="Arial" w:cs="Arial" w:eastAsia="Arial" w:hAnsi="Arial"/>
          <w:sz w:val="14"/>
          <w:szCs w:val="14"/>
          <w:color w:val="auto"/>
        </w:rPr>
        <w:t>In the event of sub-licensing, EMPIRICA shall pay to the Representative of the INSTITUTIONS [***] on all non-royalty payments received by EMPIRICA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from the Sub-Licensee for each of the Therapeutic Products as set out below:</w:t>
      </w:r>
    </w:p>
    <w:p>
      <w:pPr>
        <w:spacing w:after="0" w:line="136" w:lineRule="exact"/>
        <w:rPr>
          <w:sz w:val="20"/>
          <w:szCs w:val="20"/>
          <w:color w:val="auto"/>
        </w:rPr>
      </w:pPr>
    </w:p>
    <w:p>
      <w:pPr>
        <w:ind w:left="1560" w:hanging="518"/>
        <w:spacing w:after="0"/>
        <w:tabs>
          <w:tab w:leader="none" w:pos="156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All cumulative payments received by Empirica up to and including [***];</w:t>
      </w:r>
    </w:p>
    <w:p>
      <w:pPr>
        <w:spacing w:after="0" w:line="184" w:lineRule="exact"/>
        <w:rPr>
          <w:rFonts w:ascii="Arial" w:cs="Arial" w:eastAsia="Arial" w:hAnsi="Arial"/>
          <w:sz w:val="14"/>
          <w:szCs w:val="14"/>
          <w:color w:val="auto"/>
        </w:rPr>
      </w:pPr>
    </w:p>
    <w:p>
      <w:pPr>
        <w:ind w:left="1560" w:hanging="518"/>
        <w:spacing w:after="0"/>
        <w:tabs>
          <w:tab w:leader="none" w:pos="156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All cumulative payments received by Empirica after [***];</w:t>
      </w:r>
    </w:p>
    <w:p>
      <w:pPr>
        <w:spacing w:after="0" w:line="184" w:lineRule="exact"/>
        <w:rPr>
          <w:rFonts w:ascii="Arial" w:cs="Arial" w:eastAsia="Arial" w:hAnsi="Arial"/>
          <w:sz w:val="14"/>
          <w:szCs w:val="14"/>
          <w:color w:val="auto"/>
        </w:rPr>
      </w:pPr>
    </w:p>
    <w:p>
      <w:pPr>
        <w:ind w:left="1560" w:hanging="518"/>
        <w:spacing w:after="0"/>
        <w:tabs>
          <w:tab w:leader="none" w:pos="156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All cumulative payments received by Empirica after [***];</w:t>
      </w:r>
    </w:p>
    <w:p>
      <w:pPr>
        <w:spacing w:after="0" w:line="184" w:lineRule="exact"/>
        <w:rPr>
          <w:rFonts w:ascii="Arial" w:cs="Arial" w:eastAsia="Arial" w:hAnsi="Arial"/>
          <w:sz w:val="14"/>
          <w:szCs w:val="14"/>
          <w:color w:val="auto"/>
        </w:rPr>
      </w:pPr>
    </w:p>
    <w:p>
      <w:pPr>
        <w:ind w:left="1560" w:hanging="518"/>
        <w:spacing w:after="0"/>
        <w:tabs>
          <w:tab w:leader="none" w:pos="156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All cumulative payments received by Empirica [***];</w:t>
      </w:r>
    </w:p>
    <w:p>
      <w:pPr>
        <w:spacing w:after="0" w:line="184" w:lineRule="exact"/>
        <w:rPr>
          <w:rFonts w:ascii="Arial" w:cs="Arial" w:eastAsia="Arial" w:hAnsi="Arial"/>
          <w:sz w:val="14"/>
          <w:szCs w:val="14"/>
          <w:color w:val="auto"/>
        </w:rPr>
      </w:pPr>
    </w:p>
    <w:p>
      <w:pPr>
        <w:ind w:left="1560" w:hanging="518"/>
        <w:spacing w:after="0"/>
        <w:tabs>
          <w:tab w:leader="none" w:pos="156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All cumulative payments received by Empirica [***]</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906" w:right="319" w:bottom="1440" w:gutter="0" w:footer="0" w:header="0"/>
        </w:sectPr>
      </w:pPr>
    </w:p>
    <w:bookmarkStart w:id="304" w:name="page305"/>
    <w:bookmarkEnd w:id="304"/>
    <w:p>
      <w:pPr>
        <w:ind w:left="1560"/>
        <w:spacing w:after="0"/>
        <w:rPr>
          <w:sz w:val="20"/>
          <w:szCs w:val="20"/>
          <w:color w:val="auto"/>
        </w:rPr>
      </w:pPr>
      <w:r>
        <w:rPr>
          <w:rFonts w:ascii="Arial" w:cs="Arial" w:eastAsia="Arial" w:hAnsi="Arial"/>
          <w:sz w:val="14"/>
          <w:szCs w:val="14"/>
          <w:color w:val="auto"/>
        </w:rPr>
        <w:t>; and</w:t>
      </w:r>
    </w:p>
    <w:p>
      <w:pPr>
        <w:spacing w:after="0" w:line="184" w:lineRule="exact"/>
        <w:rPr>
          <w:sz w:val="20"/>
          <w:szCs w:val="20"/>
          <w:color w:val="auto"/>
        </w:rPr>
      </w:pPr>
    </w:p>
    <w:p>
      <w:pPr>
        <w:ind w:left="1560" w:hanging="518"/>
        <w:spacing w:after="0"/>
        <w:tabs>
          <w:tab w:leader="none" w:pos="156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All cumulative payments received by Empirica [***].</w:t>
      </w:r>
    </w:p>
    <w:p>
      <w:pPr>
        <w:spacing w:after="0" w:line="184" w:lineRule="exact"/>
        <w:rPr>
          <w:sz w:val="20"/>
          <w:szCs w:val="20"/>
          <w:color w:val="auto"/>
        </w:rPr>
      </w:pPr>
    </w:p>
    <w:p>
      <w:pPr>
        <w:ind w:left="1040"/>
        <w:spacing w:after="0" w:line="288" w:lineRule="auto"/>
        <w:rPr>
          <w:sz w:val="20"/>
          <w:szCs w:val="20"/>
          <w:color w:val="auto"/>
        </w:rPr>
      </w:pPr>
      <w:r>
        <w:rPr>
          <w:rFonts w:ascii="Arial" w:cs="Arial" w:eastAsia="Arial" w:hAnsi="Arial"/>
          <w:sz w:val="14"/>
          <w:szCs w:val="14"/>
          <w:color w:val="auto"/>
        </w:rPr>
        <w:t>Sub-License Fees accrued to the Institutions at the amount specified by milestone (i), (ii), and (iii) defined here in Section 3.3.1 for each of the Therapeutic Products prior to sub-licensing and are payable by Empirica upon entering into a definitive sub-license agreement.</w:t>
      </w:r>
    </w:p>
    <w:p>
      <w:pPr>
        <w:spacing w:after="0" w:line="128" w:lineRule="exact"/>
        <w:rPr>
          <w:sz w:val="20"/>
          <w:szCs w:val="20"/>
          <w:color w:val="auto"/>
        </w:rPr>
      </w:pPr>
    </w:p>
    <w:p>
      <w:pPr>
        <w:ind w:left="1040" w:hanging="517"/>
        <w:spacing w:after="0" w:line="288" w:lineRule="auto"/>
        <w:tabs>
          <w:tab w:leader="none" w:pos="1020" w:val="left"/>
        </w:tabs>
        <w:rPr>
          <w:sz w:val="20"/>
          <w:szCs w:val="20"/>
          <w:color w:val="auto"/>
        </w:rPr>
      </w:pPr>
      <w:r>
        <w:rPr>
          <w:rFonts w:ascii="Arial" w:cs="Arial" w:eastAsia="Arial" w:hAnsi="Arial"/>
          <w:sz w:val="14"/>
          <w:szCs w:val="14"/>
          <w:b w:val="1"/>
          <w:bCs w:val="1"/>
          <w:color w:val="auto"/>
        </w:rPr>
        <w:t>3.3.2</w:t>
      </w:r>
      <w:r>
        <w:rPr>
          <w:sz w:val="20"/>
          <w:szCs w:val="20"/>
          <w:color w:val="auto"/>
        </w:rPr>
        <w:tab/>
      </w:r>
      <w:r>
        <w:rPr>
          <w:rFonts w:ascii="Arial" w:cs="Arial" w:eastAsia="Arial" w:hAnsi="Arial"/>
          <w:sz w:val="14"/>
          <w:szCs w:val="14"/>
          <w:b w:val="1"/>
          <w:bCs w:val="1"/>
          <w:i w:val="1"/>
          <w:iCs w:val="1"/>
          <w:color w:val="auto"/>
        </w:rPr>
        <w:t xml:space="preserve">Sub-License Royalties. </w:t>
      </w:r>
      <w:r>
        <w:rPr>
          <w:rFonts w:ascii="Arial" w:cs="Arial" w:eastAsia="Arial" w:hAnsi="Arial"/>
          <w:sz w:val="14"/>
          <w:szCs w:val="14"/>
          <w:color w:val="auto"/>
        </w:rPr>
        <w:t>Where Net Sales Revenue-based royalties are paid in accordance with a Sublicense, the INSTITUTIONS shall receive [***] flow through Product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Royalty Payments from Empirica to a maximum of [***] of Net Sales.</w:t>
      </w:r>
    </w:p>
    <w:p>
      <w:pPr>
        <w:spacing w:after="0" w:line="132" w:lineRule="exact"/>
        <w:rPr>
          <w:sz w:val="20"/>
          <w:szCs w:val="20"/>
          <w:color w:val="auto"/>
        </w:rPr>
      </w:pPr>
    </w:p>
    <w:p>
      <w:pPr>
        <w:ind w:left="520" w:hanging="517"/>
        <w:spacing w:after="0" w:line="294" w:lineRule="auto"/>
        <w:tabs>
          <w:tab w:leader="none" w:pos="500" w:val="left"/>
        </w:tabs>
        <w:rPr>
          <w:sz w:val="20"/>
          <w:szCs w:val="20"/>
          <w:color w:val="auto"/>
        </w:rPr>
      </w:pPr>
      <w:r>
        <w:rPr>
          <w:rFonts w:ascii="Arial" w:cs="Arial" w:eastAsia="Arial" w:hAnsi="Arial"/>
          <w:sz w:val="14"/>
          <w:szCs w:val="14"/>
          <w:b w:val="1"/>
          <w:bCs w:val="1"/>
          <w:color w:val="auto"/>
        </w:rPr>
        <w:t>3.4</w:t>
      </w:r>
      <w:r>
        <w:rPr>
          <w:sz w:val="20"/>
          <w:szCs w:val="20"/>
          <w:color w:val="auto"/>
        </w:rPr>
        <w:tab/>
      </w:r>
      <w:r>
        <w:rPr>
          <w:rFonts w:ascii="Arial" w:cs="Arial" w:eastAsia="Arial" w:hAnsi="Arial"/>
          <w:sz w:val="14"/>
          <w:szCs w:val="14"/>
          <w:b w:val="1"/>
          <w:bCs w:val="1"/>
          <w:color w:val="auto"/>
        </w:rPr>
        <w:t>Reports</w:t>
      </w:r>
      <w:r>
        <w:rPr>
          <w:rFonts w:ascii="Arial" w:cs="Arial" w:eastAsia="Arial" w:hAnsi="Arial"/>
          <w:sz w:val="14"/>
          <w:szCs w:val="14"/>
          <w:color w:val="auto"/>
        </w:rPr>
        <w:t>. EMPIRICA shall use Commercially Reasonable Efforts to develop, promote, market and sell Therapeutic Products or to sub-license Licensed Inventions or Therapeutic</w:t>
      </w:r>
      <w:r>
        <w:rPr>
          <w:rFonts w:ascii="Arial" w:cs="Arial" w:eastAsia="Arial" w:hAnsi="Arial"/>
          <w:sz w:val="14"/>
          <w:szCs w:val="14"/>
          <w:b w:val="1"/>
          <w:bCs w:val="1"/>
          <w:color w:val="auto"/>
        </w:rPr>
        <w:t xml:space="preserve"> </w:t>
      </w:r>
      <w:r>
        <w:rPr>
          <w:rFonts w:ascii="Arial" w:cs="Arial" w:eastAsia="Arial" w:hAnsi="Arial"/>
          <w:sz w:val="14"/>
          <w:szCs w:val="14"/>
          <w:color w:val="auto"/>
        </w:rPr>
        <w:t>Products to a commercial partner in accordance with the terms of this Agreement.</w:t>
      </w:r>
    </w:p>
    <w:p>
      <w:pPr>
        <w:spacing w:after="0" w:line="123" w:lineRule="exact"/>
        <w:rPr>
          <w:sz w:val="20"/>
          <w:szCs w:val="20"/>
          <w:color w:val="auto"/>
        </w:rPr>
      </w:pPr>
    </w:p>
    <w:p>
      <w:pPr>
        <w:ind w:left="1040" w:hanging="517"/>
        <w:spacing w:after="0" w:line="288" w:lineRule="auto"/>
        <w:tabs>
          <w:tab w:leader="none" w:pos="1020" w:val="left"/>
        </w:tabs>
        <w:rPr>
          <w:sz w:val="20"/>
          <w:szCs w:val="20"/>
          <w:color w:val="auto"/>
        </w:rPr>
      </w:pPr>
      <w:r>
        <w:rPr>
          <w:rFonts w:ascii="Arial" w:cs="Arial" w:eastAsia="Arial" w:hAnsi="Arial"/>
          <w:sz w:val="14"/>
          <w:szCs w:val="14"/>
          <w:b w:val="1"/>
          <w:bCs w:val="1"/>
          <w:color w:val="auto"/>
        </w:rPr>
        <w:t>3.4.1</w:t>
      </w:r>
      <w:r>
        <w:rPr>
          <w:sz w:val="20"/>
          <w:szCs w:val="20"/>
          <w:color w:val="auto"/>
        </w:rPr>
        <w:tab/>
      </w:r>
      <w:r>
        <w:rPr>
          <w:rFonts w:ascii="Arial" w:cs="Arial" w:eastAsia="Arial" w:hAnsi="Arial"/>
          <w:sz w:val="14"/>
          <w:szCs w:val="14"/>
          <w:b w:val="1"/>
          <w:bCs w:val="1"/>
          <w:i w:val="1"/>
          <w:iCs w:val="1"/>
          <w:color w:val="auto"/>
        </w:rPr>
        <w:t xml:space="preserve">Status Reports. </w:t>
      </w:r>
      <w:r>
        <w:rPr>
          <w:rFonts w:ascii="Arial" w:cs="Arial" w:eastAsia="Arial" w:hAnsi="Arial"/>
          <w:sz w:val="14"/>
          <w:szCs w:val="14"/>
          <w:color w:val="auto"/>
        </w:rPr>
        <w:t>Subject to any applicable federal, provincial, or state privacy laws or regulations, EMPIRICA shall provide the Representatives of the INSTITUTIONS with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following reports within thirty (30) days following each Calendar Year during the Term:</w:t>
      </w:r>
    </w:p>
    <w:p>
      <w:pPr>
        <w:spacing w:after="0" w:line="136" w:lineRule="exact"/>
        <w:rPr>
          <w:sz w:val="20"/>
          <w:szCs w:val="20"/>
          <w:color w:val="auto"/>
        </w:rPr>
      </w:pPr>
    </w:p>
    <w:p>
      <w:pPr>
        <w:ind w:left="1040" w:hanging="516"/>
        <w:spacing w:after="0" w:line="288" w:lineRule="auto"/>
        <w:tabs>
          <w:tab w:leader="none" w:pos="104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a commercialization status report for each of the Therapeutic Products, disclosing a summary of regulatory, marketing and sales progress (containing sufficient detail acceptable to Representatives of INSTITUTIONS, acting reasonably) obtained during the preceding twelve (12) month period;</w:t>
      </w:r>
    </w:p>
    <w:p>
      <w:pPr>
        <w:spacing w:after="0" w:line="131" w:lineRule="exact"/>
        <w:rPr>
          <w:rFonts w:ascii="Arial" w:cs="Arial" w:eastAsia="Arial" w:hAnsi="Arial"/>
          <w:sz w:val="14"/>
          <w:szCs w:val="14"/>
          <w:color w:val="auto"/>
        </w:rPr>
      </w:pPr>
    </w:p>
    <w:p>
      <w:pPr>
        <w:ind w:left="1040" w:hanging="516"/>
        <w:spacing w:after="0"/>
        <w:tabs>
          <w:tab w:leader="none" w:pos="104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an updated business plan as it relates to the portfolio of Therapeutic Products; and</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a written disclosure of all EMPIRICA Improvements (if any).</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together the “</w:t>
      </w:r>
      <w:r>
        <w:rPr>
          <w:rFonts w:ascii="Arial" w:cs="Arial" w:eastAsia="Arial" w:hAnsi="Arial"/>
          <w:sz w:val="14"/>
          <w:szCs w:val="14"/>
          <w:b w:val="1"/>
          <w:bCs w:val="1"/>
          <w:color w:val="auto"/>
        </w:rPr>
        <w:t>Annual Reports</w:t>
      </w:r>
      <w:r>
        <w:rPr>
          <w:rFonts w:ascii="Arial" w:cs="Arial" w:eastAsia="Arial" w:hAnsi="Arial"/>
          <w:sz w:val="14"/>
          <w:szCs w:val="14"/>
          <w:color w:val="auto"/>
        </w:rPr>
        <w: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If any of the Therapeutic Products are available for sale at the end of the relevant Annual Period, the corresponding Annual Report for said Therapeutic Products shall not be required.</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05" w:name="page306"/>
    <w:bookmarkEnd w:id="305"/>
    <w:p>
      <w:pPr>
        <w:jc w:val="both"/>
        <w:ind w:left="1040" w:hanging="517"/>
        <w:spacing w:after="0" w:line="265" w:lineRule="auto"/>
        <w:tabs>
          <w:tab w:leader="none" w:pos="1020" w:val="left"/>
        </w:tabs>
        <w:rPr>
          <w:sz w:val="20"/>
          <w:szCs w:val="20"/>
          <w:color w:val="auto"/>
        </w:rPr>
      </w:pPr>
      <w:r>
        <w:rPr>
          <w:rFonts w:ascii="Arial" w:cs="Arial" w:eastAsia="Arial" w:hAnsi="Arial"/>
          <w:sz w:val="14"/>
          <w:szCs w:val="14"/>
          <w:b w:val="1"/>
          <w:bCs w:val="1"/>
          <w:color w:val="auto"/>
        </w:rPr>
        <w:t>3.4.2</w:t>
      </w:r>
      <w:r>
        <w:rPr>
          <w:sz w:val="20"/>
          <w:szCs w:val="20"/>
          <w:color w:val="auto"/>
        </w:rPr>
        <w:tab/>
      </w:r>
      <w:r>
        <w:rPr>
          <w:rFonts w:ascii="Arial" w:cs="Arial" w:eastAsia="Arial" w:hAnsi="Arial"/>
          <w:sz w:val="14"/>
          <w:szCs w:val="14"/>
          <w:b w:val="1"/>
          <w:bCs w:val="1"/>
          <w:i w:val="1"/>
          <w:iCs w:val="1"/>
          <w:color w:val="auto"/>
        </w:rPr>
        <w:t xml:space="preserve">Sales Reports. </w:t>
      </w:r>
      <w:r>
        <w:rPr>
          <w:rFonts w:ascii="Arial" w:cs="Arial" w:eastAsia="Arial" w:hAnsi="Arial"/>
          <w:sz w:val="14"/>
          <w:szCs w:val="14"/>
          <w:color w:val="auto"/>
        </w:rPr>
        <w:t>EMPIRICA shall report to the Representatives of the INSTITUTIONS the date of the First Commercial Sale in each country of the Territory of any Therapeutic</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Products on which Royalty Payments are payable hereunder within [***] after each such occurrence. Following the First Commercial Sale, EMPIRICA shall deliver to the Representatives of the INSTITUTIONS, within [***] after the end of each Reporting Period, a report under this Section 3.54, which report shall be certified as correct by an officer of EMPIRICA and shall contain at least the following information as may be pertinent to a royalty accounting and fees payable hereunder for the immediately preceding Reporting Period:</w:t>
      </w:r>
    </w:p>
    <w:p>
      <w:pPr>
        <w:spacing w:after="0" w:line="151" w:lineRule="exact"/>
        <w:rPr>
          <w:sz w:val="20"/>
          <w:szCs w:val="20"/>
          <w:color w:val="auto"/>
        </w:rPr>
      </w:pPr>
    </w:p>
    <w:p>
      <w:pPr>
        <w:ind w:left="1040" w:hanging="516"/>
        <w:spacing w:after="0" w:line="288" w:lineRule="auto"/>
        <w:tabs>
          <w:tab w:leader="none" w:pos="104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the quantity of Therapeutic Products on which any Royalty Payments or Sub-License Royalty Payments is payable hereunder sold by EMPIRICA, its Affiliates and Sub-Licensees in each country;</w:t>
      </w:r>
    </w:p>
    <w:p>
      <w:pPr>
        <w:spacing w:after="0" w:line="131"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calculation of Net Sales for the applicable Reporting Period in each country, including an itemized listing of offsets and deductions as permitted under the definition of Net Sales (provided that in the case of sub-licenses, this obligation shall apply only to the extent such itemized listing of permitted offsets and deductions is available from Sub-Licensees under the terms of the relevant sub-license);</w:t>
      </w:r>
    </w:p>
    <w:p>
      <w:pPr>
        <w:spacing w:after="0" w:line="141" w:lineRule="exact"/>
        <w:rPr>
          <w:rFonts w:ascii="Arial" w:cs="Arial" w:eastAsia="Arial" w:hAnsi="Arial"/>
          <w:sz w:val="14"/>
          <w:szCs w:val="14"/>
          <w:color w:val="auto"/>
        </w:rPr>
      </w:pPr>
    </w:p>
    <w:p>
      <w:pPr>
        <w:ind w:left="1040" w:hanging="516"/>
        <w:spacing w:after="0"/>
        <w:tabs>
          <w:tab w:leader="none" w:pos="104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total royalties payable on Net Sales in US dollars, together with the exchange rates and sources for such rates used for conversion; and</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Sub-License Fee Payments and any other fees due to the INSTITUTIONS under this Agreement.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If no amounts are due to the INSTITUTIONS for any Reporting Period, the report shall state so.</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3.5</w:t>
      </w:r>
      <w:r>
        <w:rPr>
          <w:sz w:val="20"/>
          <w:szCs w:val="20"/>
          <w:color w:val="auto"/>
        </w:rPr>
        <w:tab/>
      </w:r>
      <w:r>
        <w:rPr>
          <w:rFonts w:ascii="Arial" w:cs="Arial" w:eastAsia="Arial" w:hAnsi="Arial"/>
          <w:sz w:val="12"/>
          <w:szCs w:val="12"/>
          <w:b w:val="1"/>
          <w:bCs w:val="1"/>
          <w:color w:val="auto"/>
        </w:rPr>
        <w:t>Accounting and Records</w:t>
      </w:r>
    </w:p>
    <w:p>
      <w:pPr>
        <w:spacing w:after="0" w:line="184" w:lineRule="exact"/>
        <w:rPr>
          <w:sz w:val="20"/>
          <w:szCs w:val="20"/>
          <w:color w:val="auto"/>
        </w:rPr>
      </w:pPr>
    </w:p>
    <w:p>
      <w:pPr>
        <w:jc w:val="both"/>
        <w:ind w:left="1040" w:hanging="516"/>
        <w:spacing w:after="0" w:line="284" w:lineRule="auto"/>
        <w:tabs>
          <w:tab w:leader="none" w:pos="104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The Royalty Payments and the Sub-License Fee Payments (collectively the “</w:t>
      </w:r>
      <w:r>
        <w:rPr>
          <w:rFonts w:ascii="Arial" w:cs="Arial" w:eastAsia="Arial" w:hAnsi="Arial"/>
          <w:sz w:val="13"/>
          <w:szCs w:val="13"/>
          <w:b w:val="1"/>
          <w:bCs w:val="1"/>
          <w:color w:val="auto"/>
        </w:rPr>
        <w:t>Fees</w:t>
      </w:r>
      <w:r>
        <w:rPr>
          <w:rFonts w:ascii="Arial" w:cs="Arial" w:eastAsia="Arial" w:hAnsi="Arial"/>
          <w:sz w:val="13"/>
          <w:szCs w:val="13"/>
          <w:color w:val="auto"/>
        </w:rPr>
        <w:t>”) under Sections 3.2 and 3.3 are to be paid by EMPIRICA to CCAB on a semi-annual basis and shall be made within ninety (90) days following the last day of each Semi-annual Period in which such Fees become due and payable pursuant to this Agreement. For clarity, Therapeutic Products shall be deemed to have been sold under this Agreement (and under any sub-license) when Therapeutic Products are delivered and payment is received by</w:t>
      </w:r>
    </w:p>
    <w:p>
      <w:pPr>
        <w:ind w:left="1040"/>
        <w:spacing w:after="0"/>
        <w:rPr>
          <w:rFonts w:ascii="Arial" w:cs="Arial" w:eastAsia="Arial" w:hAnsi="Arial"/>
          <w:sz w:val="13"/>
          <w:szCs w:val="13"/>
          <w:color w:val="auto"/>
        </w:rPr>
      </w:pPr>
      <w:r>
        <w:rPr>
          <w:rFonts w:ascii="Arial" w:cs="Arial" w:eastAsia="Arial" w:hAnsi="Arial"/>
          <w:sz w:val="14"/>
          <w:szCs w:val="14"/>
          <w:color w:val="auto"/>
        </w:rPr>
        <w:t>EMPIRICA.</w:t>
      </w:r>
    </w:p>
    <w:p>
      <w:pPr>
        <w:spacing w:after="0" w:line="174" w:lineRule="exact"/>
        <w:rPr>
          <w:rFonts w:ascii="Arial" w:cs="Arial" w:eastAsia="Arial" w:hAnsi="Arial"/>
          <w:sz w:val="13"/>
          <w:szCs w:val="13"/>
          <w:color w:val="auto"/>
        </w:rPr>
      </w:pPr>
    </w:p>
    <w:p>
      <w:pPr>
        <w:ind w:left="1040" w:hanging="516"/>
        <w:spacing w:after="0" w:line="288" w:lineRule="auto"/>
        <w:tabs>
          <w:tab w:leader="none" w:pos="104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 xml:space="preserve">The Parties acknowledge that the royalties and fees payable hereunder for all sales of Therapeutic Products within Canada are subject to tax under Part IX of the </w:t>
      </w:r>
      <w:r>
        <w:rPr>
          <w:rFonts w:ascii="Arial" w:cs="Arial" w:eastAsia="Arial" w:hAnsi="Arial"/>
          <w:sz w:val="14"/>
          <w:szCs w:val="14"/>
          <w:b w:val="1"/>
          <w:bCs w:val="1"/>
          <w:i w:val="1"/>
          <w:iCs w:val="1"/>
          <w:color w:val="auto"/>
        </w:rPr>
        <w:t>Excise Tax Act</w:t>
      </w:r>
      <w:r>
        <w:rPr>
          <w:rFonts w:ascii="Arial" w:cs="Arial" w:eastAsia="Arial" w:hAnsi="Arial"/>
          <w:sz w:val="14"/>
          <w:szCs w:val="14"/>
          <w:color w:val="auto"/>
        </w:rPr>
        <w:t xml:space="preserve"> (Canada) (“</w:t>
      </w:r>
      <w:r>
        <w:rPr>
          <w:rFonts w:ascii="Arial" w:cs="Arial" w:eastAsia="Arial" w:hAnsi="Arial"/>
          <w:sz w:val="14"/>
          <w:szCs w:val="14"/>
          <w:b w:val="1"/>
          <w:bCs w:val="1"/>
          <w:color w:val="auto"/>
        </w:rPr>
        <w:t>GST/HST</w:t>
      </w:r>
      <w:r>
        <w:rPr>
          <w:rFonts w:ascii="Arial" w:cs="Arial" w:eastAsia="Arial" w:hAnsi="Arial"/>
          <w:sz w:val="14"/>
          <w:szCs w:val="14"/>
          <w:color w:val="auto"/>
        </w:rPr>
        <w:t>”). The INSTITUTIONS is registered to collect GST/HST under registration</w:t>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13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306" w:name="page307"/>
    <w:bookmarkEnd w:id="306"/>
    <w:p>
      <w:pPr>
        <w:ind w:left="1040"/>
        <w:spacing w:after="0" w:line="288" w:lineRule="auto"/>
        <w:rPr>
          <w:sz w:val="20"/>
          <w:szCs w:val="20"/>
          <w:color w:val="auto"/>
        </w:rPr>
      </w:pPr>
      <w:r>
        <w:rPr>
          <w:rFonts w:ascii="Arial" w:cs="Arial" w:eastAsia="Arial" w:hAnsi="Arial"/>
          <w:sz w:val="14"/>
          <w:szCs w:val="14"/>
          <w:color w:val="auto"/>
        </w:rPr>
        <w:t>number R108162330 for UT and R119035988 for MAC. EMPIRICA hereby agrees to provide to the Representatives of INSTITUTIONS a statement as to EMPIRICA applicable value-added tax status and to remit such amounts to the INSTITUTIONS as required by law.</w:t>
      </w:r>
    </w:p>
    <w:p>
      <w:pPr>
        <w:spacing w:after="0" w:line="132" w:lineRule="exact"/>
        <w:rPr>
          <w:sz w:val="20"/>
          <w:szCs w:val="20"/>
          <w:color w:val="auto"/>
        </w:rPr>
      </w:pPr>
    </w:p>
    <w:p>
      <w:pPr>
        <w:ind w:left="1040" w:hanging="516"/>
        <w:spacing w:after="0"/>
        <w:tabs>
          <w:tab w:leader="none" w:pos="104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Fees paid to the INSTITUTIONS shall be free and clear of all taxes, except those taxes EMPIRICA is required by law to withhold.</w:t>
      </w:r>
    </w:p>
    <w:p>
      <w:pPr>
        <w:spacing w:after="0" w:line="184"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EMPIRICA agrees to keep complete and maintain accurate books of account in which the particulars of all sales of the Therapeutic Products are recorded in sufficient detail to enable Fees payable to be determined.</w:t>
      </w:r>
    </w:p>
    <w:p>
      <w:pPr>
        <w:spacing w:after="0" w:line="131" w:lineRule="exact"/>
        <w:rPr>
          <w:rFonts w:ascii="Arial" w:cs="Arial" w:eastAsia="Arial" w:hAnsi="Arial"/>
          <w:sz w:val="14"/>
          <w:szCs w:val="14"/>
          <w:color w:val="auto"/>
        </w:rPr>
      </w:pPr>
    </w:p>
    <w:p>
      <w:pPr>
        <w:jc w:val="both"/>
        <w:ind w:left="1040" w:hanging="516"/>
        <w:spacing w:after="0" w:line="263" w:lineRule="auto"/>
        <w:tabs>
          <w:tab w:leader="none" w:pos="104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The INSTITUTIONS’ authorized Representatives shall have the right at any time, upon ten (10) days prior written notice, to audit EMPIRICA’s books and accounting records and any documents or other materials in the possession or under the control of EMPIRICA relating to the sales and accounting, but only with respect to the Therapeutic Products. The Representatives of the INSTITUTIONS reserve the right to confirm any information gleaned in the course of such audit with any Person that has purchased any Therapeutic Products from EMPIRICA to verify the accuracy of EMPIRICA’s calculation of Fees and compliance with this Agreement. EMPIRICA shall preserve and make available to the Representatives of INSTITUTIONS all relevant books and records, documents, contracts, and other data (including reports of audits undertaken by EMPIRICA of the books and records of its own Sub-Licensees) for a period of six (6) years from the date of each record.</w:t>
      </w:r>
    </w:p>
    <w:p>
      <w:pPr>
        <w:spacing w:after="0" w:line="149"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In the event that any audit of the books and records of EMPIRICA reveals an error in excess of [***] to the detriment of the INSTITUTIONS, which can be independently verified by a Third Party auditor at the option of EMPIRICA, then EMPIRICA shall bear all the costs of the audit and pay all outstanding amounts forthwith, together with interest thereon as calculated under Subsection 3.5 (g).</w:t>
      </w:r>
    </w:p>
    <w:p>
      <w:pPr>
        <w:spacing w:after="0" w:line="141" w:lineRule="exact"/>
        <w:rPr>
          <w:rFonts w:ascii="Arial" w:cs="Arial" w:eastAsia="Arial" w:hAnsi="Arial"/>
          <w:sz w:val="14"/>
          <w:szCs w:val="14"/>
          <w:color w:val="auto"/>
        </w:rPr>
      </w:pPr>
    </w:p>
    <w:p>
      <w:pPr>
        <w:ind w:left="1040" w:hanging="516"/>
        <w:spacing w:after="0" w:line="329" w:lineRule="auto"/>
        <w:tabs>
          <w:tab w:leader="none" w:pos="104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Interest shall be payable on any amounts owing which are not paid when due, at the Prime Rate plus [***] per annum, compounded monthly. The payment of interest shall be in addition to the amounts owing when due. Default of payment of interest shall constitute a material breach and be subject to termination provisions as provided in Section 6.2.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4</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INTELLECTUAL PROPERTY</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4.1</w:t>
      </w:r>
      <w:r>
        <w:rPr>
          <w:sz w:val="20"/>
          <w:szCs w:val="20"/>
          <w:color w:val="auto"/>
        </w:rPr>
        <w:tab/>
      </w:r>
      <w:r>
        <w:rPr>
          <w:rFonts w:ascii="Arial" w:cs="Arial" w:eastAsia="Arial" w:hAnsi="Arial"/>
          <w:sz w:val="13"/>
          <w:szCs w:val="13"/>
          <w:b w:val="1"/>
          <w:bCs w:val="1"/>
          <w:color w:val="auto"/>
        </w:rPr>
        <w:t>Ownership</w:t>
      </w:r>
    </w:p>
    <w:p>
      <w:pPr>
        <w:spacing w:after="0" w:line="188"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All of the Licensed Inventions and Therapeutic Products, including all Intellectual Property Rights associated therewith, but excluding EMPIRICA Improvements, shall be exclusively owned by the INSTITUTIONS. Nothing herein shall grant any ownership</w:t>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14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07" w:name="page308"/>
    <w:bookmarkEnd w:id="307"/>
    <w:p>
      <w:pPr>
        <w:spacing w:after="0"/>
        <w:rPr>
          <w:sz w:val="20"/>
          <w:szCs w:val="20"/>
          <w:color w:val="auto"/>
        </w:rPr>
      </w:pPr>
      <w:r>
        <w:rPr>
          <w:rFonts w:ascii="Arial" w:cs="Arial" w:eastAsia="Arial" w:hAnsi="Arial"/>
          <w:sz w:val="14"/>
          <w:szCs w:val="14"/>
          <w:color w:val="auto"/>
        </w:rPr>
        <w:t>rights whatsoever in the Licensed Inventions or Therapeutic Products to EMPIRICA, its Affiliates, or any of its Sub-Licensees.</w:t>
      </w:r>
    </w:p>
    <w:p>
      <w:pPr>
        <w:spacing w:after="0" w:line="184" w:lineRule="exact"/>
        <w:rPr>
          <w:sz w:val="20"/>
          <w:szCs w:val="20"/>
          <w:color w:val="auto"/>
        </w:rPr>
      </w:pPr>
    </w:p>
    <w:p>
      <w:pPr>
        <w:ind w:firstLine="518"/>
        <w:spacing w:after="0" w:line="288" w:lineRule="auto"/>
        <w:rPr>
          <w:sz w:val="20"/>
          <w:szCs w:val="20"/>
          <w:color w:val="auto"/>
        </w:rPr>
      </w:pPr>
      <w:r>
        <w:rPr>
          <w:rFonts w:ascii="Arial" w:cs="Arial" w:eastAsia="Arial" w:hAnsi="Arial"/>
          <w:sz w:val="14"/>
          <w:szCs w:val="14"/>
          <w:color w:val="auto"/>
        </w:rPr>
        <w:t>In the event of termination of this Agreement for any reason, EMPIRICA hereby grants a non-exclusive license to INSTITUTIONS to use any EMPIRICA Improvements necessary for INSTITUTIONS to pursue commercialization of Therapeutic Products with any Third Party.</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4.2</w:t>
      </w:r>
      <w:r>
        <w:rPr>
          <w:sz w:val="20"/>
          <w:szCs w:val="20"/>
          <w:color w:val="auto"/>
        </w:rPr>
        <w:tab/>
      </w:r>
      <w:r>
        <w:rPr>
          <w:rFonts w:ascii="Arial" w:cs="Arial" w:eastAsia="Arial" w:hAnsi="Arial"/>
          <w:sz w:val="13"/>
          <w:szCs w:val="13"/>
          <w:b w:val="1"/>
          <w:bCs w:val="1"/>
          <w:color w:val="auto"/>
        </w:rPr>
        <w:t>Know-how</w:t>
      </w:r>
    </w:p>
    <w:p>
      <w:pPr>
        <w:spacing w:after="0" w:line="188" w:lineRule="exact"/>
        <w:rPr>
          <w:sz w:val="20"/>
          <w:szCs w:val="20"/>
          <w:color w:val="auto"/>
        </w:rPr>
      </w:pPr>
    </w:p>
    <w:p>
      <w:pPr>
        <w:jc w:val="both"/>
        <w:ind w:left="1040" w:hanging="516"/>
        <w:spacing w:after="0" w:line="267" w:lineRule="auto"/>
        <w:tabs>
          <w:tab w:leader="none" w:pos="104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The Representatives of INSTITUTIONS shall furnish a concise written summary of the relevant Know-how to EMPIRICA within thirty (30) days following the Effective Date, and will use Best Efforts to provide complete relevant documentation respecting Patents within the first sixty (60) days, together with all information that is reasonably necessary for understanding the Licensed Inventions, to the extent that such exists and is within the control of the INSTITUTIONS, along with oral explanations of the Know-how, as requested by EMPIRICA, and of any unwritten Confidential Information.</w:t>
      </w:r>
    </w:p>
    <w:p>
      <w:pPr>
        <w:spacing w:after="0" w:line="146" w:lineRule="exact"/>
        <w:rPr>
          <w:rFonts w:ascii="Arial" w:cs="Arial" w:eastAsia="Arial" w:hAnsi="Arial"/>
          <w:sz w:val="14"/>
          <w:szCs w:val="14"/>
          <w:color w:val="auto"/>
        </w:rPr>
      </w:pPr>
    </w:p>
    <w:p>
      <w:pPr>
        <w:jc w:val="both"/>
        <w:ind w:left="1040" w:hanging="516"/>
        <w:spacing w:after="0" w:line="294" w:lineRule="auto"/>
        <w:tabs>
          <w:tab w:leader="none" w:pos="1040" w:val="left"/>
        </w:tabs>
        <w:numPr>
          <w:ilvl w:val="0"/>
          <w:numId w:val="175"/>
        </w:numPr>
        <w:rPr>
          <w:rFonts w:ascii="Arial" w:cs="Arial" w:eastAsia="Arial" w:hAnsi="Arial"/>
          <w:sz w:val="13"/>
          <w:szCs w:val="13"/>
          <w:color w:val="auto"/>
        </w:rPr>
      </w:pPr>
      <w:r>
        <w:rPr>
          <w:rFonts w:ascii="Arial" w:cs="Arial" w:eastAsia="Arial" w:hAnsi="Arial"/>
          <w:sz w:val="13"/>
          <w:szCs w:val="13"/>
          <w:color w:val="auto"/>
        </w:rPr>
        <w:t>EMPIRICA shall be deemed to have received all necessary production and disclosure under this Section 4.2, if EMPIRICA has not notified the Representatives of INSTITUTIONS within one hundred and twenty (120) days after the Effective Date that complete disclosure has not occurred. In the event that EMPIRICA has not received all necessary deliverables it shall so notify the Representatives of INSTITUTIONS in writing in advance of the expiry of the one hundred and twenty (120) days and indicate what additional documentation is required. The Representatives of INSTITUTIONS will use Best Efforts to comply with any additional documentation requests in a timely manner.</w:t>
      </w:r>
    </w:p>
    <w:p>
      <w:pPr>
        <w:spacing w:after="0" w:line="12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4.3</w:t>
      </w:r>
      <w:r>
        <w:rPr>
          <w:sz w:val="20"/>
          <w:szCs w:val="20"/>
          <w:color w:val="auto"/>
        </w:rPr>
        <w:tab/>
      </w:r>
      <w:r>
        <w:rPr>
          <w:rFonts w:ascii="Arial" w:cs="Arial" w:eastAsia="Arial" w:hAnsi="Arial"/>
          <w:sz w:val="12"/>
          <w:szCs w:val="12"/>
          <w:b w:val="1"/>
          <w:bCs w:val="1"/>
          <w:color w:val="auto"/>
        </w:rPr>
        <w:t>Patents and Patent Applications</w:t>
      </w:r>
    </w:p>
    <w:p>
      <w:pPr>
        <w:spacing w:after="0" w:line="188" w:lineRule="exact"/>
        <w:rPr>
          <w:sz w:val="20"/>
          <w:szCs w:val="20"/>
          <w:color w:val="auto"/>
        </w:rPr>
      </w:pPr>
    </w:p>
    <w:p>
      <w:pPr>
        <w:ind w:left="1040" w:hanging="516"/>
        <w:spacing w:after="0" w:line="288" w:lineRule="auto"/>
        <w:tabs>
          <w:tab w:leader="none" w:pos="104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EMPIRICA shall bear the full costs and responsibility to file, prosecute, and maintain the Patents in accordance with its Best Efforts and standard practices, including payment of all Patents prosecution and maintenance fees.</w:t>
      </w:r>
    </w:p>
    <w:p>
      <w:pPr>
        <w:spacing w:after="0" w:line="131" w:lineRule="exact"/>
        <w:rPr>
          <w:rFonts w:ascii="Arial" w:cs="Arial" w:eastAsia="Arial" w:hAnsi="Arial"/>
          <w:sz w:val="14"/>
          <w:szCs w:val="14"/>
          <w:color w:val="auto"/>
        </w:rPr>
      </w:pPr>
    </w:p>
    <w:p>
      <w:pPr>
        <w:jc w:val="both"/>
        <w:ind w:left="1040" w:hanging="516"/>
        <w:spacing w:after="0" w:line="267" w:lineRule="auto"/>
        <w:tabs>
          <w:tab w:leader="none" w:pos="104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EMPIRICA undertakes to keep the Representatives of INSTITUTIONS reasonably and promptly advised of the progress of prosecution and of any actions EMPIRICA proposes to take or has taken in connection with the prosecution or maintenance of the Patents. EMPIRICA will ensure the Representatives of INSTITUTIONS and CCAB are copied on all correspondence with patent counsel and patent offices and all actions issued by patent authorities and shall use Best Efforts to incorporate, any comments, remarks or suggestions the Representatives of</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15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08" w:name="page309"/>
    <w:bookmarkEnd w:id="308"/>
    <w:p>
      <w:pPr>
        <w:jc w:val="both"/>
        <w:ind w:left="1040"/>
        <w:spacing w:after="0" w:line="273" w:lineRule="auto"/>
        <w:rPr>
          <w:sz w:val="20"/>
          <w:szCs w:val="20"/>
          <w:color w:val="auto"/>
        </w:rPr>
      </w:pPr>
      <w:r>
        <w:rPr>
          <w:rFonts w:ascii="Arial" w:cs="Arial" w:eastAsia="Arial" w:hAnsi="Arial"/>
          <w:sz w:val="14"/>
          <w:szCs w:val="14"/>
          <w:color w:val="auto"/>
        </w:rPr>
        <w:t>INSTITUTIONS and CCAB may promptly provide to EMPIRICA in writing at least ten (10) days prior to any due date established by EMPIRICA for preparation of a response or amendment and in all cases thirty (30) days prior to any patent office action due dates of which it becomes aware. EMPIRICA shall correspond with INSTITUTIONS and CCAB and not directly with Inventors with respect to the Patents and Patent Applications unless otherwise agreed by the INSTITUTIONS.</w:t>
      </w:r>
    </w:p>
    <w:p>
      <w:pPr>
        <w:spacing w:after="0" w:line="141" w:lineRule="exact"/>
        <w:rPr>
          <w:sz w:val="20"/>
          <w:szCs w:val="20"/>
          <w:color w:val="auto"/>
        </w:rPr>
      </w:pPr>
    </w:p>
    <w:p>
      <w:pPr>
        <w:ind w:left="1040" w:hanging="516"/>
        <w:spacing w:after="0" w:line="288" w:lineRule="auto"/>
        <w:tabs>
          <w:tab w:leader="none" w:pos="104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Nothing contained in this Agreement (including, without limitation, the provisions of this Section 4.3) shall interfere with, amend or supersede any obligations of the Inventors to the respective INSTITUTIONS (or the obligations of INSTITUTIONS to the Inventors) which exist under contract as of the date hereof.</w:t>
      </w:r>
    </w:p>
    <w:p>
      <w:pPr>
        <w:spacing w:after="0" w:line="131"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The INSTITUTIONS undertake to sign all documents necessary to fully assign the Patents and Patent Applications identified in Schedule “B” to EMPIRICA, subject to the INSTITUTION’s continued license to use for non-commercial purposes, upon the occurrence of either of the following triggering events:</w:t>
      </w:r>
    </w:p>
    <w:p>
      <w:pPr>
        <w:spacing w:after="0" w:line="131" w:lineRule="exact"/>
        <w:rPr>
          <w:rFonts w:ascii="Arial" w:cs="Arial" w:eastAsia="Arial" w:hAnsi="Arial"/>
          <w:sz w:val="14"/>
          <w:szCs w:val="14"/>
          <w:color w:val="auto"/>
        </w:rPr>
      </w:pPr>
    </w:p>
    <w:p>
      <w:pPr>
        <w:ind w:left="1560" w:hanging="518"/>
        <w:spacing w:after="0" w:line="288" w:lineRule="auto"/>
        <w:tabs>
          <w:tab w:leader="none" w:pos="1560" w:val="left"/>
        </w:tabs>
        <w:numPr>
          <w:ilvl w:val="1"/>
          <w:numId w:val="177"/>
        </w:numPr>
        <w:rPr>
          <w:rFonts w:ascii="Arial" w:cs="Arial" w:eastAsia="Arial" w:hAnsi="Arial"/>
          <w:sz w:val="14"/>
          <w:szCs w:val="14"/>
          <w:color w:val="auto"/>
        </w:rPr>
      </w:pPr>
      <w:r>
        <w:rPr>
          <w:rFonts w:ascii="Arial" w:cs="Arial" w:eastAsia="Arial" w:hAnsi="Arial"/>
          <w:sz w:val="14"/>
          <w:szCs w:val="14"/>
          <w:color w:val="auto"/>
        </w:rPr>
        <w:t>Upon the successful completion of good faith negotiations for such assignment, not to occur prior to EMPIRICA securing confirmed financing and/or capital investment in the total amount of Eight Million Dollars ($8,000,000) and provides the INSTITUTIONS with proof of said financing/investment; or</w:t>
      </w:r>
    </w:p>
    <w:p>
      <w:pPr>
        <w:spacing w:after="0" w:line="131" w:lineRule="exact"/>
        <w:rPr>
          <w:rFonts w:ascii="Arial" w:cs="Arial" w:eastAsia="Arial" w:hAnsi="Arial"/>
          <w:sz w:val="14"/>
          <w:szCs w:val="14"/>
          <w:color w:val="auto"/>
        </w:rPr>
      </w:pPr>
    </w:p>
    <w:p>
      <w:pPr>
        <w:jc w:val="both"/>
        <w:ind w:left="1560" w:hanging="518"/>
        <w:spacing w:after="0" w:line="273" w:lineRule="auto"/>
        <w:tabs>
          <w:tab w:leader="none" w:pos="1560" w:val="left"/>
        </w:tabs>
        <w:numPr>
          <w:ilvl w:val="1"/>
          <w:numId w:val="177"/>
        </w:numPr>
        <w:rPr>
          <w:rFonts w:ascii="Arial" w:cs="Arial" w:eastAsia="Arial" w:hAnsi="Arial"/>
          <w:sz w:val="14"/>
          <w:szCs w:val="14"/>
          <w:color w:val="auto"/>
        </w:rPr>
      </w:pPr>
      <w:r>
        <w:rPr>
          <w:rFonts w:ascii="Arial" w:cs="Arial" w:eastAsia="Arial" w:hAnsi="Arial"/>
          <w:sz w:val="14"/>
          <w:szCs w:val="14"/>
          <w:color w:val="auto"/>
        </w:rPr>
        <w:t>EMPIRICA enters into a binding agreement to sell or transfer all of its assets or business to a solvent Third Party with the means to continue the Commercially Reasonable Efforts to develop Licensed Products and agrees to assume the obligations outlined in this Agreement (including payment and reporting obligations to the INSTITUTIONS) and provides a copy of binding agreement to both UT and MAC.</w:t>
      </w:r>
    </w:p>
    <w:p>
      <w:pPr>
        <w:spacing w:after="0" w:line="13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4.4</w:t>
      </w:r>
      <w:r>
        <w:rPr>
          <w:sz w:val="20"/>
          <w:szCs w:val="20"/>
          <w:color w:val="auto"/>
        </w:rPr>
        <w:tab/>
      </w:r>
      <w:r>
        <w:rPr>
          <w:rFonts w:ascii="Arial" w:cs="Arial" w:eastAsia="Arial" w:hAnsi="Arial"/>
          <w:sz w:val="13"/>
          <w:szCs w:val="13"/>
          <w:b w:val="1"/>
          <w:bCs w:val="1"/>
          <w:color w:val="auto"/>
        </w:rPr>
        <w:t>Improvements</w:t>
      </w:r>
    </w:p>
    <w:p>
      <w:pPr>
        <w:spacing w:after="0" w:line="188" w:lineRule="exact"/>
        <w:rPr>
          <w:sz w:val="20"/>
          <w:szCs w:val="20"/>
          <w:color w:val="auto"/>
        </w:rPr>
      </w:pPr>
    </w:p>
    <w:p>
      <w:pPr>
        <w:ind w:left="1040" w:hanging="516"/>
        <w:spacing w:after="0"/>
        <w:tabs>
          <w:tab w:leader="none" w:pos="104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Subject to Section 4.1, all EMPIRICA Improvements, and any Intellectual Property Rights specifically associated therewith, shall be owned exclusively by EMPIRICA.</w:t>
      </w:r>
    </w:p>
    <w:p>
      <w:pPr>
        <w:spacing w:after="0" w:line="184"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If EMPIRICA produces or has produced any EMPIRICA Improvements, then EMPIRICA shall grant an exclusive license to the INSTITUTIONS to use all EMPIRICA Improvements for non-commercial research, educational and administrative purposes.</w:t>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16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09" w:name="page310"/>
    <w:bookmarkEnd w:id="309"/>
    <w:p>
      <w:pPr>
        <w:jc w:val="both"/>
        <w:ind w:left="1040" w:hanging="516"/>
        <w:spacing w:after="0" w:line="262" w:lineRule="auto"/>
        <w:tabs>
          <w:tab w:leader="none" w:pos="104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In the event that UT or MAC obtains commercialization rights in relation to any modifications, enhancements, upgrades or additions to the Licensed Inventions (“</w:t>
      </w:r>
      <w:r>
        <w:rPr>
          <w:rFonts w:ascii="Arial" w:cs="Arial" w:eastAsia="Arial" w:hAnsi="Arial"/>
          <w:sz w:val="14"/>
          <w:szCs w:val="14"/>
          <w:b w:val="1"/>
          <w:bCs w:val="1"/>
          <w:color w:val="auto"/>
        </w:rPr>
        <w:t>INSTITUTIONS Improvements</w:t>
      </w:r>
      <w:r>
        <w:rPr>
          <w:rFonts w:ascii="Arial" w:cs="Arial" w:eastAsia="Arial" w:hAnsi="Arial"/>
          <w:sz w:val="14"/>
          <w:szCs w:val="14"/>
          <w:color w:val="auto"/>
        </w:rPr>
        <w:t>”), then UT or MAC shall promptly inform, EMPIRICA in confidence, and EMPIRICA shall have an exclusive option to obtain a commercial license to use such INSTITUTIONS Improvements on terms to be negotiated, such right being subject to any third-party rights. Within sixty (60) days following the date of the disclosure of INSTITUTIONS Improvements to EMPIRICA, EMPIRICA shall notify UT or MAC in writing indicating whether or not EMPIRICA will exercise this option. Should the sixty (60) days elapse without EMPIRICA responding to UT or MAC, EMPIRICA shall be deemed to have rejected this option in relation to the INSTITUTIONS Improvements and UT or MAC shall have an unfettered right to offer licenses in such INSTITUTIONS Improvements at its discretion, provided that such licenses will not infringe or violate the exclusive rights granted under this Agreement to EMPIRICA.</w:t>
      </w:r>
    </w:p>
    <w:p>
      <w:pPr>
        <w:spacing w:after="0" w:line="14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4.5</w:t>
      </w:r>
      <w:r>
        <w:rPr>
          <w:sz w:val="20"/>
          <w:szCs w:val="20"/>
          <w:color w:val="auto"/>
        </w:rPr>
        <w:tab/>
      </w:r>
      <w:r>
        <w:rPr>
          <w:rFonts w:ascii="Arial" w:cs="Arial" w:eastAsia="Arial" w:hAnsi="Arial"/>
          <w:sz w:val="13"/>
          <w:szCs w:val="13"/>
          <w:b w:val="1"/>
          <w:bCs w:val="1"/>
          <w:color w:val="auto"/>
        </w:rPr>
        <w:t>Infringement</w:t>
      </w:r>
    </w:p>
    <w:p>
      <w:pPr>
        <w:spacing w:after="0" w:line="361" w:lineRule="exact"/>
        <w:rPr>
          <w:sz w:val="20"/>
          <w:szCs w:val="20"/>
          <w:color w:val="auto"/>
        </w:rPr>
      </w:pPr>
    </w:p>
    <w:p>
      <w:pPr>
        <w:jc w:val="both"/>
        <w:ind w:left="1040" w:hanging="516"/>
        <w:spacing w:after="0" w:line="267" w:lineRule="auto"/>
        <w:tabs>
          <w:tab w:leader="none" w:pos="104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EMPIRICA will notify the Representatives of INSTITUTIONS promptly upon becoming aware of any claim or assertion by a Third Party that any Licensed Products or Therapeutic Products infringe or are otherwise in violation of a Third Party’s Intellectual Property Rights. The Parties shall promptly appoint a Representative to enter into discussions with the Third Party to determine the existence and extent of the alleged infringement and determine the Parties’ mutually agreed course of action. Each Party will absorb its own costs of the discussions and any legal representation.</w:t>
      </w:r>
    </w:p>
    <w:p>
      <w:pPr>
        <w:spacing w:after="0" w:line="146" w:lineRule="exact"/>
        <w:rPr>
          <w:rFonts w:ascii="Arial" w:cs="Arial" w:eastAsia="Arial" w:hAnsi="Arial"/>
          <w:sz w:val="14"/>
          <w:szCs w:val="14"/>
          <w:color w:val="auto"/>
        </w:rPr>
      </w:pPr>
    </w:p>
    <w:p>
      <w:pPr>
        <w:jc w:val="both"/>
        <w:ind w:left="1040" w:hanging="516"/>
        <w:spacing w:after="0" w:line="284" w:lineRule="auto"/>
        <w:tabs>
          <w:tab w:leader="none" w:pos="1040" w:val="left"/>
        </w:tabs>
        <w:numPr>
          <w:ilvl w:val="0"/>
          <w:numId w:val="180"/>
        </w:numPr>
        <w:rPr>
          <w:rFonts w:ascii="Arial" w:cs="Arial" w:eastAsia="Arial" w:hAnsi="Arial"/>
          <w:sz w:val="13"/>
          <w:szCs w:val="13"/>
          <w:color w:val="auto"/>
        </w:rPr>
      </w:pPr>
      <w:r>
        <w:rPr>
          <w:rFonts w:ascii="Arial" w:cs="Arial" w:eastAsia="Arial" w:hAnsi="Arial"/>
          <w:sz w:val="13"/>
          <w:szCs w:val="13"/>
          <w:color w:val="auto"/>
        </w:rPr>
        <w:t>EMPIRICA and the INSTITUTIONS may agree to jointly defend or pursue litigation, but neither of them shall bind or commit the other to any course of action which involves liability for legal costs, expenses or damages. If EMPIRICA and the INSTITUTIONS agree to jointly defend or pursue litigation, then the Parties will agree in advance on their level of participation (including, but not limited to, the funding and time to be provided by each Party) in any such claim, action or proceeding, and each Party will absorb its own costs in relation to any such claim, action or proceedings. The Parties acknowledge and agree that they shall share anything awarded by a court or paid as a settlement by a Third Party in proportion to each Party’s level of participation as mutually agreed in advance. If EMPIRICA and the INSTITUTIONS fail to agree within a reasonable time as to any joint course of action which might be taken, then either of them may take or defend proceedings independently and shall be entitled to retain anything awarded to it by a court, or paid to it as a settlement by the Third Party. Where EMPIRICA or UT or MAC wishes to act independently or the Parties are unable to agree on a joint defense, but formalities require participation of the other, then the other shall join in the proceeding to the extent necessary for formalities. Each will</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17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10" w:name="page311"/>
    <w:bookmarkEnd w:id="310"/>
    <w:p>
      <w:pPr>
        <w:jc w:val="both"/>
        <w:ind w:left="1040"/>
        <w:spacing w:after="0" w:line="267" w:lineRule="auto"/>
        <w:rPr>
          <w:sz w:val="20"/>
          <w:szCs w:val="20"/>
          <w:color w:val="auto"/>
        </w:rPr>
      </w:pPr>
      <w:r>
        <w:rPr>
          <w:rFonts w:ascii="Arial" w:cs="Arial" w:eastAsia="Arial" w:hAnsi="Arial"/>
          <w:sz w:val="14"/>
          <w:szCs w:val="14"/>
          <w:color w:val="auto"/>
        </w:rPr>
        <w:t>cooperate with the other in making available all necessary documents and witnesses for any legal proceedings, subject to the prompt re-imbursement by the requesting Party of any out-of-pocket expenses. If EMPIRICA or UT or MAC proceed unilaterally, it shall indemnify the others for reasonable legal costs for representation that is reasonably necessary and for any court-ordered payments. Neither EMPIRICA nor the INSTITUTIONS shall settle any such claim without the prior written consent of the other, such consent not to be unreasonably withheld.</w:t>
      </w:r>
    </w:p>
    <w:p>
      <w:pPr>
        <w:spacing w:after="0" w:line="143"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4.6</w:t>
      </w:r>
      <w:r>
        <w:rPr>
          <w:sz w:val="20"/>
          <w:szCs w:val="20"/>
          <w:color w:val="auto"/>
        </w:rPr>
        <w:tab/>
      </w:r>
      <w:r>
        <w:rPr>
          <w:rFonts w:ascii="Arial" w:cs="Arial" w:eastAsia="Arial" w:hAnsi="Arial"/>
          <w:sz w:val="13"/>
          <w:szCs w:val="13"/>
          <w:b w:val="1"/>
          <w:bCs w:val="1"/>
          <w:color w:val="auto"/>
        </w:rPr>
        <w:t>Confidentiality</w:t>
      </w:r>
    </w:p>
    <w:p>
      <w:pPr>
        <w:spacing w:after="0" w:line="188" w:lineRule="exact"/>
        <w:rPr>
          <w:sz w:val="20"/>
          <w:szCs w:val="20"/>
          <w:color w:val="auto"/>
        </w:rPr>
      </w:pPr>
    </w:p>
    <w:p>
      <w:pPr>
        <w:ind w:left="1040" w:hanging="516"/>
        <w:spacing w:after="0"/>
        <w:tabs>
          <w:tab w:leader="none" w:pos="104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All Confidential Information will remain the property of its owner or the Party that disclosed it under a duty of confidence, as the case may be.</w:t>
      </w:r>
    </w:p>
    <w:p>
      <w:pPr>
        <w:spacing w:after="0" w:line="184"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For the Term of this Agreement, and for a period of five (5) years from its termination or expiry, each Party agrees to maintain in confidence all Confidential Information disclosed with the same degree of care as it normally takes to preserve its own Confidential Information of similar grade, but in any event, no less than a reasonable degree of care.</w:t>
      </w:r>
    </w:p>
    <w:p>
      <w:pPr>
        <w:spacing w:after="0" w:line="141" w:lineRule="exact"/>
        <w:rPr>
          <w:rFonts w:ascii="Arial" w:cs="Arial" w:eastAsia="Arial" w:hAnsi="Arial"/>
          <w:sz w:val="14"/>
          <w:szCs w:val="14"/>
          <w:color w:val="auto"/>
        </w:rPr>
      </w:pPr>
    </w:p>
    <w:p>
      <w:pPr>
        <w:ind w:left="1040" w:hanging="516"/>
        <w:spacing w:after="0" w:line="329" w:lineRule="auto"/>
        <w:tabs>
          <w:tab w:leader="none" w:pos="1040" w:val="left"/>
        </w:tabs>
        <w:numPr>
          <w:ilvl w:val="0"/>
          <w:numId w:val="181"/>
        </w:numPr>
        <w:rPr>
          <w:rFonts w:ascii="Arial" w:cs="Arial" w:eastAsia="Arial" w:hAnsi="Arial"/>
          <w:sz w:val="13"/>
          <w:szCs w:val="13"/>
          <w:color w:val="auto"/>
        </w:rPr>
      </w:pPr>
      <w:r>
        <w:rPr>
          <w:rFonts w:ascii="Arial" w:cs="Arial" w:eastAsia="Arial" w:hAnsi="Arial"/>
          <w:sz w:val="13"/>
          <w:szCs w:val="13"/>
          <w:color w:val="auto"/>
        </w:rPr>
        <w:t>Each Party may only disclose Confidential Information to Persons with a “need to know” who shall be made aware of and be required to observe and comply with the covenants and obligations contained herein, and the Confidential Information shall only be used to carry on or facilitate the business of EMPIRICA as contemplated under this Agreement.</w:t>
      </w:r>
    </w:p>
    <w:p>
      <w:pPr>
        <w:spacing w:after="0" w:line="108" w:lineRule="exact"/>
        <w:rPr>
          <w:rFonts w:ascii="Arial" w:cs="Arial" w:eastAsia="Arial" w:hAnsi="Arial"/>
          <w:sz w:val="13"/>
          <w:szCs w:val="13"/>
          <w:color w:val="auto"/>
        </w:rPr>
      </w:pPr>
    </w:p>
    <w:p>
      <w:pPr>
        <w:ind w:left="1040" w:hanging="516"/>
        <w:spacing w:after="0" w:line="288" w:lineRule="auto"/>
        <w:tabs>
          <w:tab w:leader="none" w:pos="104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A Party may disclose Confidential Information pursuant to the requirements of a government agency or pursuant to a court order, provided, that the Party shall take all reasonable steps, including, but not limited to seeking of an appropriate protective order to preserve the confidentiality of the Confidential Information provided.</w:t>
      </w:r>
    </w:p>
    <w:p>
      <w:pPr>
        <w:spacing w:after="0" w:line="131"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If this Agreement is terminated for any reason, any Party in receipt of Confidential Information shall, at the request of the party that furnished the Confidential Information, promptly deliver or destroy all Confidential Information of the disclosing Party without retaining copies thereof, except that the receiving Party may retain one (1) archival copy of written Confidential Information for the purpose of the receiving Party’s monitoring its obligations under this Agreement.</w:t>
      </w:r>
    </w:p>
    <w:p>
      <w:pPr>
        <w:spacing w:after="0" w:line="141"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In the event that a Party becomes aware of, or perceives any threat that, any Confidential Information may be disclosed contrary to the provisions of this Section 4.6, or in the circumstances referred to in Subsection 4.6(d), such Party shall immediately provide written notice thereof to the other Party.</w:t>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18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11" w:name="page312"/>
    <w:bookmarkEnd w:id="311"/>
    <w:p>
      <w:pPr>
        <w:jc w:val="center"/>
        <w:spacing w:after="0"/>
        <w:rPr>
          <w:sz w:val="20"/>
          <w:szCs w:val="20"/>
          <w:color w:val="auto"/>
        </w:rPr>
      </w:pPr>
      <w:r>
        <w:rPr>
          <w:rFonts w:ascii="Arial" w:cs="Arial" w:eastAsia="Arial" w:hAnsi="Arial"/>
          <w:sz w:val="14"/>
          <w:szCs w:val="14"/>
          <w:b w:val="1"/>
          <w:bCs w:val="1"/>
          <w:color w:val="auto"/>
        </w:rPr>
        <w:t>ARTICLE 5</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REPRESENTATIONS, WARRANTIES AND INDEMNITY</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5.1</w:t>
      </w:r>
      <w:r>
        <w:rPr>
          <w:sz w:val="20"/>
          <w:szCs w:val="20"/>
          <w:color w:val="auto"/>
        </w:rPr>
        <w:tab/>
      </w:r>
      <w:r>
        <w:rPr>
          <w:rFonts w:ascii="Arial" w:cs="Arial" w:eastAsia="Arial" w:hAnsi="Arial"/>
          <w:sz w:val="12"/>
          <w:szCs w:val="12"/>
          <w:b w:val="1"/>
          <w:bCs w:val="1"/>
          <w:color w:val="auto"/>
        </w:rPr>
        <w:t>Representations and Warranties of Parties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The representations of EMPIRICA and the INSTITUTIONS to each other are as follows:</w:t>
      </w:r>
    </w:p>
    <w:p>
      <w:pPr>
        <w:spacing w:after="0" w:line="184" w:lineRule="exact"/>
        <w:rPr>
          <w:sz w:val="20"/>
          <w:szCs w:val="20"/>
          <w:color w:val="auto"/>
        </w:rPr>
      </w:pPr>
    </w:p>
    <w:p>
      <w:pPr>
        <w:ind w:left="1040" w:hanging="516"/>
        <w:spacing w:after="0" w:line="288" w:lineRule="auto"/>
        <w:tabs>
          <w:tab w:leader="none" w:pos="104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EMPIRICA is a corporation duly organized, validly existing and in good standing, and it has the right and authority to enter this Agreement, and do all acts and things as required or contemplated to be done, observed and performed by it hereunder.</w:t>
      </w:r>
    </w:p>
    <w:p>
      <w:pPr>
        <w:spacing w:after="0" w:line="131"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UT and MAC are corporations duly organized, validly existing and in good standing, and they have the right and authority to enter this Agreement and the right to grant the license as provided herein and that such grant is not in conflict with any other agreement to which it is a party.</w:t>
      </w:r>
    </w:p>
    <w:p>
      <w:pPr>
        <w:spacing w:after="0" w:line="131"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182"/>
        </w:numPr>
        <w:rPr>
          <w:rFonts w:ascii="Arial" w:cs="Arial" w:eastAsia="Arial" w:hAnsi="Arial"/>
          <w:sz w:val="14"/>
          <w:szCs w:val="14"/>
          <w:color w:val="auto"/>
        </w:rPr>
      </w:pPr>
      <w:r>
        <w:rPr>
          <w:rFonts w:ascii="Arial" w:cs="Arial" w:eastAsia="Arial" w:hAnsi="Arial"/>
          <w:sz w:val="14"/>
          <w:szCs w:val="14"/>
          <w:color w:val="auto"/>
        </w:rPr>
        <w:t>The execution, delivery and performance of this Agreement does not contravene any law, rule or regulation of any Party or of the jurisdiction in which that Party is incorporated or organized.</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5.2</w:t>
      </w:r>
      <w:r>
        <w:rPr>
          <w:sz w:val="20"/>
          <w:szCs w:val="20"/>
          <w:color w:val="auto"/>
        </w:rPr>
        <w:tab/>
      </w:r>
      <w:r>
        <w:rPr>
          <w:rFonts w:ascii="Arial" w:cs="Arial" w:eastAsia="Arial" w:hAnsi="Arial"/>
          <w:sz w:val="12"/>
          <w:szCs w:val="12"/>
          <w:b w:val="1"/>
          <w:bCs w:val="1"/>
          <w:color w:val="auto"/>
        </w:rPr>
        <w:t>Disclaimers</w:t>
      </w:r>
    </w:p>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EXCEPT FOR THE FOREGOING REPRESENTATIONS AND WARRANTIES PROVIDED IN SECTION 5.1, THE TECHNOLOGY AND ALL OTHER INTELLECTUAL PROPERTY RIGHTS GRANTED UNDER THIS AGREEMENT ARE SUPPLIED AND LICENSED TO EMPIRICA BY THE INSTITUTIONS ON AN “AS IS” BASIS, AND THE INSTITUTIONS, INVENTORS, AND BENEFICIARIES DISCLAIM ALL REPRESENTATIONS, WARRANTIES AND CONDITIONS OF ANY KIND, WHETHER EXPRESS OR IMPLIED, STATUTORY OR OTHERWISE, CONCERNING THE TECHNOLOGY AND ALL OTHER INTELLECTUAL PROPERTY RIGHTS GRANTED UNDER THIS AGREEMENT INCLUDING WITHOUT LIMITATION:</w:t>
      </w:r>
    </w:p>
    <w:p>
      <w:pPr>
        <w:spacing w:after="0" w:line="147" w:lineRule="exact"/>
        <w:rPr>
          <w:sz w:val="20"/>
          <w:szCs w:val="20"/>
          <w:color w:val="auto"/>
        </w:rPr>
      </w:pPr>
    </w:p>
    <w:p>
      <w:pPr>
        <w:jc w:val="both"/>
        <w:ind w:left="1040" w:hanging="516"/>
        <w:spacing w:after="0" w:line="273" w:lineRule="auto"/>
        <w:tabs>
          <w:tab w:leader="none" w:pos="104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ALL REPRESENTATIONS, WARRANTIES AND CONDITIONS AS TO THE PATENTABILITY, VALIDITY, SCOPE OR ENFORCEABILITY OF ANY OF THE PATENT CLAIMS OF THE LICENSED INVENTIONS, WHETHER ISSUED OR PENDING AND THE ABSENCE OF LATENT OR OTHER DEFECTS, WHETHER OR NOT DISCOVERABLE;</w:t>
      </w:r>
    </w:p>
    <w:p>
      <w:pPr>
        <w:spacing w:after="0" w:line="141"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ALL REPRESENTATIONS, WARRANTIES AND CONDITIONS THAT ANY USE OR EXPLOITATION OF THE INTELLECTUAL PROPERTY RIGHTS IN THE LICENSED INVENTIONS OR ANY LICENSED PRODUCTS OR THERAPEUTIC PRODUCTS WILL NOT INFRINGE ANY PATENTS OR OTHER INTELLECTUAL PROPERTY RIGHTS OF ANY THIRD PARTY; AND</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19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312" w:name="page313"/>
    <w:bookmarkEnd w:id="312"/>
    <w:p>
      <w:pPr>
        <w:ind w:left="1040" w:hanging="516"/>
        <w:spacing w:after="0" w:line="288" w:lineRule="auto"/>
        <w:tabs>
          <w:tab w:leader="none" w:pos="104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ALL REPRESENTATIONS, WARRANTIES AND CONDITIONS AS TO QUALITY, MERCHANTABILITY, OR FITNESS OF THE LICENSED INVENTIONS FOR ANY PARTICULAR PURPOSE.</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5.3</w:t>
      </w:r>
      <w:r>
        <w:rPr>
          <w:sz w:val="20"/>
          <w:szCs w:val="20"/>
          <w:color w:val="auto"/>
        </w:rPr>
        <w:tab/>
      </w:r>
      <w:r>
        <w:rPr>
          <w:rFonts w:ascii="Arial" w:cs="Arial" w:eastAsia="Arial" w:hAnsi="Arial"/>
          <w:sz w:val="13"/>
          <w:szCs w:val="13"/>
          <w:b w:val="1"/>
          <w:bCs w:val="1"/>
          <w:color w:val="auto"/>
        </w:rPr>
        <w:t>Indemnity</w:t>
      </w:r>
    </w:p>
    <w:p>
      <w:pPr>
        <w:spacing w:after="0" w:line="188" w:lineRule="exact"/>
        <w:rPr>
          <w:sz w:val="20"/>
          <w:szCs w:val="20"/>
          <w:color w:val="auto"/>
        </w:rPr>
      </w:pPr>
    </w:p>
    <w:p>
      <w:pPr>
        <w:jc w:val="both"/>
        <w:ind w:left="1040" w:hanging="516"/>
        <w:spacing w:after="0" w:line="267" w:lineRule="auto"/>
        <w:tabs>
          <w:tab w:leader="none" w:pos="1040" w:val="left"/>
        </w:tabs>
        <w:numPr>
          <w:ilvl w:val="0"/>
          <w:numId w:val="185"/>
        </w:numPr>
        <w:rPr>
          <w:rFonts w:ascii="Arial" w:cs="Arial" w:eastAsia="Arial" w:hAnsi="Arial"/>
          <w:sz w:val="14"/>
          <w:szCs w:val="14"/>
          <w:color w:val="auto"/>
        </w:rPr>
      </w:pPr>
      <w:r>
        <w:rPr>
          <w:rFonts w:ascii="Arial" w:cs="Arial" w:eastAsia="Arial" w:hAnsi="Arial"/>
          <w:sz w:val="14"/>
          <w:szCs w:val="14"/>
          <w:color w:val="auto"/>
        </w:rPr>
        <w:t>EMPIRICA shall defend and hold harmless and indemnify the INSTITUTIONS and all Beneficiaries, from and against all claims, threats, loss, liabilities, damages, fees or expenses, including reasonable attorney’s fees, (individually a “</w:t>
      </w:r>
      <w:r>
        <w:rPr>
          <w:rFonts w:ascii="Arial" w:cs="Arial" w:eastAsia="Arial" w:hAnsi="Arial"/>
          <w:sz w:val="14"/>
          <w:szCs w:val="14"/>
          <w:b w:val="1"/>
          <w:bCs w:val="1"/>
          <w:color w:val="auto"/>
        </w:rPr>
        <w:t>Claim</w:t>
      </w:r>
      <w:r>
        <w:rPr>
          <w:rFonts w:ascii="Arial" w:cs="Arial" w:eastAsia="Arial" w:hAnsi="Arial"/>
          <w:sz w:val="14"/>
          <w:szCs w:val="14"/>
          <w:color w:val="auto"/>
        </w:rPr>
        <w:t>” and collectively the “</w:t>
      </w:r>
      <w:r>
        <w:rPr>
          <w:rFonts w:ascii="Arial" w:cs="Arial" w:eastAsia="Arial" w:hAnsi="Arial"/>
          <w:sz w:val="14"/>
          <w:szCs w:val="14"/>
          <w:b w:val="1"/>
          <w:bCs w:val="1"/>
          <w:color w:val="auto"/>
        </w:rPr>
        <w:t>Claims</w:t>
      </w:r>
      <w:r>
        <w:rPr>
          <w:rFonts w:ascii="Arial" w:cs="Arial" w:eastAsia="Arial" w:hAnsi="Arial"/>
          <w:sz w:val="14"/>
          <w:szCs w:val="14"/>
          <w:color w:val="auto"/>
        </w:rPr>
        <w:t>”) by reason or arising out of any acts or failure to act by or out of any use of the Licensed Inventions or a Licensed Products or a Therapeutic Products by EMPIRICA, its Affiliates, or any Sub-Licensee(s) or their respective servants, agents, Affiliates, officers, directors, stock-holders, employees or customers.</w:t>
      </w:r>
    </w:p>
    <w:p>
      <w:pPr>
        <w:spacing w:after="0" w:line="146" w:lineRule="exact"/>
        <w:rPr>
          <w:rFonts w:ascii="Arial" w:cs="Arial" w:eastAsia="Arial" w:hAnsi="Arial"/>
          <w:sz w:val="14"/>
          <w:szCs w:val="14"/>
          <w:color w:val="auto"/>
        </w:rPr>
      </w:pPr>
    </w:p>
    <w:p>
      <w:pPr>
        <w:jc w:val="both"/>
        <w:ind w:left="1040" w:hanging="516"/>
        <w:spacing w:after="0" w:line="290" w:lineRule="auto"/>
        <w:tabs>
          <w:tab w:leader="none" w:pos="1040" w:val="left"/>
        </w:tabs>
        <w:numPr>
          <w:ilvl w:val="0"/>
          <w:numId w:val="185"/>
        </w:numPr>
        <w:rPr>
          <w:rFonts w:ascii="Arial" w:cs="Arial" w:eastAsia="Arial" w:hAnsi="Arial"/>
          <w:sz w:val="13"/>
          <w:szCs w:val="13"/>
          <w:color w:val="auto"/>
        </w:rPr>
      </w:pPr>
      <w:r>
        <w:rPr>
          <w:rFonts w:ascii="Arial" w:cs="Arial" w:eastAsia="Arial" w:hAnsi="Arial"/>
          <w:sz w:val="13"/>
          <w:szCs w:val="13"/>
          <w:color w:val="auto"/>
        </w:rPr>
        <w:t>Notwithstanding anything contained in this Subsection 5.3: (i) EMPIRICA shall not be entitled to settle any Claim against any one or more Beneficiaries in respect of which such Claim has been made without the prior written approval of the Representatives of the INSTITUTIONS, which approval shall not be unreasonably withheld; (ii) EMPIRICA shall consult with the Representatives of the INSTITUTIONS and shall keep the INSTITUTIONS reasonably informed with respect to all Claims in respect of which indemnification may be sought hereunder; and (iii) EMPIRICA shall not be required to indemnify the INSTITUTIONS, to the extent allowed by law where such Claim is caused by the gross negligence or willful misconduct of the INSTITUTIONS, or to the extent that contributory negligence on the part of the INSTITUTIONS is found to have occurred.</w:t>
      </w:r>
    </w:p>
    <w:p>
      <w:pPr>
        <w:spacing w:after="0" w:line="132" w:lineRule="exact"/>
        <w:rPr>
          <w:rFonts w:ascii="Arial" w:cs="Arial" w:eastAsia="Arial" w:hAnsi="Arial"/>
          <w:sz w:val="13"/>
          <w:szCs w:val="13"/>
          <w:color w:val="auto"/>
        </w:rPr>
      </w:pPr>
    </w:p>
    <w:p>
      <w:pPr>
        <w:jc w:val="both"/>
        <w:ind w:left="1040" w:hanging="516"/>
        <w:spacing w:after="0" w:line="273" w:lineRule="auto"/>
        <w:tabs>
          <w:tab w:leader="none" w:pos="1040" w:val="left"/>
        </w:tabs>
        <w:numPr>
          <w:ilvl w:val="0"/>
          <w:numId w:val="185"/>
        </w:numPr>
        <w:rPr>
          <w:rFonts w:ascii="Arial" w:cs="Arial" w:eastAsia="Arial" w:hAnsi="Arial"/>
          <w:sz w:val="14"/>
          <w:szCs w:val="14"/>
          <w:color w:val="auto"/>
        </w:rPr>
      </w:pPr>
      <w:r>
        <w:rPr>
          <w:rFonts w:ascii="Arial" w:cs="Arial" w:eastAsia="Arial" w:hAnsi="Arial"/>
          <w:sz w:val="14"/>
          <w:szCs w:val="14"/>
          <w:color w:val="auto"/>
        </w:rPr>
        <w:t xml:space="preserve">The indemnity provided herein shall survive any termination or assignment of this Agreement subject to any prescription rights available to the EMPIRICA under the </w:t>
      </w:r>
      <w:r>
        <w:rPr>
          <w:rFonts w:ascii="Arial" w:cs="Arial" w:eastAsia="Arial" w:hAnsi="Arial"/>
          <w:sz w:val="14"/>
          <w:szCs w:val="14"/>
          <w:i w:val="1"/>
          <w:iCs w:val="1"/>
          <w:color w:val="auto"/>
        </w:rPr>
        <w:t>Limitations</w:t>
      </w:r>
      <w:r>
        <w:rPr>
          <w:rFonts w:ascii="Arial" w:cs="Arial" w:eastAsia="Arial" w:hAnsi="Arial"/>
          <w:sz w:val="14"/>
          <w:szCs w:val="14"/>
          <w:color w:val="auto"/>
        </w:rPr>
        <w:t xml:space="preserve"> </w:t>
      </w:r>
      <w:r>
        <w:rPr>
          <w:rFonts w:ascii="Arial" w:cs="Arial" w:eastAsia="Arial" w:hAnsi="Arial"/>
          <w:sz w:val="14"/>
          <w:szCs w:val="14"/>
          <w:i w:val="1"/>
          <w:iCs w:val="1"/>
          <w:color w:val="auto"/>
        </w:rPr>
        <w:t>Act, 2002</w:t>
      </w:r>
      <w:r>
        <w:rPr>
          <w:rFonts w:ascii="Arial" w:cs="Arial" w:eastAsia="Arial" w:hAnsi="Arial"/>
          <w:sz w:val="14"/>
          <w:szCs w:val="14"/>
          <w:color w:val="auto"/>
        </w:rPr>
        <w:t>. EMPIRICA acknowledges that the INSTITUTIONS are entering this Agreement and obtaining the foregoing indemnification on their own behalf and also on behalf</w:t>
      </w:r>
      <w:r>
        <w:rPr>
          <w:rFonts w:ascii="Arial" w:cs="Arial" w:eastAsia="Arial" w:hAnsi="Arial"/>
          <w:sz w:val="14"/>
          <w:szCs w:val="14"/>
          <w:i w:val="1"/>
          <w:iCs w:val="1"/>
          <w:color w:val="auto"/>
        </w:rPr>
        <w:t xml:space="preserve"> </w:t>
      </w:r>
      <w:r>
        <w:rPr>
          <w:rFonts w:ascii="Arial" w:cs="Arial" w:eastAsia="Arial" w:hAnsi="Arial"/>
          <w:sz w:val="14"/>
          <w:szCs w:val="14"/>
          <w:color w:val="auto"/>
        </w:rPr>
        <w:t>of the other Beneficiaries and are holding the rights contained in this Subsection 5.1 in trust for the other Beneficiaries.</w:t>
      </w:r>
    </w:p>
    <w:p>
      <w:pPr>
        <w:spacing w:after="0" w:line="13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5.4</w:t>
      </w:r>
      <w:r>
        <w:rPr>
          <w:sz w:val="20"/>
          <w:szCs w:val="20"/>
          <w:color w:val="auto"/>
        </w:rPr>
        <w:tab/>
      </w:r>
      <w:r>
        <w:rPr>
          <w:rFonts w:ascii="Arial" w:cs="Arial" w:eastAsia="Arial" w:hAnsi="Arial"/>
          <w:sz w:val="13"/>
          <w:szCs w:val="13"/>
          <w:b w:val="1"/>
          <w:bCs w:val="1"/>
          <w:color w:val="auto"/>
        </w:rPr>
        <w:t>Insurance</w:t>
      </w:r>
    </w:p>
    <w:p>
      <w:pPr>
        <w:spacing w:after="0" w:line="188" w:lineRule="exact"/>
        <w:rPr>
          <w:sz w:val="20"/>
          <w:szCs w:val="20"/>
          <w:color w:val="auto"/>
        </w:rPr>
      </w:pPr>
    </w:p>
    <w:p>
      <w:pPr>
        <w:jc w:val="both"/>
        <w:ind w:left="1040" w:hanging="516"/>
        <w:spacing w:after="0" w:line="273" w:lineRule="auto"/>
        <w:tabs>
          <w:tab w:leader="none" w:pos="1040" w:val="left"/>
        </w:tabs>
        <w:numPr>
          <w:ilvl w:val="0"/>
          <w:numId w:val="186"/>
        </w:numPr>
        <w:rPr>
          <w:rFonts w:ascii="Arial" w:cs="Arial" w:eastAsia="Arial" w:hAnsi="Arial"/>
          <w:sz w:val="14"/>
          <w:szCs w:val="14"/>
          <w:color w:val="auto"/>
        </w:rPr>
      </w:pPr>
      <w:r>
        <w:rPr>
          <w:rFonts w:ascii="Arial" w:cs="Arial" w:eastAsia="Arial" w:hAnsi="Arial"/>
          <w:sz w:val="14"/>
          <w:szCs w:val="14"/>
          <w:color w:val="auto"/>
        </w:rPr>
        <w:t>EMPIRICA, at its own expense and at all times during the term of this Agreement, and for the duration of its indemnity obligations which survive the expiration or premature termination of this Agreement pursuant to Section 6.2 hereof, shall carry and maintain in full force and effect comprehensive general liability insurance, in an amount that is commercially reasonable and customary for a party engaged in the business activities in which EMPIRICA is engaged, that covers the</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20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13" w:name="page314"/>
    <w:bookmarkEnd w:id="313"/>
    <w:p>
      <w:pPr>
        <w:jc w:val="both"/>
        <w:ind w:left="1040"/>
        <w:spacing w:after="0" w:line="273" w:lineRule="auto"/>
        <w:rPr>
          <w:sz w:val="20"/>
          <w:szCs w:val="20"/>
          <w:color w:val="auto"/>
        </w:rPr>
      </w:pPr>
      <w:r>
        <w:rPr>
          <w:rFonts w:ascii="Arial" w:cs="Arial" w:eastAsia="Arial" w:hAnsi="Arial"/>
          <w:sz w:val="14"/>
          <w:szCs w:val="14"/>
          <w:color w:val="auto"/>
        </w:rPr>
        <w:t>INSTITUTIONS in any and all Claims brought in a form and with a carrier satisfactory to the INSTITUTIONS. Prior to execution of the Agreement, EMPIRICA shall provide an insurance certificate to the INSTITUTIONS for review, and the INSTITUTIONS shall provide a written notice that EMPIRICA has satisfied the general liability insurance requirement.</w:t>
      </w:r>
    </w:p>
    <w:p>
      <w:pPr>
        <w:spacing w:after="0" w:line="314" w:lineRule="exact"/>
        <w:rPr>
          <w:sz w:val="20"/>
          <w:szCs w:val="20"/>
          <w:color w:val="auto"/>
        </w:rPr>
      </w:pPr>
    </w:p>
    <w:p>
      <w:pPr>
        <w:jc w:val="both"/>
        <w:ind w:left="1040" w:hanging="516"/>
        <w:spacing w:after="0" w:line="273" w:lineRule="auto"/>
        <w:tabs>
          <w:tab w:leader="none" w:pos="104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Prior to initiation of clinical trials and/or with the achievement of the First Commercial Sale or a sub-license agreement with a Third Party, EMPIRICA shall agree to amend such general liability insurance to include product liability provisions, in a form and with a carrier satisfactory to the INSTITUTIONS. The lower limit of such policy shall be [***] per incident and [***] annual aggregate unless the INSTITUTIONS specifically agrees in writing to such lesser amount.</w:t>
      </w:r>
    </w:p>
    <w:p>
      <w:pPr>
        <w:spacing w:after="0" w:line="141" w:lineRule="exact"/>
        <w:rPr>
          <w:rFonts w:ascii="Arial" w:cs="Arial" w:eastAsia="Arial" w:hAnsi="Arial"/>
          <w:sz w:val="14"/>
          <w:szCs w:val="14"/>
          <w:color w:val="auto"/>
        </w:rPr>
      </w:pPr>
    </w:p>
    <w:p>
      <w:pPr>
        <w:jc w:val="both"/>
        <w:ind w:left="1040" w:hanging="516"/>
        <w:spacing w:after="0" w:line="267" w:lineRule="auto"/>
        <w:tabs>
          <w:tab w:leader="none" w:pos="1040" w:val="left"/>
        </w:tabs>
        <w:numPr>
          <w:ilvl w:val="0"/>
          <w:numId w:val="187"/>
        </w:numPr>
        <w:rPr>
          <w:rFonts w:ascii="Arial" w:cs="Arial" w:eastAsia="Arial" w:hAnsi="Arial"/>
          <w:sz w:val="14"/>
          <w:szCs w:val="14"/>
          <w:color w:val="auto"/>
        </w:rPr>
      </w:pPr>
      <w:r>
        <w:rPr>
          <w:rFonts w:ascii="Arial" w:cs="Arial" w:eastAsia="Arial" w:hAnsi="Arial"/>
          <w:sz w:val="14"/>
          <w:szCs w:val="14"/>
          <w:color w:val="auto"/>
        </w:rPr>
        <w:t>The coming into force of this Agreement is conditional upon the INSTITUTIONS having reviewed a certificate of insurance from the relevant insurance company, in a form acceptable to the INSTITUTIONS, acting reasonably, evidencing EMPIRICA’s compliance with the provisions of this Section 5.4. Such policy shall contain an endorsement by the insurer providing that it shall not be cancelled or amended without thirty (30) days prior notice to the INSTITUTIONS. EMPIRICA shall provide a certificate of such insurance to the INSTITUTIONS annually hereafter on the anniversary of the Effective Date.</w:t>
      </w:r>
    </w:p>
    <w:p>
      <w:pPr>
        <w:spacing w:after="0" w:line="143"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5.5</w:t>
      </w:r>
      <w:r>
        <w:rPr>
          <w:sz w:val="20"/>
          <w:szCs w:val="20"/>
          <w:color w:val="auto"/>
        </w:rPr>
        <w:tab/>
      </w:r>
      <w:r>
        <w:rPr>
          <w:rFonts w:ascii="Arial" w:cs="Arial" w:eastAsia="Arial" w:hAnsi="Arial"/>
          <w:sz w:val="13"/>
          <w:szCs w:val="13"/>
          <w:b w:val="1"/>
          <w:bCs w:val="1"/>
          <w:color w:val="auto"/>
        </w:rPr>
        <w:t>Limitation of Liability</w:t>
      </w:r>
    </w:p>
    <w:p>
      <w:pPr>
        <w:spacing w:after="0" w:line="188" w:lineRule="exact"/>
        <w:rPr>
          <w:sz w:val="20"/>
          <w:szCs w:val="20"/>
          <w:color w:val="auto"/>
        </w:rPr>
      </w:pPr>
    </w:p>
    <w:p>
      <w:pPr>
        <w:jc w:val="both"/>
        <w:ind w:left="1040" w:hanging="516"/>
        <w:spacing w:after="0" w:line="261" w:lineRule="auto"/>
        <w:tabs>
          <w:tab w:leader="none" w:pos="104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IN NO EVENT SHALL THE INSTITUTIONS NOR ANY OF THEIR DIRECTORS, OFFICERS, CONTRACTORS, EMPLOYEES OR AGENTS BE LIABLE TO EMPIRICA, ITS AFFILATES, ANY SUBLICENSEES AND THEIR RESPECTIVE REPRESENTATIVES FOR ANY INDIRECT, SPECIAL, INCIDENTAL, CONSEQUENTIAL, PUNITIVE OR EXEMPLARY DAMAGES OR EXPENSES OF ANY TYPE HOWEVER CAUSED AND ON ANY THEORY OF LIABILITY (INCLUDING BUT NOT LIMITED TO ANY DAMAGES FOR LOST PROFITS, LOSS OF USE, BUSINESS INTERRUPTION, LOSS OF DATA, LOST BUSINESS, LOST SAVINGS, OR INJURY TO PROPERTY) ARISING IN ANY WAY OUT OF THIS AGREEMENT OR THE USE OF THE TECHNOLOGY BY EMPIRICA, ITS AFFILIATES OR SUB-LICENSEES, WHETHER SUCH DAMAGES OR EXPENSES ARISE OUT OF BREACH OF CONTRACT (INCLUDING FUNDAMENTAL BREACH), OR TORT OR ON ANY OTHER STATUTORY OR COMMON LAW BASIS, EVEN IF THE INSTITUTIONS OR ANY OF ITS REPRESENTATIVES HAVE BEEN ADVISED OF THE POSSIBILITY OF SUCH DAMAGES.</w:t>
      </w: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21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14" w:name="page315"/>
    <w:bookmarkEnd w:id="314"/>
    <w:p>
      <w:pPr>
        <w:jc w:val="both"/>
        <w:ind w:left="1040" w:hanging="516"/>
        <w:spacing w:after="0" w:line="273" w:lineRule="auto"/>
        <w:tabs>
          <w:tab w:leader="none" w:pos="104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IN NO EVENT SHALL INSTITUTION’S TOTAL LIABILITY FOR ALL DAMAGES OF ANY KIND ARISING OUT OF OR RELATING TO THIS AGREEMENT OR ITS SUBJECT-MATTER EXCEED THE TOTAL AMOUNT ACTUALLY PAID TO THE INSTITUTIONS BY EMPIRICA UNDER THIS AGREEMENT UP TO THE DATE OF SUCH LIABILITY BEING ESTABLISHED BY A FINAL DECISION OF A COURT OF COMPETENT JURISDICTION.</w:t>
      </w:r>
    </w:p>
    <w:p>
      <w:pPr>
        <w:spacing w:after="0" w:line="141"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The Parties acknowledge and agree that the exclusions of liability contained herein reflect the allocations of risk between the Parties and the price of the Licensed Inventions, and accordingly are reasonable and appropriate in the circumstances and were a material factor in determining the Fees payable hereunder.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6</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TERM AND TERMINATION</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6.1</w:t>
      </w:r>
      <w:r>
        <w:rPr>
          <w:sz w:val="20"/>
          <w:szCs w:val="20"/>
          <w:color w:val="auto"/>
        </w:rPr>
        <w:tab/>
      </w:r>
      <w:r>
        <w:rPr>
          <w:rFonts w:ascii="Arial" w:cs="Arial" w:eastAsia="Arial" w:hAnsi="Arial"/>
          <w:sz w:val="13"/>
          <w:szCs w:val="13"/>
          <w:b w:val="1"/>
          <w:bCs w:val="1"/>
          <w:color w:val="auto"/>
        </w:rPr>
        <w:t>Term</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This Agreement shall come into effect upon the Effective Date, and unless earlier terminated in accordance with Subsection 6.2, shall terminate on the last to expire Valid Claim within the Licensed Inventions covering such Licensed Products or Therapeutic Products in such country.</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6.2</w:t>
      </w:r>
      <w:r>
        <w:rPr>
          <w:sz w:val="20"/>
          <w:szCs w:val="20"/>
          <w:color w:val="auto"/>
        </w:rPr>
        <w:tab/>
      </w:r>
      <w:r>
        <w:rPr>
          <w:rFonts w:ascii="Arial" w:cs="Arial" w:eastAsia="Arial" w:hAnsi="Arial"/>
          <w:sz w:val="13"/>
          <w:szCs w:val="13"/>
          <w:b w:val="1"/>
          <w:bCs w:val="1"/>
          <w:color w:val="auto"/>
        </w:rPr>
        <w:t>Termination</w:t>
      </w:r>
    </w:p>
    <w:p>
      <w:pPr>
        <w:spacing w:after="0" w:line="188" w:lineRule="exact"/>
        <w:rPr>
          <w:sz w:val="20"/>
          <w:szCs w:val="20"/>
          <w:color w:val="auto"/>
        </w:rPr>
      </w:pPr>
    </w:p>
    <w:p>
      <w:pPr>
        <w:ind w:left="1040" w:hanging="516"/>
        <w:spacing w:after="0"/>
        <w:tabs>
          <w:tab w:leader="none" w:pos="104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EMPIRICA retains the right to terminate this Agreement at any time by providing the Representatives of the INSTITUTIONS with thirty (30) days’ prior written notice.</w:t>
      </w:r>
    </w:p>
    <w:p>
      <w:pPr>
        <w:spacing w:after="0" w:line="184" w:lineRule="exact"/>
        <w:rPr>
          <w:rFonts w:ascii="Arial" w:cs="Arial" w:eastAsia="Arial" w:hAnsi="Arial"/>
          <w:sz w:val="14"/>
          <w:szCs w:val="14"/>
          <w:color w:val="auto"/>
        </w:rPr>
      </w:pPr>
    </w:p>
    <w:p>
      <w:pPr>
        <w:ind w:left="1040" w:hanging="516"/>
        <w:spacing w:after="0" w:line="288" w:lineRule="auto"/>
        <w:tabs>
          <w:tab w:leader="none" w:pos="104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The occurrence of any one or more of the following events shall constitute an event that allows for the termination of this Agreement by the INSTITUTIONS and shall, in addition to any other right or remedy the INSTITUTIONS may have, permit the INSTITUTIONS to immediately terminate this Agreement if</w:t>
      </w:r>
    </w:p>
    <w:p>
      <w:pPr>
        <w:spacing w:after="0" w:line="131" w:lineRule="exact"/>
        <w:rPr>
          <w:rFonts w:ascii="Arial" w:cs="Arial" w:eastAsia="Arial" w:hAnsi="Arial"/>
          <w:sz w:val="14"/>
          <w:szCs w:val="14"/>
          <w:color w:val="auto"/>
        </w:rPr>
      </w:pPr>
    </w:p>
    <w:p>
      <w:pPr>
        <w:jc w:val="both"/>
        <w:ind w:left="1560" w:hanging="518"/>
        <w:spacing w:after="0" w:line="294" w:lineRule="auto"/>
        <w:tabs>
          <w:tab w:leader="none" w:pos="1560" w:val="left"/>
        </w:tabs>
        <w:numPr>
          <w:ilvl w:val="1"/>
          <w:numId w:val="190"/>
        </w:numPr>
        <w:rPr>
          <w:rFonts w:ascii="Arial" w:cs="Arial" w:eastAsia="Arial" w:hAnsi="Arial"/>
          <w:sz w:val="13"/>
          <w:szCs w:val="13"/>
          <w:color w:val="auto"/>
        </w:rPr>
      </w:pPr>
      <w:r>
        <w:rPr>
          <w:rFonts w:ascii="Arial" w:cs="Arial" w:eastAsia="Arial" w:hAnsi="Arial"/>
          <w:sz w:val="13"/>
          <w:szCs w:val="13"/>
          <w:color w:val="auto"/>
        </w:rPr>
        <w:t>any order is made or a resolution passed for the winding-up of the Empirica or if a petition (voluntary or involuntary) is filed under the Bankruptcy and Insolvency Act (Canada) against Empirica or an authorized assignment for the benefit of creditors is made by Empirica or if a receiver or agent is appointed by or on behalf of a secured creditor of the Licensee or pursuant to a court order or an application is made under the Companies’ Creditors Arrangement Act (Canada) or notice of intention to make a proposal is filed or a proposal is made by Empirica to its creditors under the Bankruptcy and Insolvency Act (Canada);</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22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15" w:name="page316"/>
    <w:bookmarkEnd w:id="315"/>
    <w:p>
      <w:pPr>
        <w:jc w:val="both"/>
        <w:ind w:left="1560" w:hanging="518"/>
        <w:spacing w:after="0" w:line="273" w:lineRule="auto"/>
        <w:tabs>
          <w:tab w:leader="none" w:pos="1560" w:val="left"/>
        </w:tabs>
        <w:numPr>
          <w:ilvl w:val="1"/>
          <w:numId w:val="191"/>
        </w:numPr>
        <w:rPr>
          <w:rFonts w:ascii="Arial" w:cs="Arial" w:eastAsia="Arial" w:hAnsi="Arial"/>
          <w:sz w:val="14"/>
          <w:szCs w:val="14"/>
          <w:color w:val="auto"/>
        </w:rPr>
      </w:pPr>
      <w:r>
        <w:rPr>
          <w:rFonts w:ascii="Arial" w:cs="Arial" w:eastAsia="Arial" w:hAnsi="Arial"/>
          <w:sz w:val="14"/>
          <w:szCs w:val="14"/>
          <w:color w:val="auto"/>
        </w:rPr>
        <w:t>an encumbrancer, whether permitted or otherwise, takes possession of any substantial part of the assets of EMPIRICA, or any process of a court, execution, distress, or analogous process becomes enforceable or is enforced against any substantial part of the assets of EMPIRICA and EMPIRICA is not instituting proceedings to vacate or lift such execution, distress or analogous process;</w:t>
      </w:r>
    </w:p>
    <w:p>
      <w:pPr>
        <w:spacing w:after="0" w:line="141" w:lineRule="exact"/>
        <w:rPr>
          <w:rFonts w:ascii="Arial" w:cs="Arial" w:eastAsia="Arial" w:hAnsi="Arial"/>
          <w:sz w:val="14"/>
          <w:szCs w:val="14"/>
          <w:color w:val="auto"/>
        </w:rPr>
      </w:pPr>
    </w:p>
    <w:p>
      <w:pPr>
        <w:ind w:left="1560" w:hanging="518"/>
        <w:spacing w:after="0" w:line="288" w:lineRule="auto"/>
        <w:tabs>
          <w:tab w:leader="none" w:pos="1560" w:val="left"/>
        </w:tabs>
        <w:numPr>
          <w:ilvl w:val="1"/>
          <w:numId w:val="191"/>
        </w:numPr>
        <w:rPr>
          <w:rFonts w:ascii="Arial" w:cs="Arial" w:eastAsia="Arial" w:hAnsi="Arial"/>
          <w:sz w:val="14"/>
          <w:szCs w:val="14"/>
          <w:color w:val="auto"/>
        </w:rPr>
      </w:pPr>
      <w:r>
        <w:rPr>
          <w:rFonts w:ascii="Arial" w:cs="Arial" w:eastAsia="Arial" w:hAnsi="Arial"/>
          <w:sz w:val="14"/>
          <w:szCs w:val="14"/>
          <w:color w:val="auto"/>
        </w:rPr>
        <w:t>EMPIRICA ceases or threatens to cease to carry on its business, commits any act of bankruptcy, becomes insolvent, proposes a compromise or arrangement to its creditors or makes an unauthorized sale in bulk of its assets; or</w:t>
      </w:r>
    </w:p>
    <w:p>
      <w:pPr>
        <w:spacing w:after="0" w:line="131" w:lineRule="exact"/>
        <w:rPr>
          <w:rFonts w:ascii="Arial" w:cs="Arial" w:eastAsia="Arial" w:hAnsi="Arial"/>
          <w:sz w:val="14"/>
          <w:szCs w:val="14"/>
          <w:color w:val="auto"/>
        </w:rPr>
      </w:pPr>
    </w:p>
    <w:p>
      <w:pPr>
        <w:ind w:left="1560" w:hanging="518"/>
        <w:spacing w:after="0"/>
        <w:tabs>
          <w:tab w:leader="none" w:pos="1560" w:val="left"/>
        </w:tabs>
        <w:numPr>
          <w:ilvl w:val="1"/>
          <w:numId w:val="191"/>
        </w:numPr>
        <w:rPr>
          <w:rFonts w:ascii="Arial" w:cs="Arial" w:eastAsia="Arial" w:hAnsi="Arial"/>
          <w:sz w:val="14"/>
          <w:szCs w:val="14"/>
          <w:color w:val="auto"/>
        </w:rPr>
      </w:pPr>
      <w:r>
        <w:rPr>
          <w:rFonts w:ascii="Arial" w:cs="Arial" w:eastAsia="Arial" w:hAnsi="Arial"/>
          <w:sz w:val="14"/>
          <w:szCs w:val="14"/>
          <w:color w:val="auto"/>
        </w:rPr>
        <w:t>EMPIRICA is liquidated, dissolved or its corporate charter expires or is revoked.</w:t>
      </w:r>
    </w:p>
    <w:p>
      <w:pPr>
        <w:spacing w:after="0" w:line="184"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192"/>
        </w:numPr>
        <w:rPr>
          <w:rFonts w:ascii="Arial" w:cs="Arial" w:eastAsia="Arial" w:hAnsi="Arial"/>
          <w:sz w:val="14"/>
          <w:szCs w:val="14"/>
          <w:color w:val="auto"/>
        </w:rPr>
      </w:pPr>
      <w:r>
        <w:rPr>
          <w:rFonts w:ascii="Arial" w:cs="Arial" w:eastAsia="Arial" w:hAnsi="Arial"/>
          <w:sz w:val="14"/>
          <w:szCs w:val="14"/>
          <w:color w:val="auto"/>
        </w:rPr>
        <w:t>This Agreement may also be terminated by the INSTITUTIONS for material breach of any provision hereof by EMPIRICA upon thirty (30) days prior written notice to EMPIRICA, specifying the breach and the cure in sufficient detail to enable EMPIRICA to respond appropriately, provided, that if EMPIRICA cures the breach within such thirty (30) day period, the Agreement shall continue in full force and effect.</w:t>
      </w:r>
    </w:p>
    <w:p>
      <w:pPr>
        <w:spacing w:after="0" w:line="141" w:lineRule="exact"/>
        <w:rPr>
          <w:rFonts w:ascii="Arial" w:cs="Arial" w:eastAsia="Arial" w:hAnsi="Arial"/>
          <w:sz w:val="14"/>
          <w:szCs w:val="14"/>
          <w:color w:val="auto"/>
        </w:rPr>
      </w:pPr>
    </w:p>
    <w:p>
      <w:pPr>
        <w:jc w:val="both"/>
        <w:ind w:left="1040" w:hanging="516"/>
        <w:spacing w:after="0" w:line="284" w:lineRule="auto"/>
        <w:tabs>
          <w:tab w:leader="none" w:pos="1040" w:val="left"/>
        </w:tabs>
        <w:numPr>
          <w:ilvl w:val="0"/>
          <w:numId w:val="192"/>
        </w:numPr>
        <w:rPr>
          <w:rFonts w:ascii="Arial" w:cs="Arial" w:eastAsia="Arial" w:hAnsi="Arial"/>
          <w:sz w:val="13"/>
          <w:szCs w:val="13"/>
          <w:color w:val="auto"/>
        </w:rPr>
      </w:pPr>
      <w:r>
        <w:rPr>
          <w:rFonts w:ascii="Arial" w:cs="Arial" w:eastAsia="Arial" w:hAnsi="Arial"/>
          <w:sz w:val="13"/>
          <w:szCs w:val="13"/>
          <w:color w:val="auto"/>
        </w:rPr>
        <w:t>Termination as set forth in this Section 6.2 shall not relieve any of the Parties of any obligations accrued under this Agreement prior to the date of termination. Each of Sections 1.1 (Definitions); 2.3 (Reserved Rights); 2.4 (License Restrictions); 3.5 (Accounting and Records); 4.1 (Ownership); 4.4 (Improvements); 4.6 (Confidentiality); 5.3 (Indemnity);</w:t>
      </w:r>
    </w:p>
    <w:p>
      <w:pPr>
        <w:ind w:left="1040"/>
        <w:spacing w:after="0" w:line="274" w:lineRule="auto"/>
        <w:rPr>
          <w:rFonts w:ascii="Arial" w:cs="Arial" w:eastAsia="Arial" w:hAnsi="Arial"/>
          <w:sz w:val="13"/>
          <w:szCs w:val="13"/>
          <w:color w:val="auto"/>
        </w:rPr>
      </w:pPr>
      <w:r>
        <w:rPr>
          <w:rFonts w:ascii="Arial" w:cs="Arial" w:eastAsia="Arial" w:hAnsi="Arial"/>
          <w:sz w:val="14"/>
          <w:szCs w:val="14"/>
          <w:color w:val="auto"/>
        </w:rPr>
        <w:t>5.4 (Insurance); 5.5 (Limitation of Liability); Subsection 6.2(d) (Survival); Section 6.3 (Effect of Termination); and Article 7 (General Provisions) shall survive termination of this Agreement.</w:t>
      </w:r>
    </w:p>
    <w:p>
      <w:pPr>
        <w:spacing w:after="0" w:line="13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6.3</w:t>
      </w:r>
      <w:r>
        <w:rPr>
          <w:sz w:val="20"/>
          <w:szCs w:val="20"/>
          <w:color w:val="auto"/>
        </w:rPr>
        <w:tab/>
      </w:r>
      <w:r>
        <w:rPr>
          <w:rFonts w:ascii="Arial" w:cs="Arial" w:eastAsia="Arial" w:hAnsi="Arial"/>
          <w:sz w:val="13"/>
          <w:szCs w:val="13"/>
          <w:b w:val="1"/>
          <w:bCs w:val="1"/>
          <w:color w:val="auto"/>
        </w:rPr>
        <w:t>Effect of Termination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Upon termination of this Agreement:</w:t>
      </w:r>
    </w:p>
    <w:p>
      <w:pPr>
        <w:spacing w:after="0" w:line="184" w:lineRule="exact"/>
        <w:rPr>
          <w:sz w:val="20"/>
          <w:szCs w:val="20"/>
          <w:color w:val="auto"/>
        </w:rPr>
      </w:pPr>
    </w:p>
    <w:p>
      <w:pPr>
        <w:jc w:val="both"/>
        <w:ind w:left="1040" w:hanging="516"/>
        <w:spacing w:after="0" w:line="338" w:lineRule="auto"/>
        <w:tabs>
          <w:tab w:leader="none" w:pos="1040" w:val="left"/>
        </w:tabs>
        <w:numPr>
          <w:ilvl w:val="0"/>
          <w:numId w:val="193"/>
        </w:numPr>
        <w:rPr>
          <w:rFonts w:ascii="Arial" w:cs="Arial" w:eastAsia="Arial" w:hAnsi="Arial"/>
          <w:sz w:val="12"/>
          <w:szCs w:val="12"/>
          <w:color w:val="auto"/>
        </w:rPr>
      </w:pPr>
      <w:r>
        <w:rPr>
          <w:rFonts w:ascii="Arial" w:cs="Arial" w:eastAsia="Arial" w:hAnsi="Arial"/>
          <w:sz w:val="12"/>
          <w:szCs w:val="12"/>
          <w:color w:val="auto"/>
        </w:rPr>
        <w:t>EMPIRICA, its Affiliates, and all Sub-Licensees shall immediately cease use of the Licensed Inventions and sale of any Licensed Products or Therapeutic Products. Patients who have begun receiving any Therapeutic Products as treatment may continue to receive the Therapeutic Products as per the physician recommendation until the end of the treatment course. Subject to the IP Rights Management Agreement referenced below, joint IP rights can be practiced in accordance with the patent law of the corresponding jurisdiction.;</w:t>
      </w:r>
    </w:p>
    <w:p>
      <w:pPr>
        <w:spacing w:after="0" w:line="107" w:lineRule="exact"/>
        <w:rPr>
          <w:rFonts w:ascii="Arial" w:cs="Arial" w:eastAsia="Arial" w:hAnsi="Arial"/>
          <w:sz w:val="12"/>
          <w:szCs w:val="12"/>
          <w:color w:val="auto"/>
        </w:rPr>
      </w:pPr>
    </w:p>
    <w:p>
      <w:pPr>
        <w:ind w:left="1040" w:hanging="516"/>
        <w:spacing w:after="0"/>
        <w:tabs>
          <w:tab w:leader="none" w:pos="1040" w:val="left"/>
        </w:tabs>
        <w:numPr>
          <w:ilvl w:val="0"/>
          <w:numId w:val="193"/>
        </w:numPr>
        <w:rPr>
          <w:rFonts w:ascii="Arial" w:cs="Arial" w:eastAsia="Arial" w:hAnsi="Arial"/>
          <w:sz w:val="14"/>
          <w:szCs w:val="14"/>
          <w:color w:val="auto"/>
        </w:rPr>
      </w:pPr>
      <w:r>
        <w:rPr>
          <w:rFonts w:ascii="Arial" w:cs="Arial" w:eastAsia="Arial" w:hAnsi="Arial"/>
          <w:sz w:val="14"/>
          <w:szCs w:val="14"/>
          <w:color w:val="auto"/>
        </w:rPr>
        <w:t>Within a commercially reasonable period of time, the Parties shall enter into an IP Rights Management Agreement in respect of any jointly-owned</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23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16" w:name="page317"/>
    <w:bookmarkEnd w:id="316"/>
    <w:p>
      <w:pPr>
        <w:ind w:left="1040"/>
        <w:spacing w:after="0"/>
        <w:rPr>
          <w:sz w:val="20"/>
          <w:szCs w:val="20"/>
          <w:color w:val="auto"/>
        </w:rPr>
      </w:pPr>
      <w:r>
        <w:rPr>
          <w:rFonts w:ascii="Arial" w:cs="Arial" w:eastAsia="Arial" w:hAnsi="Arial"/>
          <w:sz w:val="14"/>
          <w:szCs w:val="14"/>
          <w:color w:val="auto"/>
        </w:rPr>
        <w:t>Intellectual Property Rights, which shall govern the management and administration of any such jointly-owned Intellectual Property Rights;</w:t>
      </w:r>
    </w:p>
    <w:p>
      <w:pPr>
        <w:spacing w:after="0" w:line="184" w:lineRule="exact"/>
        <w:rPr>
          <w:sz w:val="20"/>
          <w:szCs w:val="20"/>
          <w:color w:val="auto"/>
        </w:rPr>
      </w:pPr>
    </w:p>
    <w:p>
      <w:pPr>
        <w:ind w:left="1040" w:hanging="516"/>
        <w:spacing w:after="0"/>
        <w:tabs>
          <w:tab w:leader="none" w:pos="104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EMPIRICA shall pay promptly all amounts it owes hereunder to the INSTITUTIONS;</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EMPIRICA shall assign any and all sub-licenses granted under this Agreement to the INSTITUTIONS;</w:t>
      </w:r>
    </w:p>
    <w:p>
      <w:pPr>
        <w:spacing w:after="0" w:line="184" w:lineRule="exact"/>
        <w:rPr>
          <w:rFonts w:ascii="Arial" w:cs="Arial" w:eastAsia="Arial" w:hAnsi="Arial"/>
          <w:sz w:val="14"/>
          <w:szCs w:val="14"/>
          <w:color w:val="auto"/>
        </w:rPr>
      </w:pPr>
    </w:p>
    <w:p>
      <w:pPr>
        <w:ind w:left="1040" w:hanging="516"/>
        <w:spacing w:after="0"/>
        <w:tabs>
          <w:tab w:leader="none" w:pos="104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subject to Subsection 4.6 (e), EMPIRICA shall return to the respective INSTITUTIONS all Confidential Information; and</w:t>
      </w:r>
    </w:p>
    <w:p>
      <w:pPr>
        <w:spacing w:after="0" w:line="184" w:lineRule="exact"/>
        <w:rPr>
          <w:rFonts w:ascii="Arial" w:cs="Arial" w:eastAsia="Arial" w:hAnsi="Arial"/>
          <w:sz w:val="14"/>
          <w:szCs w:val="14"/>
          <w:color w:val="auto"/>
        </w:rPr>
      </w:pPr>
    </w:p>
    <w:p>
      <w:pPr>
        <w:jc w:val="both"/>
        <w:ind w:left="1040" w:hanging="516"/>
        <w:spacing w:after="0" w:line="273" w:lineRule="auto"/>
        <w:tabs>
          <w:tab w:leader="none" w:pos="104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upon termination, EMPIRICA, or its successor(s), or its assignee(s) will immediately assign back to the INSTITUTIONS all Patents identified in Schedule “B” that were assigned, excluding any jointly-owned Intellectual Property Rights, which shall be subject to the IP Rights Management Agreement to be entered into pursuant to paragraph (b) above.</w:t>
      </w:r>
    </w:p>
    <w:p>
      <w:pPr>
        <w:spacing w:after="0" w:line="137"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ARTICLE 7</w:t>
      </w:r>
    </w:p>
    <w:p>
      <w:pPr>
        <w:spacing w:after="0" w:line="25"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GENERAL</w:t>
      </w:r>
    </w:p>
    <w:p>
      <w:pPr>
        <w:spacing w:after="0" w:line="17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7.1</w:t>
      </w:r>
      <w:r>
        <w:rPr>
          <w:sz w:val="20"/>
          <w:szCs w:val="20"/>
          <w:color w:val="auto"/>
        </w:rPr>
        <w:tab/>
      </w:r>
      <w:r>
        <w:rPr>
          <w:rFonts w:ascii="Arial" w:cs="Arial" w:eastAsia="Arial" w:hAnsi="Arial"/>
          <w:sz w:val="13"/>
          <w:szCs w:val="13"/>
          <w:b w:val="1"/>
          <w:bCs w:val="1"/>
          <w:color w:val="auto"/>
        </w:rPr>
        <w:t>Time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Time is of the essence of each provision of this Agreement.</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7.2</w:t>
      </w:r>
      <w:r>
        <w:rPr>
          <w:sz w:val="20"/>
          <w:szCs w:val="20"/>
          <w:color w:val="auto"/>
        </w:rPr>
        <w:tab/>
      </w:r>
      <w:r>
        <w:rPr>
          <w:rFonts w:ascii="Arial" w:cs="Arial" w:eastAsia="Arial" w:hAnsi="Arial"/>
          <w:sz w:val="12"/>
          <w:szCs w:val="12"/>
          <w:b w:val="1"/>
          <w:bCs w:val="1"/>
          <w:color w:val="auto"/>
        </w:rPr>
        <w:t>Assignment and Sub-Licenses</w:t>
      </w:r>
    </w:p>
    <w:p>
      <w:pPr>
        <w:spacing w:after="0" w:line="188" w:lineRule="exact"/>
        <w:rPr>
          <w:sz w:val="20"/>
          <w:szCs w:val="20"/>
          <w:color w:val="auto"/>
        </w:rPr>
      </w:pPr>
    </w:p>
    <w:p>
      <w:pPr>
        <w:ind w:left="1040" w:hanging="516"/>
        <w:spacing w:after="0" w:line="288" w:lineRule="auto"/>
        <w:tabs>
          <w:tab w:leader="none" w:pos="1040" w:val="left"/>
        </w:tabs>
        <w:numPr>
          <w:ilvl w:val="0"/>
          <w:numId w:val="195"/>
        </w:numPr>
        <w:rPr>
          <w:rFonts w:ascii="Arial" w:cs="Arial" w:eastAsia="Arial" w:hAnsi="Arial"/>
          <w:sz w:val="14"/>
          <w:szCs w:val="14"/>
          <w:color w:val="auto"/>
        </w:rPr>
      </w:pPr>
      <w:r>
        <w:rPr>
          <w:rFonts w:ascii="Arial" w:cs="Arial" w:eastAsia="Arial" w:hAnsi="Arial"/>
          <w:sz w:val="14"/>
          <w:szCs w:val="14"/>
          <w:color w:val="auto"/>
        </w:rPr>
        <w:t>Neither Party may sell, assign, Encumber, license or otherwise transfer any of its rights, duties or obligations hereunder without the prior written consent of the other Party, which consent shall not be unreasonably withheld.</w:t>
      </w:r>
    </w:p>
    <w:p>
      <w:pPr>
        <w:spacing w:after="0" w:line="131" w:lineRule="exact"/>
        <w:rPr>
          <w:rFonts w:ascii="Arial" w:cs="Arial" w:eastAsia="Arial" w:hAnsi="Arial"/>
          <w:sz w:val="14"/>
          <w:szCs w:val="14"/>
          <w:color w:val="auto"/>
        </w:rPr>
      </w:pPr>
    </w:p>
    <w:p>
      <w:pPr>
        <w:jc w:val="both"/>
        <w:ind w:left="1040" w:hanging="516"/>
        <w:spacing w:after="0" w:line="303" w:lineRule="auto"/>
        <w:tabs>
          <w:tab w:leader="none" w:pos="1040" w:val="left"/>
        </w:tabs>
        <w:numPr>
          <w:ilvl w:val="0"/>
          <w:numId w:val="195"/>
        </w:numPr>
        <w:rPr>
          <w:rFonts w:ascii="Arial" w:cs="Arial" w:eastAsia="Arial" w:hAnsi="Arial"/>
          <w:sz w:val="13"/>
          <w:szCs w:val="13"/>
          <w:color w:val="auto"/>
        </w:rPr>
      </w:pPr>
      <w:r>
        <w:rPr>
          <w:rFonts w:ascii="Arial" w:cs="Arial" w:eastAsia="Arial" w:hAnsi="Arial"/>
          <w:sz w:val="13"/>
          <w:szCs w:val="13"/>
          <w:color w:val="auto"/>
        </w:rPr>
        <w:t>EMPIRICA may assign this Agreement in conjunction with a) a corporate reorganization; or b) a sale or transfer of all or substantially all of its business or assets associated with the subject matter hereof provided that the assignee accepts in writing all the terms and conditions of this Agreement, and EMPIRICA notifies the Representatives of the INSTITUTIONS of any such assignment, providing details thereof, and the INSTITUTIONS provides consent to do so, where such consent not to be unreasonably withheld.</w:t>
      </w:r>
    </w:p>
    <w:p>
      <w:pPr>
        <w:spacing w:after="0" w:line="124" w:lineRule="exact"/>
        <w:rPr>
          <w:rFonts w:ascii="Arial" w:cs="Arial" w:eastAsia="Arial" w:hAnsi="Arial"/>
          <w:sz w:val="13"/>
          <w:szCs w:val="13"/>
          <w:color w:val="auto"/>
        </w:rPr>
      </w:pPr>
    </w:p>
    <w:p>
      <w:pPr>
        <w:jc w:val="both"/>
        <w:ind w:left="1040" w:hanging="516"/>
        <w:spacing w:after="0" w:line="273" w:lineRule="auto"/>
        <w:tabs>
          <w:tab w:leader="none" w:pos="1040" w:val="left"/>
        </w:tabs>
        <w:numPr>
          <w:ilvl w:val="0"/>
          <w:numId w:val="195"/>
        </w:numPr>
        <w:rPr>
          <w:rFonts w:ascii="Arial" w:cs="Arial" w:eastAsia="Arial" w:hAnsi="Arial"/>
          <w:sz w:val="14"/>
          <w:szCs w:val="14"/>
          <w:color w:val="auto"/>
        </w:rPr>
      </w:pPr>
      <w:r>
        <w:rPr>
          <w:rFonts w:ascii="Arial" w:cs="Arial" w:eastAsia="Arial" w:hAnsi="Arial"/>
          <w:sz w:val="14"/>
          <w:szCs w:val="14"/>
          <w:color w:val="auto"/>
        </w:rPr>
        <w:t>EMPIRICA is responsible for any and all activities of any Sub-Licensee and the Sub-Licensees shall adhere to all confidentiality, indemnity and insurance requirements set forth in this Agreement. No sub-license granted by EMPIRICA shall be less favorable with respect to any term or condition to the INSTITUTIONS than the license granted herein. Further</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24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17" w:name="page318"/>
    <w:bookmarkEnd w:id="317"/>
    <w:p>
      <w:pPr>
        <w:ind w:left="1040"/>
        <w:spacing w:after="0"/>
        <w:rPr>
          <w:sz w:val="20"/>
          <w:szCs w:val="20"/>
          <w:color w:val="auto"/>
        </w:rPr>
      </w:pPr>
      <w:r>
        <w:rPr>
          <w:rFonts w:ascii="Arial" w:cs="Arial" w:eastAsia="Arial" w:hAnsi="Arial"/>
          <w:sz w:val="14"/>
          <w:szCs w:val="14"/>
          <w:color w:val="auto"/>
        </w:rPr>
        <w:t>EMPIRICA shall be vicariously liable for any breaches of the obligations under this Agreement in connection with the activities of a sub-licensee.</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7.3</w:t>
      </w:r>
      <w:r>
        <w:rPr>
          <w:sz w:val="20"/>
          <w:szCs w:val="20"/>
          <w:color w:val="auto"/>
        </w:rPr>
        <w:tab/>
      </w:r>
      <w:r>
        <w:rPr>
          <w:rFonts w:ascii="Arial" w:cs="Arial" w:eastAsia="Arial" w:hAnsi="Arial"/>
          <w:sz w:val="12"/>
          <w:szCs w:val="12"/>
          <w:b w:val="1"/>
          <w:bCs w:val="1"/>
          <w:color w:val="auto"/>
        </w:rPr>
        <w:t>Notices</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Any notice, demand or other communication required or permitted to be given or made hereunder shall be in writing and shall be sufficiently given or made if delivered personally or sent by prepaid registered mail to its address or by confirmed email or telecopier to the number and to the attention of the person set forth below:</w:t>
      </w:r>
    </w:p>
    <w:p>
      <w:pPr>
        <w:spacing w:after="0" w:line="132" w:lineRule="exact"/>
        <w:rPr>
          <w:sz w:val="20"/>
          <w:szCs w:val="20"/>
          <w:color w:val="auto"/>
        </w:rPr>
      </w:pPr>
    </w:p>
    <w:p>
      <w:pPr>
        <w:ind w:left="1040" w:hanging="516"/>
        <w:spacing w:after="0"/>
        <w:tabs>
          <w:tab w:leader="none" w:pos="1040" w:val="left"/>
        </w:tabs>
        <w:numPr>
          <w:ilvl w:val="0"/>
          <w:numId w:val="196"/>
        </w:numPr>
        <w:rPr>
          <w:rFonts w:ascii="Arial" w:cs="Arial" w:eastAsia="Arial" w:hAnsi="Arial"/>
          <w:sz w:val="14"/>
          <w:szCs w:val="14"/>
          <w:color w:val="auto"/>
        </w:rPr>
      </w:pPr>
      <w:r>
        <w:rPr>
          <w:rFonts w:ascii="Arial" w:cs="Arial" w:eastAsia="Arial" w:hAnsi="Arial"/>
          <w:sz w:val="14"/>
          <w:szCs w:val="14"/>
          <w:color w:val="auto"/>
        </w:rPr>
        <w:t>In the case of a notice to EMPIRICA:</w:t>
      </w:r>
    </w:p>
    <w:p>
      <w:pPr>
        <w:spacing w:after="0" w:line="180"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b w:val="1"/>
          <w:bCs w:val="1"/>
          <w:color w:val="auto"/>
        </w:rPr>
        <w:t>EMPIRICA THERAPEUTICS INC.</w:t>
      </w:r>
    </w:p>
    <w:p>
      <w:pPr>
        <w:spacing w:after="0" w:line="188"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Attention: Dr. Sheila Singh</w:t>
      </w:r>
    </w:p>
    <w:p>
      <w:pPr>
        <w:spacing w:after="0" w:line="21"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E-mail: [***]</w:t>
      </w:r>
    </w:p>
    <w:p>
      <w:pPr>
        <w:spacing w:after="0" w:line="174" w:lineRule="exact"/>
        <w:rPr>
          <w:rFonts w:ascii="Arial" w:cs="Arial" w:eastAsia="Arial" w:hAnsi="Arial"/>
          <w:sz w:val="14"/>
          <w:szCs w:val="14"/>
          <w:color w:val="auto"/>
        </w:rPr>
      </w:pPr>
    </w:p>
    <w:p>
      <w:pPr>
        <w:ind w:left="1040" w:hanging="516"/>
        <w:spacing w:after="0"/>
        <w:tabs>
          <w:tab w:leader="none" w:pos="1040" w:val="left"/>
        </w:tabs>
        <w:numPr>
          <w:ilvl w:val="0"/>
          <w:numId w:val="196"/>
        </w:numPr>
        <w:rPr>
          <w:rFonts w:ascii="Arial" w:cs="Arial" w:eastAsia="Arial" w:hAnsi="Arial"/>
          <w:sz w:val="14"/>
          <w:szCs w:val="14"/>
          <w:color w:val="auto"/>
        </w:rPr>
      </w:pPr>
      <w:r>
        <w:rPr>
          <w:rFonts w:ascii="Arial" w:cs="Arial" w:eastAsia="Arial" w:hAnsi="Arial"/>
          <w:sz w:val="14"/>
          <w:szCs w:val="14"/>
          <w:color w:val="auto"/>
        </w:rPr>
        <w:t>In the case of a notice to the INSTITUTIONS:</w:t>
      </w:r>
    </w:p>
    <w:p>
      <w:pPr>
        <w:spacing w:after="0" w:line="180" w:lineRule="exact"/>
        <w:rPr>
          <w:rFonts w:ascii="Arial" w:cs="Arial" w:eastAsia="Arial" w:hAnsi="Arial"/>
          <w:sz w:val="14"/>
          <w:szCs w:val="14"/>
          <w:color w:val="auto"/>
        </w:rPr>
      </w:pPr>
    </w:p>
    <w:p>
      <w:pPr>
        <w:ind w:left="1040" w:right="7060"/>
        <w:spacing w:after="0" w:line="267" w:lineRule="auto"/>
        <w:rPr>
          <w:rFonts w:ascii="Arial" w:cs="Arial" w:eastAsia="Arial" w:hAnsi="Arial"/>
          <w:sz w:val="14"/>
          <w:szCs w:val="14"/>
          <w:color w:val="auto"/>
        </w:rPr>
      </w:pPr>
      <w:r>
        <w:rPr>
          <w:rFonts w:ascii="Arial" w:cs="Arial" w:eastAsia="Arial" w:hAnsi="Arial"/>
          <w:sz w:val="14"/>
          <w:szCs w:val="14"/>
          <w:b w:val="1"/>
          <w:bCs w:val="1"/>
          <w:color w:val="auto"/>
        </w:rPr>
        <w:t xml:space="preserve">The Governing Council of the University of Toronto </w:t>
      </w:r>
      <w:r>
        <w:rPr>
          <w:rFonts w:ascii="Arial" w:cs="Arial" w:eastAsia="Arial" w:hAnsi="Arial"/>
          <w:sz w:val="14"/>
          <w:szCs w:val="14"/>
          <w:color w:val="auto"/>
        </w:rPr>
        <w:t>Banting Institute,</w:t>
      </w:r>
    </w:p>
    <w:p>
      <w:pPr>
        <w:ind w:left="1040" w:right="8460"/>
        <w:spacing w:after="0" w:line="257" w:lineRule="auto"/>
        <w:rPr>
          <w:rFonts w:ascii="Arial" w:cs="Arial" w:eastAsia="Arial" w:hAnsi="Arial"/>
          <w:sz w:val="14"/>
          <w:szCs w:val="14"/>
          <w:color w:val="auto"/>
        </w:rPr>
      </w:pPr>
      <w:r>
        <w:rPr>
          <w:rFonts w:ascii="Arial" w:cs="Arial" w:eastAsia="Arial" w:hAnsi="Arial"/>
          <w:sz w:val="14"/>
          <w:szCs w:val="14"/>
          <w:color w:val="auto"/>
        </w:rPr>
        <w:t>100 College Street, Room 413, Toronto, Ontario</w:t>
      </w:r>
    </w:p>
    <w:p>
      <w:pPr>
        <w:ind w:left="1040" w:right="9660"/>
        <w:spacing w:after="0" w:line="274" w:lineRule="auto"/>
        <w:rPr>
          <w:rFonts w:ascii="Arial" w:cs="Arial" w:eastAsia="Arial" w:hAnsi="Arial"/>
          <w:sz w:val="14"/>
          <w:szCs w:val="14"/>
          <w:color w:val="auto"/>
        </w:rPr>
      </w:pPr>
      <w:r>
        <w:rPr>
          <w:rFonts w:ascii="Arial" w:cs="Arial" w:eastAsia="Arial" w:hAnsi="Arial"/>
          <w:sz w:val="14"/>
          <w:szCs w:val="14"/>
          <w:color w:val="auto"/>
        </w:rPr>
        <w:t>M5G 1L5 Canada</w:t>
      </w:r>
    </w:p>
    <w:p>
      <w:pPr>
        <w:spacing w:after="0" w:line="140"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Attention: Jennifer Fraser</w:t>
      </w:r>
    </w:p>
    <w:p>
      <w:pPr>
        <w:spacing w:after="0" w:line="21"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E-mail: commercialization@utoronto.ca</w:t>
      </w:r>
    </w:p>
    <w:p>
      <w:pPr>
        <w:spacing w:after="0" w:line="11"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Telecopier No: (416) 978-6052</w:t>
      </w:r>
    </w:p>
    <w:p>
      <w:pPr>
        <w:spacing w:after="0" w:line="11"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With copy to: [***]</w:t>
      </w:r>
    </w:p>
    <w:p>
      <w:pPr>
        <w:spacing w:after="0" w:line="170"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b w:val="1"/>
          <w:bCs w:val="1"/>
          <w:color w:val="auto"/>
        </w:rPr>
        <w:t>McMaster University</w:t>
      </w:r>
    </w:p>
    <w:p>
      <w:pPr>
        <w:spacing w:after="0" w:line="25" w:lineRule="exact"/>
        <w:rPr>
          <w:rFonts w:ascii="Arial" w:cs="Arial" w:eastAsia="Arial" w:hAnsi="Arial"/>
          <w:sz w:val="14"/>
          <w:szCs w:val="14"/>
          <w:color w:val="auto"/>
        </w:rPr>
      </w:pPr>
    </w:p>
    <w:p>
      <w:pPr>
        <w:ind w:left="1040" w:right="8880"/>
        <w:spacing w:after="0" w:line="257" w:lineRule="auto"/>
        <w:rPr>
          <w:rFonts w:ascii="Arial" w:cs="Arial" w:eastAsia="Arial" w:hAnsi="Arial"/>
          <w:sz w:val="14"/>
          <w:szCs w:val="14"/>
          <w:color w:val="auto"/>
        </w:rPr>
      </w:pPr>
      <w:r>
        <w:rPr>
          <w:rFonts w:ascii="Arial" w:cs="Arial" w:eastAsia="Arial" w:hAnsi="Arial"/>
          <w:sz w:val="14"/>
          <w:szCs w:val="14"/>
          <w:color w:val="auto"/>
        </w:rPr>
        <w:t>1280 Main Street West, Hamilton, ON</w:t>
      </w:r>
    </w:p>
    <w:p>
      <w:pPr>
        <w:ind w:left="1040"/>
        <w:spacing w:after="0"/>
        <w:rPr>
          <w:rFonts w:ascii="Arial" w:cs="Arial" w:eastAsia="Arial" w:hAnsi="Arial"/>
          <w:sz w:val="14"/>
          <w:szCs w:val="14"/>
          <w:color w:val="auto"/>
        </w:rPr>
      </w:pPr>
      <w:r>
        <w:rPr>
          <w:rFonts w:ascii="Arial" w:cs="Arial" w:eastAsia="Arial" w:hAnsi="Arial"/>
          <w:sz w:val="14"/>
          <w:szCs w:val="14"/>
          <w:color w:val="auto"/>
        </w:rPr>
        <w:t>L8S 4K1, Canada</w:t>
      </w:r>
    </w:p>
    <w:p>
      <w:pPr>
        <w:spacing w:after="0" w:line="174"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Attention: Jae-Ho Yoo</w:t>
      </w:r>
    </w:p>
    <w:p>
      <w:pPr>
        <w:spacing w:after="0" w:line="21" w:lineRule="exact"/>
        <w:rPr>
          <w:rFonts w:ascii="Arial" w:cs="Arial" w:eastAsia="Arial" w:hAnsi="Arial"/>
          <w:sz w:val="14"/>
          <w:szCs w:val="14"/>
          <w:color w:val="auto"/>
        </w:rPr>
      </w:pPr>
    </w:p>
    <w:p>
      <w:pPr>
        <w:ind w:left="1040"/>
        <w:spacing w:after="0"/>
        <w:rPr>
          <w:rFonts w:ascii="Arial" w:cs="Arial" w:eastAsia="Arial" w:hAnsi="Arial"/>
          <w:sz w:val="14"/>
          <w:szCs w:val="14"/>
          <w:color w:val="auto"/>
        </w:rPr>
      </w:pPr>
      <w:r>
        <w:rPr>
          <w:rFonts w:ascii="Arial" w:cs="Arial" w:eastAsia="Arial" w:hAnsi="Arial"/>
          <w:sz w:val="14"/>
          <w:szCs w:val="14"/>
          <w:color w:val="auto"/>
        </w:rPr>
        <w:t>Email: [***]</w:t>
      </w:r>
    </w:p>
    <w:p>
      <w:pPr>
        <w:spacing w:after="0" w:line="174" w:lineRule="exact"/>
        <w:rPr>
          <w:rFonts w:ascii="Arial" w:cs="Arial" w:eastAsia="Arial" w:hAnsi="Arial"/>
          <w:sz w:val="14"/>
          <w:szCs w:val="14"/>
          <w:color w:val="auto"/>
        </w:rPr>
      </w:pPr>
    </w:p>
    <w:p>
      <w:pPr>
        <w:ind w:left="1040" w:hanging="516"/>
        <w:spacing w:after="0"/>
        <w:tabs>
          <w:tab w:leader="none" w:pos="1040" w:val="left"/>
        </w:tabs>
        <w:numPr>
          <w:ilvl w:val="0"/>
          <w:numId w:val="196"/>
        </w:numPr>
        <w:rPr>
          <w:rFonts w:ascii="Arial" w:cs="Arial" w:eastAsia="Arial" w:hAnsi="Arial"/>
          <w:sz w:val="14"/>
          <w:szCs w:val="14"/>
          <w:color w:val="auto"/>
        </w:rPr>
      </w:pPr>
      <w:r>
        <w:rPr>
          <w:rFonts w:ascii="Arial" w:cs="Arial" w:eastAsia="Arial" w:hAnsi="Arial"/>
          <w:sz w:val="14"/>
          <w:szCs w:val="14"/>
          <w:color w:val="auto"/>
        </w:rPr>
        <w:t>In the case of a notice to CCAB</w:t>
      </w:r>
    </w:p>
    <w:p>
      <w:pPr>
        <w:spacing w:after="0" w:line="180" w:lineRule="exact"/>
        <w:rPr>
          <w:rFonts w:ascii="Arial" w:cs="Arial" w:eastAsia="Arial" w:hAnsi="Arial"/>
          <w:sz w:val="14"/>
          <w:szCs w:val="14"/>
          <w:color w:val="auto"/>
        </w:rPr>
      </w:pPr>
    </w:p>
    <w:p>
      <w:pPr>
        <w:ind w:left="1040" w:right="6180"/>
        <w:spacing w:after="0" w:line="267" w:lineRule="auto"/>
        <w:rPr>
          <w:rFonts w:ascii="Arial" w:cs="Arial" w:eastAsia="Arial" w:hAnsi="Arial"/>
          <w:sz w:val="14"/>
          <w:szCs w:val="14"/>
          <w:color w:val="auto"/>
        </w:rPr>
      </w:pPr>
      <w:r>
        <w:rPr>
          <w:rFonts w:ascii="Arial" w:cs="Arial" w:eastAsia="Arial" w:hAnsi="Arial"/>
          <w:sz w:val="14"/>
          <w:szCs w:val="14"/>
          <w:b w:val="1"/>
          <w:bCs w:val="1"/>
          <w:color w:val="auto"/>
        </w:rPr>
        <w:t xml:space="preserve">The Centre for the Commercialization of Antibodies and Biologics </w:t>
      </w:r>
      <w:r>
        <w:rPr>
          <w:rFonts w:ascii="Arial" w:cs="Arial" w:eastAsia="Arial" w:hAnsi="Arial"/>
          <w:sz w:val="14"/>
          <w:szCs w:val="14"/>
          <w:color w:val="auto"/>
        </w:rPr>
        <w:t>Banting Institute,</w:t>
      </w:r>
    </w:p>
    <w:p>
      <w:pPr>
        <w:ind w:left="1040" w:right="8520"/>
        <w:spacing w:after="0" w:line="257" w:lineRule="auto"/>
        <w:rPr>
          <w:rFonts w:ascii="Arial" w:cs="Arial" w:eastAsia="Arial" w:hAnsi="Arial"/>
          <w:sz w:val="14"/>
          <w:szCs w:val="14"/>
          <w:color w:val="auto"/>
        </w:rPr>
      </w:pPr>
      <w:r>
        <w:rPr>
          <w:rFonts w:ascii="Arial" w:cs="Arial" w:eastAsia="Arial" w:hAnsi="Arial"/>
          <w:sz w:val="14"/>
          <w:szCs w:val="14"/>
          <w:color w:val="auto"/>
        </w:rPr>
        <w:t>100 College Street, Room 80, Toronto, Ontario</w:t>
      </w:r>
    </w:p>
    <w:p>
      <w:pPr>
        <w:ind w:left="1040"/>
        <w:spacing w:after="0"/>
        <w:rPr>
          <w:rFonts w:ascii="Arial" w:cs="Arial" w:eastAsia="Arial" w:hAnsi="Arial"/>
          <w:sz w:val="14"/>
          <w:szCs w:val="14"/>
          <w:color w:val="auto"/>
        </w:rPr>
      </w:pPr>
      <w:r>
        <w:rPr>
          <w:rFonts w:ascii="Arial" w:cs="Arial" w:eastAsia="Arial" w:hAnsi="Arial"/>
          <w:sz w:val="14"/>
          <w:szCs w:val="14"/>
          <w:color w:val="auto"/>
        </w:rPr>
        <w:t>M5G 1L5</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25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18" w:name="page319"/>
    <w:bookmarkEnd w:id="318"/>
    <w:p>
      <w:pPr>
        <w:ind w:left="1040"/>
        <w:spacing w:after="0"/>
        <w:rPr>
          <w:sz w:val="20"/>
          <w:szCs w:val="20"/>
          <w:color w:val="auto"/>
        </w:rPr>
      </w:pPr>
      <w:r>
        <w:rPr>
          <w:rFonts w:ascii="Arial" w:cs="Arial" w:eastAsia="Arial" w:hAnsi="Arial"/>
          <w:sz w:val="14"/>
          <w:szCs w:val="14"/>
          <w:color w:val="auto"/>
        </w:rPr>
        <w:t>Attention: Robert Verhagen</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 xml:space="preserve">Email: </w:t>
      </w:r>
      <w:r>
        <w:rPr>
          <w:rFonts w:ascii="Arial" w:cs="Arial" w:eastAsia="Arial" w:hAnsi="Arial"/>
          <w:sz w:val="14"/>
          <w:szCs w:val="14"/>
          <w:u w:val="single" w:color="auto"/>
          <w:color w:val="auto"/>
        </w:rPr>
        <w:t>robert.verhagen@ccabcanada.com</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Each notice sent in accordance with this Subsection 7.3 shall be deemed to have been given and received:</w:t>
      </w:r>
    </w:p>
    <w:p>
      <w:pPr>
        <w:spacing w:after="0" w:line="184" w:lineRule="exact"/>
        <w:rPr>
          <w:sz w:val="20"/>
          <w:szCs w:val="20"/>
          <w:color w:val="auto"/>
        </w:rPr>
      </w:pPr>
    </w:p>
    <w:p>
      <w:pPr>
        <w:ind w:left="1560" w:hanging="518"/>
        <w:spacing w:after="0"/>
        <w:tabs>
          <w:tab w:leader="none" w:pos="1560" w:val="left"/>
        </w:tabs>
        <w:numPr>
          <w:ilvl w:val="0"/>
          <w:numId w:val="197"/>
        </w:numPr>
        <w:rPr>
          <w:rFonts w:ascii="Arial" w:cs="Arial" w:eastAsia="Arial" w:hAnsi="Arial"/>
          <w:sz w:val="14"/>
          <w:szCs w:val="14"/>
          <w:color w:val="auto"/>
        </w:rPr>
      </w:pPr>
      <w:r>
        <w:rPr>
          <w:rFonts w:ascii="Arial" w:cs="Arial" w:eastAsia="Arial" w:hAnsi="Arial"/>
          <w:sz w:val="14"/>
          <w:szCs w:val="14"/>
          <w:color w:val="auto"/>
        </w:rPr>
        <w:t>if delivered, on the day it was delivered if received within normal business hours;</w:t>
      </w:r>
    </w:p>
    <w:p>
      <w:pPr>
        <w:spacing w:after="0" w:line="134" w:lineRule="exact"/>
        <w:rPr>
          <w:rFonts w:ascii="Arial" w:cs="Arial" w:eastAsia="Arial" w:hAnsi="Arial"/>
          <w:sz w:val="14"/>
          <w:szCs w:val="14"/>
          <w:color w:val="auto"/>
        </w:rPr>
      </w:pPr>
    </w:p>
    <w:p>
      <w:pPr>
        <w:ind w:left="1560" w:hanging="518"/>
        <w:spacing w:after="0"/>
        <w:tabs>
          <w:tab w:leader="none" w:pos="1560" w:val="left"/>
        </w:tabs>
        <w:numPr>
          <w:ilvl w:val="0"/>
          <w:numId w:val="197"/>
        </w:numPr>
        <w:rPr>
          <w:rFonts w:ascii="Arial" w:cs="Arial" w:eastAsia="Arial" w:hAnsi="Arial"/>
          <w:sz w:val="26"/>
          <w:szCs w:val="26"/>
          <w:color w:val="auto"/>
          <w:vertAlign w:val="superscript"/>
        </w:rPr>
      </w:pPr>
      <w:r>
        <w:rPr>
          <w:rFonts w:ascii="Arial" w:cs="Arial" w:eastAsia="Arial" w:hAnsi="Arial"/>
          <w:sz w:val="13"/>
          <w:szCs w:val="13"/>
          <w:color w:val="auto"/>
        </w:rPr>
        <w:t>if mailed, on the fifth (5</w:t>
      </w:r>
      <w:r>
        <w:rPr>
          <w:rFonts w:ascii="Arial" w:cs="Arial" w:eastAsia="Arial" w:hAnsi="Arial"/>
          <w:sz w:val="21"/>
          <w:szCs w:val="21"/>
          <w:color w:val="auto"/>
          <w:vertAlign w:val="superscript"/>
        </w:rPr>
        <w:t>th</w:t>
      </w:r>
      <w:r>
        <w:rPr>
          <w:rFonts w:ascii="Arial" w:cs="Arial" w:eastAsia="Arial" w:hAnsi="Arial"/>
          <w:sz w:val="13"/>
          <w:szCs w:val="13"/>
          <w:color w:val="auto"/>
        </w:rPr>
        <w:t>) business day following the date on which it was mailed, unless an interruption of postal services occurs or is continuing on or within the five</w:t>
      </w:r>
    </w:p>
    <w:p>
      <w:pPr>
        <w:ind w:left="1560"/>
        <w:spacing w:after="0"/>
        <w:rPr>
          <w:rFonts w:ascii="Arial" w:cs="Arial" w:eastAsia="Arial" w:hAnsi="Arial"/>
          <w:sz w:val="26"/>
          <w:szCs w:val="26"/>
          <w:color w:val="auto"/>
          <w:vertAlign w:val="superscript"/>
        </w:rPr>
      </w:pPr>
      <w:r>
        <w:rPr>
          <w:rFonts w:ascii="Arial" w:cs="Arial" w:eastAsia="Arial" w:hAnsi="Arial"/>
          <w:sz w:val="13"/>
          <w:szCs w:val="13"/>
          <w:color w:val="auto"/>
        </w:rPr>
        <w:t>(5) business days after the date of mailings in which case the notice shall be deemed to have been received on the fifth (5</w:t>
      </w:r>
      <w:r>
        <w:rPr>
          <w:rFonts w:ascii="Arial" w:cs="Arial" w:eastAsia="Arial" w:hAnsi="Arial"/>
          <w:sz w:val="21"/>
          <w:szCs w:val="21"/>
          <w:color w:val="auto"/>
          <w:vertAlign w:val="superscript"/>
        </w:rPr>
        <w:t>th</w:t>
      </w:r>
      <w:r>
        <w:rPr>
          <w:rFonts w:ascii="Arial" w:cs="Arial" w:eastAsia="Arial" w:hAnsi="Arial"/>
          <w:sz w:val="13"/>
          <w:szCs w:val="13"/>
          <w:color w:val="auto"/>
        </w:rPr>
        <w:t>) business day after postal service resumes;</w:t>
      </w:r>
    </w:p>
    <w:p>
      <w:pPr>
        <w:spacing w:after="0" w:line="93" w:lineRule="exact"/>
        <w:rPr>
          <w:rFonts w:ascii="Arial" w:cs="Arial" w:eastAsia="Arial" w:hAnsi="Arial"/>
          <w:sz w:val="26"/>
          <w:szCs w:val="26"/>
          <w:color w:val="auto"/>
          <w:vertAlign w:val="superscript"/>
        </w:rPr>
      </w:pPr>
    </w:p>
    <w:p>
      <w:pPr>
        <w:ind w:left="1560" w:hanging="518"/>
        <w:spacing w:after="0" w:line="187" w:lineRule="auto"/>
        <w:tabs>
          <w:tab w:leader="none" w:pos="1560" w:val="left"/>
        </w:tabs>
        <w:numPr>
          <w:ilvl w:val="0"/>
          <w:numId w:val="197"/>
        </w:numPr>
        <w:rPr>
          <w:rFonts w:ascii="Arial" w:cs="Arial" w:eastAsia="Arial" w:hAnsi="Arial"/>
          <w:sz w:val="29"/>
          <w:szCs w:val="29"/>
          <w:color w:val="auto"/>
          <w:vertAlign w:val="superscript"/>
        </w:rPr>
      </w:pPr>
      <w:r>
        <w:rPr>
          <w:rFonts w:ascii="Arial" w:cs="Arial" w:eastAsia="Arial" w:hAnsi="Arial"/>
          <w:sz w:val="14"/>
          <w:szCs w:val="14"/>
          <w:color w:val="auto"/>
        </w:rPr>
        <w:t>if sent by e-mail or telecopier, on the day it was received, or on the first (1</w:t>
      </w:r>
      <w:r>
        <w:rPr>
          <w:rFonts w:ascii="Arial" w:cs="Arial" w:eastAsia="Arial" w:hAnsi="Arial"/>
          <w:sz w:val="23"/>
          <w:szCs w:val="23"/>
          <w:color w:val="auto"/>
          <w:vertAlign w:val="superscript"/>
        </w:rPr>
        <w:t>st</w:t>
      </w:r>
      <w:r>
        <w:rPr>
          <w:rFonts w:ascii="Arial" w:cs="Arial" w:eastAsia="Arial" w:hAnsi="Arial"/>
          <w:sz w:val="14"/>
          <w:szCs w:val="14"/>
          <w:color w:val="auto"/>
        </w:rPr>
        <w:t>) business day thereafter if the day on which it was sent was not a business day or outside normal business hours.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Either Party may, by notice to the other, given as aforesaid, designate a changed address e-mail address, or telecopier number.</w:t>
      </w:r>
    </w:p>
    <w:p>
      <w:pPr>
        <w:spacing w:after="0" w:line="18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7.4</w:t>
      </w:r>
      <w:r>
        <w:rPr>
          <w:sz w:val="20"/>
          <w:szCs w:val="20"/>
          <w:color w:val="auto"/>
        </w:rPr>
        <w:tab/>
      </w:r>
      <w:r>
        <w:rPr>
          <w:rFonts w:ascii="Arial" w:cs="Arial" w:eastAsia="Arial" w:hAnsi="Arial"/>
          <w:sz w:val="13"/>
          <w:szCs w:val="13"/>
          <w:b w:val="1"/>
          <w:bCs w:val="1"/>
          <w:color w:val="auto"/>
        </w:rPr>
        <w:t>Severability</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the event any term or any part of any term of this Agreement is determined to be void or unenforceable, such term or part of a term shall be considered separate and severable from this Agreement and the remaining terms shall continue in full force and effect.</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7.5</w:t>
      </w:r>
      <w:r>
        <w:rPr>
          <w:sz w:val="20"/>
          <w:szCs w:val="20"/>
          <w:color w:val="auto"/>
        </w:rPr>
        <w:tab/>
      </w:r>
      <w:r>
        <w:rPr>
          <w:rFonts w:ascii="Arial" w:cs="Arial" w:eastAsia="Arial" w:hAnsi="Arial"/>
          <w:sz w:val="13"/>
          <w:szCs w:val="13"/>
          <w:b w:val="1"/>
          <w:bCs w:val="1"/>
          <w:color w:val="auto"/>
        </w:rPr>
        <w:t>Governing Law &amp; Attornment</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3"/>
          <w:szCs w:val="13"/>
          <w:color w:val="auto"/>
        </w:rPr>
        <w:t>This Agreement shall be governed by and interpreted and enforced in accordance with the laws of the Province of Ontario and the federal laws of Canada applicable therein (excluding any conflict of laws, rule or principle which might refer such interpretation to the laws of another jurisdiction). Subject to Section 7.6, each Party hereby attorns and submits to the exclusive jurisdiction of the Ontario Superior Court of Justice in any action or proceeding arising out of or relating to this Agreement. Further, each Party hereby agrees that service may be made on any Representative of the Parties hereto, whether in Toronto or elsewhere. Finally, each Party hereby agrees that all such claims in respect of such actions or proceedings shall be heard and determined in Toronto in such Ontario court. Notwithstanding any of the foregoing, the Parties acknowledge that a Patent is governed by the laws of its granting jurisdiction.</w:t>
      </w:r>
    </w:p>
    <w:p>
      <w:pPr>
        <w:spacing w:after="0" w:line="129"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7.6</w:t>
      </w:r>
      <w:r>
        <w:rPr>
          <w:sz w:val="20"/>
          <w:szCs w:val="20"/>
          <w:color w:val="auto"/>
        </w:rPr>
        <w:tab/>
      </w:r>
      <w:r>
        <w:rPr>
          <w:rFonts w:ascii="Arial" w:cs="Arial" w:eastAsia="Arial" w:hAnsi="Arial"/>
          <w:sz w:val="13"/>
          <w:szCs w:val="13"/>
          <w:b w:val="1"/>
          <w:bCs w:val="1"/>
          <w:color w:val="auto"/>
        </w:rPr>
        <w:t>Conflict Resolution</w:t>
      </w:r>
    </w:p>
    <w:p>
      <w:pPr>
        <w:spacing w:after="0" w:line="188" w:lineRule="exact"/>
        <w:rPr>
          <w:sz w:val="20"/>
          <w:szCs w:val="20"/>
          <w:color w:val="auto"/>
        </w:rPr>
      </w:pPr>
    </w:p>
    <w:p>
      <w:pPr>
        <w:ind w:left="1040" w:hanging="516"/>
        <w:spacing w:after="0"/>
        <w:tabs>
          <w:tab w:leader="none" w:pos="1040" w:val="left"/>
        </w:tabs>
        <w:numPr>
          <w:ilvl w:val="0"/>
          <w:numId w:val="198"/>
        </w:numPr>
        <w:rPr>
          <w:rFonts w:ascii="Arial" w:cs="Arial" w:eastAsia="Arial" w:hAnsi="Arial"/>
          <w:sz w:val="14"/>
          <w:szCs w:val="14"/>
          <w:color w:val="auto"/>
        </w:rPr>
      </w:pPr>
      <w:r>
        <w:rPr>
          <w:rFonts w:ascii="Arial" w:cs="Arial" w:eastAsia="Arial" w:hAnsi="Arial"/>
          <w:sz w:val="14"/>
          <w:szCs w:val="14"/>
          <w:color w:val="auto"/>
        </w:rPr>
        <w:t>Each Party forthwith following the execution of this Agreement will nominate a Representative to form a committee to address any and all</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26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19" w:name="page320"/>
    <w:bookmarkEnd w:id="319"/>
    <w:p>
      <w:pPr>
        <w:ind w:left="1040"/>
        <w:spacing w:after="0" w:line="294" w:lineRule="auto"/>
        <w:rPr>
          <w:sz w:val="20"/>
          <w:szCs w:val="20"/>
          <w:color w:val="auto"/>
        </w:rPr>
      </w:pPr>
      <w:r>
        <w:rPr>
          <w:rFonts w:ascii="Arial" w:cs="Arial" w:eastAsia="Arial" w:hAnsi="Arial"/>
          <w:sz w:val="14"/>
          <w:szCs w:val="14"/>
          <w:color w:val="auto"/>
        </w:rPr>
        <w:t>conflicts between the Parties hereto pursuant to the terms of this Agreement (the “</w:t>
      </w:r>
      <w:r>
        <w:rPr>
          <w:rFonts w:ascii="Arial" w:cs="Arial" w:eastAsia="Arial" w:hAnsi="Arial"/>
          <w:sz w:val="14"/>
          <w:szCs w:val="14"/>
          <w:b w:val="1"/>
          <w:bCs w:val="1"/>
          <w:color w:val="auto"/>
        </w:rPr>
        <w:t>Committee</w:t>
      </w:r>
      <w:r>
        <w:rPr>
          <w:rFonts w:ascii="Arial" w:cs="Arial" w:eastAsia="Arial" w:hAnsi="Arial"/>
          <w:sz w:val="14"/>
          <w:szCs w:val="14"/>
          <w:color w:val="auto"/>
        </w:rPr>
        <w:t>”). Each Party may change its Representative on the Committee at any time upon written notice to the other Party.</w:t>
      </w:r>
    </w:p>
    <w:p>
      <w:pPr>
        <w:spacing w:after="0" w:line="127" w:lineRule="exact"/>
        <w:rPr>
          <w:sz w:val="20"/>
          <w:szCs w:val="20"/>
          <w:color w:val="auto"/>
        </w:rPr>
      </w:pPr>
    </w:p>
    <w:p>
      <w:pPr>
        <w:jc w:val="both"/>
        <w:ind w:left="1040" w:hanging="516"/>
        <w:spacing w:after="0" w:line="303" w:lineRule="auto"/>
        <w:tabs>
          <w:tab w:leader="none" w:pos="104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If a disagreement between the Parties arises about any matter which is the subject matter of this Agreement, then the aggrieved Party may give written notice to the responding Party and the Committee clearly setting out the matter of contention. The Parties shall have twenty (20) days to resolve their disagreement. If they cannot resolve the disagreement within the said time frame, they shall refer it to the Committee which shall then have ten (10) days to work with both Parties to try and resolve the conflict.</w:t>
      </w:r>
    </w:p>
    <w:p>
      <w:pPr>
        <w:spacing w:after="0" w:line="124" w:lineRule="exact"/>
        <w:rPr>
          <w:rFonts w:ascii="Arial" w:cs="Arial" w:eastAsia="Arial" w:hAnsi="Arial"/>
          <w:sz w:val="13"/>
          <w:szCs w:val="13"/>
          <w:color w:val="auto"/>
        </w:rPr>
      </w:pPr>
    </w:p>
    <w:p>
      <w:pPr>
        <w:ind w:left="1040" w:hanging="516"/>
        <w:spacing w:after="0" w:line="288" w:lineRule="auto"/>
        <w:tabs>
          <w:tab w:leader="none" w:pos="104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If the Committee cannot resolve the conflict within the time period set out above, then the conflict shall be resolved according to Section 7.5 hereof, unless the parties agree to an alternative dispute resolution process, such as mediation or arbitration.</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7.7</w:t>
      </w:r>
      <w:r>
        <w:rPr>
          <w:sz w:val="20"/>
          <w:szCs w:val="20"/>
          <w:color w:val="auto"/>
        </w:rPr>
        <w:tab/>
      </w:r>
      <w:r>
        <w:rPr>
          <w:rFonts w:ascii="Arial" w:cs="Arial" w:eastAsia="Arial" w:hAnsi="Arial"/>
          <w:sz w:val="12"/>
          <w:szCs w:val="12"/>
          <w:b w:val="1"/>
          <w:bCs w:val="1"/>
          <w:color w:val="auto"/>
        </w:rPr>
        <w:t>Further Assurances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Parties agree to execute, acknowledge and deliver all such further instruments, and to do all such other acts, as may be necessary or appropriate to carry out the intent and purpose of this Agreement.</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7.8</w:t>
      </w:r>
      <w:r>
        <w:rPr>
          <w:sz w:val="20"/>
          <w:szCs w:val="20"/>
          <w:color w:val="auto"/>
        </w:rPr>
        <w:tab/>
      </w:r>
      <w:r>
        <w:rPr>
          <w:rFonts w:ascii="Arial" w:cs="Arial" w:eastAsia="Arial" w:hAnsi="Arial"/>
          <w:sz w:val="13"/>
          <w:szCs w:val="13"/>
          <w:b w:val="1"/>
          <w:bCs w:val="1"/>
          <w:color w:val="auto"/>
        </w:rPr>
        <w:t>Waiver of Rights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No failure or delay on a part of a Party hereto in exercising any right, power or remedy hereunder shall operate as a waiver thereof, nor shall any single or partial exercise of any such right, power or remedy preclude any other or future exercise thereof or the exercise of any other right, power or remedy. No waiver by a Party of a default under this Agreement shall operate against that Party as a waiver of such default unless made in writing and signed by an authorized officer of that Party.</w:t>
      </w:r>
    </w:p>
    <w:p>
      <w:pPr>
        <w:spacing w:after="0" w:line="13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7.9</w:t>
      </w:r>
      <w:r>
        <w:rPr>
          <w:sz w:val="20"/>
          <w:szCs w:val="20"/>
          <w:color w:val="auto"/>
        </w:rPr>
        <w:tab/>
      </w:r>
      <w:r>
        <w:rPr>
          <w:rFonts w:ascii="Arial" w:cs="Arial" w:eastAsia="Arial" w:hAnsi="Arial"/>
          <w:sz w:val="12"/>
          <w:szCs w:val="12"/>
          <w:b w:val="1"/>
          <w:bCs w:val="1"/>
          <w:color w:val="auto"/>
        </w:rPr>
        <w:t>Relationship of the Parties</w:t>
      </w:r>
    </w:p>
    <w:p>
      <w:pPr>
        <w:spacing w:after="0" w:line="188" w:lineRule="exact"/>
        <w:rPr>
          <w:sz w:val="20"/>
          <w:szCs w:val="20"/>
          <w:color w:val="auto"/>
        </w:rPr>
      </w:pPr>
    </w:p>
    <w:p>
      <w:pPr>
        <w:jc w:val="both"/>
        <w:ind w:left="1040" w:hanging="516"/>
        <w:spacing w:after="0" w:line="273" w:lineRule="auto"/>
        <w:tabs>
          <w:tab w:leader="none" w:pos="104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The relationship of EMPIRICA to either UT or MAC is that of an independent contractor and neither EMPIRICA nor its agents or employees shall be considered employees of UT or MAC, unless such personnel have an existing employee relationship with either UT or MAC outside of this Agreement. This Agreement does not constitute and shall not be construed as constituting a partnership or joint venture or grant of a franchise between EMPIRICA and the INSTITUTIONS.</w:t>
      </w:r>
    </w:p>
    <w:p>
      <w:pPr>
        <w:spacing w:after="0" w:line="141" w:lineRule="exact"/>
        <w:rPr>
          <w:rFonts w:ascii="Arial" w:cs="Arial" w:eastAsia="Arial" w:hAnsi="Arial"/>
          <w:sz w:val="14"/>
          <w:szCs w:val="14"/>
          <w:color w:val="auto"/>
        </w:rPr>
      </w:pPr>
    </w:p>
    <w:p>
      <w:pPr>
        <w:ind w:left="1040" w:hanging="516"/>
        <w:spacing w:after="0" w:line="329" w:lineRule="auto"/>
        <w:tabs>
          <w:tab w:leader="none" w:pos="1040" w:val="left"/>
        </w:tabs>
        <w:numPr>
          <w:ilvl w:val="0"/>
          <w:numId w:val="200"/>
        </w:numPr>
        <w:rPr>
          <w:rFonts w:ascii="Arial" w:cs="Arial" w:eastAsia="Arial" w:hAnsi="Arial"/>
          <w:sz w:val="13"/>
          <w:szCs w:val="13"/>
          <w:color w:val="auto"/>
        </w:rPr>
      </w:pPr>
      <w:r>
        <w:rPr>
          <w:rFonts w:ascii="Arial" w:cs="Arial" w:eastAsia="Arial" w:hAnsi="Arial"/>
          <w:sz w:val="13"/>
          <w:szCs w:val="13"/>
          <w:color w:val="auto"/>
        </w:rPr>
        <w:t>A Party will not use the name of any other Party, nor any member of such Party’s staff in any advertising or publicity without the prior written approval of an authorized Representative of the body whose name is to be used. However, a Party may notify others of the fact that this Agreement is in effect and of the name of the Parties involved.</w:t>
      </w:r>
    </w:p>
    <w:p>
      <w:pPr>
        <w:spacing w:after="0" w:line="2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27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320" w:name="page321"/>
    <w:bookmarkEnd w:id="320"/>
    <w:p>
      <w:pPr>
        <w:spacing w:after="0"/>
        <w:tabs>
          <w:tab w:leader="none" w:pos="500" w:val="left"/>
        </w:tabs>
        <w:rPr>
          <w:sz w:val="20"/>
          <w:szCs w:val="20"/>
          <w:color w:val="auto"/>
        </w:rPr>
      </w:pPr>
      <w:r>
        <w:rPr>
          <w:rFonts w:ascii="Arial" w:cs="Arial" w:eastAsia="Arial" w:hAnsi="Arial"/>
          <w:sz w:val="14"/>
          <w:szCs w:val="14"/>
          <w:b w:val="1"/>
          <w:bCs w:val="1"/>
          <w:color w:val="auto"/>
        </w:rPr>
        <w:t>7.10</w:t>
      </w:r>
      <w:r>
        <w:rPr>
          <w:sz w:val="20"/>
          <w:szCs w:val="20"/>
          <w:color w:val="auto"/>
        </w:rPr>
        <w:tab/>
      </w:r>
      <w:r>
        <w:rPr>
          <w:rFonts w:ascii="Arial" w:cs="Arial" w:eastAsia="Arial" w:hAnsi="Arial"/>
          <w:sz w:val="13"/>
          <w:szCs w:val="13"/>
          <w:b w:val="1"/>
          <w:bCs w:val="1"/>
          <w:color w:val="auto"/>
        </w:rPr>
        <w:t>Force Majeure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No Party shall be liable to any other party for delay or failure in the performance of any of its obligations hereunder if such failure is caused by Force Majeure, as hereinafter defined. “</w:t>
      </w:r>
      <w:r>
        <w:rPr>
          <w:rFonts w:ascii="Arial" w:cs="Arial" w:eastAsia="Arial" w:hAnsi="Arial"/>
          <w:sz w:val="14"/>
          <w:szCs w:val="14"/>
          <w:b w:val="1"/>
          <w:bCs w:val="1"/>
          <w:color w:val="auto"/>
        </w:rPr>
        <w:t>Force</w:t>
      </w:r>
      <w:r>
        <w:rPr>
          <w:rFonts w:ascii="Arial" w:cs="Arial" w:eastAsia="Arial" w:hAnsi="Arial"/>
          <w:sz w:val="14"/>
          <w:szCs w:val="14"/>
          <w:color w:val="auto"/>
        </w:rPr>
        <w:t xml:space="preserve"> </w:t>
      </w:r>
      <w:r>
        <w:rPr>
          <w:rFonts w:ascii="Arial" w:cs="Arial" w:eastAsia="Arial" w:hAnsi="Arial"/>
          <w:sz w:val="14"/>
          <w:szCs w:val="14"/>
          <w:b w:val="1"/>
          <w:bCs w:val="1"/>
          <w:color w:val="auto"/>
        </w:rPr>
        <w:t>Majeure</w:t>
      </w:r>
      <w:r>
        <w:rPr>
          <w:rFonts w:ascii="Arial" w:cs="Arial" w:eastAsia="Arial" w:hAnsi="Arial"/>
          <w:sz w:val="14"/>
          <w:szCs w:val="14"/>
          <w:color w:val="auto"/>
        </w:rPr>
        <w:t>” means any act of God, action or failure to act of any government or governmental or regulatory authority, failure of supplies, materials, equipment, labour or transportation being</w:t>
      </w:r>
      <w:r>
        <w:rPr>
          <w:rFonts w:ascii="Arial" w:cs="Arial" w:eastAsia="Arial" w:hAnsi="Arial"/>
          <w:sz w:val="14"/>
          <w:szCs w:val="14"/>
          <w:b w:val="1"/>
          <w:bCs w:val="1"/>
          <w:color w:val="auto"/>
        </w:rPr>
        <w:t xml:space="preserve"> </w:t>
      </w:r>
      <w:r>
        <w:rPr>
          <w:rFonts w:ascii="Arial" w:cs="Arial" w:eastAsia="Arial" w:hAnsi="Arial"/>
          <w:sz w:val="14"/>
          <w:szCs w:val="14"/>
          <w:color w:val="auto"/>
        </w:rPr>
        <w:t>provided by any other person, power failure or shortage, strike, lockout, work slowdown or stoppage, accident, fire, flood, explosion, storm, other natural occurrence, sabotage, act of terrorism, cyberattack, or other event beyond the control of the relevant party.</w:t>
      </w:r>
    </w:p>
    <w:p>
      <w:pPr>
        <w:spacing w:after="0" w:line="141"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7.11</w:t>
      </w:r>
      <w:r>
        <w:rPr>
          <w:sz w:val="20"/>
          <w:szCs w:val="20"/>
          <w:color w:val="auto"/>
        </w:rPr>
        <w:tab/>
      </w:r>
      <w:r>
        <w:rPr>
          <w:rFonts w:ascii="Arial" w:cs="Arial" w:eastAsia="Arial" w:hAnsi="Arial"/>
          <w:sz w:val="12"/>
          <w:szCs w:val="12"/>
          <w:b w:val="1"/>
          <w:bCs w:val="1"/>
          <w:color w:val="auto"/>
        </w:rPr>
        <w:t>Rights and Remedies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the event that any Party should breach or violate any covenant or obligation in this Agreement, the non-breaching Party shall be entitled, subject to Section 7.6 hereof, to exercise any right or remedy available to it at law. Such rights shall include, without limitation, termination of this Agreement, and damages.</w:t>
      </w:r>
    </w:p>
    <w:p>
      <w:pPr>
        <w:spacing w:after="0" w:line="12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7.12</w:t>
      </w:r>
      <w:r>
        <w:rPr>
          <w:sz w:val="20"/>
          <w:szCs w:val="20"/>
          <w:color w:val="auto"/>
        </w:rPr>
        <w:tab/>
      </w:r>
      <w:r>
        <w:rPr>
          <w:rFonts w:ascii="Arial" w:cs="Arial" w:eastAsia="Arial" w:hAnsi="Arial"/>
          <w:sz w:val="13"/>
          <w:szCs w:val="13"/>
          <w:b w:val="1"/>
          <w:bCs w:val="1"/>
          <w:color w:val="auto"/>
        </w:rPr>
        <w:t>Entire Agreement</w:t>
      </w:r>
    </w:p>
    <w:p>
      <w:pPr>
        <w:spacing w:after="0" w:line="188" w:lineRule="exact"/>
        <w:rPr>
          <w:sz w:val="20"/>
          <w:szCs w:val="20"/>
          <w:color w:val="auto"/>
        </w:rPr>
      </w:pPr>
    </w:p>
    <w:p>
      <w:pPr>
        <w:jc w:val="both"/>
        <w:spacing w:after="0" w:line="303" w:lineRule="auto"/>
        <w:rPr>
          <w:sz w:val="20"/>
          <w:szCs w:val="20"/>
          <w:color w:val="auto"/>
        </w:rPr>
      </w:pPr>
      <w:r>
        <w:rPr>
          <w:rFonts w:ascii="Arial" w:cs="Arial" w:eastAsia="Arial" w:hAnsi="Arial"/>
          <w:sz w:val="13"/>
          <w:szCs w:val="13"/>
          <w:color w:val="auto"/>
        </w:rPr>
        <w:t>This Agreement, including all attached Schedules which are hereby incorporated by reference, sets forth the entire agreement and understanding of the Parties relating to the subject matter contained herein and merges all prior discussions and agreements between them, and neither Party shall be bound by any definition, condition, warranty or representation other than expressly stated in this Agreement. Any amendment to this Agreement shall not be effective unless it is in writing and signed by the duly authorized signing officers of each Party.</w:t>
      </w:r>
    </w:p>
    <w:p>
      <w:pPr>
        <w:spacing w:after="0" w:line="120"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7.13</w:t>
      </w:r>
      <w:r>
        <w:rPr>
          <w:sz w:val="20"/>
          <w:szCs w:val="20"/>
          <w:color w:val="auto"/>
        </w:rPr>
        <w:tab/>
      </w:r>
      <w:r>
        <w:rPr>
          <w:rFonts w:ascii="Arial" w:cs="Arial" w:eastAsia="Arial" w:hAnsi="Arial"/>
          <w:sz w:val="12"/>
          <w:szCs w:val="12"/>
          <w:b w:val="1"/>
          <w:bCs w:val="1"/>
          <w:color w:val="auto"/>
        </w:rPr>
        <w:t>Electronic or Facsimile Execution</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To evidence the fact that it has executed this Agreement, a Party may send a copy of its executed counterpart to the other Party in .pdf format by e-mail, or by facsimile transmission. That Party shall be deemed to have executed this Agreement on the date it sent such e-mail or facsimile transmission. In such event, such Party shall forthwith deliver to the other Party the counterpart of this Agreement executed by such Party.</w:t>
      </w:r>
    </w:p>
    <w:p>
      <w:pPr>
        <w:spacing w:after="0" w:line="137"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7.14</w:t>
      </w:r>
      <w:r>
        <w:rPr>
          <w:sz w:val="20"/>
          <w:szCs w:val="20"/>
          <w:color w:val="auto"/>
        </w:rPr>
        <w:tab/>
      </w:r>
      <w:r>
        <w:rPr>
          <w:rFonts w:ascii="Arial" w:cs="Arial" w:eastAsia="Arial" w:hAnsi="Arial"/>
          <w:sz w:val="13"/>
          <w:szCs w:val="13"/>
          <w:b w:val="1"/>
          <w:bCs w:val="1"/>
          <w:color w:val="auto"/>
        </w:rPr>
        <w:t>Counterparts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This Agreement may be executed in one or more counterparts, each of which shall be deemed to be an original and all of which, together, shall constitute one and the same instrument.</w:t>
      </w:r>
    </w:p>
    <w:p>
      <w:pPr>
        <w:spacing w:after="0" w:line="192"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b w:val="1"/>
          <w:bCs w:val="1"/>
          <w:color w:val="auto"/>
        </w:rPr>
        <w:t>7.15</w:t>
      </w:r>
      <w:r>
        <w:rPr>
          <w:sz w:val="20"/>
          <w:szCs w:val="20"/>
          <w:color w:val="auto"/>
        </w:rPr>
        <w:tab/>
      </w:r>
      <w:r>
        <w:rPr>
          <w:rFonts w:ascii="Arial" w:cs="Arial" w:eastAsia="Arial" w:hAnsi="Arial"/>
          <w:sz w:val="11"/>
          <w:szCs w:val="11"/>
          <w:b w:val="1"/>
          <w:bCs w:val="1"/>
          <w:color w:val="auto"/>
        </w:rPr>
        <w:t>Succession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This Agreement shall be binding upon and enure to the benefit of the Parties hereto and their respective heirs, executors, administrators and other legal Representative and, to the</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28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321" w:name="page322"/>
    <w:bookmarkEnd w:id="321"/>
    <w:p>
      <w:pPr>
        <w:spacing w:after="0"/>
        <w:rPr>
          <w:sz w:val="20"/>
          <w:szCs w:val="20"/>
          <w:color w:val="auto"/>
        </w:rPr>
      </w:pPr>
      <w:r>
        <w:rPr>
          <w:rFonts w:ascii="Arial" w:cs="Arial" w:eastAsia="Arial" w:hAnsi="Arial"/>
          <w:sz w:val="14"/>
          <w:szCs w:val="14"/>
          <w:color w:val="auto"/>
        </w:rPr>
        <w:t>extent permitted hereunder, their respective successors and permitted assigns.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Parties have caused this Agreement to be executed as of the Effective Date in a legally binding manner.</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29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22" w:name="page323"/>
    <w:bookmarkEnd w:id="322"/>
    <w:tbl>
      <w:tblPr>
        <w:tblLayout w:type="fixed"/>
        <w:tblInd w:w="0" w:type="dxa"/>
        <w:tblCellMar>
          <w:top w:w="0" w:type="dxa"/>
          <w:left w:w="0" w:type="dxa"/>
          <w:bottom w:w="0" w:type="dxa"/>
          <w:right w:w="0" w:type="dxa"/>
        </w:tblCellMar>
      </w:tblPr>
      <w:tr>
        <w:trPr>
          <w:trHeight w:val="186"/>
        </w:trPr>
        <w:tc>
          <w:tcPr>
            <w:tcW w:w="3960" w:type="dxa"/>
            <w:vAlign w:val="bottom"/>
            <w:gridSpan w:val="4"/>
          </w:tcPr>
          <w:p>
            <w:pPr>
              <w:spacing w:after="0"/>
              <w:rPr>
                <w:sz w:val="20"/>
                <w:szCs w:val="20"/>
                <w:color w:val="auto"/>
              </w:rPr>
            </w:pPr>
            <w:r>
              <w:rPr>
                <w:rFonts w:ascii="Arial" w:cs="Arial" w:eastAsia="Arial" w:hAnsi="Arial"/>
                <w:sz w:val="14"/>
                <w:szCs w:val="14"/>
                <w:b w:val="1"/>
                <w:bCs w:val="1"/>
                <w:color w:val="auto"/>
              </w:rPr>
              <w:t>EMPIRICA THERAPEUTICS</w:t>
            </w:r>
          </w:p>
        </w:tc>
        <w:tc>
          <w:tcPr>
            <w:tcW w:w="6160" w:type="dxa"/>
            <w:vAlign w:val="bottom"/>
            <w:gridSpan w:val="3"/>
          </w:tcPr>
          <w:p>
            <w:pPr>
              <w:ind w:left="1680"/>
              <w:spacing w:after="0"/>
              <w:rPr>
                <w:sz w:val="20"/>
                <w:szCs w:val="20"/>
                <w:color w:val="auto"/>
              </w:rPr>
            </w:pPr>
            <w:r>
              <w:rPr>
                <w:rFonts w:ascii="Arial" w:cs="Arial" w:eastAsia="Arial" w:hAnsi="Arial"/>
                <w:sz w:val="14"/>
                <w:szCs w:val="14"/>
                <w:b w:val="1"/>
                <w:bCs w:val="1"/>
                <w:color w:val="auto"/>
              </w:rPr>
              <w:t>THE GOVERNING COUNCIL OF THE UNIVERSITY OF TORONTO</w:t>
            </w:r>
          </w:p>
        </w:tc>
      </w:tr>
      <w:tr>
        <w:trPr>
          <w:trHeight w:val="314"/>
        </w:trPr>
        <w:tc>
          <w:tcPr>
            <w:tcW w:w="480" w:type="dxa"/>
            <w:vAlign w:val="bottom"/>
          </w:tcPr>
          <w:p>
            <w:pPr>
              <w:spacing w:after="0"/>
              <w:rPr>
                <w:sz w:val="20"/>
                <w:szCs w:val="20"/>
                <w:color w:val="auto"/>
              </w:rPr>
            </w:pPr>
            <w:r>
              <w:rPr>
                <w:rFonts w:ascii="Arial" w:cs="Arial" w:eastAsia="Arial" w:hAnsi="Arial"/>
                <w:sz w:val="14"/>
                <w:szCs w:val="14"/>
                <w:color w:val="auto"/>
              </w:rPr>
              <w:t>By:</w:t>
            </w:r>
          </w:p>
        </w:tc>
        <w:tc>
          <w:tcPr>
            <w:tcW w:w="900" w:type="dxa"/>
            <w:vAlign w:val="bottom"/>
          </w:tcPr>
          <w:p>
            <w:pPr>
              <w:spacing w:after="0"/>
              <w:rPr>
                <w:sz w:val="20"/>
                <w:szCs w:val="20"/>
                <w:color w:val="auto"/>
              </w:rPr>
            </w:pPr>
            <w:r>
              <w:rPr>
                <w:rFonts w:ascii="Arial" w:cs="Arial" w:eastAsia="Arial" w:hAnsi="Arial"/>
                <w:sz w:val="14"/>
                <w:szCs w:val="14"/>
                <w:color w:val="auto"/>
                <w:w w:val="90"/>
              </w:rPr>
              <w:t>/s/ Sheila Singh</w:t>
            </w:r>
          </w:p>
        </w:tc>
        <w:tc>
          <w:tcPr>
            <w:tcW w:w="2580" w:type="dxa"/>
            <w:vAlign w:val="bottom"/>
            <w:gridSpan w:val="2"/>
          </w:tcPr>
          <w:p>
            <w:pPr>
              <w:spacing w:after="0"/>
              <w:rPr>
                <w:sz w:val="24"/>
                <w:szCs w:val="24"/>
                <w:color w:val="auto"/>
              </w:rPr>
            </w:pPr>
          </w:p>
        </w:tc>
        <w:tc>
          <w:tcPr>
            <w:tcW w:w="2160" w:type="dxa"/>
            <w:vAlign w:val="bottom"/>
          </w:tcPr>
          <w:p>
            <w:pPr>
              <w:ind w:left="1680"/>
              <w:spacing w:after="0"/>
              <w:rPr>
                <w:sz w:val="20"/>
                <w:szCs w:val="20"/>
                <w:color w:val="auto"/>
              </w:rPr>
            </w:pPr>
            <w:r>
              <w:rPr>
                <w:rFonts w:ascii="Arial" w:cs="Arial" w:eastAsia="Arial" w:hAnsi="Arial"/>
                <w:sz w:val="14"/>
                <w:szCs w:val="14"/>
                <w:color w:val="auto"/>
              </w:rPr>
              <w:t>By:</w:t>
            </w:r>
          </w:p>
        </w:tc>
        <w:tc>
          <w:tcPr>
            <w:tcW w:w="4000" w:type="dxa"/>
            <w:vAlign w:val="bottom"/>
            <w:gridSpan w:val="2"/>
          </w:tcPr>
          <w:p>
            <w:pPr>
              <w:spacing w:after="0"/>
              <w:rPr>
                <w:sz w:val="20"/>
                <w:szCs w:val="20"/>
                <w:color w:val="auto"/>
              </w:rPr>
            </w:pPr>
            <w:r>
              <w:rPr>
                <w:rFonts w:ascii="Arial" w:cs="Arial" w:eastAsia="Arial" w:hAnsi="Arial"/>
                <w:sz w:val="14"/>
                <w:szCs w:val="14"/>
                <w:color w:val="auto"/>
              </w:rPr>
              <w:t>/s/ Jennifer Fraser</w:t>
            </w:r>
          </w:p>
        </w:tc>
      </w:tr>
      <w:tr>
        <w:trPr>
          <w:trHeight w:val="184"/>
        </w:trPr>
        <w:tc>
          <w:tcPr>
            <w:tcW w:w="480" w:type="dxa"/>
            <w:vAlign w:val="bottom"/>
          </w:tcPr>
          <w:p>
            <w:pPr>
              <w:spacing w:after="0"/>
              <w:rPr>
                <w:sz w:val="15"/>
                <w:szCs w:val="15"/>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(Signature)</w:t>
            </w:r>
          </w:p>
        </w:tc>
        <w:tc>
          <w:tcPr>
            <w:tcW w:w="2580" w:type="dxa"/>
            <w:vAlign w:val="bottom"/>
            <w:gridSpan w:val="2"/>
          </w:tcPr>
          <w:p>
            <w:pPr>
              <w:spacing w:after="0"/>
              <w:rPr>
                <w:sz w:val="15"/>
                <w:szCs w:val="15"/>
                <w:color w:val="auto"/>
              </w:rPr>
            </w:pPr>
          </w:p>
        </w:tc>
        <w:tc>
          <w:tcPr>
            <w:tcW w:w="2160" w:type="dxa"/>
            <w:vAlign w:val="bottom"/>
          </w:tcPr>
          <w:p>
            <w:pPr>
              <w:spacing w:after="0"/>
              <w:rPr>
                <w:sz w:val="15"/>
                <w:szCs w:val="15"/>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(Signature)</w:t>
            </w:r>
          </w:p>
        </w:tc>
        <w:tc>
          <w:tcPr>
            <w:tcW w:w="2980" w:type="dxa"/>
            <w:vAlign w:val="bottom"/>
          </w:tcPr>
          <w:p>
            <w:pPr>
              <w:spacing w:after="0"/>
              <w:rPr>
                <w:sz w:val="15"/>
                <w:szCs w:val="15"/>
                <w:color w:val="auto"/>
              </w:rPr>
            </w:pPr>
          </w:p>
        </w:tc>
      </w:tr>
      <w:tr>
        <w:trPr>
          <w:trHeight w:val="345"/>
        </w:trPr>
        <w:tc>
          <w:tcPr>
            <w:tcW w:w="3960" w:type="dxa"/>
            <w:vAlign w:val="bottom"/>
            <w:gridSpan w:val="4"/>
          </w:tcPr>
          <w:p>
            <w:pPr>
              <w:spacing w:after="0"/>
              <w:rPr>
                <w:sz w:val="20"/>
                <w:szCs w:val="20"/>
                <w:color w:val="auto"/>
              </w:rPr>
            </w:pPr>
            <w:r>
              <w:rPr>
                <w:rFonts w:ascii="Arial" w:cs="Arial" w:eastAsia="Arial" w:hAnsi="Arial"/>
                <w:sz w:val="14"/>
                <w:szCs w:val="14"/>
                <w:color w:val="auto"/>
              </w:rPr>
              <w:t>Name: Sheila Singh, MD, PhD, FRCS</w:t>
            </w:r>
          </w:p>
        </w:tc>
        <w:tc>
          <w:tcPr>
            <w:tcW w:w="6160" w:type="dxa"/>
            <w:vAlign w:val="bottom"/>
            <w:gridSpan w:val="3"/>
          </w:tcPr>
          <w:p>
            <w:pPr>
              <w:ind w:left="1680"/>
              <w:spacing w:after="0"/>
              <w:rPr>
                <w:sz w:val="20"/>
                <w:szCs w:val="20"/>
                <w:color w:val="auto"/>
              </w:rPr>
            </w:pPr>
            <w:r>
              <w:rPr>
                <w:rFonts w:ascii="Arial" w:cs="Arial" w:eastAsia="Arial" w:hAnsi="Arial"/>
                <w:sz w:val="14"/>
                <w:szCs w:val="14"/>
                <w:color w:val="auto"/>
              </w:rPr>
              <w:t>Name: Jennifer Fraser, MSC, MBA</w:t>
            </w:r>
          </w:p>
        </w:tc>
      </w:tr>
      <w:tr>
        <w:trPr>
          <w:trHeight w:val="345"/>
        </w:trPr>
        <w:tc>
          <w:tcPr>
            <w:tcW w:w="480" w:type="dxa"/>
            <w:vAlign w:val="bottom"/>
          </w:tcPr>
          <w:p>
            <w:pPr>
              <w:spacing w:after="0"/>
              <w:rPr>
                <w:sz w:val="20"/>
                <w:szCs w:val="20"/>
                <w:color w:val="auto"/>
              </w:rPr>
            </w:pPr>
            <w:r>
              <w:rPr>
                <w:rFonts w:ascii="Arial" w:cs="Arial" w:eastAsia="Arial" w:hAnsi="Arial"/>
                <w:sz w:val="14"/>
                <w:szCs w:val="14"/>
                <w:color w:val="auto"/>
              </w:rPr>
              <w:t>Title:</w:t>
            </w:r>
          </w:p>
        </w:tc>
        <w:tc>
          <w:tcPr>
            <w:tcW w:w="3480" w:type="dxa"/>
            <w:vAlign w:val="bottom"/>
            <w:gridSpan w:val="3"/>
          </w:tcPr>
          <w:p>
            <w:pPr>
              <w:spacing w:after="0"/>
              <w:rPr>
                <w:sz w:val="20"/>
                <w:szCs w:val="20"/>
                <w:color w:val="auto"/>
              </w:rPr>
            </w:pPr>
            <w:r>
              <w:rPr>
                <w:rFonts w:ascii="Arial" w:cs="Arial" w:eastAsia="Arial" w:hAnsi="Arial"/>
                <w:sz w:val="14"/>
                <w:szCs w:val="14"/>
                <w:color w:val="auto"/>
              </w:rPr>
              <w:t>CEO</w:t>
            </w:r>
          </w:p>
        </w:tc>
        <w:tc>
          <w:tcPr>
            <w:tcW w:w="2160" w:type="dxa"/>
            <w:vAlign w:val="bottom"/>
          </w:tcPr>
          <w:p>
            <w:pPr>
              <w:ind w:left="1680"/>
              <w:spacing w:after="0"/>
              <w:rPr>
                <w:sz w:val="20"/>
                <w:szCs w:val="20"/>
                <w:color w:val="auto"/>
              </w:rPr>
            </w:pPr>
            <w:r>
              <w:rPr>
                <w:rFonts w:ascii="Arial" w:cs="Arial" w:eastAsia="Arial" w:hAnsi="Arial"/>
                <w:sz w:val="14"/>
                <w:szCs w:val="14"/>
                <w:color w:val="auto"/>
              </w:rPr>
              <w:t>Title:</w:t>
            </w:r>
          </w:p>
        </w:tc>
        <w:tc>
          <w:tcPr>
            <w:tcW w:w="4000" w:type="dxa"/>
            <w:vAlign w:val="bottom"/>
            <w:gridSpan w:val="2"/>
          </w:tcPr>
          <w:p>
            <w:pPr>
              <w:spacing w:after="0"/>
              <w:rPr>
                <w:sz w:val="20"/>
                <w:szCs w:val="20"/>
                <w:color w:val="auto"/>
              </w:rPr>
            </w:pPr>
            <w:r>
              <w:rPr>
                <w:rFonts w:ascii="Arial" w:cs="Arial" w:eastAsia="Arial" w:hAnsi="Arial"/>
                <w:sz w:val="14"/>
                <w:szCs w:val="14"/>
                <w:color w:val="auto"/>
              </w:rPr>
              <w:t>Director, Innovations</w:t>
            </w:r>
          </w:p>
        </w:tc>
      </w:tr>
      <w:tr>
        <w:trPr>
          <w:trHeight w:val="345"/>
        </w:trPr>
        <w:tc>
          <w:tcPr>
            <w:tcW w:w="3960" w:type="dxa"/>
            <w:vAlign w:val="bottom"/>
            <w:gridSpan w:val="4"/>
          </w:tcPr>
          <w:p>
            <w:pPr>
              <w:spacing w:after="0"/>
              <w:rPr>
                <w:sz w:val="20"/>
                <w:szCs w:val="20"/>
                <w:color w:val="auto"/>
              </w:rPr>
            </w:pPr>
            <w:r>
              <w:rPr>
                <w:rFonts w:ascii="Arial" w:cs="Arial" w:eastAsia="Arial" w:hAnsi="Arial"/>
                <w:sz w:val="14"/>
                <w:szCs w:val="14"/>
                <w:b w:val="1"/>
                <w:bCs w:val="1"/>
                <w:color w:val="auto"/>
              </w:rPr>
              <w:t>MCMASTER UNIVERSITY</w:t>
            </w:r>
          </w:p>
        </w:tc>
        <w:tc>
          <w:tcPr>
            <w:tcW w:w="2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14"/>
        </w:trPr>
        <w:tc>
          <w:tcPr>
            <w:tcW w:w="480" w:type="dxa"/>
            <w:vAlign w:val="bottom"/>
          </w:tcPr>
          <w:p>
            <w:pPr>
              <w:spacing w:after="0"/>
              <w:rPr>
                <w:sz w:val="20"/>
                <w:szCs w:val="20"/>
                <w:color w:val="auto"/>
              </w:rPr>
            </w:pPr>
            <w:r>
              <w:rPr>
                <w:rFonts w:ascii="Arial" w:cs="Arial" w:eastAsia="Arial" w:hAnsi="Arial"/>
                <w:sz w:val="14"/>
                <w:szCs w:val="14"/>
                <w:color w:val="auto"/>
              </w:rPr>
              <w:t>By:</w:t>
            </w:r>
          </w:p>
        </w:tc>
        <w:tc>
          <w:tcPr>
            <w:tcW w:w="3480" w:type="dxa"/>
            <w:vAlign w:val="bottom"/>
            <w:gridSpan w:val="3"/>
          </w:tcPr>
          <w:p>
            <w:pPr>
              <w:spacing w:after="0"/>
              <w:rPr>
                <w:sz w:val="20"/>
                <w:szCs w:val="20"/>
                <w:color w:val="auto"/>
              </w:rPr>
            </w:pPr>
            <w:r>
              <w:rPr>
                <w:rFonts w:ascii="Arial" w:cs="Arial" w:eastAsia="Arial" w:hAnsi="Arial"/>
                <w:sz w:val="14"/>
                <w:szCs w:val="14"/>
                <w:color w:val="auto"/>
              </w:rPr>
              <w:t>/s/ Gay Yuyitung</w:t>
            </w:r>
          </w:p>
        </w:tc>
        <w:tc>
          <w:tcPr>
            <w:tcW w:w="2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184"/>
        </w:trPr>
        <w:tc>
          <w:tcPr>
            <w:tcW w:w="480" w:type="dxa"/>
            <w:vAlign w:val="bottom"/>
          </w:tcPr>
          <w:p>
            <w:pPr>
              <w:spacing w:after="0"/>
              <w:rPr>
                <w:sz w:val="15"/>
                <w:szCs w:val="15"/>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(Signature)</w:t>
            </w:r>
          </w:p>
        </w:tc>
        <w:tc>
          <w:tcPr>
            <w:tcW w:w="25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80" w:type="dxa"/>
            <w:vAlign w:val="bottom"/>
          </w:tcPr>
          <w:p>
            <w:pPr>
              <w:spacing w:after="0"/>
              <w:rPr>
                <w:sz w:val="15"/>
                <w:szCs w:val="15"/>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Name: Gay Yuyitung</w:t>
      </w:r>
    </w:p>
    <w:p>
      <w:pPr>
        <w:spacing w:after="0" w:line="184"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Title:</w:t>
        <w:tab/>
        <w:t>Director, McMaster Industrial Liaison Office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Acknowledged by:</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CENTRE FOR THE COMMERCIALIZATION OF ANTIBODIES AND</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BIOLOGICS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20"/>
                <w:szCs w:val="20"/>
                <w:color w:val="auto"/>
              </w:rPr>
            </w:pPr>
            <w:r>
              <w:rPr>
                <w:rFonts w:ascii="Arial" w:cs="Arial" w:eastAsia="Arial" w:hAnsi="Arial"/>
                <w:sz w:val="14"/>
                <w:szCs w:val="14"/>
                <w:color w:val="auto"/>
              </w:rPr>
              <w:t>By:</w:t>
            </w:r>
          </w:p>
        </w:tc>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/s/ Robert Verhagen</w:t>
            </w:r>
          </w:p>
        </w:tc>
      </w:tr>
      <w:tr>
        <w:trPr>
          <w:trHeight w:val="184"/>
        </w:trPr>
        <w:tc>
          <w:tcPr>
            <w:tcW w:w="48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(Signature)</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Name: Robert Verhagen</w:t>
      </w:r>
    </w:p>
    <w:p>
      <w:pPr>
        <w:spacing w:after="0" w:line="184"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Title:</w:t>
        <w:tab/>
        <w:t>CEO</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30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1075" w:right="319" w:bottom="1440" w:gutter="0" w:footer="0" w:header="0"/>
        </w:sectPr>
      </w:pPr>
    </w:p>
    <w:bookmarkStart w:id="323" w:name="page324"/>
    <w:bookmarkEnd w:id="323"/>
    <w:p>
      <w:pPr>
        <w:jc w:val="center"/>
        <w:spacing w:after="0"/>
        <w:rPr>
          <w:sz w:val="20"/>
          <w:szCs w:val="20"/>
          <w:color w:val="auto"/>
        </w:rPr>
      </w:pPr>
      <w:r>
        <w:rPr>
          <w:rFonts w:ascii="Arial" w:cs="Arial" w:eastAsia="Arial" w:hAnsi="Arial"/>
          <w:sz w:val="14"/>
          <w:szCs w:val="14"/>
          <w:b w:val="1"/>
          <w:bCs w:val="1"/>
          <w:color w:val="auto"/>
        </w:rPr>
        <w:t>SCHEDULE “A”</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Option to License And Term Sheet</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31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324" w:name="page325"/>
    <w:bookmarkEnd w:id="324"/>
    <w:p>
      <w:pPr>
        <w:jc w:val="center"/>
        <w:spacing w:after="0"/>
        <w:rPr>
          <w:sz w:val="20"/>
          <w:szCs w:val="20"/>
          <w:color w:val="auto"/>
        </w:rPr>
      </w:pPr>
      <w:r>
        <w:rPr>
          <w:rFonts w:ascii="Arial" w:cs="Arial" w:eastAsia="Arial" w:hAnsi="Arial"/>
          <w:sz w:val="14"/>
          <w:szCs w:val="14"/>
          <w:b w:val="1"/>
          <w:bCs w:val="1"/>
          <w:color w:val="auto"/>
        </w:rPr>
        <w:t>SCHEDULE “B”</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LICENSED INVENTIONS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32 of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59625" cy="69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9625" cy="698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325" w:name="page326"/>
    <w:bookmarkEnd w:id="325"/>
    <w:p>
      <w:pPr>
        <w:jc w:val="right"/>
        <w:spacing w:after="0"/>
        <w:rPr>
          <w:sz w:val="20"/>
          <w:szCs w:val="20"/>
          <w:color w:val="auto"/>
        </w:rPr>
      </w:pPr>
      <w:r>
        <w:rPr>
          <w:rFonts w:ascii="Arial" w:cs="Arial" w:eastAsia="Arial" w:hAnsi="Arial"/>
          <w:sz w:val="14"/>
          <w:szCs w:val="14"/>
          <w:b w:val="1"/>
          <w:bCs w:val="1"/>
          <w:color w:val="auto"/>
        </w:rPr>
        <w:t>Exhibit 10.27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1986915" cy="4521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986915" cy="45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7220" w:type="dxa"/>
            <w:vAlign w:val="bottom"/>
          </w:tcPr>
          <w:p>
            <w:pPr>
              <w:ind w:left="260"/>
              <w:spacing w:after="0"/>
              <w:rPr>
                <w:sz w:val="20"/>
                <w:szCs w:val="20"/>
                <w:color w:val="auto"/>
              </w:rPr>
            </w:pPr>
            <w:r>
              <w:rPr>
                <w:rFonts w:ascii="Arial" w:cs="Arial" w:eastAsia="Arial" w:hAnsi="Arial"/>
                <w:sz w:val="14"/>
                <w:szCs w:val="14"/>
                <w:b w:val="1"/>
                <w:bCs w:val="1"/>
                <w:color w:val="auto"/>
              </w:rPr>
              <w:t>MAD7 Research and Development License</w:t>
            </w:r>
          </w:p>
        </w:tc>
      </w:tr>
      <w:tr>
        <w:trPr>
          <w:trHeight w:val="187"/>
        </w:trPr>
        <w:tc>
          <w:tcPr>
            <w:tcW w:w="4080" w:type="dxa"/>
            <w:vAlign w:val="bottom"/>
            <w:tcBorders>
              <w:bottom w:val="single" w:sz="8" w:color="auto"/>
            </w:tcBorders>
          </w:tcPr>
          <w:p>
            <w:pPr>
              <w:spacing w:after="0"/>
              <w:rPr>
                <w:sz w:val="16"/>
                <w:szCs w:val="16"/>
                <w:color w:val="auto"/>
              </w:rPr>
            </w:pPr>
          </w:p>
        </w:tc>
        <w:tc>
          <w:tcPr>
            <w:tcW w:w="72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Effective January 1, 2019</w:t>
            </w:r>
          </w:p>
        </w:tc>
      </w:tr>
      <w:tr>
        <w:trPr>
          <w:trHeight w:val="164"/>
        </w:trPr>
        <w:tc>
          <w:tcPr>
            <w:tcW w:w="40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TERMS</w:t>
            </w:r>
          </w:p>
        </w:tc>
        <w:tc>
          <w:tcPr>
            <w:tcW w:w="7220" w:type="dxa"/>
            <w:vAlign w:val="bottom"/>
            <w:tcBorders>
              <w:bottom w:val="single" w:sz="8" w:color="auto"/>
              <w:right w:val="single" w:sz="8" w:color="auto"/>
            </w:tcBorders>
          </w:tcPr>
          <w:p>
            <w:pPr>
              <w:spacing w:after="0"/>
              <w:rPr>
                <w:sz w:val="14"/>
                <w:szCs w:val="14"/>
                <w:color w:val="auto"/>
              </w:rPr>
            </w:pPr>
          </w:p>
        </w:tc>
      </w:tr>
      <w:tr>
        <w:trPr>
          <w:trHeight w:val="153"/>
        </w:trPr>
        <w:tc>
          <w:tcPr>
            <w:tcW w:w="408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License Type</w:t>
            </w:r>
          </w:p>
        </w:tc>
        <w:tc>
          <w:tcPr>
            <w:tcW w:w="7220" w:type="dxa"/>
            <w:vAlign w:val="bottom"/>
            <w:tcBorders>
              <w:right w:val="single" w:sz="8" w:color="auto"/>
            </w:tcBorders>
          </w:tcPr>
          <w:p>
            <w:pPr>
              <w:spacing w:after="0" w:line="153" w:lineRule="exact"/>
              <w:rPr>
                <w:sz w:val="20"/>
                <w:szCs w:val="20"/>
                <w:color w:val="auto"/>
              </w:rPr>
            </w:pPr>
            <w:r>
              <w:rPr>
                <w:rFonts w:ascii="Arial" w:cs="Arial" w:eastAsia="Arial" w:hAnsi="Arial"/>
                <w:sz w:val="14"/>
                <w:szCs w:val="14"/>
                <w:color w:val="auto"/>
                <w:w w:val="97"/>
              </w:rPr>
              <w:t>Non-exclusive, non-transferable license in the Licensed Fields of Use from Inscripta, Inc. for research and development</w:t>
            </w:r>
          </w:p>
        </w:tc>
      </w:tr>
      <w:tr>
        <w:trPr>
          <w:trHeight w:val="173"/>
        </w:trPr>
        <w:tc>
          <w:tcPr>
            <w:tcW w:w="4080" w:type="dxa"/>
            <w:vAlign w:val="bottom"/>
            <w:tcBorders>
              <w:left w:val="single" w:sz="8" w:color="auto"/>
              <w:right w:val="single" w:sz="8" w:color="auto"/>
            </w:tcBorders>
          </w:tcPr>
          <w:p>
            <w:pPr>
              <w:spacing w:after="0"/>
              <w:rPr>
                <w:sz w:val="15"/>
                <w:szCs w:val="15"/>
                <w:color w:val="auto"/>
              </w:rPr>
            </w:pPr>
          </w:p>
        </w:tc>
        <w:tc>
          <w:tcPr>
            <w:tcW w:w="72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7"/>
              </w:rPr>
              <w:t>using 1) the MAD7 nuclease (as defined by SEQ ID NO:7 in U.S. Pat. No. 9,982,279); or 2) native and codon optimized</w:t>
            </w:r>
          </w:p>
        </w:tc>
      </w:tr>
      <w:tr>
        <w:trPr>
          <w:trHeight w:val="173"/>
        </w:trPr>
        <w:tc>
          <w:tcPr>
            <w:tcW w:w="4080" w:type="dxa"/>
            <w:vAlign w:val="bottom"/>
            <w:tcBorders>
              <w:left w:val="single" w:sz="8" w:color="auto"/>
              <w:right w:val="single" w:sz="8" w:color="auto"/>
            </w:tcBorders>
          </w:tcPr>
          <w:p>
            <w:pPr>
              <w:spacing w:after="0"/>
              <w:rPr>
                <w:sz w:val="15"/>
                <w:szCs w:val="15"/>
                <w:color w:val="auto"/>
              </w:rPr>
            </w:pPr>
          </w:p>
        </w:tc>
        <w:tc>
          <w:tcPr>
            <w:tcW w:w="72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7"/>
              </w:rPr>
              <w:t>nucleic acids encoding a MAD7 nuclease. 1) and 2) collectively are referred to as “MAD7”. This license in the Licensed</w:t>
            </w:r>
          </w:p>
        </w:tc>
      </w:tr>
      <w:tr>
        <w:trPr>
          <w:trHeight w:val="173"/>
        </w:trPr>
        <w:tc>
          <w:tcPr>
            <w:tcW w:w="4080" w:type="dxa"/>
            <w:vAlign w:val="bottom"/>
            <w:tcBorders>
              <w:left w:val="single" w:sz="8" w:color="auto"/>
              <w:right w:val="single" w:sz="8" w:color="auto"/>
            </w:tcBorders>
          </w:tcPr>
          <w:p>
            <w:pPr>
              <w:spacing w:after="0"/>
              <w:rPr>
                <w:sz w:val="15"/>
                <w:szCs w:val="15"/>
                <w:color w:val="auto"/>
              </w:rPr>
            </w:pPr>
          </w:p>
        </w:tc>
        <w:tc>
          <w:tcPr>
            <w:tcW w:w="72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8"/>
              </w:rPr>
              <w:t>Fields of Use is irrevocable, subject to licensee not using MAD7 in the Excluded Fields of Use below without reaching</w:t>
            </w:r>
          </w:p>
        </w:tc>
      </w:tr>
      <w:tr>
        <w:trPr>
          <w:trHeight w:val="183"/>
        </w:trPr>
        <w:tc>
          <w:tcPr>
            <w:tcW w:w="4080" w:type="dxa"/>
            <w:vAlign w:val="bottom"/>
            <w:tcBorders>
              <w:left w:val="single" w:sz="8" w:color="auto"/>
              <w:bottom w:val="single" w:sz="8" w:color="auto"/>
              <w:right w:val="single" w:sz="8" w:color="auto"/>
            </w:tcBorders>
          </w:tcPr>
          <w:p>
            <w:pPr>
              <w:spacing w:after="0"/>
              <w:rPr>
                <w:sz w:val="15"/>
                <w:szCs w:val="15"/>
                <w:color w:val="auto"/>
              </w:rPr>
            </w:pP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further agreement with Inscripta.</w:t>
            </w:r>
          </w:p>
        </w:tc>
      </w:tr>
      <w:tr>
        <w:trPr>
          <w:trHeight w:val="164"/>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Inscripta, Inc. Contact</w:t>
            </w: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General Counsel, Inscripta, Inc. (dianna.devore@inscripta.com)</w:t>
            </w:r>
          </w:p>
        </w:tc>
      </w:tr>
      <w:tr>
        <w:trPr>
          <w:trHeight w:val="153"/>
        </w:trPr>
        <w:tc>
          <w:tcPr>
            <w:tcW w:w="408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Licensed Patent(s)</w:t>
            </w:r>
          </w:p>
        </w:tc>
        <w:tc>
          <w:tcPr>
            <w:tcW w:w="7220" w:type="dxa"/>
            <w:vAlign w:val="bottom"/>
            <w:tcBorders>
              <w:right w:val="single" w:sz="8" w:color="auto"/>
            </w:tcBorders>
          </w:tcPr>
          <w:p>
            <w:pPr>
              <w:spacing w:after="0" w:line="153" w:lineRule="exact"/>
              <w:rPr>
                <w:sz w:val="20"/>
                <w:szCs w:val="20"/>
                <w:color w:val="auto"/>
              </w:rPr>
            </w:pPr>
            <w:r>
              <w:rPr>
                <w:rFonts w:ascii="Arial" w:cs="Arial" w:eastAsia="Arial" w:hAnsi="Arial"/>
                <w:sz w:val="14"/>
                <w:szCs w:val="14"/>
                <w:color w:val="auto"/>
              </w:rPr>
              <w:t>U.S. Patent No. 9,982,279, U.S. Patent No. 10,337,028, and applications claiming priority therefrom, including</w:t>
            </w:r>
          </w:p>
        </w:tc>
      </w:tr>
      <w:tr>
        <w:trPr>
          <w:trHeight w:val="183"/>
        </w:trPr>
        <w:tc>
          <w:tcPr>
            <w:tcW w:w="4080" w:type="dxa"/>
            <w:vAlign w:val="bottom"/>
            <w:tcBorders>
              <w:left w:val="single" w:sz="8" w:color="auto"/>
              <w:bottom w:val="single" w:sz="8" w:color="auto"/>
              <w:right w:val="single" w:sz="8" w:color="auto"/>
            </w:tcBorders>
          </w:tcPr>
          <w:p>
            <w:pPr>
              <w:spacing w:after="0"/>
              <w:rPr>
                <w:sz w:val="15"/>
                <w:szCs w:val="15"/>
                <w:color w:val="auto"/>
              </w:rPr>
            </w:pP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continuations, continuations-in part, divisionals, and foreign counterparts.</w:t>
            </w:r>
          </w:p>
        </w:tc>
      </w:tr>
      <w:tr>
        <w:trPr>
          <w:trHeight w:val="153"/>
        </w:trPr>
        <w:tc>
          <w:tcPr>
            <w:tcW w:w="408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Licensed Fields of Use</w:t>
            </w:r>
          </w:p>
        </w:tc>
        <w:tc>
          <w:tcPr>
            <w:tcW w:w="7220" w:type="dxa"/>
            <w:vAlign w:val="bottom"/>
            <w:tcBorders>
              <w:right w:val="single" w:sz="8" w:color="auto"/>
            </w:tcBorders>
          </w:tcPr>
          <w:p>
            <w:pPr>
              <w:spacing w:after="0" w:line="153" w:lineRule="exact"/>
              <w:rPr>
                <w:sz w:val="20"/>
                <w:szCs w:val="20"/>
                <w:color w:val="auto"/>
              </w:rPr>
            </w:pPr>
            <w:r>
              <w:rPr>
                <w:rFonts w:ascii="Arial" w:cs="Arial" w:eastAsia="Arial" w:hAnsi="Arial"/>
                <w:sz w:val="14"/>
                <w:szCs w:val="14"/>
                <w:color w:val="auto"/>
                <w:w w:val="96"/>
              </w:rPr>
              <w:t>1) Use of MAD7 to perform research and development in both academic and commercial settings with no restrictions on</w:t>
            </w:r>
          </w:p>
        </w:tc>
      </w:tr>
      <w:tr>
        <w:trPr>
          <w:trHeight w:val="173"/>
        </w:trPr>
        <w:tc>
          <w:tcPr>
            <w:tcW w:w="4080" w:type="dxa"/>
            <w:vAlign w:val="bottom"/>
            <w:tcBorders>
              <w:left w:val="single" w:sz="8" w:color="auto"/>
              <w:right w:val="single" w:sz="8" w:color="auto"/>
            </w:tcBorders>
          </w:tcPr>
          <w:p>
            <w:pPr>
              <w:spacing w:after="0"/>
              <w:rPr>
                <w:sz w:val="15"/>
                <w:szCs w:val="15"/>
                <w:color w:val="auto"/>
              </w:rPr>
            </w:pPr>
          </w:p>
        </w:tc>
        <w:tc>
          <w:tcPr>
            <w:tcW w:w="72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7"/>
              </w:rPr>
              <w:t>plant or animal species and varieties; 2) use of MAD7 to perform commercial services, subject to the Excluded Fields of</w:t>
            </w:r>
          </w:p>
        </w:tc>
      </w:tr>
      <w:tr>
        <w:trPr>
          <w:trHeight w:val="183"/>
        </w:trPr>
        <w:tc>
          <w:tcPr>
            <w:tcW w:w="4080" w:type="dxa"/>
            <w:vAlign w:val="bottom"/>
            <w:tcBorders>
              <w:left w:val="single" w:sz="8" w:color="auto"/>
              <w:bottom w:val="single" w:sz="8" w:color="auto"/>
              <w:right w:val="single" w:sz="8" w:color="auto"/>
            </w:tcBorders>
          </w:tcPr>
          <w:p>
            <w:pPr>
              <w:spacing w:after="0"/>
              <w:rPr>
                <w:sz w:val="15"/>
                <w:szCs w:val="15"/>
                <w:color w:val="auto"/>
              </w:rPr>
            </w:pP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Use.</w:t>
            </w:r>
          </w:p>
        </w:tc>
      </w:tr>
      <w:tr>
        <w:trPr>
          <w:trHeight w:val="153"/>
        </w:trPr>
        <w:tc>
          <w:tcPr>
            <w:tcW w:w="408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Excluded Fields of use</w:t>
            </w:r>
          </w:p>
        </w:tc>
        <w:tc>
          <w:tcPr>
            <w:tcW w:w="7220" w:type="dxa"/>
            <w:vAlign w:val="bottom"/>
            <w:tcBorders>
              <w:right w:val="single" w:sz="8" w:color="auto"/>
            </w:tcBorders>
          </w:tcPr>
          <w:p>
            <w:pPr>
              <w:spacing w:after="0" w:line="153" w:lineRule="exact"/>
              <w:rPr>
                <w:sz w:val="20"/>
                <w:szCs w:val="20"/>
                <w:color w:val="auto"/>
              </w:rPr>
            </w:pPr>
            <w:r>
              <w:rPr>
                <w:rFonts w:ascii="Arial" w:cs="Arial" w:eastAsia="Arial" w:hAnsi="Arial"/>
                <w:sz w:val="14"/>
                <w:szCs w:val="14"/>
                <w:color w:val="auto"/>
              </w:rPr>
              <w:t>1) Sale or re-sale of MAD7, including as part of a therapeutic product; or 2) continued use of MAD7 in a commercial</w:t>
            </w:r>
          </w:p>
        </w:tc>
      </w:tr>
      <w:tr>
        <w:trPr>
          <w:trHeight w:val="173"/>
        </w:trPr>
        <w:tc>
          <w:tcPr>
            <w:tcW w:w="4080" w:type="dxa"/>
            <w:vAlign w:val="bottom"/>
            <w:tcBorders>
              <w:left w:val="single" w:sz="8" w:color="auto"/>
              <w:right w:val="single" w:sz="8" w:color="auto"/>
            </w:tcBorders>
          </w:tcPr>
          <w:p>
            <w:pPr>
              <w:spacing w:after="0"/>
              <w:rPr>
                <w:sz w:val="15"/>
                <w:szCs w:val="15"/>
                <w:color w:val="auto"/>
              </w:rPr>
            </w:pPr>
          </w:p>
        </w:tc>
        <w:tc>
          <w:tcPr>
            <w:tcW w:w="72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8"/>
              </w:rPr>
              <w:t>manufacturing process; and 3) use of MAD7 in the editing of human embryos. For clarity, the use of MAD7 to create a</w:t>
            </w:r>
          </w:p>
        </w:tc>
      </w:tr>
      <w:tr>
        <w:trPr>
          <w:trHeight w:val="173"/>
        </w:trPr>
        <w:tc>
          <w:tcPr>
            <w:tcW w:w="4080" w:type="dxa"/>
            <w:vAlign w:val="bottom"/>
            <w:tcBorders>
              <w:left w:val="single" w:sz="8" w:color="auto"/>
              <w:right w:val="single" w:sz="8" w:color="auto"/>
            </w:tcBorders>
          </w:tcPr>
          <w:p>
            <w:pPr>
              <w:spacing w:after="0"/>
              <w:rPr>
                <w:sz w:val="15"/>
                <w:szCs w:val="15"/>
                <w:color w:val="auto"/>
              </w:rPr>
            </w:pPr>
          </w:p>
        </w:tc>
        <w:tc>
          <w:tcPr>
            <w:tcW w:w="722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4"/>
              </w:rPr>
              <w:t>commercial product that does not physically contain MAD7 at the time of sale and does not require continued use of MAD7</w:t>
            </w:r>
          </w:p>
        </w:tc>
      </w:tr>
      <w:tr>
        <w:trPr>
          <w:trHeight w:val="183"/>
        </w:trPr>
        <w:tc>
          <w:tcPr>
            <w:tcW w:w="4080" w:type="dxa"/>
            <w:vAlign w:val="bottom"/>
            <w:tcBorders>
              <w:left w:val="single" w:sz="8" w:color="auto"/>
              <w:bottom w:val="single" w:sz="8" w:color="auto"/>
              <w:right w:val="single" w:sz="8" w:color="auto"/>
            </w:tcBorders>
          </w:tcPr>
          <w:p>
            <w:pPr>
              <w:spacing w:after="0"/>
              <w:rPr>
                <w:sz w:val="15"/>
                <w:szCs w:val="15"/>
                <w:color w:val="auto"/>
              </w:rPr>
            </w:pP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for manufacture is not considered an Excluded Field of Use.</w:t>
            </w:r>
          </w:p>
        </w:tc>
      </w:tr>
      <w:tr>
        <w:trPr>
          <w:trHeight w:val="164"/>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Licensed Territory</w:t>
            </w: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Worldwide</w:t>
            </w:r>
          </w:p>
        </w:tc>
      </w:tr>
      <w:tr>
        <w:trPr>
          <w:trHeight w:val="163"/>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Duration</w:t>
            </w: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The duration of the last valid claim of the Licensed Patent(s)</w:t>
            </w:r>
          </w:p>
        </w:tc>
      </w:tr>
      <w:tr>
        <w:trPr>
          <w:trHeight w:val="163"/>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ROYALTIES &amp; PAYMENTS</w:t>
            </w:r>
          </w:p>
        </w:tc>
        <w:tc>
          <w:tcPr>
            <w:tcW w:w="7220" w:type="dxa"/>
            <w:vAlign w:val="bottom"/>
            <w:tcBorders>
              <w:bottom w:val="single" w:sz="8" w:color="auto"/>
              <w:right w:val="single" w:sz="8" w:color="auto"/>
            </w:tcBorders>
          </w:tcPr>
          <w:p>
            <w:pPr>
              <w:spacing w:after="0"/>
              <w:rPr>
                <w:sz w:val="14"/>
                <w:szCs w:val="14"/>
                <w:color w:val="auto"/>
              </w:rPr>
            </w:pPr>
          </w:p>
        </w:tc>
      </w:tr>
      <w:tr>
        <w:trPr>
          <w:trHeight w:val="163"/>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Initial License Fee</w:t>
            </w: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None</w:t>
            </w:r>
          </w:p>
        </w:tc>
      </w:tr>
      <w:tr>
        <w:trPr>
          <w:trHeight w:val="163"/>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Earned Royalties</w:t>
            </w: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None</w:t>
            </w:r>
          </w:p>
        </w:tc>
      </w:tr>
      <w:tr>
        <w:trPr>
          <w:trHeight w:val="163"/>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CHOICE OF LAW</w:t>
            </w: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w w:val="98"/>
              </w:rPr>
              <w:t>This Agreement shall be governed by the laws of the State of Delaware, without reference to conflict of laws principles</w:t>
            </w:r>
          </w:p>
        </w:tc>
      </w:tr>
      <w:tr>
        <w:trPr>
          <w:trHeight w:val="163"/>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SUBLICENSING</w:t>
            </w:r>
          </w:p>
        </w:tc>
        <w:tc>
          <w:tcPr>
            <w:tcW w:w="7220" w:type="dxa"/>
            <w:vAlign w:val="bottom"/>
            <w:tcBorders>
              <w:bottom w:val="single" w:sz="8" w:color="auto"/>
              <w:right w:val="single" w:sz="8" w:color="auto"/>
            </w:tcBorders>
          </w:tcPr>
          <w:p>
            <w:pPr>
              <w:spacing w:after="0"/>
              <w:rPr>
                <w:sz w:val="14"/>
                <w:szCs w:val="14"/>
                <w:color w:val="auto"/>
              </w:rPr>
            </w:pPr>
          </w:p>
        </w:tc>
      </w:tr>
      <w:tr>
        <w:trPr>
          <w:trHeight w:val="153"/>
        </w:trPr>
        <w:tc>
          <w:tcPr>
            <w:tcW w:w="4080" w:type="dxa"/>
            <w:vAlign w:val="bottom"/>
            <w:tcBorders>
              <w:left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Sublicensing</w:t>
            </w:r>
          </w:p>
        </w:tc>
        <w:tc>
          <w:tcPr>
            <w:tcW w:w="7220" w:type="dxa"/>
            <w:vAlign w:val="bottom"/>
            <w:tcBorders>
              <w:right w:val="single" w:sz="8" w:color="auto"/>
            </w:tcBorders>
          </w:tcPr>
          <w:p>
            <w:pPr>
              <w:spacing w:after="0" w:line="153" w:lineRule="exact"/>
              <w:rPr>
                <w:sz w:val="20"/>
                <w:szCs w:val="20"/>
                <w:color w:val="auto"/>
              </w:rPr>
            </w:pPr>
            <w:r>
              <w:rPr>
                <w:rFonts w:ascii="Arial" w:cs="Arial" w:eastAsia="Arial" w:hAnsi="Arial"/>
                <w:sz w:val="14"/>
                <w:szCs w:val="14"/>
                <w:color w:val="auto"/>
                <w:w w:val="96"/>
              </w:rPr>
              <w:t>Not permitted; collaborators and/or distribution partners can acquire an individual license on the same terms as provided</w:t>
            </w:r>
          </w:p>
        </w:tc>
      </w:tr>
      <w:tr>
        <w:trPr>
          <w:trHeight w:val="183"/>
        </w:trPr>
        <w:tc>
          <w:tcPr>
            <w:tcW w:w="4080" w:type="dxa"/>
            <w:vAlign w:val="bottom"/>
            <w:tcBorders>
              <w:left w:val="single" w:sz="8" w:color="auto"/>
              <w:bottom w:val="single" w:sz="8" w:color="auto"/>
              <w:right w:val="single" w:sz="8" w:color="auto"/>
            </w:tcBorders>
          </w:tcPr>
          <w:p>
            <w:pPr>
              <w:spacing w:after="0"/>
              <w:rPr>
                <w:sz w:val="15"/>
                <w:szCs w:val="15"/>
                <w:color w:val="auto"/>
              </w:rPr>
            </w:pPr>
          </w:p>
        </w:tc>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herein.</w:t>
            </w:r>
          </w:p>
        </w:tc>
      </w:tr>
    </w:tbl>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INSCRIPTA, INC.</w:t>
            </w: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740" w:type="dxa"/>
            <w:vAlign w:val="bottom"/>
            <w:gridSpan w:val="3"/>
          </w:tcPr>
          <w:p>
            <w:pPr>
              <w:ind w:left="220"/>
              <w:spacing w:after="0"/>
              <w:rPr>
                <w:sz w:val="20"/>
                <w:szCs w:val="20"/>
                <w:color w:val="auto"/>
              </w:rPr>
            </w:pPr>
            <w:r>
              <w:rPr>
                <w:rFonts w:ascii="Arial" w:cs="Arial" w:eastAsia="Arial" w:hAnsi="Arial"/>
                <w:sz w:val="14"/>
                <w:szCs w:val="14"/>
                <w:b w:val="1"/>
                <w:bCs w:val="1"/>
                <w:color w:val="auto"/>
              </w:rPr>
              <w:t>CENTURY THERAPEUTICS, INC.</w:t>
            </w:r>
          </w:p>
        </w:tc>
      </w:tr>
      <w:tr>
        <w:trPr>
          <w:trHeight w:val="345"/>
        </w:trPr>
        <w:tc>
          <w:tcPr>
            <w:tcW w:w="4000" w:type="dxa"/>
            <w:vAlign w:val="bottom"/>
            <w:gridSpan w:val="2"/>
          </w:tcPr>
          <w:p>
            <w:pPr>
              <w:spacing w:after="0"/>
              <w:rPr>
                <w:sz w:val="20"/>
                <w:szCs w:val="20"/>
                <w:color w:val="auto"/>
              </w:rPr>
            </w:pPr>
            <w:r>
              <w:rPr>
                <w:rFonts w:ascii="Arial" w:cs="Arial" w:eastAsia="Arial" w:hAnsi="Arial"/>
                <w:sz w:val="14"/>
                <w:szCs w:val="14"/>
                <w:color w:val="auto"/>
              </w:rPr>
              <w:t>By:   /s/ Dianne L. DeVore</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4"/>
                <w:szCs w:val="14"/>
                <w:color w:val="auto"/>
              </w:rPr>
              <w:t>By:</w:t>
            </w:r>
          </w:p>
        </w:tc>
        <w:tc>
          <w:tcPr>
            <w:tcW w:w="5180" w:type="dxa"/>
            <w:vAlign w:val="bottom"/>
            <w:gridSpan w:val="2"/>
          </w:tcPr>
          <w:p>
            <w:pPr>
              <w:ind w:left="80"/>
              <w:spacing w:after="0"/>
              <w:rPr>
                <w:sz w:val="20"/>
                <w:szCs w:val="20"/>
                <w:color w:val="auto"/>
              </w:rPr>
            </w:pPr>
            <w:r>
              <w:rPr>
                <w:rFonts w:ascii="Arial" w:cs="Arial" w:eastAsia="Arial" w:hAnsi="Arial"/>
                <w:sz w:val="14"/>
                <w:szCs w:val="14"/>
                <w:color w:val="auto"/>
              </w:rPr>
              <w:t>/s/ Janelle Anderson</w:t>
            </w:r>
          </w:p>
        </w:tc>
      </w:tr>
      <w:tr>
        <w:trPr>
          <w:trHeight w:val="143"/>
        </w:trPr>
        <w:tc>
          <w:tcPr>
            <w:tcW w:w="360" w:type="dxa"/>
            <w:vAlign w:val="bottom"/>
          </w:tcPr>
          <w:p>
            <w:pPr>
              <w:spacing w:after="0" w:line="143" w:lineRule="exact"/>
              <w:rPr>
                <w:sz w:val="20"/>
                <w:szCs w:val="20"/>
                <w:color w:val="auto"/>
              </w:rPr>
            </w:pPr>
            <w:r>
              <w:rPr>
                <w:rFonts w:ascii="Arial" w:cs="Arial" w:eastAsia="Arial" w:hAnsi="Arial"/>
                <w:sz w:val="14"/>
                <w:szCs w:val="14"/>
                <w:color w:val="auto"/>
                <w:w w:val="76"/>
              </w:rPr>
              <w:t>Printed</w:t>
            </w:r>
          </w:p>
        </w:tc>
        <w:tc>
          <w:tcPr>
            <w:tcW w:w="3640" w:type="dxa"/>
            <w:vAlign w:val="bottom"/>
            <w:tcBorders>
              <w:top w:val="single" w:sz="8" w:color="auto"/>
            </w:tcBorders>
          </w:tcPr>
          <w:p>
            <w:pPr>
              <w:ind w:left="100"/>
              <w:spacing w:after="0" w:line="143" w:lineRule="exact"/>
              <w:rPr>
                <w:sz w:val="20"/>
                <w:szCs w:val="20"/>
                <w:color w:val="auto"/>
              </w:rPr>
            </w:pPr>
            <w:r>
              <w:rPr>
                <w:rFonts w:ascii="Arial" w:cs="Arial" w:eastAsia="Arial" w:hAnsi="Arial"/>
                <w:sz w:val="14"/>
                <w:szCs w:val="14"/>
                <w:color w:val="auto"/>
              </w:rPr>
              <w:t>Name: Dianne L. DeVore</w:t>
            </w:r>
          </w:p>
        </w:tc>
        <w:tc>
          <w:tcPr>
            <w:tcW w:w="10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60" w:type="dxa"/>
            <w:vAlign w:val="bottom"/>
          </w:tcPr>
          <w:p>
            <w:pPr>
              <w:ind w:left="220"/>
              <w:spacing w:after="0" w:line="143" w:lineRule="exact"/>
              <w:rPr>
                <w:sz w:val="20"/>
                <w:szCs w:val="20"/>
                <w:color w:val="auto"/>
              </w:rPr>
            </w:pPr>
            <w:r>
              <w:rPr>
                <w:rFonts w:ascii="Arial" w:cs="Arial" w:eastAsia="Arial" w:hAnsi="Arial"/>
                <w:sz w:val="14"/>
                <w:szCs w:val="14"/>
                <w:color w:val="auto"/>
                <w:w w:val="72"/>
              </w:rPr>
              <w:t>Printed</w:t>
            </w:r>
          </w:p>
        </w:tc>
        <w:tc>
          <w:tcPr>
            <w:tcW w:w="5180" w:type="dxa"/>
            <w:vAlign w:val="bottom"/>
            <w:tcBorders>
              <w:top w:val="single" w:sz="8" w:color="auto"/>
            </w:tcBorders>
            <w:gridSpan w:val="2"/>
          </w:tcPr>
          <w:p>
            <w:pPr>
              <w:ind w:left="120"/>
              <w:spacing w:after="0" w:line="143" w:lineRule="exact"/>
              <w:rPr>
                <w:sz w:val="20"/>
                <w:szCs w:val="20"/>
                <w:color w:val="auto"/>
              </w:rPr>
            </w:pPr>
            <w:r>
              <w:rPr>
                <w:rFonts w:ascii="Arial" w:cs="Arial" w:eastAsia="Arial" w:hAnsi="Arial"/>
                <w:sz w:val="14"/>
                <w:szCs w:val="14"/>
                <w:color w:val="auto"/>
              </w:rPr>
              <w:t>Name: Janelle Anderson</w:t>
            </w:r>
          </w:p>
        </w:tc>
      </w:tr>
      <w:tr>
        <w:trPr>
          <w:trHeight w:val="173"/>
        </w:trPr>
        <w:tc>
          <w:tcPr>
            <w:tcW w:w="4000" w:type="dxa"/>
            <w:vAlign w:val="bottom"/>
            <w:gridSpan w:val="2"/>
          </w:tcPr>
          <w:p>
            <w:pPr>
              <w:spacing w:after="0"/>
              <w:rPr>
                <w:sz w:val="20"/>
                <w:szCs w:val="20"/>
                <w:color w:val="auto"/>
              </w:rPr>
            </w:pPr>
            <w:r>
              <w:rPr>
                <w:rFonts w:ascii="Arial" w:cs="Arial" w:eastAsia="Arial" w:hAnsi="Arial"/>
                <w:sz w:val="14"/>
                <w:szCs w:val="14"/>
                <w:color w:val="auto"/>
              </w:rPr>
              <w:t>Title: General Counsel</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740" w:type="dxa"/>
            <w:vAlign w:val="bottom"/>
            <w:gridSpan w:val="3"/>
          </w:tcPr>
          <w:p>
            <w:pPr>
              <w:ind w:left="220"/>
              <w:spacing w:after="0"/>
              <w:rPr>
                <w:sz w:val="20"/>
                <w:szCs w:val="20"/>
                <w:color w:val="auto"/>
              </w:rPr>
            </w:pPr>
            <w:r>
              <w:rPr>
                <w:rFonts w:ascii="Arial" w:cs="Arial" w:eastAsia="Arial" w:hAnsi="Arial"/>
                <w:sz w:val="14"/>
                <w:szCs w:val="14"/>
                <w:color w:val="auto"/>
              </w:rPr>
              <w:t>Title: Chief Strategy Officer</w:t>
            </w:r>
          </w:p>
        </w:tc>
      </w:tr>
      <w:tr>
        <w:trPr>
          <w:trHeight w:val="182"/>
        </w:trPr>
        <w:tc>
          <w:tcPr>
            <w:tcW w:w="4000" w:type="dxa"/>
            <w:vAlign w:val="bottom"/>
            <w:gridSpan w:val="2"/>
          </w:tcPr>
          <w:p>
            <w:pPr>
              <w:spacing w:after="0"/>
              <w:rPr>
                <w:sz w:val="20"/>
                <w:szCs w:val="20"/>
                <w:color w:val="auto"/>
              </w:rPr>
            </w:pPr>
            <w:r>
              <w:rPr>
                <w:rFonts w:ascii="Arial" w:cs="Arial" w:eastAsia="Arial" w:hAnsi="Arial"/>
                <w:sz w:val="14"/>
                <w:szCs w:val="14"/>
                <w:color w:val="auto"/>
              </w:rPr>
              <w:t>Date: January 1, 2019</w:t>
            </w: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color w:val="auto"/>
              </w:rPr>
              <w:t>Date 1 Jan 2019</w:t>
            </w:r>
          </w:p>
        </w:tc>
        <w:tc>
          <w:tcPr>
            <w:tcW w:w="4300" w:type="dxa"/>
            <w:vAlign w:val="bottom"/>
          </w:tcPr>
          <w:p>
            <w:pPr>
              <w:spacing w:after="0"/>
              <w:rPr>
                <w:sz w:val="15"/>
                <w:szCs w:val="15"/>
                <w:color w:val="auto"/>
              </w:rPr>
            </w:pPr>
          </w:p>
        </w:tc>
      </w:tr>
      <w:tr>
        <w:trPr>
          <w:trHeight w:val="345"/>
        </w:trPr>
        <w:tc>
          <w:tcPr>
            <w:tcW w:w="360" w:type="dxa"/>
            <w:vAlign w:val="bottom"/>
          </w:tcPr>
          <w:p>
            <w:pPr>
              <w:spacing w:after="0"/>
              <w:rPr>
                <w:sz w:val="24"/>
                <w:szCs w:val="24"/>
                <w:color w:val="auto"/>
              </w:rPr>
            </w:pPr>
          </w:p>
        </w:tc>
        <w:tc>
          <w:tcPr>
            <w:tcW w:w="3640" w:type="dxa"/>
            <w:vAlign w:val="bottom"/>
          </w:tcPr>
          <w:p>
            <w:pPr>
              <w:ind w:left="1860"/>
              <w:spacing w:after="0"/>
              <w:rPr>
                <w:sz w:val="20"/>
                <w:szCs w:val="20"/>
                <w:color w:val="auto"/>
              </w:rPr>
            </w:pPr>
            <w:r>
              <w:rPr>
                <w:rFonts w:ascii="Arial" w:cs="Arial" w:eastAsia="Arial" w:hAnsi="Arial"/>
                <w:sz w:val="14"/>
                <w:szCs w:val="14"/>
                <w:color w:val="auto"/>
              </w:rPr>
              <w:t>5500 Central Avenue</w:t>
            </w: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360"/>
              <w:spacing w:after="0"/>
              <w:rPr>
                <w:sz w:val="20"/>
                <w:szCs w:val="20"/>
                <w:color w:val="auto"/>
              </w:rPr>
            </w:pPr>
            <w:r>
              <w:rPr>
                <w:rFonts w:ascii="Arial" w:cs="Arial" w:eastAsia="Arial" w:hAnsi="Arial"/>
                <w:sz w:val="14"/>
                <w:szCs w:val="14"/>
                <w:color w:val="auto"/>
              </w:rPr>
              <w:t>Suite 220</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4300" w:type="dxa"/>
            <w:vAlign w:val="bottom"/>
          </w:tcPr>
          <w:p>
            <w:pPr>
              <w:ind w:left="300"/>
              <w:spacing w:after="0"/>
              <w:rPr>
                <w:sz w:val="20"/>
                <w:szCs w:val="20"/>
                <w:color w:val="auto"/>
              </w:rPr>
            </w:pPr>
            <w:r>
              <w:rPr>
                <w:rFonts w:ascii="Arial" w:cs="Arial" w:eastAsia="Arial" w:hAnsi="Arial"/>
                <w:sz w:val="14"/>
                <w:szCs w:val="14"/>
                <w:color w:val="auto"/>
              </w:rPr>
              <w:t>Boulder, CO 80301</w:t>
            </w:r>
          </w:p>
        </w:tc>
      </w:tr>
      <w:tr>
        <w:trPr>
          <w:trHeight w:val="519"/>
        </w:trPr>
        <w:tc>
          <w:tcPr>
            <w:tcW w:w="3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98" w:right="319" w:bottom="1440" w:gutter="0" w:footer="0" w:header="0"/>
        </w:sectPr>
      </w:pPr>
    </w:p>
    <w:bookmarkStart w:id="326" w:name="page327"/>
    <w:bookmarkEnd w:id="326"/>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5E18F8"/>
    <w:multiLevelType w:val="hybridMultilevel"/>
    <w:lvl w:ilvl="0">
      <w:lvlJc w:val="left"/>
      <w:lvlText w:val="(%1)"/>
      <w:numFmt w:val="decimal"/>
      <w:start w:val="1"/>
    </w:lvl>
  </w:abstractNum>
  <w:abstractNum w:abstractNumId="1">
    <w:nsid w:val="5F3534A4"/>
    <w:multiLevelType w:val="hybridMultilevel"/>
    <w:lvl w:ilvl="0">
      <w:lvlJc w:val="left"/>
      <w:lvlText w:val="(%1)"/>
      <w:numFmt w:val="decimal"/>
      <w:start w:val="1"/>
    </w:lvl>
  </w:abstractNum>
  <w:abstractNum w:abstractNumId="2">
    <w:nsid w:val="73A1821B"/>
    <w:multiLevelType w:val="hybridMultilevel"/>
    <w:lvl w:ilvl="0">
      <w:lvlJc w:val="left"/>
      <w:lvlText w:val="•"/>
      <w:numFmt w:val="bullet"/>
      <w:start w:val="1"/>
    </w:lvl>
  </w:abstractNum>
  <w:abstractNum w:abstractNumId="3">
    <w:nsid w:val="7DE67713"/>
    <w:multiLevelType w:val="hybridMultilevel"/>
    <w:lvl w:ilvl="0">
      <w:lvlJc w:val="left"/>
      <w:lvlText w:val="•"/>
      <w:numFmt w:val="bullet"/>
      <w:start w:val="1"/>
    </w:lvl>
  </w:abstractNum>
  <w:abstractNum w:abstractNumId="4">
    <w:nsid w:val="555C55B5"/>
    <w:multiLevelType w:val="hybridMultilevel"/>
    <w:lvl w:ilvl="0">
      <w:lvlJc w:val="left"/>
      <w:lvlText w:val="(%1)"/>
      <w:numFmt w:val="decimal"/>
      <w:start w:val="1"/>
    </w:lvl>
  </w:abstractNum>
  <w:abstractNum w:abstractNumId="5">
    <w:nsid w:val="3FA62ACA"/>
    <w:multiLevelType w:val="hybridMultilevel"/>
    <w:lvl w:ilvl="0">
      <w:lvlJc w:val="left"/>
      <w:lvlText w:val="•"/>
      <w:numFmt w:val="bullet"/>
      <w:start w:val="1"/>
    </w:lvl>
  </w:abstractNum>
  <w:abstractNum w:abstractNumId="6">
    <w:nsid w:val="14FCE74E"/>
    <w:multiLevelType w:val="hybridMultilevel"/>
    <w:lvl w:ilvl="0">
      <w:lvlJc w:val="left"/>
      <w:lvlText w:val="•"/>
      <w:numFmt w:val="bullet"/>
      <w:start w:val="1"/>
    </w:lvl>
  </w:abstractNum>
  <w:abstractNum w:abstractNumId="7">
    <w:nsid w:val="6A3DD3E8"/>
    <w:multiLevelType w:val="hybridMultilevel"/>
    <w:lvl w:ilvl="0">
      <w:lvlJc w:val="left"/>
      <w:lvlText w:val="•"/>
      <w:numFmt w:val="bullet"/>
      <w:start w:val="1"/>
    </w:lvl>
  </w:abstractNum>
  <w:abstractNum w:abstractNumId="8">
    <w:nsid w:val="71C91298"/>
    <w:multiLevelType w:val="hybridMultilevel"/>
    <w:lvl w:ilvl="0">
      <w:lvlJc w:val="left"/>
      <w:lvlText w:val="$"/>
      <w:numFmt w:val="bullet"/>
      <w:start w:val="1"/>
    </w:lvl>
  </w:abstractNum>
  <w:abstractNum w:abstractNumId="9">
    <w:nsid w:val="9DAF632"/>
    <w:multiLevelType w:val="hybridMultilevel"/>
    <w:lvl w:ilvl="0">
      <w:lvlJc w:val="left"/>
      <w:lvlText w:val="•"/>
      <w:numFmt w:val="bullet"/>
      <w:start w:val="1"/>
    </w:lvl>
  </w:abstractNum>
  <w:abstractNum w:abstractNumId="10">
    <w:nsid w:val="53299938"/>
    <w:multiLevelType w:val="hybridMultilevel"/>
    <w:lvl w:ilvl="0">
      <w:lvlJc w:val="left"/>
      <w:lvlText w:val="•"/>
      <w:numFmt w:val="bullet"/>
      <w:start w:val="1"/>
    </w:lvl>
  </w:abstractNum>
  <w:abstractNum w:abstractNumId="11">
    <w:nsid w:val="1FBFE8E0"/>
    <w:multiLevelType w:val="hybridMultilevel"/>
    <w:lvl w:ilvl="0">
      <w:lvlJc w:val="left"/>
      <w:lvlText w:val="•"/>
      <w:numFmt w:val="bullet"/>
      <w:start w:val="1"/>
    </w:lvl>
  </w:abstractNum>
  <w:abstractNum w:abstractNumId="12">
    <w:nsid w:val="5092CA79"/>
    <w:multiLevelType w:val="hybridMultilevel"/>
    <w:lvl w:ilvl="0">
      <w:lvlJc w:val="left"/>
      <w:lvlText w:val="•"/>
      <w:numFmt w:val="bullet"/>
      <w:start w:val="1"/>
    </w:lvl>
  </w:abstractNum>
  <w:abstractNum w:abstractNumId="13">
    <w:nsid w:val="1D545C4D"/>
    <w:multiLevelType w:val="hybridMultilevel"/>
    <w:lvl w:ilvl="0">
      <w:lvlJc w:val="left"/>
      <w:lvlText w:val="•"/>
      <w:numFmt w:val="bullet"/>
      <w:start w:val="1"/>
    </w:lvl>
  </w:abstractNum>
  <w:abstractNum w:abstractNumId="14">
    <w:nsid w:val="59ADEA3D"/>
    <w:multiLevelType w:val="hybridMultilevel"/>
    <w:lvl w:ilvl="0">
      <w:lvlJc w:val="left"/>
      <w:lvlText w:val="(%1)"/>
      <w:numFmt w:val="decimal"/>
      <w:start w:val="1"/>
    </w:lvl>
  </w:abstractNum>
  <w:abstractNum w:abstractNumId="15">
    <w:nsid w:val="288F1A34"/>
    <w:multiLevelType w:val="hybridMultilevel"/>
    <w:lvl w:ilvl="0">
      <w:lvlJc w:val="left"/>
      <w:lvlText w:val="(%1)"/>
      <w:numFmt w:val="decimal"/>
      <w:start w:val="1"/>
    </w:lvl>
  </w:abstractNum>
  <w:abstractNum w:abstractNumId="16">
    <w:nsid w:val="2A155DBC"/>
    <w:multiLevelType w:val="hybridMultilevel"/>
    <w:lvl w:ilvl="0">
      <w:lvlJc w:val="left"/>
      <w:lvlText w:val="•"/>
      <w:numFmt w:val="bullet"/>
      <w:start w:val="1"/>
    </w:lvl>
  </w:abstractNum>
  <w:abstractNum w:abstractNumId="17">
    <w:nsid w:val="1D9F6E5F"/>
    <w:multiLevelType w:val="hybridMultilevel"/>
    <w:lvl w:ilvl="0">
      <w:lvlJc w:val="left"/>
      <w:lvlText w:val="•"/>
      <w:numFmt w:val="bullet"/>
      <w:start w:val="1"/>
    </w:lvl>
  </w:abstractNum>
  <w:abstractNum w:abstractNumId="18">
    <w:nsid w:val="97E1B4E"/>
    <w:multiLevelType w:val="hybridMultilevel"/>
    <w:lvl w:ilvl="0">
      <w:lvlJc w:val="left"/>
      <w:lvlText w:val="•"/>
      <w:numFmt w:val="bullet"/>
      <w:start w:val="1"/>
    </w:lvl>
  </w:abstractNum>
  <w:abstractNum w:abstractNumId="19">
    <w:nsid w:val="51088277"/>
    <w:multiLevelType w:val="hybridMultilevel"/>
    <w:lvl w:ilvl="0">
      <w:lvlJc w:val="left"/>
      <w:lvlText w:val="•"/>
      <w:numFmt w:val="bullet"/>
      <w:start w:val="1"/>
    </w:lvl>
  </w:abstractNum>
  <w:abstractNum w:abstractNumId="20">
    <w:nsid w:val="1CA0C5FA"/>
    <w:multiLevelType w:val="hybridMultilevel"/>
    <w:lvl w:ilvl="0">
      <w:lvlJc w:val="left"/>
      <w:lvlText w:val="•"/>
      <w:numFmt w:val="bullet"/>
      <w:start w:val="1"/>
    </w:lvl>
  </w:abstractNum>
  <w:abstractNum w:abstractNumId="21">
    <w:nsid w:val="53584BCB"/>
    <w:multiLevelType w:val="hybridMultilevel"/>
    <w:lvl w:ilvl="0">
      <w:lvlJc w:val="left"/>
      <w:lvlText w:val="•"/>
      <w:numFmt w:val="bullet"/>
      <w:start w:val="1"/>
    </w:lvl>
  </w:abstractNum>
  <w:abstractNum w:abstractNumId="22">
    <w:nsid w:val="415E286C"/>
    <w:multiLevelType w:val="hybridMultilevel"/>
    <w:lvl w:ilvl="0">
      <w:lvlJc w:val="left"/>
      <w:lvlText w:val="•"/>
      <w:numFmt w:val="bullet"/>
      <w:start w:val="1"/>
    </w:lvl>
  </w:abstractNum>
  <w:abstractNum w:abstractNumId="23">
    <w:nsid w:val="7C58FD05"/>
    <w:multiLevelType w:val="hybridMultilevel"/>
    <w:lvl w:ilvl="0">
      <w:lvlJc w:val="left"/>
      <w:lvlText w:val="•"/>
      <w:numFmt w:val="bullet"/>
      <w:start w:val="1"/>
    </w:lvl>
  </w:abstractNum>
  <w:abstractNum w:abstractNumId="24">
    <w:nsid w:val="23D86AAC"/>
    <w:multiLevelType w:val="hybridMultilevel"/>
    <w:lvl w:ilvl="0">
      <w:lvlJc w:val="left"/>
      <w:lvlText w:val="•"/>
      <w:numFmt w:val="bullet"/>
      <w:start w:val="1"/>
    </w:lvl>
  </w:abstractNum>
  <w:abstractNum w:abstractNumId="25">
    <w:nsid w:val="45E6D486"/>
    <w:multiLevelType w:val="hybridMultilevel"/>
    <w:lvl w:ilvl="0">
      <w:lvlJc w:val="left"/>
      <w:lvlText w:val="•"/>
      <w:numFmt w:val="bullet"/>
      <w:start w:val="1"/>
    </w:lvl>
  </w:abstractNum>
  <w:abstractNum w:abstractNumId="26">
    <w:nsid w:val="5C10FE21"/>
    <w:multiLevelType w:val="hybridMultilevel"/>
    <w:lvl w:ilvl="0">
      <w:lvlJc w:val="left"/>
      <w:lvlText w:val="•"/>
      <w:numFmt w:val="bullet"/>
      <w:start w:val="1"/>
    </w:lvl>
  </w:abstractNum>
  <w:abstractNum w:abstractNumId="27">
    <w:nsid w:val="E7FFA2B"/>
    <w:multiLevelType w:val="hybridMultilevel"/>
    <w:lvl w:ilvl="0">
      <w:lvlJc w:val="left"/>
      <w:lvlText w:val="•"/>
      <w:numFmt w:val="bullet"/>
      <w:start w:val="1"/>
    </w:lvl>
  </w:abstractNum>
  <w:abstractNum w:abstractNumId="28">
    <w:nsid w:val="3C5991AA"/>
    <w:multiLevelType w:val="hybridMultilevel"/>
    <w:lvl w:ilvl="0">
      <w:lvlJc w:val="left"/>
      <w:lvlText w:val="•"/>
      <w:numFmt w:val="bullet"/>
      <w:start w:val="1"/>
    </w:lvl>
  </w:abstractNum>
  <w:abstractNum w:abstractNumId="29">
    <w:nsid w:val="4BD8591A"/>
    <w:multiLevelType w:val="hybridMultilevel"/>
    <w:lvl w:ilvl="0">
      <w:lvlJc w:val="left"/>
      <w:lvlText w:val="•"/>
      <w:numFmt w:val="bullet"/>
      <w:start w:val="1"/>
    </w:lvl>
  </w:abstractNum>
  <w:abstractNum w:abstractNumId="30">
    <w:nsid w:val="78DF6A55"/>
    <w:multiLevelType w:val="hybridMultilevel"/>
    <w:lvl w:ilvl="0">
      <w:lvlJc w:val="left"/>
      <w:lvlText w:val="•"/>
      <w:numFmt w:val="bullet"/>
      <w:start w:val="1"/>
    </w:lvl>
  </w:abstractNum>
  <w:abstractNum w:abstractNumId="31">
    <w:nsid w:val="39B7AAA2"/>
    <w:multiLevelType w:val="hybridMultilevel"/>
    <w:lvl w:ilvl="0">
      <w:lvlJc w:val="left"/>
      <w:lvlText w:val="•"/>
      <w:numFmt w:val="bullet"/>
      <w:start w:val="1"/>
    </w:lvl>
  </w:abstractNum>
  <w:abstractNum w:abstractNumId="32">
    <w:nsid w:val="2B0D8DBE"/>
    <w:multiLevelType w:val="hybridMultilevel"/>
    <w:lvl w:ilvl="0">
      <w:lvlJc w:val="left"/>
      <w:lvlText w:val="•"/>
      <w:numFmt w:val="bullet"/>
      <w:start w:val="1"/>
    </w:lvl>
  </w:abstractNum>
  <w:abstractNum w:abstractNumId="33">
    <w:nsid w:val="6C80EC70"/>
    <w:multiLevelType w:val="hybridMultilevel"/>
    <w:lvl w:ilvl="0">
      <w:lvlJc w:val="left"/>
      <w:lvlText w:val="•"/>
      <w:numFmt w:val="bullet"/>
      <w:start w:val="1"/>
    </w:lvl>
  </w:abstractNum>
  <w:abstractNum w:abstractNumId="34">
    <w:nsid w:val="379E21B5"/>
    <w:multiLevelType w:val="hybridMultilevel"/>
    <w:lvl w:ilvl="0">
      <w:lvlJc w:val="left"/>
      <w:lvlText w:val="•"/>
      <w:numFmt w:val="bullet"/>
      <w:start w:val="1"/>
    </w:lvl>
  </w:abstractNum>
  <w:abstractNum w:abstractNumId="35">
    <w:nsid w:val="69E373"/>
    <w:multiLevelType w:val="hybridMultilevel"/>
    <w:lvl w:ilvl="0">
      <w:lvlJc w:val="left"/>
      <w:lvlText w:val="•"/>
      <w:numFmt w:val="bullet"/>
      <w:start w:val="1"/>
    </w:lvl>
  </w:abstractNum>
  <w:abstractNum w:abstractNumId="36">
    <w:nsid w:val="2C27173B"/>
    <w:multiLevelType w:val="hybridMultilevel"/>
    <w:lvl w:ilvl="0">
      <w:lvlJc w:val="left"/>
      <w:lvlText w:val="•"/>
      <w:numFmt w:val="bullet"/>
      <w:start w:val="1"/>
    </w:lvl>
  </w:abstractNum>
  <w:abstractNum w:abstractNumId="37">
    <w:nsid w:val="4C9B0904"/>
    <w:multiLevelType w:val="hybridMultilevel"/>
    <w:lvl w:ilvl="0">
      <w:lvlJc w:val="left"/>
      <w:lvlText w:val="•"/>
      <w:numFmt w:val="bullet"/>
      <w:start w:val="1"/>
    </w:lvl>
  </w:abstractNum>
  <w:abstractNum w:abstractNumId="38">
    <w:nsid w:val="6AA7B75C"/>
    <w:multiLevelType w:val="hybridMultilevel"/>
    <w:lvl w:ilvl="0">
      <w:lvlJc w:val="left"/>
      <w:lvlText w:val="•"/>
      <w:numFmt w:val="bullet"/>
      <w:start w:val="1"/>
    </w:lvl>
  </w:abstractNum>
  <w:abstractNum w:abstractNumId="39">
    <w:nsid w:val="1DF029D3"/>
    <w:multiLevelType w:val="hybridMultilevel"/>
    <w:lvl w:ilvl="0">
      <w:lvlJc w:val="left"/>
      <w:lvlText w:val="•"/>
      <w:numFmt w:val="bullet"/>
      <w:start w:val="1"/>
    </w:lvl>
  </w:abstractNum>
  <w:abstractNum w:abstractNumId="40">
    <w:nsid w:val="5675FF36"/>
    <w:multiLevelType w:val="hybridMultilevel"/>
    <w:lvl w:ilvl="0">
      <w:lvlJc w:val="left"/>
      <w:lvlText w:val="•"/>
      <w:numFmt w:val="bullet"/>
      <w:start w:val="1"/>
    </w:lvl>
  </w:abstractNum>
  <w:abstractNum w:abstractNumId="41">
    <w:nsid w:val="3DD15094"/>
    <w:multiLevelType w:val="hybridMultilevel"/>
    <w:lvl w:ilvl="0">
      <w:lvlJc w:val="left"/>
      <w:lvlText w:val="•"/>
      <w:numFmt w:val="bullet"/>
      <w:start w:val="1"/>
    </w:lvl>
  </w:abstractNum>
  <w:abstractNum w:abstractNumId="42">
    <w:nsid w:val="3DB012B3"/>
    <w:multiLevelType w:val="hybridMultilevel"/>
    <w:lvl w:ilvl="0">
      <w:lvlJc w:val="left"/>
      <w:lvlText w:val="•"/>
      <w:numFmt w:val="bullet"/>
      <w:start w:val="1"/>
    </w:lvl>
  </w:abstractNum>
  <w:abstractNum w:abstractNumId="43">
    <w:nsid w:val="2708C9AF"/>
    <w:multiLevelType w:val="hybridMultilevel"/>
    <w:lvl w:ilvl="0">
      <w:lvlJc w:val="left"/>
      <w:lvlText w:val="•"/>
      <w:numFmt w:val="bullet"/>
      <w:start w:val="1"/>
    </w:lvl>
  </w:abstractNum>
  <w:abstractNum w:abstractNumId="44">
    <w:nsid w:val="5B25ACE2"/>
    <w:multiLevelType w:val="hybridMultilevel"/>
    <w:lvl w:ilvl="0">
      <w:lvlJc w:val="left"/>
      <w:lvlText w:val="•"/>
      <w:numFmt w:val="bullet"/>
      <w:start w:val="1"/>
    </w:lvl>
  </w:abstractNum>
  <w:abstractNum w:abstractNumId="45">
    <w:nsid w:val="175DFCF0"/>
    <w:multiLevelType w:val="hybridMultilevel"/>
    <w:lvl w:ilvl="0">
      <w:lvlJc w:val="left"/>
      <w:lvlText w:val="•"/>
      <w:numFmt w:val="bullet"/>
      <w:start w:val="1"/>
    </w:lvl>
  </w:abstractNum>
  <w:abstractNum w:abstractNumId="46">
    <w:nsid w:val="4F97E3E4"/>
    <w:multiLevelType w:val="hybridMultilevel"/>
    <w:lvl w:ilvl="0">
      <w:lvlJc w:val="left"/>
      <w:lvlText w:val="•"/>
      <w:numFmt w:val="bullet"/>
      <w:start w:val="1"/>
    </w:lvl>
  </w:abstractNum>
  <w:abstractNum w:abstractNumId="47">
    <w:nsid w:val="53B0A9E"/>
    <w:multiLevelType w:val="hybridMultilevel"/>
    <w:lvl w:ilvl="0">
      <w:lvlJc w:val="left"/>
      <w:lvlText w:val="•"/>
      <w:numFmt w:val="bullet"/>
      <w:start w:val="1"/>
    </w:lvl>
  </w:abstractNum>
  <w:abstractNum w:abstractNumId="48">
    <w:nsid w:val="34FD6B4F"/>
    <w:multiLevelType w:val="hybridMultilevel"/>
    <w:lvl w:ilvl="0">
      <w:lvlJc w:val="left"/>
      <w:lvlText w:val="•"/>
      <w:numFmt w:val="bullet"/>
      <w:start w:val="1"/>
    </w:lvl>
  </w:abstractNum>
  <w:abstractNum w:abstractNumId="49">
    <w:nsid w:val="5915FF32"/>
    <w:multiLevelType w:val="hybridMultilevel"/>
    <w:lvl w:ilvl="0">
      <w:lvlJc w:val="left"/>
      <w:lvlText w:val="•"/>
      <w:numFmt w:val="bullet"/>
      <w:start w:val="1"/>
    </w:lvl>
  </w:abstractNum>
  <w:abstractNum w:abstractNumId="50">
    <w:nsid w:val="56438D15"/>
    <w:multiLevelType w:val="hybridMultilevel"/>
    <w:lvl w:ilvl="0">
      <w:lvlJc w:val="left"/>
      <w:lvlText w:val="•"/>
      <w:numFmt w:val="bullet"/>
      <w:start w:val="1"/>
    </w:lvl>
  </w:abstractNum>
  <w:abstractNum w:abstractNumId="51">
    <w:nsid w:val="519E3149"/>
    <w:multiLevelType w:val="hybridMultilevel"/>
    <w:lvl w:ilvl="0">
      <w:lvlJc w:val="left"/>
      <w:lvlText w:val="•"/>
      <w:numFmt w:val="bullet"/>
      <w:start w:val="1"/>
    </w:lvl>
  </w:abstractNum>
  <w:abstractNum w:abstractNumId="52">
    <w:nsid w:val="2C6E4AFD"/>
    <w:multiLevelType w:val="hybridMultilevel"/>
    <w:lvl w:ilvl="0">
      <w:lvlJc w:val="left"/>
      <w:lvlText w:val="•"/>
      <w:numFmt w:val="bullet"/>
      <w:start w:val="1"/>
    </w:lvl>
  </w:abstractNum>
  <w:abstractNum w:abstractNumId="53">
    <w:nsid w:val="17A1B582"/>
    <w:multiLevelType w:val="hybridMultilevel"/>
    <w:lvl w:ilvl="0">
      <w:lvlJc w:val="left"/>
      <w:lvlText w:val="•"/>
      <w:numFmt w:val="bullet"/>
      <w:start w:val="1"/>
    </w:lvl>
  </w:abstractNum>
  <w:abstractNum w:abstractNumId="54">
    <w:nsid w:val="4DF72E4E"/>
    <w:multiLevelType w:val="hybridMultilevel"/>
    <w:lvl w:ilvl="0">
      <w:lvlJc w:val="left"/>
      <w:lvlText w:val="•"/>
      <w:numFmt w:val="bullet"/>
      <w:start w:val="1"/>
    </w:lvl>
  </w:abstractNum>
  <w:abstractNum w:abstractNumId="55">
    <w:nsid w:val="5046B5A9"/>
    <w:multiLevelType w:val="hybridMultilevel"/>
    <w:lvl w:ilvl="0">
      <w:lvlJc w:val="left"/>
      <w:lvlText w:val="$"/>
      <w:numFmt w:val="bullet"/>
      <w:start w:val="1"/>
    </w:lvl>
  </w:abstractNum>
  <w:abstractNum w:abstractNumId="56">
    <w:nsid w:val="5D888A08"/>
    <w:multiLevelType w:val="hybridMultilevel"/>
    <w:lvl w:ilvl="0">
      <w:lvlJc w:val="left"/>
      <w:lvlText w:val="$"/>
      <w:numFmt w:val="bullet"/>
      <w:start w:val="1"/>
    </w:lvl>
  </w:abstractNum>
  <w:abstractNum w:abstractNumId="57">
    <w:nsid w:val="2A082C70"/>
    <w:multiLevelType w:val="hybridMultilevel"/>
    <w:lvl w:ilvl="0">
      <w:lvlJc w:val="left"/>
      <w:lvlText w:val="$"/>
      <w:numFmt w:val="bullet"/>
      <w:start w:val="1"/>
    </w:lvl>
  </w:abstractNum>
  <w:abstractNum w:abstractNumId="58">
    <w:nsid w:val="5EC6AFD4"/>
    <w:multiLevelType w:val="hybridMultilevel"/>
    <w:lvl w:ilvl="0">
      <w:lvlJc w:val="left"/>
      <w:lvlText w:val="•"/>
      <w:numFmt w:val="bullet"/>
      <w:start w:val="1"/>
    </w:lvl>
  </w:abstractNum>
  <w:abstractNum w:abstractNumId="59">
    <w:nsid w:val="19E21BB2"/>
    <w:multiLevelType w:val="hybridMultilevel"/>
    <w:lvl w:ilvl="0">
      <w:lvlJc w:val="left"/>
      <w:lvlText w:val="•"/>
      <w:numFmt w:val="bullet"/>
      <w:start w:val="1"/>
    </w:lvl>
  </w:abstractNum>
  <w:abstractNum w:abstractNumId="60">
    <w:nsid w:val="75E0858A"/>
    <w:multiLevelType w:val="hybridMultilevel"/>
    <w:lvl w:ilvl="0">
      <w:lvlJc w:val="left"/>
      <w:lvlText w:val="(%1)"/>
      <w:numFmt w:val="decimal"/>
      <w:start w:val="1"/>
    </w:lvl>
  </w:abstractNum>
  <w:abstractNum w:abstractNumId="61">
    <w:nsid w:val="57A61A29"/>
    <w:multiLevelType w:val="hybridMultilevel"/>
    <w:lvl w:ilvl="0">
      <w:lvlJc w:val="left"/>
      <w:lvlText w:val="(%1)"/>
      <w:numFmt w:val="decimal"/>
      <w:start w:val="1"/>
    </w:lvl>
  </w:abstractNum>
  <w:abstractNum w:abstractNumId="62">
    <w:nsid w:val="5399C654"/>
    <w:multiLevelType w:val="hybridMultilevel"/>
    <w:lvl w:ilvl="0">
      <w:lvlJc w:val="left"/>
      <w:lvlText w:val="•"/>
      <w:numFmt w:val="bullet"/>
      <w:start w:val="1"/>
    </w:lvl>
  </w:abstractNum>
  <w:abstractNum w:abstractNumId="63">
    <w:nsid w:val="20EE1348"/>
    <w:multiLevelType w:val="hybridMultilevel"/>
    <w:lvl w:ilvl="0">
      <w:lvlJc w:val="left"/>
      <w:lvlText w:val="•"/>
      <w:numFmt w:val="bullet"/>
      <w:start w:val="1"/>
    </w:lvl>
  </w:abstractNum>
  <w:abstractNum w:abstractNumId="64">
    <w:nsid w:val="4427069A"/>
    <w:multiLevelType w:val="hybridMultilevel"/>
    <w:lvl w:ilvl="0">
      <w:lvlJc w:val="left"/>
      <w:lvlText w:val="•"/>
      <w:numFmt w:val="bullet"/>
      <w:start w:val="1"/>
    </w:lvl>
  </w:abstractNum>
  <w:abstractNum w:abstractNumId="65">
    <w:nsid w:val="B37E80A"/>
    <w:multiLevelType w:val="hybridMultilevel"/>
    <w:lvl w:ilvl="0">
      <w:lvlJc w:val="left"/>
      <w:lvlText w:val="•"/>
      <w:numFmt w:val="bullet"/>
      <w:start w:val="1"/>
    </w:lvl>
  </w:abstractNum>
  <w:abstractNum w:abstractNumId="66">
    <w:nsid w:val="2157F6BC"/>
    <w:multiLevelType w:val="hybridMultilevel"/>
    <w:lvl w:ilvl="0">
      <w:lvlJc w:val="left"/>
      <w:lvlText w:val="•"/>
      <w:numFmt w:val="bullet"/>
      <w:start w:val="1"/>
    </w:lvl>
  </w:abstractNum>
  <w:abstractNum w:abstractNumId="67">
    <w:nsid w:val="704E1DD5"/>
    <w:multiLevelType w:val="hybridMultilevel"/>
    <w:lvl w:ilvl="0">
      <w:lvlJc w:val="left"/>
      <w:lvlText w:val="(%1)"/>
      <w:numFmt w:val="decimal"/>
      <w:start w:val="1"/>
    </w:lvl>
  </w:abstractNum>
  <w:abstractNum w:abstractNumId="68">
    <w:nsid w:val="57D2F10E"/>
    <w:multiLevelType w:val="hybridMultilevel"/>
    <w:lvl w:ilvl="0">
      <w:lvlJc w:val="left"/>
      <w:lvlText w:val="•"/>
      <w:numFmt w:val="bullet"/>
      <w:start w:val="1"/>
    </w:lvl>
  </w:abstractNum>
  <w:abstractNum w:abstractNumId="69">
    <w:nsid w:val="BFFAE18"/>
    <w:multiLevelType w:val="hybridMultilevel"/>
    <w:lvl w:ilvl="0">
      <w:lvlJc w:val="left"/>
      <w:lvlText w:val="•"/>
      <w:numFmt w:val="bullet"/>
      <w:start w:val="1"/>
    </w:lvl>
  </w:abstractNum>
  <w:abstractNum w:abstractNumId="70">
    <w:nsid w:val="E3E47A8"/>
    <w:multiLevelType w:val="hybridMultilevel"/>
    <w:lvl w:ilvl="0">
      <w:lvlJc w:val="left"/>
      <w:lvlText w:val="•"/>
      <w:numFmt w:val="bullet"/>
      <w:start w:val="1"/>
    </w:lvl>
  </w:abstractNum>
  <w:abstractNum w:abstractNumId="71">
    <w:nsid w:val="2E48F044"/>
    <w:multiLevelType w:val="hybridMultilevel"/>
    <w:lvl w:ilvl="0">
      <w:lvlJc w:val="left"/>
      <w:lvlText w:val="•"/>
      <w:numFmt w:val="bullet"/>
      <w:start w:val="1"/>
    </w:lvl>
  </w:abstractNum>
  <w:abstractNum w:abstractNumId="72">
    <w:nsid w:val="49D0FEAC"/>
    <w:multiLevelType w:val="hybridMultilevel"/>
    <w:lvl w:ilvl="0">
      <w:lvlJc w:val="left"/>
      <w:lvlText w:val="•"/>
      <w:numFmt w:val="bullet"/>
      <w:start w:val="1"/>
    </w:lvl>
  </w:abstractNum>
  <w:abstractNum w:abstractNumId="73">
    <w:nsid w:val="4BEE5A5B"/>
    <w:multiLevelType w:val="hybridMultilevel"/>
    <w:lvl w:ilvl="0">
      <w:lvlJc w:val="left"/>
      <w:lvlText w:val="•"/>
      <w:numFmt w:val="bullet"/>
      <w:start w:val="1"/>
    </w:lvl>
  </w:abstractNum>
  <w:abstractNum w:abstractNumId="74">
    <w:nsid w:val="5551B9F3"/>
    <w:multiLevelType w:val="hybridMultilevel"/>
    <w:lvl w:ilvl="0">
      <w:lvlJc w:val="left"/>
      <w:lvlText w:val="(%1)"/>
      <w:numFmt w:val="decimal"/>
      <w:start w:val="1"/>
    </w:lvl>
  </w:abstractNum>
  <w:abstractNum w:abstractNumId="75">
    <w:nsid w:val="24F6AB8E"/>
    <w:multiLevelType w:val="hybridMultilevel"/>
    <w:lvl w:ilvl="0">
      <w:lvlJc w:val="left"/>
      <w:lvlText w:val="•"/>
      <w:numFmt w:val="bullet"/>
      <w:start w:val="1"/>
    </w:lvl>
  </w:abstractNum>
  <w:abstractNum w:abstractNumId="76">
    <w:nsid w:val="634C574C"/>
    <w:multiLevelType w:val="hybridMultilevel"/>
    <w:lvl w:ilvl="0">
      <w:lvlJc w:val="left"/>
      <w:lvlText w:val="•"/>
      <w:numFmt w:val="bullet"/>
      <w:start w:val="1"/>
    </w:lvl>
  </w:abstractNum>
  <w:abstractNum w:abstractNumId="77">
    <w:nsid w:val="24E99DD7"/>
    <w:multiLevelType w:val="hybridMultilevel"/>
    <w:lvl w:ilvl="0">
      <w:lvlJc w:val="left"/>
      <w:lvlText w:val="/"/>
      <w:numFmt w:val="bullet"/>
      <w:start w:val="1"/>
    </w:lvl>
  </w:abstractNum>
  <w:abstractNum w:abstractNumId="78">
    <w:nsid w:val="2A31B62D"/>
    <w:multiLevelType w:val="hybridMultilevel"/>
    <w:lvl w:ilvl="0">
      <w:lvlJc w:val="left"/>
      <w:lvlText w:val="(%1)"/>
      <w:numFmt w:val="decimal"/>
      <w:start w:val="1"/>
    </w:lvl>
  </w:abstractNum>
  <w:abstractNum w:abstractNumId="79">
    <w:nsid w:val="1849C29B"/>
    <w:multiLevelType w:val="hybridMultilevel"/>
    <w:lvl w:ilvl="0">
      <w:lvlJc w:val="left"/>
      <w:lvlText w:val="•"/>
      <w:numFmt w:val="bullet"/>
      <w:start w:val="1"/>
    </w:lvl>
  </w:abstractNum>
  <w:abstractNum w:abstractNumId="80">
    <w:nsid w:val="7DFF9D09"/>
    <w:multiLevelType w:val="hybridMultilevel"/>
    <w:lvl w:ilvl="0">
      <w:lvlJc w:val="left"/>
      <w:lvlText w:val="•"/>
      <w:numFmt w:val="bullet"/>
      <w:start w:val="1"/>
    </w:lvl>
  </w:abstractNum>
  <w:abstractNum w:abstractNumId="81">
    <w:nsid w:val="754342"/>
    <w:multiLevelType w:val="hybridMultilevel"/>
    <w:lvl w:ilvl="0">
      <w:lvlJc w:val="left"/>
      <w:lvlText w:val="•"/>
      <w:numFmt w:val="bullet"/>
      <w:start w:val="1"/>
    </w:lvl>
  </w:abstractNum>
  <w:abstractNum w:abstractNumId="82">
    <w:nsid w:val="69E7F3E5"/>
    <w:multiLevelType w:val="hybridMultilevel"/>
    <w:lvl w:ilvl="0">
      <w:lvlJc w:val="left"/>
      <w:lvlText w:val="•"/>
      <w:numFmt w:val="bullet"/>
      <w:start w:val="1"/>
    </w:lvl>
  </w:abstractNum>
  <w:abstractNum w:abstractNumId="83">
    <w:nsid w:val="2A6DE806"/>
    <w:multiLevelType w:val="hybridMultilevel"/>
    <w:lvl w:ilvl="0">
      <w:lvlJc w:val="left"/>
      <w:lvlText w:val="%1"/>
      <w:numFmt w:val="decimal"/>
      <w:start w:val="50"/>
    </w:lvl>
  </w:abstractNum>
  <w:abstractNum w:abstractNumId="84">
    <w:nsid w:val="1816F8C4"/>
    <w:multiLevelType w:val="hybridMultilevel"/>
    <w:lvl w:ilvl="0">
      <w:lvlJc w:val="left"/>
      <w:lvlText w:val="(%1)"/>
      <w:numFmt w:val="decimal"/>
      <w:start w:val="1"/>
    </w:lvl>
  </w:abstractNum>
  <w:abstractNum w:abstractNumId="85">
    <w:nsid w:val="37DF2233"/>
    <w:multiLevelType w:val="hybridMultilevel"/>
    <w:lvl w:ilvl="0">
      <w:lvlJc w:val="left"/>
      <w:lvlText w:val="•"/>
      <w:numFmt w:val="bullet"/>
      <w:start w:val="1"/>
    </w:lvl>
  </w:abstractNum>
  <w:abstractNum w:abstractNumId="86">
    <w:nsid w:val="7AB49DAF"/>
    <w:multiLevelType w:val="hybridMultilevel"/>
    <w:lvl w:ilvl="0">
      <w:lvlJc w:val="left"/>
      <w:lvlText w:val="•"/>
      <w:numFmt w:val="bullet"/>
      <w:start w:val="1"/>
    </w:lvl>
  </w:abstractNum>
  <w:abstractNum w:abstractNumId="87">
    <w:nsid w:val="759F82CD"/>
    <w:multiLevelType w:val="hybridMultilevel"/>
    <w:lvl w:ilvl="0">
      <w:lvlJc w:val="left"/>
      <w:lvlText w:val="•"/>
      <w:numFmt w:val="bullet"/>
      <w:start w:val="1"/>
    </w:lvl>
  </w:abstractNum>
  <w:abstractNum w:abstractNumId="88">
    <w:nsid w:val="61E74EA3"/>
    <w:multiLevelType w:val="hybridMultilevel"/>
    <w:lvl w:ilvl="0">
      <w:lvlJc w:val="left"/>
      <w:lvlText w:val="•"/>
      <w:numFmt w:val="bullet"/>
      <w:start w:val="1"/>
    </w:lvl>
  </w:abstractNum>
  <w:abstractNum w:abstractNumId="89">
    <w:nsid w:val="597B4D84"/>
    <w:multiLevelType w:val="hybridMultilevel"/>
    <w:lvl w:ilvl="0">
      <w:lvlJc w:val="left"/>
      <w:lvlText w:val="•"/>
      <w:numFmt w:val="bullet"/>
      <w:start w:val="1"/>
    </w:lvl>
  </w:abstractNum>
  <w:abstractNum w:abstractNumId="90">
    <w:nsid w:val="F819E7F"/>
    <w:multiLevelType w:val="hybridMultilevel"/>
    <w:lvl w:ilvl="0">
      <w:lvlJc w:val="left"/>
      <w:lvlText w:val="(%1)"/>
      <w:numFmt w:val="decimal"/>
      <w:start w:val="1"/>
    </w:lvl>
  </w:abstractNum>
  <w:abstractNum w:abstractNumId="91">
    <w:nsid w:val="57C7D42D"/>
    <w:multiLevelType w:val="hybridMultilevel"/>
    <w:lvl w:ilvl="0">
      <w:lvlJc w:val="left"/>
      <w:lvlText w:val="(%1)"/>
      <w:numFmt w:val="lowerRoman"/>
      <w:start w:val="2"/>
    </w:lvl>
  </w:abstractNum>
  <w:abstractNum w:abstractNumId="92">
    <w:nsid w:val="312167AD"/>
    <w:multiLevelType w:val="hybridMultilevel"/>
    <w:lvl w:ilvl="0">
      <w:lvlJc w:val="left"/>
      <w:lvlText w:val="(%1)"/>
      <w:numFmt w:val="lowerRoman"/>
      <w:start w:val="1"/>
    </w:lvl>
  </w:abstractNum>
  <w:abstractNum w:abstractNumId="93">
    <w:nsid w:val="631B64D4"/>
    <w:multiLevelType w:val="hybridMultilevel"/>
    <w:lvl w:ilvl="0">
      <w:lvlJc w:val="left"/>
      <w:lvlText w:val="(%1)"/>
      <w:numFmt w:val="decimal"/>
      <w:start w:val="1"/>
    </w:lvl>
  </w:abstractNum>
  <w:abstractNum w:abstractNumId="94">
    <w:nsid w:val="78B5E776"/>
    <w:multiLevelType w:val="hybridMultilevel"/>
    <w:lvl w:ilvl="0">
      <w:lvlJc w:val="left"/>
      <w:lvlText w:val="(%1)"/>
      <w:numFmt w:val="decimal"/>
      <w:start w:val="2"/>
    </w:lvl>
  </w:abstractNum>
  <w:abstractNum w:abstractNumId="95">
    <w:nsid w:val="75486E47"/>
    <w:multiLevelType w:val="hybridMultilevel"/>
    <w:lvl w:ilvl="0">
      <w:lvlJc w:val="left"/>
      <w:lvlText w:val="•"/>
      <w:numFmt w:val="bullet"/>
      <w:start w:val="1"/>
    </w:lvl>
  </w:abstractNum>
  <w:abstractNum w:abstractNumId="96">
    <w:nsid w:val="6E534CDE"/>
    <w:multiLevelType w:val="hybridMultilevel"/>
    <w:lvl w:ilvl="0">
      <w:lvlJc w:val="left"/>
      <w:lvlText w:val="(%1)"/>
      <w:numFmt w:val="lowerRoman"/>
      <w:start w:val="2"/>
    </w:lvl>
  </w:abstractNum>
  <w:abstractNum w:abstractNumId="97">
    <w:nsid w:val="1A0DDE32"/>
    <w:multiLevelType w:val="hybridMultilevel"/>
    <w:lvl w:ilvl="0">
      <w:lvlJc w:val="left"/>
      <w:lvlText w:val="(%1)"/>
      <w:numFmt w:val="decimal"/>
      <w:start w:val="5"/>
    </w:lvl>
  </w:abstractNum>
  <w:abstractNum w:abstractNumId="98">
    <w:nsid w:val="65968C1C"/>
    <w:multiLevelType w:val="hybridMultilevel"/>
    <w:lvl w:ilvl="0">
      <w:lvlJc w:val="left"/>
      <w:lvlText w:val="(%1)"/>
      <w:numFmt w:val="lowerRoman"/>
      <w:start w:val="1"/>
    </w:lvl>
  </w:abstractNum>
  <w:abstractNum w:abstractNumId="99">
    <w:nsid w:val="46263DEC"/>
    <w:multiLevelType w:val="hybridMultilevel"/>
    <w:lvl w:ilvl="0">
      <w:lvlJc w:val="left"/>
      <w:lvlText w:val="•"/>
      <w:numFmt w:val="bullet"/>
      <w:start w:val="1"/>
    </w:lvl>
  </w:abstractNum>
  <w:abstractNum w:abstractNumId="100">
    <w:nsid w:val="260D8C4A"/>
    <w:multiLevelType w:val="hybridMultilevel"/>
    <w:lvl w:ilvl="0">
      <w:lvlJc w:val="left"/>
      <w:lvlText w:val="(%1)"/>
      <w:numFmt w:val="decimal"/>
      <w:start w:val="1"/>
    </w:lvl>
  </w:abstractNum>
  <w:abstractNum w:abstractNumId="101">
    <w:nsid w:val="73D4D3C4"/>
    <w:multiLevelType w:val="hybridMultilevel"/>
    <w:lvl w:ilvl="0">
      <w:lvlJc w:val="left"/>
      <w:lvlText w:val="(%1)"/>
      <w:numFmt w:val="decimal"/>
      <w:start w:val="3"/>
    </w:lvl>
  </w:abstractNum>
  <w:abstractNum w:abstractNumId="102">
    <w:nsid w:val="746F2E30"/>
    <w:multiLevelType w:val="hybridMultilevel"/>
    <w:lvl w:ilvl="0">
      <w:lvlJc w:val="left"/>
      <w:lvlText w:val="(%1)"/>
      <w:numFmt w:val="decimal"/>
      <w:start w:val="5"/>
    </w:lvl>
  </w:abstractNum>
  <w:abstractNum w:abstractNumId="103">
    <w:nsid w:val="6FDE8AF6"/>
    <w:multiLevelType w:val="hybridMultilevel"/>
    <w:lvl w:ilvl="0">
      <w:lvlJc w:val="left"/>
      <w:lvlText w:val="(%1)"/>
      <w:numFmt w:val="decimal"/>
      <w:start w:val="3"/>
    </w:lvl>
  </w:abstractNum>
  <w:abstractNum w:abstractNumId="104">
    <w:nsid w:val="3FC32E20"/>
    <w:multiLevelType w:val="hybridMultilevel"/>
    <w:lvl w:ilvl="0">
      <w:lvlJc w:val="left"/>
      <w:lvlText w:val="(%1)"/>
      <w:numFmt w:val="decimal"/>
      <w:start w:val="2"/>
    </w:lvl>
  </w:abstractNum>
  <w:abstractNum w:abstractNumId="105">
    <w:nsid w:val="49C0E823"/>
    <w:multiLevelType w:val="hybridMultilevel"/>
    <w:lvl w:ilvl="0">
      <w:lvlJc w:val="left"/>
      <w:lvlText w:val="(%1)"/>
      <w:numFmt w:val="lowerRoman"/>
      <w:start w:val="2"/>
    </w:lvl>
  </w:abstractNum>
  <w:abstractNum w:abstractNumId="106">
    <w:nsid w:val="14D53685"/>
    <w:multiLevelType w:val="hybridMultilevel"/>
    <w:lvl w:ilvl="0">
      <w:lvlJc w:val="left"/>
      <w:lvlText w:val="•"/>
      <w:numFmt w:val="bullet"/>
      <w:start w:val="1"/>
    </w:lvl>
  </w:abstractNum>
  <w:abstractNum w:abstractNumId="107">
    <w:nsid w:val="230F856C"/>
    <w:multiLevelType w:val="hybridMultilevel"/>
    <w:lvl w:ilvl="0">
      <w:lvlJc w:val="left"/>
      <w:lvlText w:val="•"/>
      <w:numFmt w:val="bullet"/>
      <w:start w:val="1"/>
    </w:lvl>
  </w:abstractNum>
  <w:abstractNum w:abstractNumId="108">
    <w:nsid w:val="6EAA85FB"/>
    <w:multiLevelType w:val="hybridMultilevel"/>
    <w:lvl w:ilvl="0">
      <w:lvlJc w:val="left"/>
      <w:lvlText w:val="•"/>
      <w:numFmt w:val="bullet"/>
      <w:start w:val="1"/>
    </w:lvl>
  </w:abstractNum>
  <w:abstractNum w:abstractNumId="109">
    <w:nsid w:val="3F06ECB2"/>
    <w:multiLevelType w:val="hybridMultilevel"/>
    <w:lvl w:ilvl="0">
      <w:lvlJc w:val="left"/>
      <w:lvlText w:val="•"/>
      <w:numFmt w:val="bullet"/>
      <w:start w:val="1"/>
    </w:lvl>
  </w:abstractNum>
  <w:abstractNum w:abstractNumId="110">
    <w:nsid w:val="3B594807"/>
    <w:multiLevelType w:val="hybridMultilevel"/>
    <w:lvl w:ilvl="0">
      <w:lvlJc w:val="left"/>
      <w:lvlText w:val="•"/>
      <w:numFmt w:val="bullet"/>
      <w:start w:val="1"/>
    </w:lvl>
  </w:abstractNum>
  <w:abstractNum w:abstractNumId="111">
    <w:nsid w:val="6CAA2304"/>
    <w:multiLevelType w:val="hybridMultilevel"/>
    <w:lvl w:ilvl="0">
      <w:lvlJc w:val="left"/>
      <w:lvlText w:val="(%1)"/>
      <w:numFmt w:val="lowerRoman"/>
      <w:start w:val="4"/>
    </w:lvl>
  </w:abstractNum>
  <w:abstractNum w:abstractNumId="112">
    <w:nsid w:val="3F7C2FF4"/>
    <w:multiLevelType w:val="hybridMultilevel"/>
    <w:lvl w:ilvl="0">
      <w:lvlJc w:val="left"/>
      <w:lvlText w:val="(%1)"/>
      <w:numFmt w:val="lowerRoman"/>
      <w:start w:val="1"/>
    </w:lvl>
  </w:abstractNum>
  <w:abstractNum w:abstractNumId="113">
    <w:nsid w:val="25413BEC"/>
    <w:multiLevelType w:val="hybridMultilevel"/>
    <w:lvl w:ilvl="0">
      <w:lvlJc w:val="left"/>
      <w:lvlText w:val="(%1)"/>
      <w:numFmt w:val="lowerRoman"/>
      <w:start w:val="11"/>
    </w:lvl>
  </w:abstractNum>
  <w:abstractNum w:abstractNumId="114">
    <w:nsid w:val="17180B0B"/>
    <w:multiLevelType w:val="hybridMultilevel"/>
    <w:lvl w:ilvl="0">
      <w:lvlJc w:val="left"/>
      <w:lvlText w:val="(%1)"/>
      <w:numFmt w:val="lowerLetter"/>
      <w:start w:val="4"/>
    </w:lvl>
  </w:abstractNum>
  <w:abstractNum w:abstractNumId="115">
    <w:nsid w:val="579328B9"/>
    <w:multiLevelType w:val="hybridMultilevel"/>
    <w:lvl w:ilvl="0">
      <w:lvlJc w:val="left"/>
      <w:lvlText w:val="•"/>
      <w:numFmt w:val="bullet"/>
      <w:start w:val="1"/>
    </w:lvl>
  </w:abstractNum>
  <w:abstractNum w:abstractNumId="116">
    <w:nsid w:val="5D205E20"/>
    <w:multiLevelType w:val="hybridMultilevel"/>
    <w:lvl w:ilvl="0">
      <w:lvlJc w:val="left"/>
      <w:lvlText w:val="%1)"/>
      <w:numFmt w:val="lowerLetter"/>
      <w:start w:val="1"/>
    </w:lvl>
  </w:abstractNum>
  <w:abstractNum w:abstractNumId="117">
    <w:nsid w:val="11CCA8BA"/>
    <w:multiLevelType w:val="hybridMultilevel"/>
    <w:lvl w:ilvl="0">
      <w:lvlJc w:val="left"/>
      <w:lvlText w:val="%1)"/>
      <w:numFmt w:val="lowerLetter"/>
      <w:start w:val="1"/>
    </w:lvl>
  </w:abstractNum>
  <w:abstractNum w:abstractNumId="118">
    <w:nsid w:val="4D32AB86"/>
    <w:multiLevelType w:val="hybridMultilevel"/>
    <w:lvl w:ilvl="0">
      <w:lvlJc w:val="left"/>
      <w:lvlText w:val="(%1)"/>
      <w:numFmt w:val="lowerLetter"/>
      <w:start w:val="4"/>
    </w:lvl>
  </w:abstractNum>
  <w:abstractNum w:abstractNumId="119">
    <w:nsid w:val="3F07ACC3"/>
    <w:multiLevelType w:val="hybridMultilevel"/>
    <w:lvl w:ilvl="0">
      <w:lvlJc w:val="left"/>
      <w:lvlText w:val="(%1)"/>
      <w:numFmt w:val="lowerLetter"/>
      <w:start w:val="1"/>
    </w:lvl>
  </w:abstractNum>
  <w:abstractNum w:abstractNumId="120">
    <w:nsid w:val="6B47F63E"/>
    <w:multiLevelType w:val="hybridMultilevel"/>
    <w:lvl w:ilvl="0">
      <w:lvlJc w:val="left"/>
      <w:lvlText w:val="(%1)"/>
      <w:numFmt w:val="lowerLetter"/>
      <w:start w:val="4"/>
    </w:lvl>
    <w:lvl w:ilvl="1">
      <w:lvlJc w:val="left"/>
      <w:lvlText w:val="(%2)"/>
      <w:numFmt w:val="lowerRoman"/>
      <w:start w:val="1"/>
    </w:lvl>
  </w:abstractNum>
  <w:abstractNum w:abstractNumId="121">
    <w:nsid w:val="5CB44A05"/>
    <w:multiLevelType w:val="hybridMultilevel"/>
    <w:lvl w:ilvl="0">
      <w:lvlJc w:val="left"/>
      <w:lvlText w:val="(%1)"/>
      <w:numFmt w:val="lowerRoman"/>
      <w:start w:val="1"/>
    </w:lvl>
  </w:abstractNum>
  <w:abstractNum w:abstractNumId="122">
    <w:nsid w:val="16CF80F1"/>
    <w:multiLevelType w:val="hybridMultilevel"/>
    <w:lvl w:ilvl="0">
      <w:lvlJc w:val="left"/>
      <w:lvlText w:val="(%1)"/>
      <w:numFmt w:val="lowerLetter"/>
      <w:start w:val="9"/>
    </w:lvl>
  </w:abstractNum>
  <w:abstractNum w:abstractNumId="123">
    <w:nsid w:val="1C695DEC"/>
    <w:multiLevelType w:val="hybridMultilevel"/>
    <w:lvl w:ilvl="0">
      <w:lvlJc w:val="left"/>
      <w:lvlText w:val="%1"/>
      <w:numFmt w:val="decimal"/>
      <w:start w:val="783"/>
    </w:lvl>
  </w:abstractNum>
  <w:abstractNum w:abstractNumId="124">
    <w:nsid w:val="3FCFAED9"/>
    <w:multiLevelType w:val="hybridMultilevel"/>
    <w:lvl w:ilvl="0">
      <w:lvlJc w:val="left"/>
      <w:lvlText w:val="(%1)"/>
      <w:numFmt w:val="decimal"/>
      <w:start w:val="3"/>
    </w:lvl>
  </w:abstractNum>
  <w:abstractNum w:abstractNumId="125">
    <w:nsid w:val="F856867"/>
    <w:multiLevelType w:val="hybridMultilevel"/>
    <w:lvl w:ilvl="0">
      <w:lvlJc w:val="left"/>
      <w:lvlText w:val="(%1)"/>
      <w:numFmt w:val="lowerRoman"/>
      <w:start w:val="4"/>
    </w:lvl>
  </w:abstractNum>
  <w:abstractNum w:abstractNumId="126">
    <w:nsid w:val="11B1CC33"/>
    <w:multiLevelType w:val="hybridMultilevel"/>
    <w:lvl w:ilvl="0">
      <w:lvlJc w:val="left"/>
      <w:lvlText w:val="(%1)"/>
      <w:numFmt w:val="lowerRoman"/>
      <w:start w:val="4"/>
    </w:lvl>
  </w:abstractNum>
  <w:abstractNum w:abstractNumId="127">
    <w:nsid w:val="2E22FBB7"/>
    <w:multiLevelType w:val="hybridMultilevel"/>
    <w:lvl w:ilvl="0">
      <w:lvlJc w:val="left"/>
      <w:lvlText w:val="•"/>
      <w:numFmt w:val="bullet"/>
      <w:start w:val="1"/>
    </w:lvl>
  </w:abstractNum>
  <w:abstractNum w:abstractNumId="128">
    <w:nsid w:val="29934699"/>
    <w:multiLevelType w:val="hybridMultilevel"/>
    <w:lvl w:ilvl="0">
      <w:lvlJc w:val="left"/>
      <w:lvlText w:val="•"/>
      <w:numFmt w:val="bullet"/>
      <w:start w:val="1"/>
    </w:lvl>
  </w:abstractNum>
  <w:abstractNum w:abstractNumId="129">
    <w:nsid w:val="77485850"/>
    <w:multiLevelType w:val="hybridMultilevel"/>
    <w:lvl w:ilvl="0">
      <w:lvlJc w:val="left"/>
      <w:lvlText w:val="%1."/>
      <w:numFmt w:val="decimal"/>
      <w:start w:val="1"/>
    </w:lvl>
  </w:abstractNum>
  <w:abstractNum w:abstractNumId="130">
    <w:nsid w:val="744939A3"/>
    <w:multiLevelType w:val="hybridMultilevel"/>
    <w:lvl w:ilvl="0">
      <w:lvlJc w:val="left"/>
      <w:lvlText w:val="%1."/>
      <w:numFmt w:val="lowerLetter"/>
      <w:start w:val="1"/>
    </w:lvl>
  </w:abstractNum>
  <w:abstractNum w:abstractNumId="131">
    <w:nsid w:val="4FA0D2E3"/>
    <w:multiLevelType w:val="hybridMultilevel"/>
    <w:lvl w:ilvl="0">
      <w:lvlJc w:val="left"/>
      <w:lvlText w:val="%1."/>
      <w:numFmt w:val="decimal"/>
      <w:start w:val="2"/>
    </w:lvl>
    <w:lvl w:ilvl="1">
      <w:lvlJc w:val="left"/>
      <w:lvlText w:val="%2."/>
      <w:numFmt w:val="lowerLetter"/>
      <w:start w:val="1"/>
    </w:lvl>
  </w:abstractNum>
  <w:abstractNum w:abstractNumId="132">
    <w:nsid w:val="6B1D2C14"/>
    <w:multiLevelType w:val="hybridMultilevel"/>
    <w:lvl w:ilvl="0">
      <w:lvlJc w:val="left"/>
      <w:lvlText w:val="#"/>
      <w:numFmt w:val="bullet"/>
      <w:start w:val="1"/>
    </w:lvl>
  </w:abstractNum>
  <w:abstractNum w:abstractNumId="133">
    <w:nsid w:val="68B867D3"/>
    <w:multiLevelType w:val="hybridMultilevel"/>
    <w:lvl w:ilvl="0">
      <w:lvlJc w:val="left"/>
      <w:lvlText w:val="†"/>
      <w:numFmt w:val="bullet"/>
      <w:start w:val="1"/>
    </w:lvl>
  </w:abstractNum>
  <w:abstractNum w:abstractNumId="134">
    <w:nsid w:val="3F7F5DD9"/>
    <w:multiLevelType w:val="hybridMultilevel"/>
    <w:lvl w:ilvl="0">
      <w:lvlJc w:val="left"/>
      <w:lvlText w:val="•"/>
      <w:numFmt w:val="bullet"/>
      <w:start w:val="1"/>
    </w:lvl>
  </w:abstractNum>
  <w:abstractNum w:abstractNumId="135">
    <w:nsid w:val="2AE05A34"/>
    <w:multiLevelType w:val="hybridMultilevel"/>
    <w:lvl w:ilvl="0">
      <w:lvlJc w:val="left"/>
      <w:lvlText w:val="*"/>
      <w:numFmt w:val="bullet"/>
      <w:start w:val="1"/>
    </w:lvl>
  </w:abstractNum>
  <w:abstractNum w:abstractNumId="136">
    <w:nsid w:val="32794FF7"/>
    <w:multiLevelType w:val="hybridMultilevel"/>
    <w:lvl w:ilvl="0">
      <w:lvlJc w:val="left"/>
      <w:lvlText w:val="(%1)"/>
      <w:numFmt w:val="lowerLetter"/>
      <w:start w:val="2"/>
    </w:lvl>
  </w:abstractNum>
  <w:abstractNum w:abstractNumId="137">
    <w:nsid w:val="5454945E"/>
    <w:multiLevelType w:val="hybridMultilevel"/>
    <w:lvl w:ilvl="0">
      <w:lvlJc w:val="left"/>
      <w:lvlText w:val="%1."/>
      <w:numFmt w:val="decimal"/>
      <w:start w:val="1"/>
    </w:lvl>
  </w:abstractNum>
  <w:abstractNum w:abstractNumId="138">
    <w:nsid w:val="4DEFDFA0"/>
    <w:multiLevelType w:val="hybridMultilevel"/>
    <w:lvl w:ilvl="0">
      <w:lvlJc w:val="left"/>
      <w:lvlText w:val="%1."/>
      <w:numFmt w:val="decimal"/>
      <w:start w:val="1"/>
    </w:lvl>
  </w:abstractNum>
  <w:abstractNum w:abstractNumId="139">
    <w:nsid w:val="2123D5F2"/>
    <w:multiLevelType w:val="hybridMultilevel"/>
    <w:lvl w:ilvl="0">
      <w:lvlJc w:val="left"/>
      <w:lvlText w:val="%1."/>
      <w:numFmt w:val="decimal"/>
      <w:start w:val="2"/>
    </w:lvl>
  </w:abstractNum>
  <w:abstractNum w:abstractNumId="140">
    <w:nsid w:val="135B8110"/>
    <w:multiLevelType w:val="hybridMultilevel"/>
    <w:lvl w:ilvl="0">
      <w:lvlJc w:val="left"/>
      <w:lvlText w:val="%1."/>
      <w:numFmt w:val="decimal"/>
      <w:start w:val="5"/>
    </w:lvl>
    <w:lvl w:ilvl="1">
      <w:lvlJc w:val="left"/>
      <w:lvlText w:val="%2."/>
      <w:numFmt w:val="lowerLetter"/>
      <w:start w:val="1"/>
    </w:lvl>
  </w:abstractNum>
  <w:abstractNum w:abstractNumId="141">
    <w:nsid w:val="94927A8"/>
    <w:multiLevelType w:val="hybridMultilevel"/>
    <w:lvl w:ilvl="0">
      <w:lvlJc w:val="left"/>
      <w:lvlText w:val="%1."/>
      <w:numFmt w:val="lowerLetter"/>
      <w:start w:val="2"/>
    </w:lvl>
  </w:abstractNum>
  <w:abstractNum w:abstractNumId="142">
    <w:nsid w:val="DCDF8F6"/>
    <w:multiLevelType w:val="hybridMultilevel"/>
    <w:lvl w:ilvl="0">
      <w:lvlJc w:val="left"/>
      <w:lvlText w:val="%1."/>
      <w:numFmt w:val="decimal"/>
      <w:start w:val="7"/>
    </w:lvl>
  </w:abstractNum>
  <w:abstractNum w:abstractNumId="143">
    <w:nsid w:val="52D7B105"/>
    <w:multiLevelType w:val="hybridMultilevel"/>
    <w:lvl w:ilvl="0">
      <w:lvlJc w:val="left"/>
      <w:lvlText w:val="%1."/>
      <w:numFmt w:val="decimal"/>
      <w:start w:val="9"/>
    </w:lvl>
  </w:abstractNum>
  <w:abstractNum w:abstractNumId="144">
    <w:nsid w:val="2E8A6394"/>
    <w:multiLevelType w:val="hybridMultilevel"/>
    <w:lvl w:ilvl="0">
      <w:lvlJc w:val="left"/>
      <w:lvlText w:val="%1."/>
      <w:numFmt w:val="decimal"/>
      <w:start w:val="12"/>
    </w:lvl>
  </w:abstractNum>
  <w:abstractNum w:abstractNumId="145">
    <w:nsid w:val="24E60401"/>
    <w:multiLevelType w:val="hybridMultilevel"/>
    <w:lvl w:ilvl="0">
      <w:lvlJc w:val="left"/>
      <w:lvlText w:val="%1."/>
      <w:numFmt w:val="decimal"/>
      <w:start w:val="16"/>
    </w:lvl>
  </w:abstractNum>
  <w:abstractNum w:abstractNumId="146">
    <w:nsid w:val="2A6AD9BE"/>
    <w:multiLevelType w:val="hybridMultilevel"/>
    <w:lvl w:ilvl="0">
      <w:lvlJc w:val="left"/>
      <w:lvlText w:val="%1."/>
      <w:numFmt w:val="decimal"/>
      <w:start w:val="1"/>
    </w:lvl>
  </w:abstractNum>
  <w:abstractNum w:abstractNumId="147">
    <w:nsid w:val="BAAC1B4"/>
    <w:multiLevelType w:val="hybridMultilevel"/>
    <w:lvl w:ilvl="0">
      <w:lvlJc w:val="left"/>
      <w:lvlText w:val="%1."/>
      <w:numFmt w:val="decimal"/>
      <w:start w:val="2"/>
    </w:lvl>
  </w:abstractNum>
  <w:abstractNum w:abstractNumId="148">
    <w:nsid w:val="36B2ACBC"/>
    <w:multiLevelType w:val="hybridMultilevel"/>
    <w:lvl w:ilvl="0">
      <w:lvlJc w:val="left"/>
      <w:lvlText w:val="%1."/>
      <w:numFmt w:val="decimal"/>
      <w:start w:val="3"/>
    </w:lvl>
  </w:abstractNum>
  <w:abstractNum w:abstractNumId="149">
    <w:nsid w:val="779D8544"/>
    <w:multiLevelType w:val="hybridMultilevel"/>
    <w:lvl w:ilvl="0">
      <w:lvlJc w:val="left"/>
      <w:lvlText w:val="%1."/>
      <w:numFmt w:val="decimal"/>
      <w:start w:val="4"/>
    </w:lvl>
  </w:abstractNum>
  <w:abstractNum w:abstractNumId="150">
    <w:nsid w:val="4AB26E78"/>
    <w:multiLevelType w:val="hybridMultilevel"/>
    <w:lvl w:ilvl="0">
      <w:lvlJc w:val="left"/>
      <w:lvlText w:val="%1."/>
      <w:numFmt w:val="decimal"/>
      <w:start w:val="5"/>
    </w:lvl>
    <w:lvl w:ilvl="1">
      <w:lvlJc w:val="left"/>
      <w:lvlText w:val="[***]"/>
      <w:numFmt w:val="bullet"/>
      <w:start w:val="1"/>
    </w:lvl>
  </w:abstractNum>
  <w:abstractNum w:abstractNumId="151">
    <w:nsid w:val="21FAA2FA"/>
    <w:multiLevelType w:val="hybridMultilevel"/>
    <w:lvl w:ilvl="0">
      <w:lvlJc w:val="left"/>
      <w:lvlText w:val="%1."/>
      <w:numFmt w:val="decimal"/>
      <w:start w:val="7"/>
    </w:lvl>
  </w:abstractNum>
  <w:abstractNum w:abstractNumId="152">
    <w:nsid w:val="5451CF49"/>
    <w:multiLevelType w:val="hybridMultilevel"/>
    <w:lvl w:ilvl="0">
      <w:lvlJc w:val="left"/>
      <w:lvlText w:val="%1."/>
      <w:numFmt w:val="decimal"/>
      <w:start w:val="8"/>
    </w:lvl>
  </w:abstractNum>
  <w:abstractNum w:abstractNumId="153">
    <w:nsid w:val="6181EF69"/>
    <w:multiLevelType w:val="hybridMultilevel"/>
    <w:lvl w:ilvl="0">
      <w:lvlJc w:val="left"/>
      <w:lvlText w:val="%1."/>
      <w:numFmt w:val="decimal"/>
      <w:start w:val="10"/>
    </w:lvl>
  </w:abstractNum>
  <w:abstractNum w:abstractNumId="154">
    <w:nsid w:val="3E6400E6"/>
    <w:multiLevelType w:val="hybridMultilevel"/>
    <w:lvl w:ilvl="0">
      <w:lvlJc w:val="left"/>
      <w:lvlText w:val="%1."/>
      <w:numFmt w:val="decimal"/>
      <w:start w:val="11"/>
    </w:lvl>
    <w:lvl w:ilvl="1">
      <w:lvlJc w:val="left"/>
      <w:lvlText w:val="(%2)"/>
      <w:numFmt w:val="lowerRoman"/>
      <w:start w:val="1"/>
    </w:lvl>
  </w:abstractNum>
  <w:abstractNum w:abstractNumId="155">
    <w:nsid w:val="14217E23"/>
    <w:multiLevelType w:val="hybridMultilevel"/>
    <w:lvl w:ilvl="0">
      <w:lvlJc w:val="left"/>
      <w:lvlText w:val="%1."/>
      <w:numFmt w:val="decimal"/>
      <w:start w:val="12"/>
    </w:lvl>
  </w:abstractNum>
  <w:abstractNum w:abstractNumId="156">
    <w:nsid w:val="710757D0"/>
    <w:multiLevelType w:val="hybridMultilevel"/>
    <w:lvl w:ilvl="0">
      <w:lvlJc w:val="left"/>
      <w:lvlText w:val="[***]"/>
      <w:numFmt w:val="bullet"/>
      <w:start w:val="1"/>
    </w:lvl>
  </w:abstractNum>
  <w:abstractNum w:abstractNumId="157">
    <w:nsid w:val="5015CD1A"/>
    <w:multiLevelType w:val="hybridMultilevel"/>
    <w:lvl w:ilvl="0">
      <w:lvlJc w:val="left"/>
      <w:lvlText w:val="(%1)"/>
      <w:numFmt w:val="lowerLetter"/>
      <w:start w:val="1"/>
    </w:lvl>
  </w:abstractNum>
  <w:abstractNum w:abstractNumId="158">
    <w:nsid w:val="424479DA"/>
    <w:multiLevelType w:val="hybridMultilevel"/>
    <w:lvl w:ilvl="0">
      <w:lvlJc w:val="left"/>
      <w:lvlText w:val="(%1)"/>
      <w:numFmt w:val="lowerLetter"/>
      <w:start w:val="1"/>
    </w:lvl>
  </w:abstractNum>
  <w:abstractNum w:abstractNumId="159">
    <w:nsid w:val="1A9A9E69"/>
    <w:multiLevelType w:val="hybridMultilevel"/>
    <w:lvl w:ilvl="0">
      <w:lvlJc w:val="left"/>
      <w:lvlText w:val="(%1)"/>
      <w:numFmt w:val="lowerLetter"/>
      <w:start w:val="1"/>
    </w:lvl>
  </w:abstractNum>
  <w:abstractNum w:abstractNumId="160">
    <w:nsid w:val="475E256A"/>
    <w:multiLevelType w:val="hybridMultilevel"/>
    <w:lvl w:ilvl="0">
      <w:lvlJc w:val="left"/>
      <w:lvlText w:val="(%1)"/>
      <w:numFmt w:val="lowerLetter"/>
      <w:start w:val="3"/>
    </w:lvl>
  </w:abstractNum>
  <w:abstractNum w:abstractNumId="161">
    <w:nsid w:val="368DB37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4"/>
    </w:lvl>
  </w:abstractNum>
  <w:abstractNum w:abstractNumId="162">
    <w:nsid w:val="6A3B714C"/>
    <w:multiLevelType w:val="hybridMultilevel"/>
    <w:lvl w:ilvl="0">
      <w:lvlJc w:val="left"/>
      <w:lvlText w:val="(%1)"/>
      <w:numFmt w:val="lowerLetter"/>
      <w:start w:val="1"/>
    </w:lvl>
  </w:abstractNum>
  <w:abstractNum w:abstractNumId="163">
    <w:nsid w:val="327B517E"/>
    <w:multiLevelType w:val="hybridMultilevel"/>
    <w:lvl w:ilvl="0">
      <w:lvlJc w:val="left"/>
      <w:lvlText w:val="(%1)"/>
      <w:numFmt w:val="lowerLetter"/>
      <w:start w:val="1"/>
    </w:lvl>
  </w:abstractNum>
  <w:abstractNum w:abstractNumId="164">
    <w:nsid w:val="1F461B51"/>
    <w:multiLevelType w:val="hybridMultilevel"/>
    <w:lvl w:ilvl="0">
      <w:lvlJc w:val="left"/>
      <w:lvlText w:val="(%1)"/>
      <w:numFmt w:val="lowerLetter"/>
      <w:start w:val="3"/>
    </w:lvl>
    <w:lvl w:ilvl="1">
      <w:lvlJc w:val="left"/>
      <w:lvlText w:val="(%2)"/>
      <w:numFmt w:val="lowerRoman"/>
      <w:start w:val="1"/>
    </w:lvl>
  </w:abstractNum>
  <w:abstractNum w:abstractNumId="165">
    <w:nsid w:val="29BACF25"/>
    <w:multiLevelType w:val="hybridMultilevel"/>
    <w:lvl w:ilvl="0">
      <w:lvlJc w:val="left"/>
      <w:lvlText w:val="(%1)"/>
      <w:numFmt w:val="lowerLetter"/>
      <w:start w:val="1"/>
    </w:lvl>
  </w:abstractNum>
  <w:abstractNum w:abstractNumId="166">
    <w:nsid w:val="5D5BABB3"/>
    <w:multiLevelType w:val="hybridMultilevel"/>
    <w:lvl w:ilvl="0">
      <w:lvlJc w:val="left"/>
      <w:lvlText w:val="(%1)"/>
      <w:numFmt w:val="lowerRoman"/>
      <w:start w:val="1"/>
    </w:lvl>
  </w:abstractNum>
  <w:abstractNum w:abstractNumId="167">
    <w:nsid w:val="51BF6B48"/>
    <w:multiLevelType w:val="hybridMultilevel"/>
    <w:lvl w:ilvl="0">
      <w:lvlJc w:val="left"/>
      <w:lvlText w:val="(%1)"/>
      <w:numFmt w:val="lowerRoman"/>
      <w:start w:val="3"/>
    </w:lvl>
  </w:abstractNum>
  <w:abstractNum w:abstractNumId="168">
    <w:nsid w:val="7E0F6384"/>
    <w:multiLevelType w:val="hybridMultilevel"/>
    <w:lvl w:ilvl="0">
      <w:lvlJc w:val="left"/>
      <w:lvlText w:val="(%1)"/>
      <w:numFmt w:val="lowerRoman"/>
      <w:start w:val="1"/>
    </w:lvl>
  </w:abstractNum>
  <w:abstractNum w:abstractNumId="169">
    <w:nsid w:val="2B4B8B53"/>
    <w:multiLevelType w:val="hybridMultilevel"/>
    <w:lvl w:ilvl="0">
      <w:lvlJc w:val="left"/>
      <w:lvlText w:val="(%1)"/>
      <w:numFmt w:val="lowerRoman"/>
      <w:start w:val="6"/>
    </w:lvl>
  </w:abstractNum>
  <w:abstractNum w:abstractNumId="170">
    <w:nsid w:val="72E3413A"/>
    <w:multiLevelType w:val="hybridMultilevel"/>
    <w:lvl w:ilvl="0">
      <w:lvlJc w:val="left"/>
      <w:lvlText w:val="(%1)"/>
      <w:numFmt w:val="lowerLetter"/>
      <w:start w:val="1"/>
    </w:lvl>
  </w:abstractNum>
  <w:abstractNum w:abstractNumId="171">
    <w:nsid w:val="116AE494"/>
    <w:multiLevelType w:val="hybridMultilevel"/>
    <w:lvl w:ilvl="0">
      <w:lvlJc w:val="left"/>
      <w:lvlText w:val="(%1)"/>
      <w:numFmt w:val="lowerLetter"/>
      <w:start w:val="1"/>
    </w:lvl>
  </w:abstractNum>
  <w:abstractNum w:abstractNumId="172">
    <w:nsid w:val="3494B2FB"/>
    <w:multiLevelType w:val="hybridMultilevel"/>
    <w:lvl w:ilvl="0">
      <w:lvlJc w:val="left"/>
      <w:lvlText w:val="(%1)"/>
      <w:numFmt w:val="lowerLetter"/>
      <w:start w:val="1"/>
    </w:lvl>
  </w:abstractNum>
  <w:abstractNum w:abstractNumId="173">
    <w:nsid w:val="B13A31"/>
    <w:multiLevelType w:val="hybridMultilevel"/>
    <w:lvl w:ilvl="0">
      <w:lvlJc w:val="left"/>
      <w:lvlText w:val="(%1)"/>
      <w:numFmt w:val="lowerLetter"/>
      <w:start w:val="3"/>
    </w:lvl>
  </w:abstractNum>
  <w:abstractNum w:abstractNumId="174">
    <w:nsid w:val="64429599"/>
    <w:multiLevelType w:val="hybridMultilevel"/>
    <w:lvl w:ilvl="0">
      <w:lvlJc w:val="left"/>
      <w:lvlText w:val="(%1)"/>
      <w:numFmt w:val="lowerLetter"/>
      <w:start w:val="1"/>
    </w:lvl>
  </w:abstractNum>
  <w:abstractNum w:abstractNumId="175">
    <w:nsid w:val="631F1690"/>
    <w:multiLevelType w:val="hybridMultilevel"/>
    <w:lvl w:ilvl="0">
      <w:lvlJc w:val="left"/>
      <w:lvlText w:val="(%1)"/>
      <w:numFmt w:val="lowerLetter"/>
      <w:start w:val="1"/>
    </w:lvl>
  </w:abstractNum>
  <w:abstractNum w:abstractNumId="176">
    <w:nsid w:val="25973E32"/>
    <w:multiLevelType w:val="hybridMultilevel"/>
    <w:lvl w:ilvl="0">
      <w:lvlJc w:val="left"/>
      <w:lvlText w:val="(%1)"/>
      <w:numFmt w:val="lowerLetter"/>
      <w:start w:val="3"/>
    </w:lvl>
    <w:lvl w:ilvl="1">
      <w:lvlJc w:val="left"/>
      <w:lvlText w:val="(%2)"/>
      <w:numFmt w:val="lowerRoman"/>
      <w:start w:val="1"/>
    </w:lvl>
  </w:abstractNum>
  <w:abstractNum w:abstractNumId="177">
    <w:nsid w:val="EAD6F57"/>
    <w:multiLevelType w:val="hybridMultilevel"/>
    <w:lvl w:ilvl="0">
      <w:lvlJc w:val="left"/>
      <w:lvlText w:val="(%1)"/>
      <w:numFmt w:val="lowerLetter"/>
      <w:start w:val="1"/>
    </w:lvl>
  </w:abstractNum>
  <w:abstractNum w:abstractNumId="178">
    <w:nsid w:val="6EC9D844"/>
    <w:multiLevelType w:val="hybridMultilevel"/>
    <w:lvl w:ilvl="0">
      <w:lvlJc w:val="left"/>
      <w:lvlText w:val="(%1)"/>
      <w:numFmt w:val="lowerLetter"/>
      <w:start w:val="3"/>
    </w:lvl>
  </w:abstractNum>
  <w:abstractNum w:abstractNumId="179">
    <w:nsid w:val="5C49EAEE"/>
    <w:multiLevelType w:val="hybridMultilevel"/>
    <w:lvl w:ilvl="0">
      <w:lvlJc w:val="left"/>
      <w:lvlText w:val="(%1)"/>
      <w:numFmt w:val="lowerLetter"/>
      <w:start w:val="1"/>
    </w:lvl>
  </w:abstractNum>
  <w:abstractNum w:abstractNumId="180">
    <w:nsid w:val="64AF49B"/>
    <w:multiLevelType w:val="hybridMultilevel"/>
    <w:lvl w:ilvl="0">
      <w:lvlJc w:val="left"/>
      <w:lvlText w:val="(%1)"/>
      <w:numFmt w:val="lowerLetter"/>
      <w:start w:val="1"/>
    </w:lvl>
  </w:abstractNum>
  <w:abstractNum w:abstractNumId="181">
    <w:nsid w:val="397C46BC"/>
    <w:multiLevelType w:val="hybridMultilevel"/>
    <w:lvl w:ilvl="0">
      <w:lvlJc w:val="left"/>
      <w:lvlText w:val="(%1)"/>
      <w:numFmt w:val="lowerLetter"/>
      <w:start w:val="1"/>
    </w:lvl>
  </w:abstractNum>
  <w:abstractNum w:abstractNumId="182">
    <w:nsid w:val="7E448DE9"/>
    <w:multiLevelType w:val="hybridMultilevel"/>
    <w:lvl w:ilvl="0">
      <w:lvlJc w:val="left"/>
      <w:lvlText w:val="(%1)"/>
      <w:numFmt w:val="lowerLetter"/>
      <w:start w:val="1"/>
    </w:lvl>
  </w:abstractNum>
  <w:abstractNum w:abstractNumId="183">
    <w:nsid w:val="5A9CC3E5"/>
    <w:multiLevelType w:val="hybridMultilevel"/>
    <w:lvl w:ilvl="0">
      <w:lvlJc w:val="left"/>
      <w:lvlText w:val="(%1)"/>
      <w:numFmt w:val="lowerLetter"/>
      <w:start w:val="3"/>
    </w:lvl>
  </w:abstractNum>
  <w:abstractNum w:abstractNumId="184">
    <w:nsid w:val="1AFE3625"/>
    <w:multiLevelType w:val="hybridMultilevel"/>
    <w:lvl w:ilvl="0">
      <w:lvlJc w:val="left"/>
      <w:lvlText w:val="(%1)"/>
      <w:numFmt w:val="lowerLetter"/>
      <w:start w:val="1"/>
    </w:lvl>
  </w:abstractNum>
  <w:abstractNum w:abstractNumId="185">
    <w:nsid w:val="3CA88ECF"/>
    <w:multiLevelType w:val="hybridMultilevel"/>
    <w:lvl w:ilvl="0">
      <w:lvlJc w:val="left"/>
      <w:lvlText w:val="(%1)"/>
      <w:numFmt w:val="lowerLetter"/>
      <w:start w:val="1"/>
    </w:lvl>
  </w:abstractNum>
  <w:abstractNum w:abstractNumId="186">
    <w:nsid w:val="6EBE4208"/>
    <w:multiLevelType w:val="hybridMultilevel"/>
    <w:lvl w:ilvl="0">
      <w:lvlJc w:val="left"/>
      <w:lvlText w:val="(%1)"/>
      <w:numFmt w:val="lowerLetter"/>
      <w:start w:val="2"/>
    </w:lvl>
  </w:abstractNum>
  <w:abstractNum w:abstractNumId="187">
    <w:nsid w:val="C058DF5"/>
    <w:multiLevelType w:val="hybridMultilevel"/>
    <w:lvl w:ilvl="0">
      <w:lvlJc w:val="left"/>
      <w:lvlText w:val="(%1)"/>
      <w:numFmt w:val="lowerLetter"/>
      <w:start w:val="1"/>
    </w:lvl>
  </w:abstractNum>
  <w:abstractNum w:abstractNumId="188">
    <w:nsid w:val="CBE5BE9"/>
    <w:multiLevelType w:val="hybridMultilevel"/>
    <w:lvl w:ilvl="0">
      <w:lvlJc w:val="left"/>
      <w:lvlText w:val="(%1)"/>
      <w:numFmt w:val="lowerLetter"/>
      <w:start w:val="2"/>
    </w:lvl>
  </w:abstractNum>
  <w:abstractNum w:abstractNumId="189">
    <w:nsid w:val="3102BBE2"/>
    <w:multiLevelType w:val="hybridMultilevel"/>
    <w:lvl w:ilvl="0">
      <w:lvlJc w:val="left"/>
      <w:lvlText w:val="(%1)"/>
      <w:numFmt w:val="lowerLetter"/>
      <w:start w:val="1"/>
    </w:lvl>
    <w:lvl w:ilvl="1">
      <w:lvlJc w:val="left"/>
      <w:lvlText w:val="(%2)"/>
      <w:numFmt w:val="lowerRoman"/>
      <w:start w:val="1"/>
    </w:lvl>
  </w:abstractNum>
  <w:abstractNum w:abstractNumId="190">
    <w:nsid w:val="26A02C5E"/>
    <w:multiLevelType w:val="hybridMultilevel"/>
    <w:lvl w:ilvl="0">
      <w:lvlJc w:val="left"/>
      <w:lvlText w:val="%1"/>
      <w:numFmt w:val="lowerLetter"/>
      <w:start w:val="1"/>
    </w:lvl>
    <w:lvl w:ilvl="1">
      <w:lvlJc w:val="left"/>
      <w:lvlText w:val="(%2)"/>
      <w:numFmt w:val="lowerRoman"/>
      <w:start w:val="2"/>
    </w:lvl>
  </w:abstractNum>
  <w:abstractNum w:abstractNumId="191">
    <w:nsid w:val="541C8153"/>
    <w:multiLevelType w:val="hybridMultilevel"/>
    <w:lvl w:ilvl="0">
      <w:lvlJc w:val="left"/>
      <w:lvlText w:val="(%1)"/>
      <w:numFmt w:val="lowerLetter"/>
      <w:start w:val="3"/>
    </w:lvl>
    <w:lvl w:ilvl="1">
      <w:lvlJc w:val="left"/>
      <w:lvlText w:val="%2"/>
      <w:numFmt w:val="lowerRoman"/>
      <w:start w:val="1"/>
    </w:lvl>
  </w:abstractNum>
  <w:abstractNum w:abstractNumId="192">
    <w:nsid w:val="67906F60"/>
    <w:multiLevelType w:val="hybridMultilevel"/>
    <w:lvl w:ilvl="0">
      <w:lvlJc w:val="left"/>
      <w:lvlText w:val="(%1)"/>
      <w:numFmt w:val="lowerLetter"/>
      <w:start w:val="1"/>
    </w:lvl>
  </w:abstractNum>
  <w:abstractNum w:abstractNumId="193">
    <w:nsid w:val="10DB9DAA"/>
    <w:multiLevelType w:val="hybridMultilevel"/>
    <w:lvl w:ilvl="0">
      <w:lvlJc w:val="left"/>
      <w:lvlText w:val="(%1)"/>
      <w:numFmt w:val="lowerLetter"/>
      <w:start w:val="3"/>
    </w:lvl>
  </w:abstractNum>
  <w:abstractNum w:abstractNumId="194">
    <w:nsid w:val="697D2D2"/>
    <w:multiLevelType w:val="hybridMultilevel"/>
    <w:lvl w:ilvl="0">
      <w:lvlJc w:val="left"/>
      <w:lvlText w:val="(%1)"/>
      <w:numFmt w:val="lowerLetter"/>
      <w:start w:val="1"/>
    </w:lvl>
  </w:abstractNum>
  <w:abstractNum w:abstractNumId="195">
    <w:nsid w:val="6D68AB2"/>
    <w:multiLevelType w:val="hybridMultilevel"/>
    <w:lvl w:ilvl="0">
      <w:lvlJc w:val="left"/>
      <w:lvlText w:val="(%1)"/>
      <w:numFmt w:val="lowerLetter"/>
      <w:start w:val="1"/>
    </w:lvl>
  </w:abstractNum>
  <w:abstractNum w:abstractNumId="196">
    <w:nsid w:val="3A966CD0"/>
    <w:multiLevelType w:val="hybridMultilevel"/>
    <w:lvl w:ilvl="0">
      <w:lvlJc w:val="left"/>
      <w:lvlText w:val="(%1)"/>
      <w:numFmt w:val="lowerRoman"/>
      <w:start w:val="1"/>
    </w:lvl>
  </w:abstractNum>
  <w:abstractNum w:abstractNumId="197">
    <w:nsid w:val="63F37E85"/>
    <w:multiLevelType w:val="hybridMultilevel"/>
    <w:lvl w:ilvl="0">
      <w:lvlJc w:val="left"/>
      <w:lvlText w:val="(%1)"/>
      <w:numFmt w:val="lowerLetter"/>
      <w:start w:val="1"/>
    </w:lvl>
  </w:abstractNum>
  <w:abstractNum w:abstractNumId="198">
    <w:nsid w:val="5895F5FA"/>
    <w:multiLevelType w:val="hybridMultilevel"/>
    <w:lvl w:ilvl="0">
      <w:lvlJc w:val="left"/>
      <w:lvlText w:val="(%1)"/>
      <w:numFmt w:val="lowerLetter"/>
      <w:start w:val="2"/>
    </w:lvl>
  </w:abstractNum>
  <w:abstractNum w:abstractNumId="199">
    <w:nsid w:val="38A5D05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jpe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2021-05-29T09:08:39Z</dcterms:created>
  <dcterms:modified xsi:type="dcterms:W3CDTF">2021-05-29T09:08:39Z</dcterms:modified>
</cp:coreProperties>
</file>