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15673T100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10, 2024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41"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5" w:lineRule="exact"/>
        <w:rPr>
          <w:sz w:val="24"/>
          <w:szCs w:val="24"/>
          <w:color w:val="auto"/>
        </w:rPr>
      </w:pPr>
    </w:p>
    <w:p>
      <w:pPr>
        <w:ind w:firstLine="8"/>
        <w:spacing w:after="0" w:line="282"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2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Boxer Capital, LLC</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6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3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Boxer Asset Management Inc.</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7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Bahamas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5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Joe Lewis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6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MVA Investors, LLC</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7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Aaron I. Davis</w:t>
            </w: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3,174,603</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3,174,603</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3,174,603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8 of 12 Pages</w:t>
            </w: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5"/>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Boxer Capital Management, LLC</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3,174,603</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3,174,603</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3,174,603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420" w:type="dxa"/>
            <w:vAlign w:val="bottom"/>
            <w:tcBorders>
              <w:bottom w:val="single" w:sz="8" w:color="auto"/>
            </w:tcBorders>
            <w:gridSpan w:val="2"/>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Amendment No. 1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amends and supplements the statement on Schedule 13G initially filed on April 22, 2024 (the “</w:t>
      </w:r>
      <w:r>
        <w:rPr>
          <w:rFonts w:ascii="Times New Roman" w:cs="Times New Roman" w:eastAsia="Times New Roman" w:hAnsi="Times New Roman"/>
          <w:sz w:val="18"/>
          <w:szCs w:val="18"/>
          <w:u w:val="single" w:color="auto"/>
          <w:color w:val="auto"/>
        </w:rPr>
        <w:t>Original Filing</w:t>
      </w:r>
      <w:r>
        <w:rPr>
          <w:rFonts w:ascii="Times New Roman" w:cs="Times New Roman" w:eastAsia="Times New Roman" w:hAnsi="Times New Roman"/>
          <w:sz w:val="18"/>
          <w:szCs w:val="18"/>
          <w:color w:val="auto"/>
        </w:rPr>
        <w:t>”) by Boxer Capital, LLC (“</w:t>
      </w:r>
      <w:r>
        <w:rPr>
          <w:rFonts w:ascii="Times New Roman" w:cs="Times New Roman" w:eastAsia="Times New Roman" w:hAnsi="Times New Roman"/>
          <w:sz w:val="18"/>
          <w:szCs w:val="18"/>
          <w:u w:val="single" w:color="auto"/>
          <w:color w:val="auto"/>
        </w:rPr>
        <w:t>Boxer Capital</w:t>
      </w:r>
      <w:r>
        <w:rPr>
          <w:rFonts w:ascii="Times New Roman" w:cs="Times New Roman" w:eastAsia="Times New Roman" w:hAnsi="Times New Roman"/>
          <w:sz w:val="18"/>
          <w:szCs w:val="18"/>
          <w:color w:val="auto"/>
        </w:rPr>
        <w:t>”), Boxer Asset Management Inc. (“</w:t>
      </w:r>
      <w:r>
        <w:rPr>
          <w:rFonts w:ascii="Times New Roman" w:cs="Times New Roman" w:eastAsia="Times New Roman" w:hAnsi="Times New Roman"/>
          <w:sz w:val="18"/>
          <w:szCs w:val="18"/>
          <w:u w:val="single" w:color="auto"/>
          <w:color w:val="auto"/>
        </w:rPr>
        <w:t>Boxer Management</w:t>
      </w:r>
      <w:r>
        <w:rPr>
          <w:rFonts w:ascii="Times New Roman" w:cs="Times New Roman" w:eastAsia="Times New Roman" w:hAnsi="Times New Roman"/>
          <w:sz w:val="18"/>
          <w:szCs w:val="18"/>
          <w:color w:val="auto"/>
        </w:rPr>
        <w:t>”), Joe Lewis, Aaron I. Davis and MVA Investors, LLC (“</w:t>
      </w:r>
      <w:r>
        <w:rPr>
          <w:rFonts w:ascii="Times New Roman" w:cs="Times New Roman" w:eastAsia="Times New Roman" w:hAnsi="Times New Roman"/>
          <w:sz w:val="18"/>
          <w:szCs w:val="18"/>
          <w:u w:val="single" w:color="auto"/>
          <w:color w:val="auto"/>
        </w:rPr>
        <w:t>MVA Investors</w:t>
      </w:r>
      <w:r>
        <w:rPr>
          <w:rFonts w:ascii="Times New Roman" w:cs="Times New Roman" w:eastAsia="Times New Roman" w:hAnsi="Times New Roman"/>
          <w:sz w:val="18"/>
          <w:szCs w:val="18"/>
          <w:color w:val="auto"/>
        </w:rPr>
        <w:t>”) regarding the Common Stock of Century Therapeutics, Inc. On October 10, 2024, Boxer Capital entered into an investment management agreement (the “</w:t>
      </w:r>
      <w:r>
        <w:rPr>
          <w:rFonts w:ascii="Times New Roman" w:cs="Times New Roman" w:eastAsia="Times New Roman" w:hAnsi="Times New Roman"/>
          <w:sz w:val="18"/>
          <w:szCs w:val="18"/>
          <w:u w:val="single" w:color="auto"/>
          <w:color w:val="auto"/>
        </w:rPr>
        <w:t>IMA</w:t>
      </w:r>
      <w:r>
        <w:rPr>
          <w:rFonts w:ascii="Times New Roman" w:cs="Times New Roman" w:eastAsia="Times New Roman" w:hAnsi="Times New Roman"/>
          <w:sz w:val="18"/>
          <w:szCs w:val="18"/>
          <w:color w:val="auto"/>
        </w:rPr>
        <w:t>”) with Boxer Capital Management LLC (“</w:t>
      </w:r>
      <w:r>
        <w:rPr>
          <w:rFonts w:ascii="Times New Roman" w:cs="Times New Roman" w:eastAsia="Times New Roman" w:hAnsi="Times New Roman"/>
          <w:sz w:val="18"/>
          <w:szCs w:val="18"/>
          <w:u w:val="single" w:color="auto"/>
          <w:color w:val="auto"/>
        </w:rPr>
        <w:t>BCM</w:t>
      </w:r>
      <w:r>
        <w:rPr>
          <w:rFonts w:ascii="Times New Roman" w:cs="Times New Roman" w:eastAsia="Times New Roman" w:hAnsi="Times New Roman"/>
          <w:sz w:val="18"/>
          <w:szCs w:val="18"/>
          <w:color w:val="auto"/>
        </w:rPr>
        <w:t>”), a registered investment advisor controlled by Mr. Davis. Pursuant to the IMA, Boxer Capital has delegated exclusive voting and investment power over its investment portfolio to BCM. Consequently, BCM has acquired beneficial ownership of the securities held in Boxer Capital’s investment portfolio and, without reflecting any change in its economic interest in such securities, Boxer Capital has thereby ceased to beneficially own the securities held in its investment portfolio, including shares of Common Stock. To the extent applicable, the Original Filing, as hereby amended, is hereby adopted by BCM as its original filing on Schedule 13G regarding the Common Stock. The Original Filing, as amended, remains in effect except to the extent that it is amended, restated or superseded by information contained in this Amendment No. 1. Capitalized terms used and not defined in this Amendment No. 1 have the meanings set forth in the Original Filing, as amended. Boxer Capital, Boxer Management, Mr. Lewis, MVA Investors, Mr. Davis and BCM report herein that they have ceased to beneficially own more than 5% of the outstanding shares of Common Stock.</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2(a) is hereby amended and restated to read as follows:</w:t>
      </w:r>
    </w:p>
    <w:p>
      <w:pPr>
        <w:spacing w:after="0" w:line="225" w:lineRule="exact"/>
        <w:rPr>
          <w:sz w:val="20"/>
          <w:szCs w:val="20"/>
          <w:color w:val="auto"/>
        </w:rPr>
      </w:pPr>
    </w:p>
    <w:p>
      <w:pPr>
        <w:jc w:val="both"/>
        <w:ind w:right="80" w:firstLine="1134"/>
        <w:spacing w:after="0" w:line="282" w:lineRule="auto"/>
        <w:rPr>
          <w:sz w:val="20"/>
          <w:szCs w:val="20"/>
          <w:color w:val="auto"/>
        </w:rPr>
      </w:pPr>
      <w:r>
        <w:rPr>
          <w:rFonts w:ascii="Times New Roman" w:cs="Times New Roman" w:eastAsia="Times New Roman" w:hAnsi="Times New Roman"/>
          <w:sz w:val="18"/>
          <w:szCs w:val="18"/>
          <w:color w:val="auto"/>
        </w:rPr>
        <w:t>This Schedule 13G is jointly filed by Boxer Capital, Boxer Management, Mr. Lewis, MVA Investors, Mr. Davis and BCM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60" w:firstLine="1134"/>
        <w:spacing w:after="0" w:line="258" w:lineRule="auto"/>
        <w:rPr>
          <w:sz w:val="20"/>
          <w:szCs w:val="20"/>
          <w:color w:val="auto"/>
        </w:rPr>
      </w:pPr>
      <w:r>
        <w:rPr>
          <w:rFonts w:ascii="Times New Roman" w:cs="Times New Roman" w:eastAsia="Times New Roman" w:hAnsi="Times New Roman"/>
          <w:sz w:val="18"/>
          <w:szCs w:val="18"/>
          <w:color w:val="auto"/>
        </w:rPr>
        <w:t>Boxer Management is the managing member and majority owner of Boxer Capital. Mr. Lewis is the sole indirect owner of and controls Boxer Management. MVA Investors is the independent, personal investment vehicle of certain employees of BCM. BCM is a registered investment advisor, providing investment management services to Boxer Capital. Mr. Davis is the Managing Member of BCM and is a member of and has voting and dispositive power over securities beneficially held by MVA Investors and BCM. With his immediate family, Mr. Davis indirectly owns the membership interests in BCM.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2(b) is hereby amended and restated to read as follows:</w:t>
      </w:r>
    </w:p>
    <w:p>
      <w:pPr>
        <w:spacing w:after="0" w:line="225" w:lineRule="exact"/>
        <w:rPr>
          <w:sz w:val="20"/>
          <w:szCs w:val="20"/>
          <w:color w:val="auto"/>
        </w:rPr>
      </w:pPr>
    </w:p>
    <w:p>
      <w:pPr>
        <w:jc w:val="both"/>
        <w:ind w:right="60" w:firstLine="1134"/>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Boxer Capital, MVA Investors, Mr. Davis and BCM is: 12860 El Camino Real, Suite 300, San Diego, CA 92130. The principal business address of Boxer Management and Mr. Lewis is: Albany Financial Center, Suite 207, Lewis Drive, N7776, New Providence, Bahamas.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2(c) is hereby amended and restated to read as follows:</w:t>
      </w:r>
    </w:p>
    <w:p>
      <w:pPr>
        <w:spacing w:after="0" w:line="225" w:lineRule="exact"/>
        <w:rPr>
          <w:sz w:val="20"/>
          <w:szCs w:val="20"/>
          <w:color w:val="auto"/>
        </w:rPr>
      </w:pPr>
    </w:p>
    <w:p>
      <w:pPr>
        <w:jc w:val="both"/>
        <w:ind w:right="60" w:firstLine="1134"/>
        <w:spacing w:after="0" w:line="282" w:lineRule="auto"/>
        <w:rPr>
          <w:sz w:val="20"/>
          <w:szCs w:val="20"/>
          <w:color w:val="auto"/>
        </w:rPr>
      </w:pPr>
      <w:r>
        <w:rPr>
          <w:rFonts w:ascii="Times New Roman" w:cs="Times New Roman" w:eastAsia="Times New Roman" w:hAnsi="Times New Roman"/>
          <w:sz w:val="18"/>
          <w:szCs w:val="18"/>
          <w:color w:val="auto"/>
        </w:rPr>
        <w:t>Boxer Capital, MVA Investors and BCM are limited liability companies organized under the laws of Delaware. Boxer Management is a Bahamian international business company. Mr. Lewis is a citizen of the United Kingdom. Mr. Davis is a citizen of the United States of America.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is hereby amended and restated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1960" w:hanging="656"/>
        <w:spacing w:after="0" w:line="282" w:lineRule="auto"/>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BCM and Mr. Davis beneficially own 3,174,603 shares of Common Stock. The Reporting Persons beneficially own, in the aggregate, 3,174,603 shares of Common Stock.</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All percentages of beneficial ownership set forth herein are based on 84,715,961 shares of Common Stock reported outstanding on August 1, 2024 in the Form 10-Q filed by the Issuer with the Securities and Exchange Commission on August 8, 2024. The number of shares of Common Stock beneficially owned by the Reporting Persons in the aggregate represents 3.7% of the Issuer’s outstanding shares of Common Stock.</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 None of the Reporting Persons has sole power to vote or to direct the vote of any shares of Common Stock.</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 BCM and Mr. Davis have shared power to vote or to direct the vote of 3,174,603 shares of Common Stock.</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None of the Reporting Persons has sole power to dispose or to direct the disposition of any shares of Common Stock.</w:t>
      </w:r>
    </w:p>
    <w:p>
      <w:pPr>
        <w:spacing w:after="0" w:line="161"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shared power to dispose or to direct the disposition of</w:t>
      </w:r>
      <w:r>
        <w:rPr>
          <w:rFonts w:ascii="Times New Roman" w:cs="Times New Roman" w:eastAsia="Times New Roman" w:hAnsi="Times New Roman"/>
          <w:sz w:val="18"/>
          <w:szCs w:val="18"/>
          <w:color w:val="auto"/>
        </w:rPr>
        <w:t>: BCM and Mr. Davis have shared power to dispose or to direct the disposition of 3,174,603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Reporting Persons:</w:t>
      </w:r>
    </w:p>
    <w:p>
      <w:pPr>
        <w:spacing w:after="0" w:line="225"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is hereby amended and restated to read as follows: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may result from indirect interests of investors in Boxer Capital and MVA Investors, no persons other than the Reporting Persons have the right to receive or the power to direct the receipt of dividends, or proceeds of sale of the securities disclosed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Joint Filing Agreement, dated October 25, 2024,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25, 2024</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ASSET MANAGEMENT INC.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Paul Higgs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JOSEPH C. LEWIS</w:t>
      </w: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068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068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Aaron I. Davis, Individually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CAPITAL MANAGEMENT,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ectPr>
          <w:pgSz w:w="11900" w:h="16838" w:orient="portrait"/>
          <w:cols w:equalWidth="0" w:num="1">
            <w:col w:w="11240"/>
          </w:cols>
          <w:pgMar w:left="320" w:top="117" w:right="339" w:bottom="1440" w:gutter="0" w:footer="0" w:header="0"/>
        </w:sectPr>
      </w:pPr>
    </w:p>
    <w:bookmarkStart w:id="10" w:name="page11"/>
    <w:bookmarkEnd w:id="10"/>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in respect of the Common Stock of Century Therapeutics,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October 25, 2024.</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ASSET MANAGEMENT INC.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Paul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Paul Higgs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JOSEPH C. LEWIS</w:t>
      </w: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068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068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Aaron I. Davis, Individually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BOXER CAPITAL MANAGEMENT, LLC</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857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Aaron I. Davis</w:t>
      </w:r>
    </w:p>
    <w:p>
      <w:pPr>
        <w:spacing w:after="0" w:line="27" w:lineRule="exact"/>
        <w:rPr>
          <w:sz w:val="20"/>
          <w:szCs w:val="20"/>
          <w:color w:val="auto"/>
        </w:rPr>
      </w:pPr>
    </w:p>
    <w:p>
      <w:pPr>
        <w:ind w:left="62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2024-10-25T20:49:21Z</dcterms:created>
  <dcterms:modified xsi:type="dcterms:W3CDTF">2024-10-25T20:49:21Z</dcterms:modified>
</cp:coreProperties>
</file>