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RULES 13d-1 (b), (c) AND (d) AND AMENDMENTS THERETO FILED PURSUANT TO</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13d-2 (b)</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Century Therapeutics,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15673T100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640" w:hanging="20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Venture Capital VI,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19.1%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Versant Venture Capital VI, L.P. (“Versant VI”), Versant Ventures VI GP, L.P. (“Versant VI GP LP”), Versant Ventures VI GP-GP, LLC (“Versant VI GP LLC”), Versant Vantage II, L.P. (“Vantage II”), Versant Vantage II GP, L.P. (“Vantage II GP LP”) and Versant Vantage II GP-GP, LLC (“Vantage II GP LLC” and together with Vantage II, Vantage II GP LP, Versant VI, Versant VI GP LP and Versant VI GP LLC, the “Reporting Persons”). Versant VI GP LP is the sole general partner of Versant VI and Versant VI GP LLC is the sole general partner of Versant VI GP LP, each of which may be deemed to have voting, investment and dispositive power over the securities held by Versant VI. Vantage II GP LP is the sole general partner of Vantage II and Vantage II GP LLC is the sole general partner of Vantage II GP LP, each of which may be deemed to have voting, investment and dispositive power over the securities held by Vantage II. The Reporting Persons expressly disclaim status as a “group” for purposes of this Schedule 13G.</w:t>
      </w:r>
    </w:p>
    <w:p>
      <w:pPr>
        <w:ind w:left="424" w:right="80" w:hanging="424"/>
        <w:spacing w:after="0" w:line="250"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jc w:val="both"/>
        <w:ind w:left="424" w:right="20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Issuer’s quarterly report on Form 10-Q for the quarter ended September 30, 2023, filed with the United States Securities and Exchange Commission (the “Commission”) on November 9, 2023 (the “Form 10-Q”).</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Ventures VI GP,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19.1%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160"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4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Form 10-Q.</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Ventures VI GP-GP,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11,452,014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w w:val="99"/>
              </w:rPr>
              <w:t>19.1%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61"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8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Versant VI. Versant VI GP LLC is the sole general partner of Versant VI GP LP, which is the sole general partner of Versant VI. Each of Versant VI GP LLC and Versant VI GP LP share voting, investment and dispositive power over the securities held by Versant VI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Form 10-Q.</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Vantage II,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61"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14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investment and dispositive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Form 10-Q.</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Vantage II GP,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61"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14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investment and dispositive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Form 10-Q.</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4"/>
        </w:trPr>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CUSIP No. 15673T100</w:t>
            </w:r>
          </w:p>
        </w:tc>
        <w:tc>
          <w:tcPr>
            <w:tcW w:w="9240" w:type="dxa"/>
            <w:vAlign w:val="bottom"/>
            <w:gridSpan w:val="2"/>
          </w:tcPr>
          <w:p>
            <w:pPr>
              <w:ind w:left="8920"/>
              <w:spacing w:after="0"/>
              <w:rPr>
                <w:sz w:val="20"/>
                <w:szCs w:val="20"/>
                <w:color w:val="auto"/>
              </w:rPr>
            </w:pPr>
            <w:r>
              <w:rPr>
                <w:rFonts w:ascii="Times New Roman" w:cs="Times New Roman" w:eastAsia="Times New Roman" w:hAnsi="Times New Roman"/>
                <w:sz w:val="18"/>
                <w:szCs w:val="18"/>
                <w:color w:val="auto"/>
                <w:w w:val="96"/>
              </w:rPr>
              <w:t>13G</w:t>
            </w:r>
          </w:p>
        </w:tc>
        <w:tc>
          <w:tcPr>
            <w:tcW w:w="0" w:type="dxa"/>
            <w:vAlign w:val="bottom"/>
          </w:tcPr>
          <w:p>
            <w:pPr>
              <w:spacing w:after="0"/>
              <w:rPr>
                <w:sz w:val="1"/>
                <w:szCs w:val="1"/>
                <w:color w:val="auto"/>
              </w:rPr>
            </w:pPr>
          </w:p>
        </w:tc>
      </w:tr>
      <w:tr>
        <w:trPr>
          <w:trHeight w:val="243"/>
        </w:trPr>
        <w:tc>
          <w:tcPr>
            <w:tcW w:w="5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Versant Vantage II GP-GP,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9540" w:type="dxa"/>
            <w:vAlign w:val="bottom"/>
            <w:tcBorders>
              <w:bottom w:val="single" w:sz="8" w:color="auto"/>
              <w:right w:val="single" w:sz="8" w:color="auto"/>
            </w:tcBorders>
            <w:gridSpan w:val="2"/>
          </w:tcPr>
          <w:p>
            <w:pPr>
              <w:ind w:left="4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9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0" w:type="dxa"/>
            <w:vAlign w:val="bottom"/>
            <w:tcBorders>
              <w:left w:val="single" w:sz="8" w:color="auto"/>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4.</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Shares</w:t>
            </w:r>
          </w:p>
        </w:tc>
        <w:tc>
          <w:tcPr>
            <w:tcW w:w="280" w:type="dxa"/>
            <w:vAlign w:val="bottom"/>
          </w:tcPr>
          <w:p>
            <w:pPr>
              <w:spacing w:after="0"/>
              <w:rPr>
                <w:sz w:val="20"/>
                <w:szCs w:val="20"/>
                <w:color w:val="auto"/>
              </w:rPr>
            </w:pPr>
          </w:p>
        </w:tc>
        <w:tc>
          <w:tcPr>
            <w:tcW w:w="4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Owned by</w:t>
            </w:r>
          </w:p>
        </w:tc>
        <w:tc>
          <w:tcPr>
            <w:tcW w:w="28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100" w:type="dxa"/>
            <w:vAlign w:val="bottom"/>
            <w:tcBorders>
              <w:left w:val="single" w:sz="8" w:color="auto"/>
              <w:right w:val="single" w:sz="8" w:color="auto"/>
            </w:tcBorders>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80" w:type="dxa"/>
            <w:vAlign w:val="bottom"/>
          </w:tcPr>
          <w:p>
            <w:pPr>
              <w:spacing w:after="0"/>
              <w:rPr>
                <w:sz w:val="15"/>
                <w:szCs w:val="15"/>
                <w:color w:val="auto"/>
              </w:rPr>
            </w:pPr>
          </w:p>
        </w:tc>
        <w:tc>
          <w:tcPr>
            <w:tcW w:w="4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40" w:type="dxa"/>
            <w:vAlign w:val="bottom"/>
            <w:tcBorders>
              <w:right w:val="single" w:sz="8" w:color="auto"/>
            </w:tcBorders>
          </w:tcPr>
          <w:p>
            <w:pPr>
              <w:ind w:left="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28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9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7"/>
              </w:rPr>
              <w:t>Person</w:t>
            </w:r>
          </w:p>
        </w:tc>
        <w:tc>
          <w:tcPr>
            <w:tcW w:w="280" w:type="dxa"/>
            <w:vAlign w:val="bottom"/>
          </w:tcPr>
          <w:p>
            <w:pPr>
              <w:spacing w:after="0"/>
              <w:rPr>
                <w:sz w:val="19"/>
                <w:szCs w:val="19"/>
                <w:color w:val="auto"/>
              </w:rPr>
            </w:pPr>
          </w:p>
        </w:tc>
        <w:tc>
          <w:tcPr>
            <w:tcW w:w="400" w:type="dxa"/>
            <w:vAlign w:val="bottom"/>
            <w:tcBorders>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110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91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100" w:type="dxa"/>
            <w:vAlign w:val="bottom"/>
            <w:tcBorders>
              <w:left w:val="single" w:sz="8" w:color="auto"/>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914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60" w:type="dxa"/>
            <w:vAlign w:val="bottom"/>
            <w:tcBorders>
              <w:left w:val="single" w:sz="8" w:color="auto"/>
            </w:tcBorders>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Borders>
              <w:right w:val="single" w:sz="8" w:color="auto"/>
            </w:tcBorders>
            <w:vMerge w:val="continue"/>
          </w:tcPr>
          <w:p>
            <w:pPr>
              <w:spacing w:after="0"/>
              <w:rPr>
                <w:sz w:val="7"/>
                <w:szCs w:val="7"/>
                <w:color w:val="auto"/>
              </w:rPr>
            </w:pPr>
          </w:p>
        </w:tc>
        <w:tc>
          <w:tcPr>
            <w:tcW w:w="91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88"/>
              </w:rPr>
              <w:t>9.</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10360" w:type="dxa"/>
            <w:vAlign w:val="bottom"/>
            <w:tcBorders>
              <w:bottom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714,095 shares of Common Stock (2)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10.</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left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11.</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1.2% (3)</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 w:type="dxa"/>
            <w:vAlign w:val="bottom"/>
            <w:tcBorders>
              <w:left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w:t>
            </w:r>
          </w:p>
        </w:tc>
        <w:tc>
          <w:tcPr>
            <w:tcW w:w="1036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56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Borders>
              <w:bottom w:val="single" w:sz="8" w:color="auto"/>
            </w:tcBorders>
          </w:tcPr>
          <w:p>
            <w:pPr>
              <w:spacing w:after="0"/>
              <w:rPr>
                <w:sz w:val="24"/>
                <w:szCs w:val="24"/>
                <w:color w:val="auto"/>
              </w:rPr>
            </w:pPr>
          </w:p>
        </w:tc>
        <w:tc>
          <w:tcPr>
            <w:tcW w:w="914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160" w:hanging="424"/>
        <w:spacing w:after="0" w:line="261"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Schedule 13G is filed by the Reporting Persons. The Reporting Persons expressly disclaim status as a “group” for purposes of this Schedule 13G.</w:t>
      </w:r>
    </w:p>
    <w:p>
      <w:pPr>
        <w:ind w:left="424" w:right="2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by Vantage II. Vantage II GP LLC is the sole general partner of Vantage II GP LP, which is the sole general partner of Vantage II. Each of Vantage II GP LLC and Vantage II GP LP share voting and investment power over the securities held by Vantage II and as a result may be deemed to have beneficial ownership over such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calculation is based upon 59,834,968 shares of the Issuer’s Common Stock outstanding as of November 1, 2023, as set forth in the Form 10-Q.</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Introductory Note</w:t>
      </w:r>
      <w:r>
        <w:rPr>
          <w:rFonts w:ascii="Times New Roman" w:cs="Times New Roman" w:eastAsia="Times New Roman" w:hAnsi="Times New Roman"/>
          <w:sz w:val="18"/>
          <w:szCs w:val="18"/>
          <w:color w:val="auto"/>
        </w:rPr>
        <w:t>: This Amendment No. 2 (the “Amendment”) amends and supplements the Schedule 13G originally filed by the Reporting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Commission on February 11, 2022 and Amendment No. 1 filed with the Commission on February 9, 2023 (collectively,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25 N 38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ind w:left="4"/>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30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121"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Reporting Person is c/o Versant Ventures, One Sansome Street, Suite 1650, San Francisco, CA 94104</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w:t>
      </w:r>
    </w:p>
    <w:p>
      <w:pPr>
        <w:spacing w:after="0" w:line="225" w:lineRule="exact"/>
        <w:rPr>
          <w:sz w:val="20"/>
          <w:szCs w:val="20"/>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w:t>
      </w:r>
    </w:p>
    <w:p>
      <w:pPr>
        <w:spacing w:after="0" w:line="225" w:lineRule="exact"/>
        <w:rPr>
          <w:sz w:val="20"/>
          <w:szCs w:val="20"/>
          <w:color w:val="auto"/>
        </w:rPr>
      </w:pPr>
    </w:p>
    <w:p>
      <w:pPr>
        <w:ind w:left="4" w:right="6820" w:hanging="4"/>
        <w:spacing w:after="0" w:line="530" w:lineRule="auto"/>
        <w:tabs>
          <w:tab w:leader="none" w:pos="31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or to direct the disposition of See Row 7 of the cover page for each Reporting Person.*</w:t>
      </w:r>
    </w:p>
    <w:p>
      <w:pPr>
        <w:ind w:left="4" w:right="6740" w:hanging="4"/>
        <w:spacing w:after="0" w:line="516" w:lineRule="auto"/>
        <w:tabs>
          <w:tab w:leader="none" w:pos="30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Row 8 of the cover page for each Reporting Person.*</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Each of the Reporting Persons disclaims beneficial ownership as to such securities, except to the extent of his, her or its pecuniary interest therein.</w:t>
      </w:r>
    </w:p>
    <w:p>
      <w:pPr>
        <w:sectPr>
          <w:pgSz w:w="11900" w:h="16838" w:orient="portrait"/>
          <w:cols w:equalWidth="0" w:num="1">
            <w:col w:w="10944"/>
          </w:cols>
          <w:pgMar w:left="436" w:top="266" w:right="519" w:bottom="1440" w:gutter="0" w:footer="0" w:header="0"/>
        </w:sectPr>
      </w:pPr>
    </w:p>
    <w:bookmarkStart w:id="8" w:name="page9"/>
    <w:bookmarkEnd w:id="8"/>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 Capital VI, L.P.</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Ventures VI GP, L.P.</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 L.P.</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Ventures VI GP-GP, LLC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Ventures VI GP-GP, LLC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L.P.</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Vantage II GP, L.P.</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 L.P.</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Versant Vantage II GP-GP, LLC</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Versant Vantage II GP-GP, LLC</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Max Eisenberg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Max Eisenberg, Chief Operating Officer</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9"/>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2024-02-08T16:38:29Z</dcterms:created>
  <dcterms:modified xsi:type="dcterms:W3CDTF">2024-02-08T16:38:29Z</dcterms:modified>
</cp:coreProperties>
</file>