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300" w:lineRule="exact"/>
        <w:rPr>
          <w:sz w:val="24"/>
          <w:szCs w:val="24"/>
          <w:color w:val="auto"/>
        </w:rPr>
      </w:pPr>
    </w:p>
    <w:p>
      <w:pPr>
        <w:ind w:left="2740"/>
        <w:spacing w:after="0"/>
        <w:rPr>
          <w:sz w:val="20"/>
          <w:szCs w:val="20"/>
          <w:color w:val="auto"/>
        </w:rPr>
      </w:pPr>
      <w:r>
        <w:rPr>
          <w:rFonts w:ascii="Arial" w:cs="Arial" w:eastAsia="Arial" w:hAnsi="Arial"/>
          <w:sz w:val="15"/>
          <w:szCs w:val="15"/>
          <w:b w:val="1"/>
          <w:bCs w:val="1"/>
          <w:color w:val="auto"/>
        </w:rPr>
        <w:t>As filed with the Securities and Exchange Commission on June 18, 2024</w:t>
      </w:r>
    </w:p>
    <w:p>
      <w:pPr>
        <w:jc w:val="right"/>
        <w:spacing w:after="0" w:line="230" w:lineRule="auto"/>
        <w:rPr>
          <w:sz w:val="20"/>
          <w:szCs w:val="20"/>
          <w:color w:val="auto"/>
        </w:rPr>
      </w:pPr>
      <w:r>
        <w:rPr>
          <w:rFonts w:ascii="Arial" w:cs="Arial" w:eastAsia="Arial" w:hAnsi="Arial"/>
          <w:sz w:val="15"/>
          <w:szCs w:val="15"/>
          <w:b w:val="1"/>
          <w:bCs w:val="1"/>
          <w:color w:val="auto"/>
        </w:rPr>
        <w:t>Registration No. 333-          ​</w:t>
      </w:r>
    </w:p>
    <w:p>
      <w:pPr>
        <w:ind w:left="500"/>
        <w:spacing w:after="0" w:line="222" w:lineRule="auto"/>
        <w:rPr>
          <w:sz w:val="20"/>
          <w:szCs w:val="20"/>
          <w:color w:val="auto"/>
        </w:rPr>
      </w:pPr>
      <w:r>
        <w:rPr>
          <w:rFonts w:ascii="Arial" w:cs="Arial" w:eastAsia="Arial" w:hAnsi="Arial"/>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2540</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36830</wp:posOffset>
            </wp:positionV>
            <wp:extent cx="61893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105" w:lineRule="exact"/>
        <w:rPr>
          <w:sz w:val="24"/>
          <w:szCs w:val="24"/>
          <w:color w:val="auto"/>
        </w:rPr>
      </w:pPr>
    </w:p>
    <w:p>
      <w:pPr>
        <w:jc w:val="center"/>
        <w:ind w:right="-379"/>
        <w:spacing w:after="0"/>
        <w:rPr>
          <w:sz w:val="20"/>
          <w:szCs w:val="20"/>
          <w:color w:val="auto"/>
        </w:rPr>
      </w:pPr>
      <w:r>
        <w:rPr>
          <w:rFonts w:ascii="Arial" w:cs="Arial" w:eastAsia="Arial" w:hAnsi="Arial"/>
          <w:sz w:val="29"/>
          <w:szCs w:val="29"/>
          <w:b w:val="1"/>
          <w:bCs w:val="1"/>
          <w:color w:val="auto"/>
        </w:rPr>
        <w:t>UNITED STATES</w:t>
      </w:r>
    </w:p>
    <w:p>
      <w:pPr>
        <w:jc w:val="center"/>
        <w:ind w:right="-459"/>
        <w:spacing w:after="0" w:line="233" w:lineRule="auto"/>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45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64135</wp:posOffset>
            </wp:positionV>
            <wp:extent cx="1371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41"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FORM S-3</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5"/>
          <w:szCs w:val="15"/>
          <w:b w:val="1"/>
          <w:bCs w:val="1"/>
          <w:color w:val="auto"/>
        </w:rPr>
        <w:t>REGISTRATION STATEMENT</w:t>
      </w:r>
    </w:p>
    <w:p>
      <w:pPr>
        <w:jc w:val="center"/>
        <w:ind w:right="-459"/>
        <w:spacing w:after="0" w:line="225" w:lineRule="auto"/>
        <w:rPr>
          <w:sz w:val="20"/>
          <w:szCs w:val="20"/>
          <w:color w:val="auto"/>
        </w:rPr>
      </w:pPr>
      <w:r>
        <w:rPr>
          <w:rFonts w:ascii="Arial" w:cs="Arial" w:eastAsia="Arial" w:hAnsi="Arial"/>
          <w:sz w:val="15"/>
          <w:szCs w:val="15"/>
          <w:b w:val="1"/>
          <w:bCs w:val="1"/>
          <w:i w:val="1"/>
          <w:iCs w:val="1"/>
          <w:color w:val="auto"/>
        </w:rPr>
        <w:t>UNDER</w:t>
      </w:r>
    </w:p>
    <w:p>
      <w:pPr>
        <w:jc w:val="center"/>
        <w:ind w:right="-439"/>
        <w:spacing w:after="0"/>
        <w:rPr>
          <w:sz w:val="20"/>
          <w:szCs w:val="20"/>
          <w:color w:val="auto"/>
        </w:rPr>
      </w:pPr>
      <w:r>
        <w:rPr>
          <w:rFonts w:ascii="Arial" w:cs="Arial" w:eastAsia="Arial" w:hAnsi="Arial"/>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64135</wp:posOffset>
            </wp:positionV>
            <wp:extent cx="13716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11" w:lineRule="exact"/>
        <w:rPr>
          <w:sz w:val="24"/>
          <w:szCs w:val="24"/>
          <w:color w:val="auto"/>
        </w:rPr>
      </w:pPr>
    </w:p>
    <w:p>
      <w:pPr>
        <w:ind w:left="3560"/>
        <w:spacing w:after="0"/>
        <w:rPr>
          <w:sz w:val="20"/>
          <w:szCs w:val="20"/>
          <w:color w:val="auto"/>
        </w:rPr>
      </w:pPr>
      <w:r>
        <w:rPr>
          <w:rFonts w:ascii="Arial" w:cs="Arial" w:eastAsia="Arial" w:hAnsi="Arial"/>
          <w:sz w:val="29"/>
          <w:szCs w:val="29"/>
          <w:b w:val="1"/>
          <w:bCs w:val="1"/>
          <w:color w:val="auto"/>
        </w:rPr>
        <w:t>Century Therapeutics, Inc.</w:t>
      </w:r>
    </w:p>
    <w:p>
      <w:pPr>
        <w:ind w:left="3720"/>
        <w:spacing w:after="0"/>
        <w:rPr>
          <w:sz w:val="20"/>
          <w:szCs w:val="20"/>
          <w:color w:val="auto"/>
        </w:rPr>
      </w:pPr>
      <w:r>
        <w:rPr>
          <w:rFonts w:ascii="Arial" w:cs="Arial" w:eastAsia="Arial" w:hAnsi="Arial"/>
          <w:sz w:val="14"/>
          <w:szCs w:val="14"/>
          <w:color w:val="auto"/>
        </w:rPr>
        <w:t>(Exact name of Registrant as specified in its charter)</w:t>
      </w:r>
      <w:r>
        <w:rPr>
          <w:rFonts w:ascii="Times New Roman" w:cs="Times New Roman" w:eastAsia="Times New Roman" w:hAnsi="Times New Roman"/>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62230</wp:posOffset>
            </wp:positionV>
            <wp:extent cx="1371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14" w:lineRule="exact"/>
        <w:rPr>
          <w:sz w:val="24"/>
          <w:szCs w:val="24"/>
          <w:color w:val="auto"/>
        </w:rPr>
      </w:pPr>
    </w:p>
    <w:tbl>
      <w:tblPr>
        <w:tblLayout w:type="fixed"/>
        <w:tblInd w:w="500" w:type="dxa"/>
        <w:tblCellMar>
          <w:top w:w="0" w:type="dxa"/>
          <w:left w:w="0" w:type="dxa"/>
          <w:bottom w:w="0" w:type="dxa"/>
          <w:right w:w="0" w:type="dxa"/>
        </w:tblCellMar>
      </w:tblPr>
      <w:tr>
        <w:trPr>
          <w:trHeight w:val="184"/>
        </w:trPr>
        <w:tc>
          <w:tcPr>
            <w:tcW w:w="240" w:type="dxa"/>
            <w:vAlign w:val="bottom"/>
          </w:tcPr>
          <w:p>
            <w:pPr>
              <w:spacing w:after="0"/>
              <w:rPr>
                <w:sz w:val="20"/>
                <w:szCs w:val="20"/>
                <w:color w:val="auto"/>
              </w:rPr>
            </w:pPr>
            <w:r>
              <w:rPr>
                <w:rFonts w:ascii="Arial" w:cs="Arial" w:eastAsia="Arial" w:hAnsi="Arial"/>
                <w:sz w:val="16"/>
                <w:szCs w:val="16"/>
                <w:color w:val="auto"/>
              </w:rPr>
              <w:t>​</w:t>
            </w:r>
          </w:p>
        </w:tc>
        <w:tc>
          <w:tcPr>
            <w:tcW w:w="2280" w:type="dxa"/>
            <w:vAlign w:val="bottom"/>
          </w:tcPr>
          <w:p>
            <w:pPr>
              <w:ind w:left="740"/>
              <w:spacing w:after="0"/>
              <w:rPr>
                <w:sz w:val="20"/>
                <w:szCs w:val="20"/>
                <w:color w:val="auto"/>
              </w:rPr>
            </w:pPr>
            <w:r>
              <w:rPr>
                <w:rFonts w:ascii="Arial" w:cs="Arial" w:eastAsia="Arial" w:hAnsi="Arial"/>
                <w:sz w:val="16"/>
                <w:szCs w:val="16"/>
                <w:b w:val="1"/>
                <w:bCs w:val="1"/>
                <w:color w:val="auto"/>
              </w:rPr>
              <w:t>Delaware</w:t>
            </w:r>
          </w:p>
        </w:tc>
        <w:tc>
          <w:tcPr>
            <w:tcW w:w="700" w:type="dxa"/>
            <w:vAlign w:val="bottom"/>
          </w:tcPr>
          <w:p>
            <w:pPr>
              <w:ind w:left="220"/>
              <w:spacing w:after="0"/>
              <w:rPr>
                <w:sz w:val="20"/>
                <w:szCs w:val="20"/>
                <w:color w:val="auto"/>
              </w:rPr>
            </w:pPr>
            <w:r>
              <w:rPr>
                <w:rFonts w:ascii="Arial" w:cs="Arial" w:eastAsia="Arial" w:hAnsi="Arial"/>
                <w:sz w:val="16"/>
                <w:szCs w:val="16"/>
                <w:color w:val="auto"/>
              </w:rPr>
              <w:t>​ ​</w:t>
            </w:r>
          </w:p>
        </w:tc>
        <w:tc>
          <w:tcPr>
            <w:tcW w:w="3260" w:type="dxa"/>
            <w:vAlign w:val="bottom"/>
          </w:tcPr>
          <w:p>
            <w:pPr>
              <w:jc w:val="center"/>
              <w:spacing w:after="0"/>
              <w:rPr>
                <w:sz w:val="20"/>
                <w:szCs w:val="20"/>
                <w:color w:val="auto"/>
              </w:rPr>
            </w:pPr>
            <w:r>
              <w:rPr>
                <w:rFonts w:ascii="Arial" w:cs="Arial" w:eastAsia="Arial" w:hAnsi="Arial"/>
                <w:sz w:val="16"/>
                <w:szCs w:val="16"/>
                <w:color w:val="auto"/>
              </w:rPr>
              <w:t>​</w:t>
            </w:r>
          </w:p>
        </w:tc>
        <w:tc>
          <w:tcPr>
            <w:tcW w:w="920" w:type="dxa"/>
            <w:vAlign w:val="bottom"/>
          </w:tcPr>
          <w:p>
            <w:pPr>
              <w:ind w:left="380"/>
              <w:spacing w:after="0"/>
              <w:rPr>
                <w:sz w:val="20"/>
                <w:szCs w:val="20"/>
                <w:color w:val="auto"/>
              </w:rPr>
            </w:pPr>
            <w:r>
              <w:rPr>
                <w:rFonts w:ascii="Arial" w:cs="Arial" w:eastAsia="Arial" w:hAnsi="Arial"/>
                <w:sz w:val="16"/>
                <w:szCs w:val="16"/>
                <w:color w:val="auto"/>
              </w:rPr>
              <w:t>​ ​</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8"/>
              </w:rPr>
              <w:t>84-2040295</w:t>
            </w:r>
          </w:p>
        </w:tc>
        <w:tc>
          <w:tcPr>
            <w:tcW w:w="420" w:type="dxa"/>
            <w:vAlign w:val="bottom"/>
          </w:tcPr>
          <w:p>
            <w:pPr>
              <w:ind w:left="380"/>
              <w:spacing w:after="0"/>
              <w:rPr>
                <w:sz w:val="20"/>
                <w:szCs w:val="20"/>
                <w:color w:val="auto"/>
              </w:rPr>
            </w:pPr>
            <w:r>
              <w:rPr>
                <w:rFonts w:ascii="Arial" w:cs="Arial" w:eastAsia="Arial" w:hAnsi="Arial"/>
                <w:sz w:val="16"/>
                <w:szCs w:val="16"/>
                <w:color w:val="auto"/>
              </w:rPr>
              <w:t>​</w:t>
            </w:r>
          </w:p>
        </w:tc>
      </w:tr>
      <w:tr>
        <w:trPr>
          <w:trHeight w:val="144"/>
        </w:trPr>
        <w:tc>
          <w:tcPr>
            <w:tcW w:w="240" w:type="dxa"/>
            <w:vAlign w:val="bottom"/>
          </w:tcPr>
          <w:p>
            <w:pPr>
              <w:spacing w:after="0"/>
              <w:rPr>
                <w:sz w:val="12"/>
                <w:szCs w:val="12"/>
                <w:color w:val="auto"/>
              </w:rPr>
            </w:pPr>
          </w:p>
        </w:tc>
        <w:tc>
          <w:tcPr>
            <w:tcW w:w="2280" w:type="dxa"/>
            <w:vAlign w:val="bottom"/>
          </w:tcPr>
          <w:p>
            <w:pPr>
              <w:ind w:left="200"/>
              <w:spacing w:after="0" w:line="145" w:lineRule="exact"/>
              <w:rPr>
                <w:sz w:val="20"/>
                <w:szCs w:val="20"/>
                <w:color w:val="auto"/>
              </w:rPr>
            </w:pPr>
            <w:r>
              <w:rPr>
                <w:rFonts w:ascii="Arial" w:cs="Arial" w:eastAsia="Arial" w:hAnsi="Arial"/>
                <w:sz w:val="14"/>
                <w:szCs w:val="14"/>
                <w:color w:val="auto"/>
              </w:rPr>
              <w:t>(State or other jurisdiction of</w:t>
            </w:r>
          </w:p>
        </w:tc>
        <w:tc>
          <w:tcPr>
            <w:tcW w:w="7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940" w:type="dxa"/>
            <w:vAlign w:val="bottom"/>
          </w:tcPr>
          <w:p>
            <w:pPr>
              <w:jc w:val="center"/>
              <w:spacing w:after="0" w:line="145" w:lineRule="exact"/>
              <w:rPr>
                <w:sz w:val="20"/>
                <w:szCs w:val="20"/>
                <w:color w:val="auto"/>
              </w:rPr>
            </w:pPr>
            <w:r>
              <w:rPr>
                <w:rFonts w:ascii="Arial" w:cs="Arial" w:eastAsia="Arial" w:hAnsi="Arial"/>
                <w:sz w:val="14"/>
                <w:szCs w:val="14"/>
                <w:color w:val="auto"/>
              </w:rPr>
              <w:t>(I.R.S. Employer</w:t>
            </w:r>
          </w:p>
        </w:tc>
        <w:tc>
          <w:tcPr>
            <w:tcW w:w="420" w:type="dxa"/>
            <w:vAlign w:val="bottom"/>
          </w:tcPr>
          <w:p>
            <w:pPr>
              <w:spacing w:after="0"/>
              <w:rPr>
                <w:sz w:val="12"/>
                <w:szCs w:val="12"/>
                <w:color w:val="auto"/>
              </w:rPr>
            </w:pPr>
          </w:p>
        </w:tc>
      </w:tr>
      <w:tr>
        <w:trPr>
          <w:trHeight w:val="188"/>
        </w:trPr>
        <w:tc>
          <w:tcPr>
            <w:tcW w:w="240" w:type="dxa"/>
            <w:vAlign w:val="bottom"/>
          </w:tcPr>
          <w:p>
            <w:pPr>
              <w:spacing w:after="0"/>
              <w:rPr>
                <w:sz w:val="16"/>
                <w:szCs w:val="16"/>
                <w:color w:val="auto"/>
              </w:rPr>
            </w:pPr>
          </w:p>
        </w:tc>
        <w:tc>
          <w:tcPr>
            <w:tcW w:w="2280" w:type="dxa"/>
            <w:vAlign w:val="bottom"/>
          </w:tcPr>
          <w:p>
            <w:pPr>
              <w:ind w:left="180"/>
              <w:spacing w:after="0"/>
              <w:rPr>
                <w:sz w:val="20"/>
                <w:szCs w:val="20"/>
                <w:color w:val="auto"/>
              </w:rPr>
            </w:pPr>
            <w:r>
              <w:rPr>
                <w:rFonts w:ascii="Arial" w:cs="Arial" w:eastAsia="Arial" w:hAnsi="Arial"/>
                <w:sz w:val="14"/>
                <w:szCs w:val="14"/>
                <w:color w:val="auto"/>
              </w:rPr>
              <w:t>incorporation or organization)</w:t>
            </w:r>
            <w:r>
              <w:rPr>
                <w:rFonts w:ascii="Arial" w:cs="Arial" w:eastAsia="Arial" w:hAnsi="Arial"/>
                <w:sz w:val="16"/>
                <w:szCs w:val="16"/>
                <w:color w:val="auto"/>
              </w:rPr>
              <w:t>​</w:t>
            </w:r>
          </w:p>
        </w:tc>
        <w:tc>
          <w:tcPr>
            <w:tcW w:w="7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40" w:type="dxa"/>
            <w:vAlign w:val="bottom"/>
          </w:tcPr>
          <w:p>
            <w:pPr>
              <w:ind w:left="420"/>
              <w:spacing w:after="0"/>
              <w:rPr>
                <w:sz w:val="20"/>
                <w:szCs w:val="20"/>
                <w:color w:val="auto"/>
              </w:rPr>
            </w:pPr>
            <w:r>
              <w:rPr>
                <w:rFonts w:ascii="Arial" w:cs="Arial" w:eastAsia="Arial" w:hAnsi="Arial"/>
                <w:sz w:val="14"/>
                <w:szCs w:val="14"/>
                <w:color w:val="auto"/>
              </w:rPr>
              <w:t>Identification No.)</w:t>
            </w:r>
            <w:r>
              <w:rPr>
                <w:rFonts w:ascii="Arial" w:cs="Arial" w:eastAsia="Arial" w:hAnsi="Arial"/>
                <w:sz w:val="16"/>
                <w:szCs w:val="16"/>
                <w:color w:val="auto"/>
              </w:rPr>
              <w:t>​</w:t>
            </w:r>
          </w:p>
        </w:tc>
        <w:tc>
          <w:tcPr>
            <w:tcW w:w="420" w:type="dxa"/>
            <w:vAlign w:val="bottom"/>
          </w:tcPr>
          <w:p>
            <w:pPr>
              <w:spacing w:after="0"/>
              <w:rPr>
                <w:sz w:val="16"/>
                <w:szCs w:val="16"/>
                <w:color w:val="auto"/>
              </w:rPr>
            </w:pPr>
          </w:p>
        </w:tc>
      </w:tr>
      <w:tr>
        <w:trPr>
          <w:trHeight w:val="217"/>
        </w:trPr>
        <w:tc>
          <w:tcPr>
            <w:tcW w:w="240" w:type="dxa"/>
            <w:vAlign w:val="bottom"/>
          </w:tcPr>
          <w:p>
            <w:pPr>
              <w:spacing w:after="0"/>
              <w:rPr>
                <w:sz w:val="20"/>
                <w:szCs w:val="20"/>
                <w:color w:val="auto"/>
              </w:rPr>
            </w:pPr>
            <w:r>
              <w:rPr>
                <w:rFonts w:ascii="Arial" w:cs="Arial" w:eastAsia="Arial" w:hAnsi="Arial"/>
                <w:sz w:val="16"/>
                <w:szCs w:val="16"/>
                <w:b w:val="1"/>
                <w:bCs w:val="1"/>
                <w:color w:val="auto"/>
              </w:rPr>
              <w:t>​</w:t>
            </w:r>
          </w:p>
        </w:tc>
        <w:tc>
          <w:tcPr>
            <w:tcW w:w="2280" w:type="dxa"/>
            <w:vAlign w:val="bottom"/>
          </w:tcPr>
          <w:p>
            <w:pPr>
              <w:ind w:left="110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ind w:left="220"/>
              <w:spacing w:after="0"/>
              <w:rPr>
                <w:sz w:val="20"/>
                <w:szCs w:val="20"/>
                <w:color w:val="auto"/>
              </w:rPr>
            </w:pPr>
            <w:r>
              <w:rPr>
                <w:rFonts w:ascii="Arial" w:cs="Arial" w:eastAsia="Arial" w:hAnsi="Arial"/>
                <w:sz w:val="16"/>
                <w:szCs w:val="16"/>
                <w:b w:val="1"/>
                <w:bCs w:val="1"/>
                <w:color w:val="auto"/>
              </w:rPr>
              <w:t>​ ​</w:t>
            </w:r>
          </w:p>
        </w:tc>
        <w:tc>
          <w:tcPr>
            <w:tcW w:w="3260" w:type="dxa"/>
            <w:vAlign w:val="bottom"/>
          </w:tcPr>
          <w:p>
            <w:pPr>
              <w:jc w:val="center"/>
              <w:spacing w:after="0"/>
              <w:rPr>
                <w:sz w:val="20"/>
                <w:szCs w:val="20"/>
                <w:color w:val="auto"/>
              </w:rPr>
            </w:pPr>
            <w:r>
              <w:rPr>
                <w:rFonts w:ascii="Arial" w:cs="Arial" w:eastAsia="Arial" w:hAnsi="Arial"/>
                <w:sz w:val="16"/>
                <w:szCs w:val="16"/>
                <w:b w:val="1"/>
                <w:bCs w:val="1"/>
                <w:color w:val="auto"/>
                <w:w w:val="99"/>
              </w:rPr>
              <w:t>25 North 38th Street, 11th Floor</w:t>
            </w:r>
          </w:p>
        </w:tc>
        <w:tc>
          <w:tcPr>
            <w:tcW w:w="920" w:type="dxa"/>
            <w:vAlign w:val="bottom"/>
          </w:tcPr>
          <w:p>
            <w:pPr>
              <w:ind w:left="380"/>
              <w:spacing w:after="0"/>
              <w:rPr>
                <w:sz w:val="20"/>
                <w:szCs w:val="20"/>
                <w:color w:val="auto"/>
              </w:rPr>
            </w:pPr>
            <w:r>
              <w:rPr>
                <w:rFonts w:ascii="Arial" w:cs="Arial" w:eastAsia="Arial" w:hAnsi="Arial"/>
                <w:sz w:val="16"/>
                <w:szCs w:val="16"/>
                <w:b w:val="1"/>
                <w:bCs w:val="1"/>
                <w:color w:val="auto"/>
              </w:rPr>
              <w:t>​</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8"/>
                <w:szCs w:val="18"/>
                <w:color w:val="auto"/>
              </w:rPr>
            </w:pPr>
          </w:p>
        </w:tc>
      </w:tr>
      <w:tr>
        <w:trPr>
          <w:trHeight w:val="162"/>
        </w:trPr>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Philadelphia, Pennsylvania 19104</w:t>
            </w:r>
          </w:p>
        </w:tc>
        <w:tc>
          <w:tcPr>
            <w:tcW w:w="9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223"/>
        </w:trPr>
        <w:tc>
          <w:tcPr>
            <w:tcW w:w="2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60" w:type="dxa"/>
            <w:vAlign w:val="bottom"/>
          </w:tcPr>
          <w:p>
            <w:pPr>
              <w:jc w:val="right"/>
              <w:ind w:right="999"/>
              <w:spacing w:after="0"/>
              <w:rPr>
                <w:sz w:val="20"/>
                <w:szCs w:val="20"/>
                <w:color w:val="auto"/>
              </w:rPr>
            </w:pPr>
            <w:r>
              <w:rPr>
                <w:rFonts w:ascii="Arial" w:cs="Arial" w:eastAsia="Arial" w:hAnsi="Arial"/>
                <w:sz w:val="16"/>
                <w:szCs w:val="16"/>
                <w:b w:val="1"/>
                <w:bCs w:val="1"/>
                <w:color w:val="auto"/>
              </w:rPr>
              <w:t>(267) 817-5790</w:t>
            </w:r>
          </w:p>
        </w:tc>
        <w:tc>
          <w:tcPr>
            <w:tcW w:w="9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pacing w:after="0" w:line="30" w:lineRule="exact"/>
        <w:rPr>
          <w:sz w:val="24"/>
          <w:szCs w:val="24"/>
          <w:color w:val="auto"/>
        </w:rPr>
      </w:pPr>
    </w:p>
    <w:p>
      <w:pPr>
        <w:jc w:val="center"/>
        <w:ind w:right="-47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r>
        <w:rPr>
          <w:rFonts w:ascii="Times New Roman" w:cs="Times New Roman" w:eastAsia="Times New Roman" w:hAnsi="Times New Roman"/>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81280</wp:posOffset>
            </wp:positionV>
            <wp:extent cx="1371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83" w:lineRule="exact"/>
        <w:rPr>
          <w:sz w:val="24"/>
          <w:szCs w:val="24"/>
          <w:color w:val="auto"/>
        </w:rPr>
      </w:pPr>
    </w:p>
    <w:p>
      <w:pPr>
        <w:jc w:val="center"/>
        <w:ind w:right="-399"/>
        <w:spacing w:after="0"/>
        <w:rPr>
          <w:sz w:val="20"/>
          <w:szCs w:val="20"/>
          <w:color w:val="auto"/>
        </w:rPr>
      </w:pPr>
      <w:r>
        <w:rPr>
          <w:rFonts w:ascii="Arial" w:cs="Arial" w:eastAsia="Arial" w:hAnsi="Arial"/>
          <w:sz w:val="15"/>
          <w:szCs w:val="15"/>
          <w:b w:val="1"/>
          <w:bCs w:val="1"/>
          <w:color w:val="auto"/>
        </w:rPr>
        <w:t>Brent Pfeiffenberger, Pharm.D.</w:t>
      </w:r>
    </w:p>
    <w:p>
      <w:pPr>
        <w:jc w:val="center"/>
        <w:ind w:right="-399"/>
        <w:spacing w:after="0" w:line="233" w:lineRule="auto"/>
        <w:rPr>
          <w:sz w:val="20"/>
          <w:szCs w:val="20"/>
          <w:color w:val="auto"/>
        </w:rPr>
      </w:pPr>
      <w:r>
        <w:rPr>
          <w:rFonts w:ascii="Arial" w:cs="Arial" w:eastAsia="Arial" w:hAnsi="Arial"/>
          <w:sz w:val="15"/>
          <w:szCs w:val="15"/>
          <w:b w:val="1"/>
          <w:bCs w:val="1"/>
          <w:color w:val="auto"/>
        </w:rPr>
        <w:t>President and Chief Executive Officer</w:t>
      </w:r>
    </w:p>
    <w:p>
      <w:pPr>
        <w:jc w:val="center"/>
        <w:ind w:right="-399"/>
        <w:spacing w:after="0" w:line="225" w:lineRule="auto"/>
        <w:rPr>
          <w:sz w:val="20"/>
          <w:szCs w:val="20"/>
          <w:color w:val="auto"/>
        </w:rPr>
      </w:pPr>
      <w:r>
        <w:rPr>
          <w:rFonts w:ascii="Arial" w:cs="Arial" w:eastAsia="Arial" w:hAnsi="Arial"/>
          <w:sz w:val="15"/>
          <w:szCs w:val="15"/>
          <w:b w:val="1"/>
          <w:bCs w:val="1"/>
          <w:color w:val="auto"/>
        </w:rPr>
        <w:t>Century Therapeutics, Inc.</w:t>
      </w:r>
    </w:p>
    <w:p>
      <w:pPr>
        <w:jc w:val="center"/>
        <w:ind w:right="-399"/>
        <w:spacing w:after="0" w:line="225" w:lineRule="auto"/>
        <w:rPr>
          <w:sz w:val="20"/>
          <w:szCs w:val="20"/>
          <w:color w:val="auto"/>
        </w:rPr>
      </w:pPr>
      <w:r>
        <w:rPr>
          <w:rFonts w:ascii="Arial" w:cs="Arial" w:eastAsia="Arial" w:hAnsi="Arial"/>
          <w:sz w:val="15"/>
          <w:szCs w:val="15"/>
          <w:b w:val="1"/>
          <w:bCs w:val="1"/>
          <w:color w:val="auto"/>
        </w:rPr>
        <w:t>25 North 38th Street, 11th Floor</w:t>
      </w:r>
    </w:p>
    <w:p>
      <w:pPr>
        <w:jc w:val="center"/>
        <w:ind w:right="-399"/>
        <w:spacing w:after="0" w:line="226" w:lineRule="auto"/>
        <w:rPr>
          <w:sz w:val="20"/>
          <w:szCs w:val="20"/>
          <w:color w:val="auto"/>
        </w:rPr>
      </w:pPr>
      <w:r>
        <w:rPr>
          <w:rFonts w:ascii="Arial" w:cs="Arial" w:eastAsia="Arial" w:hAnsi="Arial"/>
          <w:sz w:val="15"/>
          <w:szCs w:val="15"/>
          <w:b w:val="1"/>
          <w:bCs w:val="1"/>
          <w:color w:val="auto"/>
        </w:rPr>
        <w:t>Philadelphia, Pennsylvania 19104</w:t>
      </w:r>
    </w:p>
    <w:p>
      <w:pPr>
        <w:jc w:val="center"/>
        <w:ind w:right="-459"/>
        <w:spacing w:after="0" w:line="209" w:lineRule="auto"/>
        <w:rPr>
          <w:sz w:val="20"/>
          <w:szCs w:val="20"/>
          <w:color w:val="auto"/>
        </w:rPr>
      </w:pPr>
      <w:r>
        <w:rPr>
          <w:rFonts w:ascii="Arial" w:cs="Arial" w:eastAsia="Arial" w:hAnsi="Arial"/>
          <w:sz w:val="15"/>
          <w:szCs w:val="15"/>
          <w:b w:val="1"/>
          <w:bCs w:val="1"/>
          <w:color w:val="auto"/>
        </w:rPr>
        <w:t>(267) 817-5790</w:t>
      </w:r>
    </w:p>
    <w:p>
      <w:pPr>
        <w:spacing w:after="0" w:line="1" w:lineRule="exact"/>
        <w:rPr>
          <w:sz w:val="24"/>
          <w:szCs w:val="24"/>
          <w:color w:val="auto"/>
        </w:rPr>
      </w:pPr>
    </w:p>
    <w:p>
      <w:pPr>
        <w:jc w:val="center"/>
        <w:ind w:right="-47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r>
        <w:rPr>
          <w:rFonts w:ascii="Times New Roman" w:cs="Times New Roman" w:eastAsia="Times New Roman" w:hAnsi="Times New Roman"/>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71120</wp:posOffset>
            </wp:positionV>
            <wp:extent cx="1371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69" w:lineRule="exact"/>
        <w:rPr>
          <w:sz w:val="24"/>
          <w:szCs w:val="24"/>
          <w:color w:val="auto"/>
        </w:rPr>
      </w:pPr>
    </w:p>
    <w:p>
      <w:pPr>
        <w:jc w:val="center"/>
        <w:ind w:right="-439"/>
        <w:spacing w:after="0"/>
        <w:rPr>
          <w:sz w:val="20"/>
          <w:szCs w:val="20"/>
          <w:color w:val="auto"/>
        </w:rPr>
      </w:pPr>
      <w:r>
        <w:rPr>
          <w:rFonts w:ascii="Arial" w:cs="Arial" w:eastAsia="Arial" w:hAnsi="Arial"/>
          <w:sz w:val="15"/>
          <w:szCs w:val="15"/>
          <w:b w:val="1"/>
          <w:bCs w:val="1"/>
          <w:i w:val="1"/>
          <w:iCs w:val="1"/>
          <w:color w:val="auto"/>
        </w:rPr>
        <w:t>Copies to:</w:t>
      </w:r>
    </w:p>
    <w:p>
      <w:pPr>
        <w:spacing w:after="0" w:line="42" w:lineRule="exact"/>
        <w:rPr>
          <w:sz w:val="24"/>
          <w:szCs w:val="24"/>
          <w:color w:val="auto"/>
        </w:rPr>
      </w:pPr>
    </w:p>
    <w:p>
      <w:pPr>
        <w:ind w:left="4460"/>
        <w:spacing w:after="0"/>
        <w:rPr>
          <w:sz w:val="20"/>
          <w:szCs w:val="20"/>
          <w:color w:val="auto"/>
        </w:rPr>
      </w:pPr>
      <w:r>
        <w:rPr>
          <w:rFonts w:ascii="Arial" w:cs="Arial" w:eastAsia="Arial" w:hAnsi="Arial"/>
          <w:sz w:val="15"/>
          <w:szCs w:val="15"/>
          <w:b w:val="1"/>
          <w:bCs w:val="1"/>
          <w:color w:val="auto"/>
        </w:rPr>
        <w:t>Rachael M. Bushey, Esq.</w:t>
      </w:r>
    </w:p>
    <w:p>
      <w:pPr>
        <w:ind w:left="4520"/>
        <w:spacing w:after="0" w:line="233" w:lineRule="auto"/>
        <w:rPr>
          <w:sz w:val="20"/>
          <w:szCs w:val="20"/>
          <w:color w:val="auto"/>
        </w:rPr>
      </w:pPr>
      <w:r>
        <w:rPr>
          <w:rFonts w:ascii="Arial" w:cs="Arial" w:eastAsia="Arial" w:hAnsi="Arial"/>
          <w:sz w:val="15"/>
          <w:szCs w:val="15"/>
          <w:b w:val="1"/>
          <w:bCs w:val="1"/>
          <w:color w:val="auto"/>
        </w:rPr>
        <w:t>Jennifer L. Porter, Esq.</w:t>
      </w:r>
    </w:p>
    <w:p>
      <w:pPr>
        <w:ind w:left="4740"/>
        <w:spacing w:after="0" w:line="225" w:lineRule="auto"/>
        <w:rPr>
          <w:sz w:val="20"/>
          <w:szCs w:val="20"/>
          <w:color w:val="auto"/>
        </w:rPr>
      </w:pPr>
      <w:r>
        <w:rPr>
          <w:rFonts w:ascii="Arial" w:cs="Arial" w:eastAsia="Arial" w:hAnsi="Arial"/>
          <w:sz w:val="15"/>
          <w:szCs w:val="15"/>
          <w:b w:val="1"/>
          <w:bCs w:val="1"/>
          <w:color w:val="auto"/>
        </w:rPr>
        <w:t>Justin Platt, Esq.</w:t>
      </w:r>
    </w:p>
    <w:p>
      <w:pPr>
        <w:ind w:left="4560"/>
        <w:spacing w:after="0" w:line="225" w:lineRule="auto"/>
        <w:rPr>
          <w:sz w:val="20"/>
          <w:szCs w:val="20"/>
          <w:color w:val="auto"/>
        </w:rPr>
      </w:pPr>
      <w:r>
        <w:rPr>
          <w:rFonts w:ascii="Arial" w:cs="Arial" w:eastAsia="Arial" w:hAnsi="Arial"/>
          <w:sz w:val="15"/>
          <w:szCs w:val="15"/>
          <w:b w:val="1"/>
          <w:bCs w:val="1"/>
          <w:color w:val="auto"/>
        </w:rPr>
        <w:t>Goodwin Procter LLP</w:t>
      </w:r>
    </w:p>
    <w:p>
      <w:pPr>
        <w:ind w:left="4240"/>
        <w:spacing w:after="0" w:line="226" w:lineRule="auto"/>
        <w:rPr>
          <w:sz w:val="20"/>
          <w:szCs w:val="20"/>
          <w:color w:val="auto"/>
        </w:rPr>
      </w:pPr>
      <w:r>
        <w:rPr>
          <w:rFonts w:ascii="Arial" w:cs="Arial" w:eastAsia="Arial" w:hAnsi="Arial"/>
          <w:sz w:val="15"/>
          <w:szCs w:val="15"/>
          <w:b w:val="1"/>
          <w:bCs w:val="1"/>
          <w:color w:val="auto"/>
        </w:rPr>
        <w:t>2005 Market Street, 32nd Floor</w:t>
      </w:r>
    </w:p>
    <w:p>
      <w:pPr>
        <w:ind w:left="4520"/>
        <w:spacing w:after="0" w:line="225" w:lineRule="auto"/>
        <w:rPr>
          <w:sz w:val="20"/>
          <w:szCs w:val="20"/>
          <w:color w:val="auto"/>
        </w:rPr>
      </w:pPr>
      <w:r>
        <w:rPr>
          <w:rFonts w:ascii="Arial" w:cs="Arial" w:eastAsia="Arial" w:hAnsi="Arial"/>
          <w:sz w:val="15"/>
          <w:szCs w:val="15"/>
          <w:b w:val="1"/>
          <w:bCs w:val="1"/>
          <w:color w:val="auto"/>
        </w:rPr>
        <w:t>Philadelphia, PA 19103</w:t>
      </w:r>
    </w:p>
    <w:p>
      <w:pPr>
        <w:spacing w:after="0" w:line="1" w:lineRule="exact"/>
        <w:rPr>
          <w:sz w:val="24"/>
          <w:szCs w:val="24"/>
          <w:color w:val="auto"/>
        </w:rPr>
      </w:pPr>
    </w:p>
    <w:p>
      <w:pPr>
        <w:ind w:left="4860"/>
        <w:spacing w:after="0"/>
        <w:rPr>
          <w:sz w:val="20"/>
          <w:szCs w:val="20"/>
          <w:color w:val="auto"/>
        </w:rPr>
      </w:pPr>
      <w:r>
        <w:rPr>
          <w:rFonts w:ascii="Arial" w:cs="Arial" w:eastAsia="Arial" w:hAnsi="Arial"/>
          <w:sz w:val="15"/>
          <w:szCs w:val="15"/>
          <w:b w:val="1"/>
          <w:bCs w:val="1"/>
          <w:color w:val="auto"/>
        </w:rPr>
        <w:t>(445) 207-7805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64135</wp:posOffset>
            </wp:positionV>
            <wp:extent cx="13716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3" w:lineRule="exact"/>
        <w:rPr>
          <w:sz w:val="24"/>
          <w:szCs w:val="24"/>
          <w:color w:val="auto"/>
        </w:rPr>
      </w:pPr>
    </w:p>
    <w:p>
      <w:pPr>
        <w:ind w:left="500"/>
        <w:spacing w:after="0"/>
        <w:rPr>
          <w:sz w:val="20"/>
          <w:szCs w:val="20"/>
          <w:color w:val="auto"/>
        </w:rPr>
      </w:pPr>
      <w:r>
        <w:rPr>
          <w:rFonts w:ascii="Arial" w:cs="Arial" w:eastAsia="Arial" w:hAnsi="Arial"/>
          <w:sz w:val="15"/>
          <w:szCs w:val="15"/>
          <w:b w:val="1"/>
          <w:bCs w:val="1"/>
          <w:color w:val="auto"/>
        </w:rPr>
        <w:t>Approximate date of commencement of proposed sale to the public</w:t>
      </w:r>
      <w:r>
        <w:rPr>
          <w:rFonts w:ascii="Arial" w:cs="Arial" w:eastAsia="Arial" w:hAnsi="Arial"/>
          <w:sz w:val="15"/>
          <w:szCs w:val="15"/>
          <w:color w:val="auto"/>
        </w:rPr>
        <w:t>: From time to time after the effective date of this Registration Statement.</w:t>
      </w:r>
    </w:p>
    <w:p>
      <w:pPr>
        <w:spacing w:after="0" w:line="86" w:lineRule="exact"/>
        <w:rPr>
          <w:sz w:val="24"/>
          <w:szCs w:val="24"/>
          <w:color w:val="auto"/>
        </w:rPr>
      </w:pPr>
    </w:p>
    <w:p>
      <w:pPr>
        <w:ind w:left="500" w:right="660"/>
        <w:spacing w:after="0" w:line="192" w:lineRule="exact"/>
        <w:rPr>
          <w:sz w:val="20"/>
          <w:szCs w:val="20"/>
          <w:color w:val="auto"/>
        </w:rPr>
      </w:pPr>
      <w:r>
        <w:rPr>
          <w:rFonts w:ascii="Arial" w:cs="Arial" w:eastAsia="Arial" w:hAnsi="Arial"/>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21" w:lineRule="exact"/>
        <w:rPr>
          <w:sz w:val="24"/>
          <w:szCs w:val="24"/>
          <w:color w:val="auto"/>
        </w:rPr>
      </w:pPr>
    </w:p>
    <w:p>
      <w:pPr>
        <w:ind w:left="500" w:right="140"/>
        <w:spacing w:after="0" w:line="192"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35" w:lineRule="exact"/>
        <w:rPr>
          <w:sz w:val="24"/>
          <w:szCs w:val="24"/>
          <w:color w:val="auto"/>
        </w:rPr>
      </w:pPr>
    </w:p>
    <w:p>
      <w:pPr>
        <w:ind w:left="500" w:right="160"/>
        <w:spacing w:after="0" w:line="192"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5" w:lineRule="exact"/>
        <w:rPr>
          <w:sz w:val="24"/>
          <w:szCs w:val="24"/>
          <w:color w:val="auto"/>
        </w:rPr>
      </w:pPr>
    </w:p>
    <w:p>
      <w:pPr>
        <w:ind w:left="500" w:right="60"/>
        <w:spacing w:after="0" w:line="192"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1" w:lineRule="exact"/>
        <w:rPr>
          <w:sz w:val="24"/>
          <w:szCs w:val="24"/>
          <w:color w:val="auto"/>
        </w:rPr>
      </w:pPr>
    </w:p>
    <w:p>
      <w:pPr>
        <w:ind w:left="500" w:right="120"/>
        <w:spacing w:after="0" w:line="192" w:lineRule="exact"/>
        <w:rPr>
          <w:sz w:val="20"/>
          <w:szCs w:val="20"/>
          <w:color w:val="auto"/>
        </w:rPr>
      </w:pPr>
      <w:r>
        <w:rPr>
          <w:rFonts w:ascii="Arial" w:cs="Arial" w:eastAsia="Arial" w:hAnsi="Arial"/>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35" w:lineRule="exact"/>
        <w:rPr>
          <w:sz w:val="24"/>
          <w:szCs w:val="24"/>
          <w:color w:val="auto"/>
        </w:rPr>
      </w:pPr>
    </w:p>
    <w:p>
      <w:pPr>
        <w:ind w:left="500" w:right="140"/>
        <w:spacing w:after="0" w:line="192" w:lineRule="exact"/>
        <w:rPr>
          <w:sz w:val="20"/>
          <w:szCs w:val="20"/>
          <w:color w:val="auto"/>
        </w:rPr>
      </w:pPr>
      <w:r>
        <w:rPr>
          <w:rFonts w:ascii="Arial" w:cs="Arial" w:eastAsia="Arial" w:hAnsi="Arial"/>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35" w:lineRule="exact"/>
        <w:rPr>
          <w:sz w:val="24"/>
          <w:szCs w:val="24"/>
          <w:color w:val="auto"/>
        </w:rPr>
      </w:pPr>
    </w:p>
    <w:p>
      <w:pPr>
        <w:ind w:left="500" w:right="40"/>
        <w:spacing w:after="0" w:line="24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 w:lineRule="exact"/>
        <w:rPr>
          <w:sz w:val="24"/>
          <w:szCs w:val="24"/>
          <w:color w:val="auto"/>
        </w:rPr>
      </w:pPr>
    </w:p>
    <w:tbl>
      <w:tblPr>
        <w:tblLayout w:type="fixed"/>
        <w:tblInd w:w="86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54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gridSpan w:val="2"/>
          </w:tcPr>
          <w:p>
            <w:pPr>
              <w:ind w:left="2260"/>
              <w:spacing w:after="0"/>
              <w:rPr>
                <w:sz w:val="20"/>
                <w:szCs w:val="20"/>
                <w:color w:val="auto"/>
              </w:rPr>
            </w:pPr>
            <w:r>
              <w:rPr>
                <w:rFonts w:ascii="Arial" w:cs="Arial" w:eastAsia="Arial" w:hAnsi="Arial"/>
                <w:sz w:val="16"/>
                <w:szCs w:val="16"/>
                <w:color w:val="auto"/>
              </w:rPr>
              <w:t>​ ​ Accelerated filer</w:t>
            </w:r>
          </w:p>
        </w:tc>
        <w:tc>
          <w:tcPr>
            <w:tcW w:w="340" w:type="dxa"/>
            <w:vAlign w:val="bottom"/>
            <w:gridSpan w:val="2"/>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1680" w:type="dxa"/>
            <w:vAlign w:val="bottom"/>
          </w:tcPr>
          <w:p>
            <w:pPr>
              <w:spacing w:after="0" w:line="162" w:lineRule="exact"/>
              <w:rPr>
                <w:sz w:val="20"/>
                <w:szCs w:val="20"/>
                <w:color w:val="auto"/>
              </w:rPr>
            </w:pPr>
            <w:r>
              <w:rPr>
                <w:rFonts w:ascii="Arial" w:cs="Arial" w:eastAsia="Arial" w:hAnsi="Arial"/>
                <w:sz w:val="16"/>
                <w:szCs w:val="16"/>
                <w:color w:val="auto"/>
              </w:rPr>
              <w:t>​</w:t>
            </w:r>
          </w:p>
        </w:tc>
        <w:tc>
          <w:tcPr>
            <w:tcW w:w="254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2440" w:type="dxa"/>
            <w:vAlign w:val="bottom"/>
          </w:tcPr>
          <w:p>
            <w:pPr>
              <w:ind w:left="2260"/>
              <w:spacing w:after="0" w:line="162" w:lineRule="exact"/>
              <w:rPr>
                <w:sz w:val="20"/>
                <w:szCs w:val="20"/>
                <w:color w:val="auto"/>
              </w:rPr>
            </w:pPr>
            <w:r>
              <w:rPr>
                <w:rFonts w:ascii="Arial" w:cs="Arial" w:eastAsia="Arial" w:hAnsi="Arial"/>
                <w:sz w:val="16"/>
                <w:szCs w:val="16"/>
                <w:color w:val="auto"/>
              </w:rPr>
              <w:t>​ ​</w:t>
            </w:r>
          </w:p>
        </w:tc>
        <w:tc>
          <w:tcPr>
            <w:tcW w:w="2060" w:type="dxa"/>
            <w:vAlign w:val="bottom"/>
            <w:vMerge w:val="restart"/>
          </w:tcPr>
          <w:p>
            <w:pPr>
              <w:ind w:left="20"/>
              <w:spacing w:after="0"/>
              <w:rPr>
                <w:sz w:val="20"/>
                <w:szCs w:val="20"/>
                <w:color w:val="auto"/>
              </w:rPr>
            </w:pPr>
            <w:r>
              <w:rPr>
                <w:rFonts w:ascii="Arial" w:cs="Arial" w:eastAsia="Arial" w:hAnsi="Arial"/>
                <w:sz w:val="16"/>
                <w:szCs w:val="16"/>
                <w:color w:val="auto"/>
              </w:rPr>
              <w:t>Smaller reporting company</w:t>
            </w:r>
          </w:p>
        </w:tc>
        <w:tc>
          <w:tcPr>
            <w:tcW w:w="28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6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1680" w:type="dxa"/>
            <w:vAlign w:val="bottom"/>
          </w:tcPr>
          <w:p>
            <w:pPr>
              <w:spacing w:after="0" w:line="27" w:lineRule="exact"/>
              <w:rPr>
                <w:sz w:val="20"/>
                <w:szCs w:val="20"/>
                <w:color w:val="auto"/>
              </w:rPr>
            </w:pPr>
            <w:r>
              <w:rPr>
                <w:rFonts w:ascii="Arial" w:cs="Arial" w:eastAsia="Arial" w:hAnsi="Arial"/>
                <w:sz w:val="3"/>
                <w:szCs w:val="3"/>
                <w:color w:val="auto"/>
              </w:rPr>
              <w:t>Non-accelerated filer</w:t>
            </w:r>
          </w:p>
        </w:tc>
        <w:tc>
          <w:tcPr>
            <w:tcW w:w="2540" w:type="dxa"/>
            <w:vAlign w:val="bottom"/>
            <w:vMerge w:val="continue"/>
          </w:tcPr>
          <w:p>
            <w:pPr>
              <w:spacing w:after="0"/>
              <w:rPr>
                <w:sz w:val="2"/>
                <w:szCs w:val="2"/>
                <w:color w:val="auto"/>
              </w:rPr>
            </w:pPr>
          </w:p>
        </w:tc>
        <w:tc>
          <w:tcPr>
            <w:tcW w:w="2440" w:type="dxa"/>
            <w:vAlign w:val="bottom"/>
          </w:tcPr>
          <w:p>
            <w:pPr>
              <w:spacing w:after="0"/>
              <w:rPr>
                <w:sz w:val="2"/>
                <w:szCs w:val="2"/>
                <w:color w:val="auto"/>
              </w:rPr>
            </w:pPr>
          </w:p>
        </w:tc>
        <w:tc>
          <w:tcPr>
            <w:tcW w:w="206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1680" w:type="dxa"/>
            <w:vAlign w:val="bottom"/>
          </w:tcPr>
          <w:p>
            <w:pPr>
              <w:spacing w:after="0"/>
              <w:rPr>
                <w:sz w:val="20"/>
                <w:szCs w:val="20"/>
                <w:color w:val="auto"/>
              </w:rPr>
            </w:pPr>
            <w:r>
              <w:rPr>
                <w:rFonts w:ascii="Arial" w:cs="Arial" w:eastAsia="Arial" w:hAnsi="Arial"/>
                <w:sz w:val="16"/>
                <w:szCs w:val="16"/>
                <w:color w:val="auto"/>
              </w:rPr>
              <w:t>​</w:t>
            </w:r>
          </w:p>
        </w:tc>
        <w:tc>
          <w:tcPr>
            <w:tcW w:w="2540" w:type="dxa"/>
            <w:vAlign w:val="bottom"/>
          </w:tcPr>
          <w:p>
            <w:pPr>
              <w:spacing w:after="0"/>
              <w:rPr>
                <w:sz w:val="23"/>
                <w:szCs w:val="23"/>
                <w:color w:val="auto"/>
              </w:rPr>
            </w:pPr>
          </w:p>
        </w:tc>
        <w:tc>
          <w:tcPr>
            <w:tcW w:w="4500" w:type="dxa"/>
            <w:vAlign w:val="bottom"/>
            <w:gridSpan w:val="2"/>
          </w:tcPr>
          <w:p>
            <w:pPr>
              <w:ind w:left="2260"/>
              <w:spacing w:after="0"/>
              <w:rPr>
                <w:sz w:val="20"/>
                <w:szCs w:val="20"/>
                <w:color w:val="auto"/>
              </w:rPr>
            </w:pPr>
            <w:r>
              <w:rPr>
                <w:rFonts w:ascii="Arial" w:cs="Arial" w:eastAsia="Arial" w:hAnsi="Arial"/>
                <w:sz w:val="16"/>
                <w:szCs w:val="16"/>
                <w:color w:val="auto"/>
              </w:rPr>
              <w:t>​ ​ Emerging growth company</w:t>
            </w:r>
          </w:p>
        </w:tc>
        <w:tc>
          <w:tcPr>
            <w:tcW w:w="340" w:type="dxa"/>
            <w:vAlign w:val="bottom"/>
            <w:gridSpan w:val="2"/>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75" w:lineRule="exact"/>
        <w:rPr>
          <w:sz w:val="24"/>
          <w:szCs w:val="24"/>
          <w:color w:val="auto"/>
        </w:rPr>
      </w:pPr>
    </w:p>
    <w:p>
      <w:pPr>
        <w:ind w:left="500" w:right="260"/>
        <w:spacing w:after="0" w:line="192"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41910</wp:posOffset>
            </wp:positionV>
            <wp:extent cx="13716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1" w:lineRule="exact"/>
        <w:rPr>
          <w:sz w:val="24"/>
          <w:szCs w:val="24"/>
          <w:color w:val="auto"/>
        </w:rPr>
      </w:pPr>
    </w:p>
    <w:p>
      <w:pPr>
        <w:ind w:left="500" w:right="100"/>
        <w:spacing w:after="0" w:line="243"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22860</wp:posOffset>
            </wp:positionV>
            <wp:extent cx="61893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62" w:lineRule="exact"/>
        <w:rPr>
          <w:sz w:val="20"/>
          <w:szCs w:val="20"/>
          <w:color w:val="auto"/>
        </w:rPr>
      </w:pPr>
    </w:p>
    <w:tbl>
      <w:tblPr>
        <w:tblLayout w:type="fixed"/>
        <w:tblInd w:w="880" w:type="dxa"/>
        <w:tblCellMar>
          <w:top w:w="0" w:type="dxa"/>
          <w:left w:w="0" w:type="dxa"/>
          <w:bottom w:w="0" w:type="dxa"/>
          <w:right w:w="0" w:type="dxa"/>
        </w:tblCellMar>
      </w:tblPr>
      <w:tr>
        <w:trPr>
          <w:trHeight w:val="167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and Exchange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is not permitted.</w:t>
            </w:r>
          </w:p>
        </w:tc>
      </w:tr>
      <w:tr>
        <w:trPr>
          <w:trHeight w:val="416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not be sold until the registration statement filed with the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buy these securities in any jurisdiction where the offer or sale</w:t>
            </w:r>
          </w:p>
        </w:tc>
      </w:tr>
      <w:tr>
        <w:trPr>
          <w:trHeight w:val="263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may be changed. These securities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offer to sell nor does it seek an offer to</w:t>
            </w:r>
          </w:p>
        </w:tc>
      </w:tr>
      <w:tr>
        <w:trPr>
          <w:trHeight w:val="64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is not an</w:t>
            </w:r>
          </w:p>
        </w:tc>
      </w:tr>
      <w:tr>
        <w:trPr>
          <w:trHeight w:val="359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Commission is effective. This preliminary prospectus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3120" w:type="dxa"/>
            <w:vAlign w:val="bottom"/>
          </w:tcPr>
          <w:p>
            <w:pPr>
              <w:spacing w:after="0"/>
              <w:rPr>
                <w:sz w:val="20"/>
                <w:szCs w:val="20"/>
                <w:color w:val="auto"/>
              </w:rPr>
            </w:pPr>
            <w:r>
              <w:rPr>
                <w:rFonts w:ascii="Arial" w:cs="Arial" w:eastAsia="Arial" w:hAnsi="Arial"/>
                <w:sz w:val="18"/>
                <w:szCs w:val="18"/>
                <w:b w:val="1"/>
                <w:bCs w:val="1"/>
                <w:color w:val="F45269"/>
              </w:rPr>
              <w:t>PROSPECTUS</w:t>
            </w:r>
          </w:p>
        </w:tc>
        <w:tc>
          <w:tcPr>
            <w:tcW w:w="5100" w:type="dxa"/>
            <w:vAlign w:val="bottom"/>
          </w:tcPr>
          <w:p>
            <w:pPr>
              <w:ind w:left="1880"/>
              <w:spacing w:after="0"/>
              <w:rPr>
                <w:sz w:val="20"/>
                <w:szCs w:val="20"/>
                <w:color w:val="auto"/>
              </w:rPr>
            </w:pPr>
            <w:r>
              <w:rPr>
                <w:rFonts w:ascii="Arial" w:cs="Arial" w:eastAsia="Arial" w:hAnsi="Arial"/>
                <w:sz w:val="18"/>
                <w:szCs w:val="18"/>
                <w:b w:val="1"/>
                <w:bCs w:val="1"/>
                <w:color w:val="F45269"/>
                <w:w w:val="99"/>
              </w:rPr>
              <w:t>Subject to Completion, June 18, 2024.</w:t>
            </w:r>
          </w:p>
        </w:tc>
      </w:tr>
      <w:tr>
        <w:trPr>
          <w:trHeight w:val="85"/>
        </w:trPr>
        <w:tc>
          <w:tcPr>
            <w:tcW w:w="3120" w:type="dxa"/>
            <w:vAlign w:val="bottom"/>
          </w:tcPr>
          <w:p>
            <w:pPr>
              <w:spacing w:after="0"/>
              <w:rPr>
                <w:sz w:val="20"/>
                <w:szCs w:val="20"/>
                <w:color w:val="auto"/>
              </w:rPr>
            </w:pPr>
            <w:r>
              <w:rPr>
                <w:rFonts w:ascii="Arial" w:cs="Arial" w:eastAsia="Arial" w:hAnsi="Arial"/>
                <w:sz w:val="5"/>
                <w:szCs w:val="5"/>
                <w:color w:val="auto"/>
              </w:rPr>
              <w:t>​</w:t>
            </w:r>
          </w:p>
        </w:tc>
        <w:tc>
          <w:tcPr>
            <w:tcW w:w="51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5212080" cy="8572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980"/>
        <w:spacing w:after="0"/>
        <w:rPr>
          <w:sz w:val="20"/>
          <w:szCs w:val="20"/>
          <w:color w:val="auto"/>
        </w:rPr>
      </w:pPr>
      <w:r>
        <w:rPr>
          <w:rFonts w:ascii="Arial" w:cs="Arial" w:eastAsia="Arial" w:hAnsi="Arial"/>
          <w:sz w:val="25"/>
          <w:szCs w:val="25"/>
          <w:b w:val="1"/>
          <w:bCs w:val="1"/>
          <w:color w:val="auto"/>
        </w:rPr>
        <w:t>7,868,666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184785</wp:posOffset>
            </wp:positionV>
            <wp:extent cx="13716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right="279"/>
        <w:spacing w:after="0" w:line="237" w:lineRule="auto"/>
        <w:rPr>
          <w:sz w:val="20"/>
          <w:szCs w:val="20"/>
          <w:color w:val="auto"/>
        </w:rPr>
      </w:pPr>
      <w:r>
        <w:rPr>
          <w:rFonts w:ascii="Arial" w:cs="Arial" w:eastAsia="Arial" w:hAnsi="Arial"/>
          <w:sz w:val="17"/>
          <w:szCs w:val="17"/>
          <w:color w:val="auto"/>
        </w:rPr>
        <w:t>This prospectus of Century Therapeutics, Inc. a Delaware corporation, or the Company, we, or us, relates to the offer and resale from time to time by the selling stockholders identified in this prospectus, or collectively the selling stockholders, of up to 7,868,666 shares of our common stock, par value $0.0001 per share, or the common stock. The shares offered by the selling stockholders consist of:</w:t>
      </w:r>
    </w:p>
    <w:p>
      <w:pPr>
        <w:spacing w:after="0" w:line="2" w:lineRule="exact"/>
        <w:rPr>
          <w:sz w:val="20"/>
          <w:szCs w:val="20"/>
          <w:color w:val="auto"/>
        </w:rPr>
      </w:pPr>
    </w:p>
    <w:p>
      <w:pPr>
        <w:ind w:right="139" w:firstLine="4"/>
        <w:spacing w:after="0" w:line="236" w:lineRule="auto"/>
        <w:tabs>
          <w:tab w:leader="none" w:pos="204" w:val="left"/>
        </w:tabs>
        <w:numPr>
          <w:ilvl w:val="0"/>
          <w:numId w:val="1"/>
        </w:numPr>
        <w:rPr>
          <w:rFonts w:ascii="Arial" w:cs="Arial" w:eastAsia="Arial" w:hAnsi="Arial"/>
          <w:sz w:val="17"/>
          <w:szCs w:val="17"/>
          <w:color w:val="auto"/>
        </w:rPr>
      </w:pPr>
      <w:r>
        <w:rPr>
          <w:rFonts w:ascii="Arial" w:cs="Arial" w:eastAsia="Arial" w:hAnsi="Arial"/>
          <w:sz w:val="17"/>
          <w:szCs w:val="17"/>
          <w:color w:val="auto"/>
        </w:rPr>
        <w:t>3,741,646 shares that were privately issued pursuant to an Agreement and Plan of Merger, dated as of April 11, 2024, or the Merger Agreement, by and among the Company, Clarent Intermediate Sub, Inc., or Intermediate Sub, a wholly owned subsidiary of Company, Clarent Merger Sub, Inc., or Merger Sub, a wholly owned subsidiary of Intermediate Sub, Clade Therapeutics, Inc., or Clade, and Fortis Advisors LLC, solely in its capacity as securityholders’ agent, in connection with our acquisition of Clade, or the Merger, (ii) 793,687 shares that were withheld at the closing of the Merger as recourse to satisfy certain indemnification obligations of the Clade securityholders under the Merger Agreement, and (iii) 3,333,333 shares of common stock that may be issued to the selling stockholders upon the potential achievement of a clinical development milestone, or collectively clauses (i), (ii) and (iii), the Merger Shares.</w:t>
      </w:r>
    </w:p>
    <w:p>
      <w:pPr>
        <w:spacing w:after="0" w:line="115" w:lineRule="exact"/>
        <w:rPr>
          <w:sz w:val="20"/>
          <w:szCs w:val="20"/>
          <w:color w:val="auto"/>
        </w:rPr>
      </w:pPr>
    </w:p>
    <w:p>
      <w:pPr>
        <w:ind w:right="159"/>
        <w:spacing w:after="0" w:line="226" w:lineRule="auto"/>
        <w:rPr>
          <w:sz w:val="20"/>
          <w:szCs w:val="20"/>
          <w:color w:val="auto"/>
        </w:rPr>
      </w:pPr>
      <w:r>
        <w:rPr>
          <w:rFonts w:ascii="Arial" w:cs="Arial" w:eastAsia="Arial" w:hAnsi="Arial"/>
          <w:sz w:val="18"/>
          <w:szCs w:val="18"/>
          <w:color w:val="auto"/>
        </w:rPr>
        <w:t>The shares of common stock described in this prospectus or in any supplement to this prospectus may be sold from time to time pursuant to this prospectus by the selling stockholders in ordinary brokerage transactions, in transactions in which brokers solicit purchases, in negotiated transactions, or in a combination of such methods of sale, at market prices prevailing at the time of sale, at prices related to such prevailing market prices, at fixed prices or prices subject to change, or at negotiated prices. See “Plan of Distribution” for more information about how the selling stockholders may sell or dispose of their shares of common stock. We cannot predict when or in what amounts the selling stockholders may sell any of the shares offered by this prospectus.</w:t>
      </w:r>
    </w:p>
    <w:p>
      <w:pPr>
        <w:spacing w:after="0" w:line="101" w:lineRule="exact"/>
        <w:rPr>
          <w:sz w:val="20"/>
          <w:szCs w:val="20"/>
          <w:color w:val="auto"/>
        </w:rPr>
      </w:pPr>
    </w:p>
    <w:p>
      <w:pPr>
        <w:ind w:right="99"/>
        <w:spacing w:after="0" w:line="238" w:lineRule="auto"/>
        <w:rPr>
          <w:sz w:val="20"/>
          <w:szCs w:val="20"/>
          <w:color w:val="auto"/>
        </w:rPr>
      </w:pPr>
      <w:r>
        <w:rPr>
          <w:rFonts w:ascii="Arial" w:cs="Arial" w:eastAsia="Arial" w:hAnsi="Arial"/>
          <w:sz w:val="18"/>
          <w:szCs w:val="18"/>
          <w:color w:val="auto"/>
        </w:rPr>
        <w:t>We are not selling any shares of our common stock, and we will not receive any of the proceeds from the sale of shares by the selling stockholders. The selling stockholders will pay all brokerage fees and commissions and similar sale-related expenses.</w:t>
      </w:r>
    </w:p>
    <w:p>
      <w:pPr>
        <w:spacing w:after="0" w:line="113" w:lineRule="exact"/>
        <w:rPr>
          <w:sz w:val="20"/>
          <w:szCs w:val="20"/>
          <w:color w:val="auto"/>
        </w:rPr>
      </w:pPr>
    </w:p>
    <w:p>
      <w:pPr>
        <w:ind w:right="279"/>
        <w:spacing w:after="0" w:line="285" w:lineRule="auto"/>
        <w:rPr>
          <w:sz w:val="20"/>
          <w:szCs w:val="20"/>
          <w:color w:val="auto"/>
        </w:rPr>
      </w:pPr>
      <w:r>
        <w:rPr>
          <w:rFonts w:ascii="Arial" w:cs="Arial" w:eastAsia="Arial" w:hAnsi="Arial"/>
          <w:sz w:val="17"/>
          <w:szCs w:val="17"/>
          <w:color w:val="auto"/>
        </w:rPr>
        <w:t>Our common stock is listed on the Nasdaq Global Select Market, or Nasdaq, under the symbol “IPSC.” On June 13, 2024, the last reported sale price of our common stock on Nasdaq was $3.26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171450</wp:posOffset>
            </wp:positionV>
            <wp:extent cx="13716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393" w:lineRule="exact"/>
        <w:rPr>
          <w:sz w:val="20"/>
          <w:szCs w:val="20"/>
          <w:color w:val="auto"/>
        </w:rPr>
      </w:pPr>
    </w:p>
    <w:p>
      <w:pPr>
        <w:ind w:right="119"/>
        <w:spacing w:after="0" w:line="242" w:lineRule="auto"/>
        <w:rPr>
          <w:sz w:val="20"/>
          <w:szCs w:val="20"/>
          <w:color w:val="auto"/>
        </w:rPr>
      </w:pPr>
      <w:r>
        <w:rPr>
          <w:rFonts w:ascii="Arial" w:cs="Arial" w:eastAsia="Arial" w:hAnsi="Arial"/>
          <w:sz w:val="18"/>
          <w:szCs w:val="18"/>
          <w:b w:val="1"/>
          <w:bCs w:val="1"/>
          <w:color w:val="auto"/>
        </w:rPr>
        <w:t>We are an emerging growth company and a smaller reporting company as defined under federal securities laws and, as such, may elect to comply with certain reduced public company reporting requirements for future filings.</w:t>
      </w:r>
    </w:p>
    <w:p>
      <w:pPr>
        <w:spacing w:after="0" w:line="76" w:lineRule="exact"/>
        <w:rPr>
          <w:sz w:val="20"/>
          <w:szCs w:val="20"/>
          <w:color w:val="auto"/>
        </w:rPr>
      </w:pPr>
    </w:p>
    <w:p>
      <w:pPr>
        <w:ind w:right="239"/>
        <w:spacing w:after="0" w:line="232" w:lineRule="auto"/>
        <w:rPr>
          <w:sz w:val="20"/>
          <w:szCs w:val="20"/>
          <w:color w:val="auto"/>
        </w:rPr>
      </w:pPr>
      <w:r>
        <w:rPr>
          <w:rFonts w:ascii="Arial" w:cs="Arial" w:eastAsia="Arial" w:hAnsi="Arial"/>
          <w:sz w:val="18"/>
          <w:szCs w:val="18"/>
          <w:b w:val="1"/>
          <w:bCs w:val="1"/>
          <w:color w:val="auto"/>
        </w:rPr>
        <w:t xml:space="preserve">INVESTING IN OUR SECURITIES INVOLVES RISKS. SEE THE “RISK FACTORS” ON PAGE </w:t>
      </w:r>
      <w:r>
        <w:rPr>
          <w:rFonts w:ascii="Arial" w:cs="Arial" w:eastAsia="Arial" w:hAnsi="Arial"/>
          <w:sz w:val="18"/>
          <w:szCs w:val="18"/>
          <w:b w:val="1"/>
          <w:bCs w:val="1"/>
          <w:u w:val="single" w:color="auto"/>
          <w:color w:val="0000EE"/>
        </w:rPr>
        <w:t>7</w:t>
      </w:r>
      <w:r>
        <w:rPr>
          <w:rFonts w:ascii="Arial" w:cs="Arial" w:eastAsia="Arial" w:hAnsi="Arial"/>
          <w:sz w:val="18"/>
          <w:szCs w:val="18"/>
          <w:b w:val="1"/>
          <w:bCs w:val="1"/>
          <w:color w:val="auto"/>
        </w:rPr>
        <w:t xml:space="preserve"> OF THIS PROSPECTUS AND ANY SIMILAR SECTION CONTAINED IN ANY APPLICABLE PROSPECTUS SUPPLEMENT OR IN ANY DOCUMENTS INCORPORATED BY REFERENCE HEREIN AND THEREIN CONCERNING FACTORS YOU SHOULD CONSIDER BEFORE INVESTING IN OUR SECURITIES.</w:t>
      </w:r>
    </w:p>
    <w:p>
      <w:pPr>
        <w:spacing w:after="0" w:line="66" w:lineRule="exact"/>
        <w:rPr>
          <w:sz w:val="20"/>
          <w:szCs w:val="20"/>
          <w:color w:val="auto"/>
        </w:rPr>
      </w:pPr>
    </w:p>
    <w:p>
      <w:pPr>
        <w:ind w:right="299"/>
        <w:spacing w:after="0" w:line="24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188595</wp:posOffset>
            </wp:positionV>
            <wp:extent cx="1371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916" w:lineRule="exact"/>
        <w:rPr>
          <w:sz w:val="20"/>
          <w:szCs w:val="20"/>
          <w:color w:val="auto"/>
        </w:rPr>
      </w:pPr>
    </w:p>
    <w:p>
      <w:pPr>
        <w:sectPr>
          <w:pgSz w:w="11900" w:h="16838" w:orient="portrait"/>
          <w:cols w:equalWidth="0" w:num="2">
            <w:col w:w="1220" w:space="360"/>
            <w:col w:w="8299"/>
          </w:cols>
          <w:pgMar w:left="580" w:top="97" w:right="1440" w:bottom="1440" w:gutter="0" w:footer="0" w:header="0"/>
        </w:sectPr>
      </w:pPr>
    </w:p>
    <w:p>
      <w:pPr>
        <w:ind w:left="3840"/>
        <w:spacing w:after="0"/>
        <w:rPr>
          <w:sz w:val="20"/>
          <w:szCs w:val="20"/>
          <w:color w:val="auto"/>
        </w:rPr>
      </w:pPr>
      <w:r>
        <w:rPr>
          <w:rFonts w:ascii="Arial" w:cs="Arial" w:eastAsia="Arial" w:hAnsi="Arial"/>
          <w:sz w:val="15"/>
          <w:szCs w:val="15"/>
          <w:b w:val="1"/>
          <w:bCs w:val="1"/>
          <w:color w:val="auto"/>
        </w:rPr>
        <w:t>The date of this prospectus is 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255270</wp:posOffset>
            </wp:positionV>
            <wp:extent cx="68065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260" w:type="dxa"/>
        <w:tblCellMar>
          <w:top w:w="0" w:type="dxa"/>
          <w:left w:w="0" w:type="dxa"/>
          <w:bottom w:w="0" w:type="dxa"/>
          <w:right w:w="0" w:type="dxa"/>
        </w:tblCellMar>
      </w:tblPr>
      <w:tr>
        <w:trPr>
          <w:trHeight w:val="247"/>
        </w:trPr>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80" w:type="dxa"/>
            <w:vAlign w:val="bottom"/>
            <w:gridSpan w:val="4"/>
          </w:tcPr>
          <w:p>
            <w:pPr>
              <w:ind w:left="22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6820" w:type="dxa"/>
            <w:vAlign w:val="bottom"/>
            <w:gridSpan w:val="13"/>
            <w:shd w:val="clear" w:color="auto" w:fill="CCEEFF"/>
          </w:tcPr>
          <w:p>
            <w:pPr>
              <w:spacing w:after="0" w:line="142" w:lineRule="exact"/>
              <w:rPr>
                <w:sz w:val="20"/>
                <w:szCs w:val="20"/>
                <w:color w:val="auto"/>
              </w:rPr>
            </w:pPr>
            <w:r>
              <w:rPr>
                <w:rFonts w:ascii="Arial" w:cs="Arial" w:eastAsia="Arial" w:hAnsi="Arial"/>
                <w:sz w:val="16"/>
                <w:szCs w:val="16"/>
                <w:color w:val="auto"/>
              </w:rPr>
              <w:t>​</w:t>
            </w:r>
            <w:r>
              <w:rPr>
                <w:rFonts w:ascii="Arial" w:cs="Arial" w:eastAsia="Arial" w:hAnsi="Arial"/>
                <w:sz w:val="16"/>
                <w:szCs w:val="16"/>
                <w:color w:val="0000EE"/>
              </w:rPr>
              <w:t>ABOUT THIS PROSPECTUS</w:t>
            </w:r>
          </w:p>
        </w:tc>
        <w:tc>
          <w:tcPr>
            <w:tcW w:w="1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6"/>
                <w:szCs w:val="16"/>
                <w:color w:val="0000EE"/>
              </w:rPr>
              <w:t>1</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gridSpan w:val="13"/>
          </w:tcPr>
          <w:p>
            <w:pPr>
              <w:spacing w:after="0" w:line="202" w:lineRule="exact"/>
              <w:rPr>
                <w:sz w:val="20"/>
                <w:szCs w:val="20"/>
                <w:color w:val="auto"/>
              </w:rPr>
            </w:pPr>
            <w:r>
              <w:rPr>
                <w:rFonts w:ascii="Arial" w:cs="Arial" w:eastAsia="Arial" w:hAnsi="Arial"/>
                <w:sz w:val="18"/>
                <w:szCs w:val="18"/>
                <w:color w:val="0000EE"/>
              </w:rPr>
              <w:t>CAUTIONARY NOTE REGARDING FORWARD-LOOKING STATEMENTS</w:t>
            </w:r>
          </w:p>
        </w:tc>
        <w:tc>
          <w:tcPr>
            <w:tcW w:w="1120" w:type="dxa"/>
            <w:vAlign w:val="bottom"/>
          </w:tcPr>
          <w:p>
            <w:pPr>
              <w:spacing w:after="0"/>
              <w:rPr>
                <w:sz w:val="17"/>
                <w:szCs w:val="17"/>
                <w:color w:val="auto"/>
              </w:rPr>
            </w:pPr>
          </w:p>
        </w:tc>
        <w:tc>
          <w:tcPr>
            <w:tcW w:w="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jc w:val="right"/>
              <w:ind w:right="47"/>
              <w:spacing w:after="0" w:line="202" w:lineRule="exact"/>
              <w:rPr>
                <w:sz w:val="20"/>
                <w:szCs w:val="20"/>
                <w:color w:val="auto"/>
              </w:rPr>
            </w:pPr>
            <w:r>
              <w:rPr>
                <w:rFonts w:ascii="Arial" w:cs="Arial" w:eastAsia="Arial" w:hAnsi="Arial"/>
                <w:sz w:val="18"/>
                <w:szCs w:val="18"/>
                <w:color w:val="0000EE"/>
              </w:rPr>
              <w:t>2</w:t>
            </w:r>
          </w:p>
        </w:tc>
        <w:tc>
          <w:tcPr>
            <w:tcW w:w="0" w:type="dxa"/>
            <w:vAlign w:val="bottom"/>
          </w:tcPr>
          <w:p>
            <w:pPr>
              <w:spacing w:after="0"/>
              <w:rPr>
                <w:sz w:val="1"/>
                <w:szCs w:val="1"/>
                <w:color w:val="auto"/>
              </w:rPr>
            </w:pPr>
          </w:p>
        </w:tc>
      </w:tr>
      <w:tr>
        <w:trPr>
          <w:trHeight w:val="27"/>
        </w:trPr>
        <w:tc>
          <w:tcPr>
            <w:tcW w:w="5880" w:type="dxa"/>
            <w:vAlign w:val="bottom"/>
            <w:gridSpan w:val="12"/>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940" w:type="dxa"/>
            <w:vAlign w:val="bottom"/>
          </w:tcPr>
          <w:p>
            <w:pPr>
              <w:spacing w:after="0"/>
              <w:rPr>
                <w:sz w:val="2"/>
                <w:szCs w:val="2"/>
                <w:color w:val="auto"/>
              </w:rPr>
            </w:pPr>
          </w:p>
        </w:tc>
        <w:tc>
          <w:tcPr>
            <w:tcW w:w="1120" w:type="dxa"/>
            <w:vAlign w:val="bottom"/>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13"/>
            <w:shd w:val="clear" w:color="auto" w:fill="CCEEFF"/>
          </w:tcPr>
          <w:p>
            <w:pPr>
              <w:spacing w:after="0"/>
              <w:rPr>
                <w:sz w:val="20"/>
                <w:szCs w:val="20"/>
                <w:color w:val="auto"/>
              </w:rPr>
            </w:pPr>
            <w:r>
              <w:rPr>
                <w:rFonts w:ascii="Arial" w:cs="Arial" w:eastAsia="Arial" w:hAnsi="Arial"/>
                <w:sz w:val="18"/>
                <w:szCs w:val="18"/>
                <w:color w:val="0000EE"/>
              </w:rPr>
              <w:t>ABOUT THE COMPANY</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960" w:type="dxa"/>
            <w:vAlign w:val="bottom"/>
            <w:tcBorders>
              <w:bottom w:val="single" w:sz="8" w:color="CCEEFF"/>
            </w:tcBorders>
            <w:gridSpan w:val="5"/>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0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gridSpan w:val="2"/>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460" w:type="dxa"/>
            <w:vAlign w:val="bottom"/>
            <w:tcBorders>
              <w:bottom w:val="single" w:sz="8" w:color="CCEEFF"/>
            </w:tcBorders>
            <w:shd w:val="clear" w:color="auto" w:fill="CCEEFF"/>
          </w:tcPr>
          <w:p>
            <w:pPr>
              <w:spacing w:after="0"/>
              <w:rPr>
                <w:sz w:val="2"/>
                <w:szCs w:val="2"/>
                <w:color w:val="auto"/>
              </w:rPr>
            </w:pPr>
          </w:p>
        </w:tc>
        <w:tc>
          <w:tcPr>
            <w:tcW w:w="1520" w:type="dxa"/>
            <w:vAlign w:val="bottom"/>
            <w:tcBorders>
              <w:bottom w:val="single" w:sz="8" w:color="CCEEFF"/>
            </w:tcBorders>
            <w:gridSpan w:val="2"/>
            <w:shd w:val="clear" w:color="auto" w:fill="CCEEFF"/>
          </w:tcPr>
          <w:p>
            <w:pPr>
              <w:spacing w:after="0"/>
              <w:rPr>
                <w:sz w:val="2"/>
                <w:szCs w:val="2"/>
                <w:color w:val="auto"/>
              </w:rPr>
            </w:pPr>
          </w:p>
        </w:tc>
        <w:tc>
          <w:tcPr>
            <w:tcW w:w="1120" w:type="dxa"/>
            <w:vAlign w:val="bottom"/>
            <w:tcBorders>
              <w:bottom w:val="single" w:sz="8" w:color="CCEEFF"/>
            </w:tcBorders>
            <w:shd w:val="clear" w:color="auto" w:fill="CCEEFF"/>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820" w:type="dxa"/>
            <w:vAlign w:val="bottom"/>
            <w:gridSpan w:val="13"/>
          </w:tcPr>
          <w:p>
            <w:pPr>
              <w:spacing w:after="0"/>
              <w:rPr>
                <w:sz w:val="20"/>
                <w:szCs w:val="20"/>
                <w:color w:val="auto"/>
              </w:rPr>
            </w:pPr>
            <w:r>
              <w:rPr>
                <w:rFonts w:ascii="Arial" w:cs="Arial" w:eastAsia="Arial" w:hAnsi="Arial"/>
                <w:sz w:val="18"/>
                <w:szCs w:val="18"/>
                <w:color w:val="0000EE"/>
              </w:rPr>
              <w:t>RISK FACTORS</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jc w:val="right"/>
              <w:ind w:right="47"/>
              <w:spacing w:after="0"/>
              <w:rPr>
                <w:sz w:val="20"/>
                <w:szCs w:val="20"/>
                <w:color w:val="auto"/>
              </w:rPr>
            </w:pPr>
            <w:r>
              <w:rPr>
                <w:rFonts w:ascii="Arial" w:cs="Arial" w:eastAsia="Arial" w:hAnsi="Arial"/>
                <w:sz w:val="18"/>
                <w:szCs w:val="18"/>
                <w:color w:val="0000EE"/>
              </w:rPr>
              <w:t>7</w:t>
            </w:r>
          </w:p>
        </w:tc>
        <w:tc>
          <w:tcPr>
            <w:tcW w:w="0" w:type="dxa"/>
            <w:vAlign w:val="bottom"/>
          </w:tcPr>
          <w:p>
            <w:pPr>
              <w:spacing w:after="0"/>
              <w:rPr>
                <w:sz w:val="1"/>
                <w:szCs w:val="1"/>
                <w:color w:val="auto"/>
              </w:rPr>
            </w:pPr>
          </w:p>
        </w:tc>
      </w:tr>
      <w:tr>
        <w:trPr>
          <w:trHeight w:val="27"/>
        </w:trPr>
        <w:tc>
          <w:tcPr>
            <w:tcW w:w="1300" w:type="dxa"/>
            <w:vAlign w:val="bottom"/>
            <w:gridSpan w:val="2"/>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120" w:type="dxa"/>
            <w:vAlign w:val="bottom"/>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13"/>
            <w:shd w:val="clear" w:color="auto" w:fill="CCEEFF"/>
          </w:tcPr>
          <w:p>
            <w:pPr>
              <w:spacing w:after="0"/>
              <w:rPr>
                <w:sz w:val="20"/>
                <w:szCs w:val="20"/>
                <w:color w:val="auto"/>
              </w:rPr>
            </w:pPr>
            <w:r>
              <w:rPr>
                <w:rFonts w:ascii="Arial" w:cs="Arial" w:eastAsia="Arial" w:hAnsi="Arial"/>
                <w:sz w:val="18"/>
                <w:szCs w:val="18"/>
                <w:color w:val="0000EE"/>
              </w:rPr>
              <w:t>USE OF PROCEEDS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700" w:type="dxa"/>
            <w:vAlign w:val="bottom"/>
            <w:tcBorders>
              <w:bottom w:val="single" w:sz="8" w:color="CCEEFF"/>
            </w:tcBorders>
            <w:gridSpan w:val="4"/>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360" w:type="dxa"/>
            <w:vAlign w:val="bottom"/>
            <w:tcBorders>
              <w:bottom w:val="single" w:sz="8" w:color="CCEEFF"/>
            </w:tcBorders>
            <w:gridSpan w:val="2"/>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gridSpan w:val="2"/>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460" w:type="dxa"/>
            <w:vAlign w:val="bottom"/>
            <w:tcBorders>
              <w:bottom w:val="single" w:sz="8" w:color="CCEEFF"/>
            </w:tcBorders>
            <w:shd w:val="clear" w:color="auto" w:fill="CCEEFF"/>
          </w:tcPr>
          <w:p>
            <w:pPr>
              <w:spacing w:after="0"/>
              <w:rPr>
                <w:sz w:val="2"/>
                <w:szCs w:val="2"/>
                <w:color w:val="auto"/>
              </w:rPr>
            </w:pPr>
          </w:p>
        </w:tc>
        <w:tc>
          <w:tcPr>
            <w:tcW w:w="1520" w:type="dxa"/>
            <w:vAlign w:val="bottom"/>
            <w:tcBorders>
              <w:bottom w:val="single" w:sz="8" w:color="CCEEFF"/>
            </w:tcBorders>
            <w:gridSpan w:val="2"/>
            <w:shd w:val="clear" w:color="auto" w:fill="CCEEFF"/>
          </w:tcPr>
          <w:p>
            <w:pPr>
              <w:spacing w:after="0"/>
              <w:rPr>
                <w:sz w:val="2"/>
                <w:szCs w:val="2"/>
                <w:color w:val="auto"/>
              </w:rPr>
            </w:pPr>
          </w:p>
        </w:tc>
        <w:tc>
          <w:tcPr>
            <w:tcW w:w="1120" w:type="dxa"/>
            <w:vAlign w:val="bottom"/>
            <w:tcBorders>
              <w:bottom w:val="single" w:sz="8" w:color="CCEEFF"/>
            </w:tcBorders>
            <w:shd w:val="clear" w:color="auto" w:fill="CCEEFF"/>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820" w:type="dxa"/>
            <w:vAlign w:val="bottom"/>
            <w:gridSpan w:val="13"/>
          </w:tcPr>
          <w:p>
            <w:pPr>
              <w:spacing w:after="0"/>
              <w:rPr>
                <w:sz w:val="20"/>
                <w:szCs w:val="20"/>
                <w:color w:val="auto"/>
              </w:rPr>
            </w:pPr>
            <w:r>
              <w:rPr>
                <w:rFonts w:ascii="Arial" w:cs="Arial" w:eastAsia="Arial" w:hAnsi="Arial"/>
                <w:sz w:val="18"/>
                <w:szCs w:val="18"/>
                <w:color w:val="0000EE"/>
              </w:rPr>
              <w:t>SELLING STOCKHOLDERS</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jc w:val="right"/>
              <w:ind w:right="47"/>
              <w:spacing w:after="0"/>
              <w:rPr>
                <w:sz w:val="20"/>
                <w:szCs w:val="20"/>
                <w:color w:val="auto"/>
              </w:rPr>
            </w:pPr>
            <w:r>
              <w:rPr>
                <w:rFonts w:ascii="Arial" w:cs="Arial" w:eastAsia="Arial" w:hAnsi="Arial"/>
                <w:sz w:val="18"/>
                <w:szCs w:val="18"/>
                <w:color w:val="0000EE"/>
              </w:rPr>
              <w:t>9</w:t>
            </w:r>
          </w:p>
        </w:tc>
        <w:tc>
          <w:tcPr>
            <w:tcW w:w="0" w:type="dxa"/>
            <w:vAlign w:val="bottom"/>
          </w:tcPr>
          <w:p>
            <w:pPr>
              <w:spacing w:after="0"/>
              <w:rPr>
                <w:sz w:val="1"/>
                <w:szCs w:val="1"/>
                <w:color w:val="auto"/>
              </w:rPr>
            </w:pPr>
          </w:p>
        </w:tc>
      </w:tr>
      <w:tr>
        <w:trPr>
          <w:trHeight w:val="27"/>
        </w:trPr>
        <w:tc>
          <w:tcPr>
            <w:tcW w:w="2260" w:type="dxa"/>
            <w:vAlign w:val="bottom"/>
            <w:gridSpan w:val="7"/>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6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120" w:type="dxa"/>
            <w:vAlign w:val="bottom"/>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13"/>
            <w:shd w:val="clear" w:color="auto" w:fill="CCEEFF"/>
          </w:tcPr>
          <w:p>
            <w:pPr>
              <w:spacing w:after="0"/>
              <w:rPr>
                <w:sz w:val="20"/>
                <w:szCs w:val="20"/>
                <w:color w:val="auto"/>
              </w:rPr>
            </w:pPr>
            <w:r>
              <w:rPr>
                <w:rFonts w:ascii="Arial" w:cs="Arial" w:eastAsia="Arial" w:hAnsi="Arial"/>
                <w:sz w:val="18"/>
                <w:szCs w:val="18"/>
                <w:color w:val="0000EE"/>
              </w:rPr>
              <w:t>PLAN OF DISTRIBUTION</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w w:val="79"/>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060" w:type="dxa"/>
            <w:vAlign w:val="bottom"/>
            <w:tcBorders>
              <w:bottom w:val="single" w:sz="8" w:color="CCEEFF"/>
            </w:tcBorders>
            <w:gridSpan w:val="6"/>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880" w:type="dxa"/>
            <w:vAlign w:val="bottom"/>
            <w:tcBorders>
              <w:bottom w:val="single" w:sz="8" w:color="CCEEFF"/>
            </w:tcBorders>
            <w:gridSpan w:val="3"/>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460" w:type="dxa"/>
            <w:vAlign w:val="bottom"/>
            <w:tcBorders>
              <w:bottom w:val="single" w:sz="8" w:color="CCEEFF"/>
            </w:tcBorders>
            <w:shd w:val="clear" w:color="auto" w:fill="CCEEFF"/>
          </w:tcPr>
          <w:p>
            <w:pPr>
              <w:spacing w:after="0"/>
              <w:rPr>
                <w:sz w:val="2"/>
                <w:szCs w:val="2"/>
                <w:color w:val="auto"/>
              </w:rPr>
            </w:pPr>
          </w:p>
        </w:tc>
        <w:tc>
          <w:tcPr>
            <w:tcW w:w="1520" w:type="dxa"/>
            <w:vAlign w:val="bottom"/>
            <w:tcBorders>
              <w:bottom w:val="single" w:sz="8" w:color="CCEEFF"/>
            </w:tcBorders>
            <w:gridSpan w:val="2"/>
            <w:shd w:val="clear" w:color="auto" w:fill="CCEEFF"/>
          </w:tcPr>
          <w:p>
            <w:pPr>
              <w:spacing w:after="0"/>
              <w:rPr>
                <w:sz w:val="2"/>
                <w:szCs w:val="2"/>
                <w:color w:val="auto"/>
              </w:rPr>
            </w:pPr>
          </w:p>
        </w:tc>
        <w:tc>
          <w:tcPr>
            <w:tcW w:w="1120" w:type="dxa"/>
            <w:vAlign w:val="bottom"/>
            <w:tcBorders>
              <w:bottom w:val="single" w:sz="8" w:color="CCEEFF"/>
            </w:tcBorders>
            <w:shd w:val="clear" w:color="auto" w:fill="CCEEFF"/>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820" w:type="dxa"/>
            <w:vAlign w:val="bottom"/>
            <w:gridSpan w:val="13"/>
          </w:tcPr>
          <w:p>
            <w:pPr>
              <w:spacing w:after="0"/>
              <w:rPr>
                <w:sz w:val="20"/>
                <w:szCs w:val="20"/>
                <w:color w:val="auto"/>
              </w:rPr>
            </w:pPr>
            <w:r>
              <w:rPr>
                <w:rFonts w:ascii="Arial" w:cs="Arial" w:eastAsia="Arial" w:hAnsi="Arial"/>
                <w:sz w:val="18"/>
                <w:szCs w:val="18"/>
                <w:color w:val="0000EE"/>
              </w:rPr>
              <w:t>DESCRIPTION OF CAPITAL STOCK</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jc w:val="right"/>
              <w:ind w:right="47"/>
              <w:spacing w:after="0"/>
              <w:rPr>
                <w:sz w:val="20"/>
                <w:szCs w:val="20"/>
                <w:color w:val="auto"/>
              </w:rPr>
            </w:pPr>
            <w:r>
              <w:rPr>
                <w:rFonts w:ascii="Arial" w:cs="Arial" w:eastAsia="Arial" w:hAnsi="Arial"/>
                <w:sz w:val="18"/>
                <w:szCs w:val="18"/>
                <w:color w:val="0000EE"/>
                <w:w w:val="79"/>
              </w:rPr>
              <w:t>16</w:t>
            </w:r>
          </w:p>
        </w:tc>
        <w:tc>
          <w:tcPr>
            <w:tcW w:w="0" w:type="dxa"/>
            <w:vAlign w:val="bottom"/>
          </w:tcPr>
          <w:p>
            <w:pPr>
              <w:spacing w:after="0"/>
              <w:rPr>
                <w:sz w:val="1"/>
                <w:szCs w:val="1"/>
                <w:color w:val="auto"/>
              </w:rPr>
            </w:pPr>
          </w:p>
        </w:tc>
      </w:tr>
      <w:tr>
        <w:trPr>
          <w:trHeight w:val="27"/>
        </w:trPr>
        <w:tc>
          <w:tcPr>
            <w:tcW w:w="2940" w:type="dxa"/>
            <w:vAlign w:val="bottom"/>
            <w:gridSpan w:val="9"/>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120" w:type="dxa"/>
            <w:vAlign w:val="bottom"/>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13"/>
            <w:shd w:val="clear" w:color="auto" w:fill="CCEEFF"/>
          </w:tcPr>
          <w:p>
            <w:pPr>
              <w:spacing w:after="0"/>
              <w:rPr>
                <w:sz w:val="20"/>
                <w:szCs w:val="20"/>
                <w:color w:val="auto"/>
              </w:rPr>
            </w:pPr>
            <w:r>
              <w:rPr>
                <w:rFonts w:ascii="Arial" w:cs="Arial" w:eastAsia="Arial" w:hAnsi="Arial"/>
                <w:sz w:val="18"/>
                <w:szCs w:val="18"/>
                <w:color w:val="0000EE"/>
              </w:rPr>
              <w:t>LEGAL MATTERS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w w:val="79"/>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460" w:type="dxa"/>
            <w:vAlign w:val="bottom"/>
            <w:tcBorders>
              <w:bottom w:val="single" w:sz="8" w:color="CCEEFF"/>
            </w:tcBorders>
            <w:gridSpan w:val="3"/>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380" w:type="dxa"/>
            <w:vAlign w:val="bottom"/>
            <w:tcBorders>
              <w:bottom w:val="single" w:sz="8" w:color="CCEEFF"/>
            </w:tcBorders>
            <w:gridSpan w:val="7"/>
            <w:shd w:val="clear" w:color="auto" w:fill="CCEEFF"/>
          </w:tcPr>
          <w:p>
            <w:pPr>
              <w:spacing w:after="0"/>
              <w:rPr>
                <w:sz w:val="2"/>
                <w:szCs w:val="2"/>
                <w:color w:val="auto"/>
              </w:rPr>
            </w:pPr>
          </w:p>
        </w:tc>
        <w:tc>
          <w:tcPr>
            <w:tcW w:w="1460" w:type="dxa"/>
            <w:vAlign w:val="bottom"/>
            <w:tcBorders>
              <w:bottom w:val="single" w:sz="8" w:color="CCEEFF"/>
            </w:tcBorders>
            <w:shd w:val="clear" w:color="auto" w:fill="CCEEFF"/>
          </w:tcPr>
          <w:p>
            <w:pPr>
              <w:spacing w:after="0"/>
              <w:rPr>
                <w:sz w:val="2"/>
                <w:szCs w:val="2"/>
                <w:color w:val="auto"/>
              </w:rPr>
            </w:pPr>
          </w:p>
        </w:tc>
        <w:tc>
          <w:tcPr>
            <w:tcW w:w="1520" w:type="dxa"/>
            <w:vAlign w:val="bottom"/>
            <w:tcBorders>
              <w:bottom w:val="single" w:sz="8" w:color="CCEEFF"/>
            </w:tcBorders>
            <w:gridSpan w:val="2"/>
            <w:shd w:val="clear" w:color="auto" w:fill="CCEEFF"/>
          </w:tcPr>
          <w:p>
            <w:pPr>
              <w:spacing w:after="0"/>
              <w:rPr>
                <w:sz w:val="2"/>
                <w:szCs w:val="2"/>
                <w:color w:val="auto"/>
              </w:rPr>
            </w:pPr>
          </w:p>
        </w:tc>
        <w:tc>
          <w:tcPr>
            <w:tcW w:w="1120" w:type="dxa"/>
            <w:vAlign w:val="bottom"/>
            <w:tcBorders>
              <w:bottom w:val="single" w:sz="8" w:color="CCEEFF"/>
            </w:tcBorders>
            <w:shd w:val="clear" w:color="auto" w:fill="CCEEFF"/>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820" w:type="dxa"/>
            <w:vAlign w:val="bottom"/>
            <w:gridSpan w:val="13"/>
          </w:tcPr>
          <w:p>
            <w:pPr>
              <w:spacing w:after="0"/>
              <w:rPr>
                <w:sz w:val="20"/>
                <w:szCs w:val="20"/>
                <w:color w:val="auto"/>
              </w:rPr>
            </w:pPr>
            <w:r>
              <w:rPr>
                <w:rFonts w:ascii="Arial" w:cs="Arial" w:eastAsia="Arial" w:hAnsi="Arial"/>
                <w:sz w:val="18"/>
                <w:szCs w:val="18"/>
                <w:color w:val="0000EE"/>
              </w:rPr>
              <w:t>EXPERTS</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jc w:val="right"/>
              <w:ind w:right="47"/>
              <w:spacing w:after="0"/>
              <w:rPr>
                <w:sz w:val="20"/>
                <w:szCs w:val="20"/>
                <w:color w:val="auto"/>
              </w:rPr>
            </w:pPr>
            <w:r>
              <w:rPr>
                <w:rFonts w:ascii="Arial" w:cs="Arial" w:eastAsia="Arial" w:hAnsi="Arial"/>
                <w:sz w:val="18"/>
                <w:szCs w:val="18"/>
                <w:color w:val="0000EE"/>
                <w:w w:val="79"/>
              </w:rPr>
              <w:t>20</w:t>
            </w:r>
          </w:p>
        </w:tc>
        <w:tc>
          <w:tcPr>
            <w:tcW w:w="0" w:type="dxa"/>
            <w:vAlign w:val="bottom"/>
          </w:tcPr>
          <w:p>
            <w:pPr>
              <w:spacing w:after="0"/>
              <w:rPr>
                <w:sz w:val="1"/>
                <w:szCs w:val="1"/>
                <w:color w:val="auto"/>
              </w:rPr>
            </w:pPr>
          </w:p>
        </w:tc>
      </w:tr>
      <w:tr>
        <w:trPr>
          <w:trHeight w:val="27"/>
        </w:trPr>
        <w:tc>
          <w:tcPr>
            <w:tcW w:w="820" w:type="dxa"/>
            <w:vAlign w:val="bottom"/>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3020" w:type="dxa"/>
            <w:vAlign w:val="bottom"/>
            <w:gridSpan w:val="9"/>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120" w:type="dxa"/>
            <w:vAlign w:val="bottom"/>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13"/>
            <w:shd w:val="clear" w:color="auto" w:fill="CCEEFF"/>
          </w:tcPr>
          <w:p>
            <w:pPr>
              <w:spacing w:after="0"/>
              <w:rPr>
                <w:sz w:val="20"/>
                <w:szCs w:val="20"/>
                <w:color w:val="auto"/>
              </w:rPr>
            </w:pPr>
            <w:r>
              <w:rPr>
                <w:rFonts w:ascii="Arial" w:cs="Arial" w:eastAsia="Arial" w:hAnsi="Arial"/>
                <w:sz w:val="18"/>
                <w:szCs w:val="18"/>
                <w:color w:val="0000EE"/>
              </w:rPr>
              <w:t>WHERE YOU CAN FIND MORE INFORMATION</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w w:val="79"/>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840" w:type="dxa"/>
            <w:vAlign w:val="bottom"/>
            <w:tcBorders>
              <w:bottom w:val="single" w:sz="8" w:color="CCEEFF"/>
            </w:tcBorders>
            <w:gridSpan w:val="10"/>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460" w:type="dxa"/>
            <w:vAlign w:val="bottom"/>
            <w:tcBorders>
              <w:bottom w:val="single" w:sz="8" w:color="CCEEFF"/>
            </w:tcBorders>
            <w:shd w:val="clear" w:color="auto" w:fill="CCEEFF"/>
          </w:tcPr>
          <w:p>
            <w:pPr>
              <w:spacing w:after="0"/>
              <w:rPr>
                <w:sz w:val="2"/>
                <w:szCs w:val="2"/>
                <w:color w:val="auto"/>
              </w:rPr>
            </w:pPr>
          </w:p>
        </w:tc>
        <w:tc>
          <w:tcPr>
            <w:tcW w:w="1520" w:type="dxa"/>
            <w:vAlign w:val="bottom"/>
            <w:tcBorders>
              <w:bottom w:val="single" w:sz="8" w:color="CCEEFF"/>
            </w:tcBorders>
            <w:gridSpan w:val="2"/>
            <w:shd w:val="clear" w:color="auto" w:fill="CCEEFF"/>
          </w:tcPr>
          <w:p>
            <w:pPr>
              <w:spacing w:after="0"/>
              <w:rPr>
                <w:sz w:val="2"/>
                <w:szCs w:val="2"/>
                <w:color w:val="auto"/>
              </w:rPr>
            </w:pPr>
          </w:p>
        </w:tc>
        <w:tc>
          <w:tcPr>
            <w:tcW w:w="1120" w:type="dxa"/>
            <w:vAlign w:val="bottom"/>
            <w:tcBorders>
              <w:bottom w:val="single" w:sz="8" w:color="CCEEFF"/>
            </w:tcBorders>
            <w:shd w:val="clear" w:color="auto" w:fill="CCEEFF"/>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820" w:type="dxa"/>
            <w:vAlign w:val="bottom"/>
            <w:gridSpan w:val="13"/>
          </w:tcPr>
          <w:p>
            <w:pPr>
              <w:spacing w:after="0"/>
              <w:rPr>
                <w:sz w:val="20"/>
                <w:szCs w:val="20"/>
                <w:color w:val="auto"/>
              </w:rPr>
            </w:pPr>
            <w:r>
              <w:rPr>
                <w:rFonts w:ascii="Arial" w:cs="Arial" w:eastAsia="Arial" w:hAnsi="Arial"/>
                <w:sz w:val="18"/>
                <w:szCs w:val="18"/>
                <w:color w:val="0000EE"/>
              </w:rPr>
              <w:t>INCORPORATION OF CERTAIN INFORMATION BY REFERENCE</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jc w:val="right"/>
              <w:ind w:right="47"/>
              <w:spacing w:after="0"/>
              <w:rPr>
                <w:sz w:val="20"/>
                <w:szCs w:val="20"/>
                <w:color w:val="auto"/>
              </w:rPr>
            </w:pPr>
            <w:r>
              <w:rPr>
                <w:rFonts w:ascii="Arial" w:cs="Arial" w:eastAsia="Arial" w:hAnsi="Arial"/>
                <w:sz w:val="18"/>
                <w:szCs w:val="18"/>
                <w:color w:val="0000EE"/>
                <w:w w:val="79"/>
              </w:rPr>
              <w:t>21</w:t>
            </w:r>
          </w:p>
        </w:tc>
        <w:tc>
          <w:tcPr>
            <w:tcW w:w="0" w:type="dxa"/>
            <w:vAlign w:val="bottom"/>
          </w:tcPr>
          <w:p>
            <w:pPr>
              <w:spacing w:after="0"/>
              <w:rPr>
                <w:sz w:val="1"/>
                <w:szCs w:val="1"/>
                <w:color w:val="auto"/>
              </w:rPr>
            </w:pPr>
          </w:p>
        </w:tc>
      </w:tr>
      <w:tr>
        <w:trPr>
          <w:trHeight w:val="27"/>
        </w:trPr>
        <w:tc>
          <w:tcPr>
            <w:tcW w:w="5300" w:type="dxa"/>
            <w:vAlign w:val="bottom"/>
            <w:gridSpan w:val="11"/>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520" w:type="dxa"/>
            <w:vAlign w:val="bottom"/>
            <w:gridSpan w:val="2"/>
          </w:tcPr>
          <w:p>
            <w:pPr>
              <w:spacing w:after="0"/>
              <w:rPr>
                <w:sz w:val="2"/>
                <w:szCs w:val="2"/>
                <w:color w:val="auto"/>
              </w:rPr>
            </w:pPr>
          </w:p>
        </w:tc>
        <w:tc>
          <w:tcPr>
            <w:tcW w:w="1120" w:type="dxa"/>
            <w:vAlign w:val="bottom"/>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5790565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ABOUT THIS PROSPECTUS</w:t>
      </w:r>
    </w:p>
    <w:p>
      <w:pPr>
        <w:spacing w:after="0" w:line="225" w:lineRule="exact"/>
        <w:rPr>
          <w:sz w:val="20"/>
          <w:szCs w:val="20"/>
          <w:color w:val="auto"/>
        </w:rPr>
      </w:pPr>
    </w:p>
    <w:p>
      <w:pPr>
        <w:ind w:left="1260" w:right="519"/>
        <w:spacing w:after="0" w:line="245"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pursuant to which the selling stockholders named herein may, from time to time, offer and sell or otherwise dispose of the shares of our common stock covered by this prospectus. If required, each time a selling stockholder offers common stock, in addition to this prospectus, we may provide you with a prospectus supplement that will contain specific information about the terms of that offering. We may also authorize one or more free writing prospectuses to be provided to you that may contain material information relating to that offering. We may also use a prospectus supplement and any related free writing prospectus to add, update or change any of the information contained in this prospectus or in documents we have incorporated by reference.</w:t>
      </w:r>
    </w:p>
    <w:p>
      <w:pPr>
        <w:spacing w:after="0" w:line="56" w:lineRule="exact"/>
        <w:rPr>
          <w:sz w:val="20"/>
          <w:szCs w:val="20"/>
          <w:color w:val="auto"/>
        </w:rPr>
      </w:pPr>
    </w:p>
    <w:p>
      <w:pPr>
        <w:ind w:left="1260" w:right="419"/>
        <w:spacing w:after="0" w:line="245" w:lineRule="auto"/>
        <w:rPr>
          <w:sz w:val="20"/>
          <w:szCs w:val="20"/>
          <w:color w:val="auto"/>
        </w:rPr>
      </w:pPr>
      <w:r>
        <w:rPr>
          <w:rFonts w:ascii="Arial" w:cs="Arial" w:eastAsia="Arial" w:hAnsi="Arial"/>
          <w:sz w:val="18"/>
          <w:szCs w:val="18"/>
          <w:color w:val="auto"/>
        </w:rPr>
        <w:t>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shares of common stock are sold or otherwise disposed of on a later date. It is important for you to read and consider all information contained in this prospectus, including the documents incorporated by reference therein, in making your investment decision. You should also read and consider the information in the documents to which we have referred you under the captions “Where You Can Find Additional Information” and “Information Incorporated by Reference” in this prospectus.</w:t>
      </w:r>
    </w:p>
    <w:p>
      <w:pPr>
        <w:spacing w:after="0" w:line="56"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color w:val="auto"/>
        </w:rPr>
        <w:t>Neither we nor the selling stockholders have authorized any dealer, agent or other person to give any information or to make any representation other than those contained or incorporated by reference in this prospectus and any accompanying prospectus supplement or related free writing prospectus. You must not rely upon any information or representation not contained or incorporated by reference in this prospectus or an accompanying prospectus supplement or related free writing prospectus. This prospectus and any accompanying prospectus supplement or related free writing prospectus, if any, do not constitute an offer to sell or the solicitation of an offer to buy any securities other than the registered securities to which they relate, nor does this prospectus and any accompanying prospectus supplement or related free writing prospectus, if any, constitute an offer to sell or the solicitation of an offer to buy securities in any jurisdiction to any person to whom it is unlawful to make such offer or solicitation in such jurisdiction.</w:t>
      </w:r>
    </w:p>
    <w:p>
      <w:pPr>
        <w:spacing w:after="0" w:line="57" w:lineRule="exact"/>
        <w:rPr>
          <w:sz w:val="20"/>
          <w:szCs w:val="20"/>
          <w:color w:val="auto"/>
        </w:rPr>
      </w:pPr>
    </w:p>
    <w:p>
      <w:pPr>
        <w:ind w:left="1260" w:right="419"/>
        <w:spacing w:after="0" w:line="258" w:lineRule="auto"/>
        <w:rPr>
          <w:sz w:val="20"/>
          <w:szCs w:val="20"/>
          <w:color w:val="auto"/>
        </w:rPr>
      </w:pPr>
      <w:r>
        <w:rPr>
          <w:rFonts w:ascii="Arial" w:cs="Arial" w:eastAsia="Arial" w:hAnsi="Arial"/>
          <w:sz w:val="17"/>
          <w:szCs w:val="17"/>
          <w:color w:val="auto"/>
        </w:rPr>
        <w:t>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51"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Unless otherwise indicated or the context otherwise requires, when we refer to “Century,” “we,” “our,” “us” and the “Company” in this prospectus, we mean Century Therapeutics, Inc., and its wholly owned subsidiaries unless otherwise specified. When we refer to “you,” we mean the potential holders of the applicable series of securities.</w:t>
      </w:r>
    </w:p>
    <w:p>
      <w:pPr>
        <w:spacing w:after="0" w:line="49" w:lineRule="exact"/>
        <w:rPr>
          <w:sz w:val="20"/>
          <w:szCs w:val="20"/>
          <w:color w:val="auto"/>
        </w:rPr>
      </w:pPr>
    </w:p>
    <w:p>
      <w:pPr>
        <w:ind w:left="1260" w:right="439"/>
        <w:spacing w:after="0" w:line="263" w:lineRule="auto"/>
        <w:rPr>
          <w:sz w:val="20"/>
          <w:szCs w:val="20"/>
          <w:color w:val="auto"/>
        </w:rPr>
      </w:pPr>
      <w:r>
        <w:rPr>
          <w:rFonts w:ascii="Arial" w:cs="Arial" w:eastAsia="Arial" w:hAnsi="Arial"/>
          <w:sz w:val="17"/>
          <w:szCs w:val="17"/>
          <w:color w:val="auto"/>
        </w:rPr>
        <w:t>“Century Therapeutics” the “Century Therapeutics” logo, and other trademarks, trade names, or service marks of Century Therapeutics, Inc. appearing in this prospectus, any prospectus supplement and any free writing prospectus are the property of Century Therapeutics, Inc. All other trademarks, trade names, and service marks appearing in this prospectus, any prospectus supplement and any free writing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their rights thereto.</w:t>
      </w:r>
    </w:p>
    <w:p>
      <w:pPr>
        <w:spacing w:after="0" w:line="35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33" w:lineRule="exact"/>
        <w:rPr>
          <w:sz w:val="20"/>
          <w:szCs w:val="20"/>
          <w:color w:val="auto"/>
        </w:rPr>
      </w:pPr>
    </w:p>
    <w:p>
      <w:pPr>
        <w:ind w:left="1260" w:right="479"/>
        <w:spacing w:after="0" w:line="242" w:lineRule="auto"/>
        <w:rPr>
          <w:sz w:val="20"/>
          <w:szCs w:val="20"/>
          <w:color w:val="auto"/>
        </w:rPr>
      </w:pPr>
      <w:r>
        <w:rPr>
          <w:rFonts w:ascii="Arial" w:cs="Arial" w:eastAsia="Arial" w:hAnsi="Arial"/>
          <w:sz w:val="18"/>
          <w:szCs w:val="18"/>
          <w:color w:val="auto"/>
        </w:rPr>
        <w:t>This prospectus, any applicable prospectus supplement and the documents incorporated by reference may contain forward-looking statements within the meaning of Section 27A of the Securities Act and Section 21E of the Exchange Act, about us and our subsidiary. These forward-looking statements are intended to be covered by the safe harbor for forward-looking statements provided by the Private Securities Litigation Reform Act of 1995. Forward-looking statements, including those regarding our strategy, future operations, future financial position, future revenues, projected costs, prospects, plans and objectives of management, are not statements of historical fact, and can be identified by the use of forward-looking terminology such as “anticipate,” “believe,” “estimate,” “expect,” “intend,” “may,” “plan,” “predict,” “project,” “will,” “would,” “could,” “should,” “potential,” “seek,” “evaluate,” “pursue,” “continue,” “design,” “impact,” “affect,” “forecast,” “target,” “outlook,” “initiative,” “objective,” “designed,” “priorities,” “goal,” or the negative of such terms and similar expressions are intended to identify forward looking statements, although not all forward 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 Forward-looking statements include, but are not limited to, statements concerning:</w:t>
      </w:r>
    </w:p>
    <w:p>
      <w:pPr>
        <w:spacing w:after="0" w:line="9" w:lineRule="exact"/>
        <w:rPr>
          <w:sz w:val="20"/>
          <w:szCs w:val="20"/>
          <w:color w:val="auto"/>
        </w:rPr>
      </w:pPr>
    </w:p>
    <w:p>
      <w:pPr>
        <w:ind w:left="1620" w:right="819" w:hanging="360"/>
        <w:spacing w:after="0" w:line="266"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continue the development of our current and future product candidates;</w:t>
      </w:r>
    </w:p>
    <w:p>
      <w:pPr>
        <w:ind w:left="1620" w:right="659" w:hanging="360"/>
        <w:spacing w:after="0" w:line="266"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preclinical and early clinical nature of our business and our ability to successfully advance our current and future product candidates, through development activities, preclinical studies, and clinical trials;</w:t>
      </w:r>
    </w:p>
    <w:p>
      <w:pPr>
        <w:ind w:left="1620" w:right="799" w:hanging="360"/>
        <w:spacing w:after="0" w:line="266"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ind w:left="1620" w:right="619" w:hanging="360"/>
        <w:spacing w:after="0" w:line="273"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accuracy of our projections and estimates regarding our expenses, capital requirements, cash utilization, and need for additional financing;</w:t>
      </w:r>
    </w:p>
    <w:p>
      <w:pPr>
        <w:spacing w:after="0" w:line="1" w:lineRule="exact"/>
        <w:rPr>
          <w:rFonts w:ascii="Arial" w:cs="Arial" w:eastAsia="Arial" w:hAnsi="Arial"/>
          <w:sz w:val="18"/>
          <w:szCs w:val="18"/>
          <w:color w:val="auto"/>
        </w:rPr>
      </w:pPr>
    </w:p>
    <w:p>
      <w:pPr>
        <w:ind w:left="1620" w:hanging="360"/>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the success of our lead product candidate, CNTY-101;</w:t>
      </w:r>
    </w:p>
    <w:p>
      <w:pPr>
        <w:spacing w:after="0" w:line="36" w:lineRule="exact"/>
        <w:rPr>
          <w:rFonts w:ascii="Arial" w:cs="Arial" w:eastAsia="Arial" w:hAnsi="Arial"/>
          <w:sz w:val="18"/>
          <w:szCs w:val="18"/>
          <w:color w:val="auto"/>
        </w:rPr>
      </w:pPr>
    </w:p>
    <w:p>
      <w:pPr>
        <w:ind w:left="1620" w:right="859" w:hanging="360"/>
        <w:spacing w:after="0" w:line="260"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novelty of our approach to immuno-oncology and autoimmune treatment of cancer, utilizing iPSC-derived natural killer cells, or iNK cells, and iPSC-derived T cells, or iT cells, and the challenges we will face due to the novel nature of such technology;</w:t>
      </w:r>
    </w:p>
    <w:p>
      <w:pPr>
        <w:spacing w:after="0" w:line="2" w:lineRule="exact"/>
        <w:rPr>
          <w:rFonts w:ascii="Arial" w:cs="Arial" w:eastAsia="Arial" w:hAnsi="Arial"/>
          <w:sz w:val="18"/>
          <w:szCs w:val="18"/>
          <w:color w:val="auto"/>
        </w:rPr>
      </w:pPr>
    </w:p>
    <w:p>
      <w:pPr>
        <w:ind w:left="1620" w:hanging="360"/>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49" w:lineRule="exact"/>
        <w:rPr>
          <w:rFonts w:ascii="Arial" w:cs="Arial" w:eastAsia="Arial" w:hAnsi="Arial"/>
          <w:sz w:val="18"/>
          <w:szCs w:val="18"/>
          <w:color w:val="auto"/>
        </w:rPr>
      </w:pPr>
    </w:p>
    <w:p>
      <w:pPr>
        <w:jc w:val="both"/>
        <w:ind w:left="1620" w:right="499" w:hanging="360"/>
        <w:spacing w:after="0" w:line="260"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reliance on the maintenance of our collaborative relationship with FUJIFILM Cellular Dynamics Inc., or FCDI, for access to key differentiation and reprogramming technology for the manufacturing and development of our product candidates;</w:t>
      </w:r>
    </w:p>
    <w:p>
      <w:pPr>
        <w:spacing w:after="0" w:line="2" w:lineRule="exact"/>
        <w:rPr>
          <w:rFonts w:ascii="Arial" w:cs="Arial" w:eastAsia="Arial" w:hAnsi="Arial"/>
          <w:sz w:val="18"/>
          <w:szCs w:val="18"/>
          <w:color w:val="auto"/>
        </w:rPr>
      </w:pPr>
    </w:p>
    <w:p>
      <w:pPr>
        <w:ind w:left="1620" w:right="679" w:hanging="360"/>
        <w:spacing w:after="0" w:line="266"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initiation, progress, success, cost, and timing of our development activities, preclinical studies and clinical trials;</w:t>
      </w:r>
    </w:p>
    <w:p>
      <w:pPr>
        <w:ind w:left="1620" w:right="639" w:hanging="360"/>
        <w:spacing w:after="0" w:line="290" w:lineRule="auto"/>
        <w:tabs>
          <w:tab w:leader="none" w:pos="1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timing of future investigational new drug, or IND, applications and the likelihood of, and our ability to obtain and maintain, regulatory clearance of IND applications for our product candidates;</w:t>
      </w:r>
    </w:p>
    <w:p>
      <w:pPr>
        <w:ind w:left="1620" w:right="1099" w:hanging="360"/>
        <w:spacing w:after="0" w:line="266"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ind w:left="1620" w:right="499" w:hanging="360"/>
        <w:spacing w:after="0" w:line="266"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reliance on FCDI to be the exclusive manufacturer of certain product candidates, and our ability to manufacture our own product candidates in the future, and the timing and costs of such manufacturing activities;</w:t>
      </w:r>
    </w:p>
    <w:p>
      <w:pPr>
        <w:ind w:left="1620" w:right="439" w:hanging="360"/>
        <w:spacing w:after="0" w:line="281" w:lineRule="auto"/>
        <w:tabs>
          <w:tab w:leader="none" w:pos="1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reliance on the maintenance of our collaborative relationship with Bristol-Myers Squibb Company, or Bristol-Myers Squibb, in connection with the furtherance of our collaboration programs;</w:t>
      </w:r>
    </w:p>
    <w:p>
      <w:pPr>
        <w:spacing w:after="0" w:line="1" w:lineRule="exact"/>
        <w:rPr>
          <w:rFonts w:ascii="Arial" w:cs="Arial" w:eastAsia="Arial" w:hAnsi="Arial"/>
          <w:sz w:val="17"/>
          <w:szCs w:val="17"/>
          <w:color w:val="auto"/>
        </w:rPr>
      </w:pPr>
    </w:p>
    <w:p>
      <w:pPr>
        <w:ind w:left="1620" w:right="1059" w:hanging="360"/>
        <w:spacing w:after="0" w:line="273"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integrate with the operations of Clade following the acquisition and achieve the anticipated benefits of the acquisition;</w:t>
      </w:r>
    </w:p>
    <w:p>
      <w:pPr>
        <w:spacing w:after="0" w:line="1" w:lineRule="exact"/>
        <w:rPr>
          <w:rFonts w:ascii="Arial" w:cs="Arial" w:eastAsia="Arial" w:hAnsi="Arial"/>
          <w:sz w:val="18"/>
          <w:szCs w:val="18"/>
          <w:color w:val="auto"/>
        </w:rPr>
      </w:pPr>
    </w:p>
    <w:p>
      <w:pPr>
        <w:ind w:left="1620" w:right="519" w:hanging="360"/>
        <w:spacing w:after="0" w:line="260"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performance of third parties in connection with the development of our product candidates, including third parties conducting our current and future clinical trials as well as third-party suppliers and manufacturers;</w:t>
      </w:r>
    </w:p>
    <w:p>
      <w:pPr>
        <w:spacing w:after="0" w:line="2" w:lineRule="exact"/>
        <w:rPr>
          <w:rFonts w:ascii="Arial" w:cs="Arial" w:eastAsia="Arial" w:hAnsi="Arial"/>
          <w:sz w:val="18"/>
          <w:szCs w:val="18"/>
          <w:color w:val="auto"/>
        </w:rPr>
      </w:pPr>
    </w:p>
    <w:p>
      <w:pPr>
        <w:ind w:left="1620" w:right="1459" w:hanging="360"/>
        <w:spacing w:after="0" w:line="287"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ectPr>
          <w:pgSz w:w="11900" w:h="16838" w:orient="portrait"/>
          <w:cols w:equalWidth="0" w:num="1">
            <w:col w:w="9879"/>
          </w:cols>
          <w:pgMar w:left="580" w:top="97" w:right="1440" w:bottom="1440" w:gutter="0" w:footer="0" w:header="0"/>
        </w:sectPr>
      </w:pPr>
    </w:p>
    <w:p>
      <w:pPr>
        <w:spacing w:after="0" w:line="342"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559" w:hanging="360"/>
        <w:spacing w:after="0" w:line="273"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public opinion and scrutiny of cell-based therapies and its potential impact on public perception of our company and product candidates;</w:t>
      </w:r>
    </w:p>
    <w:p>
      <w:pPr>
        <w:spacing w:after="0" w:line="1" w:lineRule="exact"/>
        <w:rPr>
          <w:rFonts w:ascii="Arial" w:cs="Arial" w:eastAsia="Arial" w:hAnsi="Arial"/>
          <w:sz w:val="18"/>
          <w:szCs w:val="18"/>
          <w:color w:val="auto"/>
        </w:rPr>
      </w:pPr>
    </w:p>
    <w:p>
      <w:pPr>
        <w:ind w:left="1620" w:right="619" w:hanging="360"/>
        <w:spacing w:after="0" w:line="273"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and develop sales and marketing capabilities, if our product candidates are approved;</w:t>
      </w:r>
    </w:p>
    <w:p>
      <w:pPr>
        <w:spacing w:after="0" w:line="1" w:lineRule="exact"/>
        <w:rPr>
          <w:rFonts w:ascii="Arial" w:cs="Arial" w:eastAsia="Arial" w:hAnsi="Arial"/>
          <w:sz w:val="18"/>
          <w:szCs w:val="18"/>
          <w:color w:val="auto"/>
        </w:rPr>
      </w:pPr>
    </w:p>
    <w:p>
      <w:pPr>
        <w:ind w:left="1620" w:right="419" w:hanging="360"/>
        <w:spacing w:after="0" w:line="266"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ind w:left="1620" w:right="599" w:hanging="360"/>
        <w:spacing w:after="0" w:line="273"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spacing w:after="0" w:line="1" w:lineRule="exact"/>
        <w:rPr>
          <w:rFonts w:ascii="Arial" w:cs="Arial" w:eastAsia="Arial" w:hAnsi="Arial"/>
          <w:sz w:val="18"/>
          <w:szCs w:val="18"/>
          <w:color w:val="auto"/>
        </w:rPr>
      </w:pPr>
    </w:p>
    <w:p>
      <w:pPr>
        <w:ind w:left="1620" w:hanging="36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scope and value of our intellectual property and proprietary rights;</w:t>
      </w:r>
    </w:p>
    <w:p>
      <w:pPr>
        <w:spacing w:after="0" w:line="49" w:lineRule="exact"/>
        <w:rPr>
          <w:rFonts w:ascii="Arial" w:cs="Arial" w:eastAsia="Arial" w:hAnsi="Arial"/>
          <w:sz w:val="18"/>
          <w:szCs w:val="18"/>
          <w:color w:val="auto"/>
        </w:rPr>
      </w:pPr>
    </w:p>
    <w:p>
      <w:pPr>
        <w:ind w:left="1620" w:right="439" w:hanging="360"/>
        <w:spacing w:after="0" w:line="258"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ind w:left="1620" w:right="1099" w:hanging="360"/>
        <w:spacing w:after="0" w:line="273"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key members of management and other clinical and scientific personnel;</w:t>
      </w:r>
    </w:p>
    <w:p>
      <w:pPr>
        <w:spacing w:after="0" w:line="1" w:lineRule="exact"/>
        <w:rPr>
          <w:rFonts w:ascii="Arial" w:cs="Arial" w:eastAsia="Arial" w:hAnsi="Arial"/>
          <w:sz w:val="18"/>
          <w:szCs w:val="18"/>
          <w:color w:val="auto"/>
        </w:rPr>
      </w:pPr>
    </w:p>
    <w:p>
      <w:pPr>
        <w:ind w:left="1620" w:right="979" w:hanging="360"/>
        <w:spacing w:after="0" w:line="290" w:lineRule="auto"/>
        <w:tabs>
          <w:tab w:leader="none" w:pos="1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volatility of capital markets and other macroeconomic factors, including due to inflationary pressures, banking instability, geopolitical tensions or the outbreak of hostilities or war;</w:t>
      </w:r>
    </w:p>
    <w:p>
      <w:pPr>
        <w:jc w:val="both"/>
        <w:ind w:left="1620" w:right="559" w:hanging="360"/>
        <w:spacing w:after="0" w:line="260"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pandemics, such as the COVID-19 pandemic, or any other global health crises may impact our business, including development activities, preclinical studies, clinical trials, supply chain and labor force;</w:t>
      </w:r>
    </w:p>
    <w:p>
      <w:pPr>
        <w:spacing w:after="0" w:line="2" w:lineRule="exact"/>
        <w:rPr>
          <w:rFonts w:ascii="Arial" w:cs="Arial" w:eastAsia="Arial" w:hAnsi="Arial"/>
          <w:sz w:val="18"/>
          <w:szCs w:val="18"/>
          <w:color w:val="auto"/>
        </w:rPr>
      </w:pPr>
    </w:p>
    <w:p>
      <w:pPr>
        <w:ind w:left="1620" w:hanging="36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49" w:lineRule="exact"/>
        <w:rPr>
          <w:rFonts w:ascii="Arial" w:cs="Arial" w:eastAsia="Arial" w:hAnsi="Arial"/>
          <w:sz w:val="18"/>
          <w:szCs w:val="18"/>
          <w:color w:val="auto"/>
        </w:rPr>
      </w:pPr>
    </w:p>
    <w:p>
      <w:pPr>
        <w:ind w:left="1620" w:right="439" w:hanging="360"/>
        <w:spacing w:after="0" w:line="262"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under the caption “Risk Factors” in our Annual Report on Form 10-K for the year ended December 31, 2023, as such risk factors may be amended, supplemented or superseded from time to time by our subsequent periodic reports we file with the SEC.</w:t>
      </w:r>
    </w:p>
    <w:p>
      <w:pPr>
        <w:spacing w:after="0" w:line="109"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You should refer to the section titled “Risk factors” this prospectus, any applicable prospectus supplement and the documents we incorporate by reference herein and therein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104" w:lineRule="exact"/>
        <w:rPr>
          <w:sz w:val="20"/>
          <w:szCs w:val="20"/>
          <w:color w:val="auto"/>
        </w:rPr>
      </w:pPr>
    </w:p>
    <w:p>
      <w:pPr>
        <w:ind w:left="1260" w:right="879"/>
        <w:spacing w:after="0" w:line="262" w:lineRule="auto"/>
        <w:rPr>
          <w:sz w:val="20"/>
          <w:szCs w:val="20"/>
          <w:color w:val="auto"/>
        </w:rPr>
      </w:pPr>
      <w:r>
        <w:rPr>
          <w:rFonts w:ascii="Arial" w:cs="Arial" w:eastAsia="Arial" w:hAnsi="Arial"/>
          <w:sz w:val="18"/>
          <w:szCs w:val="18"/>
          <w:color w:val="auto"/>
        </w:rPr>
        <w:t>You should read this prospectus, any applicable prospectus supplement and the documents incorporated by reference herein and therein completely and with the understanding that our actual future results may be materially different from what we expect. We qualify all of the forward-looking statements in this prospectus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ABOUT THE COMPANY</w:t>
      </w:r>
    </w:p>
    <w:p>
      <w:pPr>
        <w:spacing w:after="0" w:line="335" w:lineRule="exact"/>
        <w:rPr>
          <w:sz w:val="20"/>
          <w:szCs w:val="20"/>
          <w:color w:val="auto"/>
        </w:rPr>
      </w:pPr>
    </w:p>
    <w:p>
      <w:pPr>
        <w:ind w:left="1260" w:right="499"/>
        <w:spacing w:after="0" w:line="243" w:lineRule="auto"/>
        <w:rPr>
          <w:sz w:val="20"/>
          <w:szCs w:val="20"/>
          <w:color w:val="auto"/>
        </w:rPr>
      </w:pPr>
      <w:r>
        <w:rPr>
          <w:rFonts w:ascii="Arial" w:cs="Arial" w:eastAsia="Arial" w:hAnsi="Arial"/>
          <w:sz w:val="18"/>
          <w:szCs w:val="18"/>
          <w:i w:val="1"/>
          <w:iCs w:val="1"/>
          <w:color w:val="auto"/>
        </w:rPr>
        <w:t>This summary description about us and our business highlights selected information contained elsewhere in this prospectus or incorporated by reference into this prospectus. It does not contain all the information you should consider before investing in our securities. You should carefully read the entire prospectus, any applicable prospectus supplement and any related free writing prospectus, including the risks of investing in our common stock discussed under the heading “Risk Factors” contained in this prospectus, any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forms a part.</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Company</w:t>
      </w:r>
    </w:p>
    <w:p>
      <w:pPr>
        <w:spacing w:after="0" w:line="77"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We are an innovative biotechnology company harnessing the power of adult stem cells to develop curative cell therapy products for cancer and autoimmune diseases that we believe will allow us to overcome the limitations of first-generation cell therapies. We have created a comprehensive, genetically engineered allogeneic cell therapy platform that includes:</w:t>
      </w:r>
    </w:p>
    <w:p>
      <w:pPr>
        <w:spacing w:after="0" w:line="2" w:lineRule="exact"/>
        <w:rPr>
          <w:sz w:val="20"/>
          <w:szCs w:val="20"/>
          <w:color w:val="auto"/>
        </w:rPr>
      </w:pPr>
    </w:p>
    <w:p>
      <w:pPr>
        <w:ind w:left="1620" w:right="579" w:hanging="360"/>
        <w:spacing w:after="0" w:line="266"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Industry-leading induced pluripotent stem cells, or iPSCs, and differentiated know-how to generate immune effector cells from iPSCs, or iPSC- derived cells;</w:t>
      </w:r>
    </w:p>
    <w:p>
      <w:pPr>
        <w:ind w:left="1620" w:right="779" w:hanging="360"/>
        <w:spacing w:after="0" w:line="260"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Clustered regularly interspaced short palindromic repeats, or CRISPR, mediated precision gene editing that allows us to incorporate multiple transgenes and remove target genes intended to optimize cell product performance;</w:t>
      </w:r>
    </w:p>
    <w:p>
      <w:pPr>
        <w:spacing w:after="0" w:line="2" w:lineRule="exact"/>
        <w:rPr>
          <w:rFonts w:ascii="Arial" w:cs="Arial" w:eastAsia="Arial" w:hAnsi="Arial"/>
          <w:sz w:val="18"/>
          <w:szCs w:val="18"/>
          <w:color w:val="auto"/>
        </w:rPr>
      </w:pPr>
    </w:p>
    <w:p>
      <w:pPr>
        <w:ind w:left="1620" w:right="979" w:hanging="360"/>
        <w:spacing w:after="0" w:line="273"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Sophisticated protein engineering capabilities to develop proprietary next generation chimeric antigen receptors, or CARs;</w:t>
      </w:r>
    </w:p>
    <w:p>
      <w:pPr>
        <w:spacing w:after="0" w:line="1" w:lineRule="exact"/>
        <w:rPr>
          <w:rFonts w:ascii="Arial" w:cs="Arial" w:eastAsia="Arial" w:hAnsi="Arial"/>
          <w:sz w:val="18"/>
          <w:szCs w:val="18"/>
          <w:color w:val="auto"/>
        </w:rPr>
      </w:pPr>
    </w:p>
    <w:p>
      <w:pPr>
        <w:ind w:left="1620" w:right="599" w:hanging="360"/>
        <w:spacing w:after="0" w:line="266"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proprietary Allo-Evasion™ technology intended to prevent rejection of our cell products by the host immune system; and</w:t>
      </w:r>
    </w:p>
    <w:p>
      <w:pPr>
        <w:ind w:left="1620" w:right="559" w:hanging="360"/>
        <w:spacing w:after="0" w:line="287"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Cutting edge manufacturing capabilities intended to minimize product development risk and supply risk.</w:t>
      </w:r>
    </w:p>
    <w:p>
      <w:pPr>
        <w:spacing w:after="0" w:line="85" w:lineRule="exact"/>
        <w:rPr>
          <w:sz w:val="20"/>
          <w:szCs w:val="20"/>
          <w:color w:val="auto"/>
        </w:rPr>
      </w:pPr>
    </w:p>
    <w:p>
      <w:pPr>
        <w:ind w:left="1260" w:right="479"/>
        <w:spacing w:after="0" w:line="259" w:lineRule="auto"/>
        <w:rPr>
          <w:sz w:val="20"/>
          <w:szCs w:val="20"/>
          <w:color w:val="auto"/>
        </w:rPr>
      </w:pPr>
      <w:r>
        <w:rPr>
          <w:rFonts w:ascii="Arial" w:cs="Arial" w:eastAsia="Arial" w:hAnsi="Arial"/>
          <w:sz w:val="17"/>
          <w:szCs w:val="17"/>
          <w:color w:val="auto"/>
        </w:rPr>
        <w:t>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that these vertically integrated capabilities will allow us to further expand our existing pipeline and develop therapeutics from iNK cells and iT cells that may provide enhanced clinical outcomes compared to available therapeutic options. We believe our commitment to developing off-the-shelf cell therapies will expand patient access and provide an unparalleled opportunity to advance the course of treatment. Our vision is to become a premier fully integrated biotechnology company by developing and ultimately commercializing off-the-shelf allogeneic cell therapies that dramatically and positively transform the lives of patients suffering from life-threatening cancers, as well as autoimmune diseases. To achieve our vision, we have assembled a world-class team whose members collectively have decades of experience in cell therapy and drug development, manufacturing, and commercialization.</w:t>
      </w:r>
    </w:p>
    <w:p>
      <w:pPr>
        <w:spacing w:after="0" w:line="101" w:lineRule="exact"/>
        <w:rPr>
          <w:sz w:val="20"/>
          <w:szCs w:val="20"/>
          <w:color w:val="auto"/>
        </w:rPr>
      </w:pPr>
    </w:p>
    <w:p>
      <w:pPr>
        <w:ind w:left="1260" w:right="439"/>
        <w:spacing w:after="0" w:line="257" w:lineRule="auto"/>
        <w:rPr>
          <w:sz w:val="20"/>
          <w:szCs w:val="20"/>
          <w:color w:val="auto"/>
        </w:rPr>
      </w:pPr>
      <w:r>
        <w:rPr>
          <w:rFonts w:ascii="Arial" w:cs="Arial" w:eastAsia="Arial" w:hAnsi="Arial"/>
          <w:sz w:val="17"/>
          <w:szCs w:val="17"/>
          <w:color w:val="auto"/>
        </w:rPr>
        <w:t>The field of cell therapy is rapidly evolving, with autologous and allogeneic technologies demonstrating the strong potential of this therapeutic modality. We believe that our industry leading, end-to-end iPSC-derived allogeneic cell therapy platform will allow us to overcome technical and biological limitations of other donor-derived cell therapies. The unlimited replication capacity of iPSCs allows us to incorporate multiple genetic modifications at precise sites, or loci, in the genome of iPSCs that are designed to improve cell function using a CRISPR-mediated approach targeting a DNA repair pathway called homology directed repair, or HDR. The precision of our CRISPR-HDR gene editing technology and clonal selection eliminates random integration events and allows more controlled expression of transgenes of interest compared to other gene editing methodologies. The self-renewal capacity of iPSCs also enables the generation of master cell banks derived from single genetically engineered clones thus allowing the implementation of cost-efficient manufacturing of drug product that can be made available on demand at any clinical site. We have assembled a unique and powerful combination</w:t>
      </w:r>
    </w:p>
    <w:p>
      <w:pPr>
        <w:spacing w:after="0" w:line="36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60" w:right="399"/>
        <w:spacing w:after="0" w:line="275" w:lineRule="auto"/>
        <w:rPr>
          <w:sz w:val="20"/>
          <w:szCs w:val="20"/>
          <w:color w:val="auto"/>
        </w:rPr>
      </w:pPr>
      <w:r>
        <w:rPr>
          <w:rFonts w:ascii="Arial" w:cs="Arial" w:eastAsia="Arial" w:hAnsi="Arial"/>
          <w:sz w:val="17"/>
          <w:szCs w:val="17"/>
          <w:color w:val="auto"/>
        </w:rPr>
        <w:t>of technologies that bring together a preeminent iPSC-derived allogeneic cell therapy platform with highly advanced cell engineering and manufacturing capabilities. We believe this unique combination puts us in a position to change the oncology and autoimmune and inflammatory treatment paradigm and market.</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Merger</w:t>
      </w:r>
    </w:p>
    <w:p>
      <w:pPr>
        <w:spacing w:after="0" w:line="77" w:lineRule="exact"/>
        <w:rPr>
          <w:sz w:val="20"/>
          <w:szCs w:val="20"/>
          <w:color w:val="auto"/>
        </w:rPr>
      </w:pPr>
    </w:p>
    <w:p>
      <w:pPr>
        <w:ind w:left="1260" w:right="639"/>
        <w:spacing w:after="0" w:line="251" w:lineRule="auto"/>
        <w:rPr>
          <w:sz w:val="20"/>
          <w:szCs w:val="20"/>
          <w:color w:val="auto"/>
        </w:rPr>
      </w:pPr>
      <w:r>
        <w:rPr>
          <w:rFonts w:ascii="Arial" w:cs="Arial" w:eastAsia="Arial" w:hAnsi="Arial"/>
          <w:sz w:val="17"/>
          <w:szCs w:val="17"/>
          <w:color w:val="auto"/>
        </w:rPr>
        <w:t>On April 11, 2024, we entered into the Merger Agreement, pursuant to which Merger Sub merged with and into Clade, with Clade continuing as the surviving corporation in the Merger and our wholly owned</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indirect subsidiary. Pursuant to the terms of the Merger Agreement, the aggregate upfront consideration</w:t>
      </w:r>
    </w:p>
    <w:p>
      <w:pPr>
        <w:spacing w:after="0" w:line="7" w:lineRule="exact"/>
        <w:rPr>
          <w:sz w:val="20"/>
          <w:szCs w:val="20"/>
          <w:color w:val="auto"/>
        </w:rPr>
      </w:pPr>
    </w:p>
    <w:p>
      <w:pPr>
        <w:ind w:left="1260" w:right="859"/>
        <w:spacing w:after="0"/>
        <w:rPr>
          <w:sz w:val="20"/>
          <w:szCs w:val="20"/>
          <w:color w:val="auto"/>
        </w:rPr>
      </w:pPr>
      <w:r>
        <w:rPr>
          <w:rFonts w:ascii="Arial" w:cs="Arial" w:eastAsia="Arial" w:hAnsi="Arial"/>
          <w:sz w:val="17"/>
          <w:szCs w:val="17"/>
          <w:color w:val="auto"/>
        </w:rPr>
        <w:t>was approximately $35 million, consisting of (i) approximately $15 million in cash and (ii) 4,535,333 shares of common stock. 793,687 shares of common stock, representing approximately 10% of the</w:t>
      </w:r>
    </w:p>
    <w:p>
      <w:pPr>
        <w:ind w:left="1260"/>
        <w:spacing w:after="0" w:line="235" w:lineRule="auto"/>
        <w:rPr>
          <w:sz w:val="20"/>
          <w:szCs w:val="20"/>
          <w:color w:val="auto"/>
        </w:rPr>
      </w:pPr>
      <w:r>
        <w:rPr>
          <w:rFonts w:ascii="Arial" w:cs="Arial" w:eastAsia="Arial" w:hAnsi="Arial"/>
          <w:sz w:val="18"/>
          <w:szCs w:val="18"/>
          <w:color w:val="auto"/>
        </w:rPr>
        <w:t>aggregate purchase price, were held back at the closing of the Merger as recourse to satisfy certain</w:t>
      </w:r>
    </w:p>
    <w:p>
      <w:pPr>
        <w:ind w:left="1260" w:right="439"/>
        <w:spacing w:after="0"/>
        <w:rPr>
          <w:sz w:val="20"/>
          <w:szCs w:val="20"/>
          <w:color w:val="auto"/>
        </w:rPr>
      </w:pPr>
      <w:r>
        <w:rPr>
          <w:rFonts w:ascii="Arial" w:cs="Arial" w:eastAsia="Arial" w:hAnsi="Arial"/>
          <w:sz w:val="17"/>
          <w:szCs w:val="17"/>
          <w:color w:val="auto"/>
        </w:rPr>
        <w:t>indemnification obligations of the Clade securityholders under the Merger Agreement and, subject to any forfeiture of Merger Shares as a result of indemnification claims made prior to the 18-month anniversary</w:t>
      </w:r>
    </w:p>
    <w:p>
      <w:pPr>
        <w:spacing w:after="0" w:line="1" w:lineRule="exact"/>
        <w:rPr>
          <w:sz w:val="20"/>
          <w:szCs w:val="20"/>
          <w:color w:val="auto"/>
        </w:rPr>
      </w:pPr>
    </w:p>
    <w:p>
      <w:pPr>
        <w:ind w:left="1260" w:right="559"/>
        <w:spacing w:after="0" w:line="250" w:lineRule="auto"/>
        <w:rPr>
          <w:sz w:val="20"/>
          <w:szCs w:val="20"/>
          <w:color w:val="auto"/>
        </w:rPr>
      </w:pPr>
      <w:r>
        <w:rPr>
          <w:rFonts w:ascii="Arial" w:cs="Arial" w:eastAsia="Arial" w:hAnsi="Arial"/>
          <w:sz w:val="18"/>
          <w:szCs w:val="18"/>
          <w:color w:val="auto"/>
        </w:rPr>
        <w:t>of the closing of the Merger, will be issued pursuant to the terms of the Merger Agreement following the 18-month anniversary of the closing of the Merger.</w:t>
      </w:r>
    </w:p>
    <w:p>
      <w:pPr>
        <w:spacing w:after="0" w:line="91" w:lineRule="exact"/>
        <w:rPr>
          <w:sz w:val="20"/>
          <w:szCs w:val="20"/>
          <w:color w:val="auto"/>
        </w:rPr>
      </w:pPr>
    </w:p>
    <w:p>
      <w:pPr>
        <w:ind w:left="1260" w:right="539"/>
        <w:spacing w:after="0" w:line="251" w:lineRule="auto"/>
        <w:rPr>
          <w:sz w:val="20"/>
          <w:szCs w:val="20"/>
          <w:color w:val="auto"/>
        </w:rPr>
      </w:pPr>
      <w:r>
        <w:rPr>
          <w:rFonts w:ascii="Arial" w:cs="Arial" w:eastAsia="Arial" w:hAnsi="Arial"/>
          <w:sz w:val="17"/>
          <w:szCs w:val="17"/>
          <w:color w:val="auto"/>
        </w:rPr>
        <w:t>Following the closing of the Merger, the Merger Agreement provides for one potential clinical development milestone payment of $10 million (which may be paid by us in cash, shares of its common</w:t>
      </w:r>
    </w:p>
    <w:p>
      <w:pPr>
        <w:spacing w:after="0" w:line="1" w:lineRule="exact"/>
        <w:rPr>
          <w:sz w:val="20"/>
          <w:szCs w:val="20"/>
          <w:color w:val="auto"/>
        </w:rPr>
      </w:pPr>
    </w:p>
    <w:p>
      <w:pPr>
        <w:ind w:left="1260" w:right="1019"/>
        <w:spacing w:after="0" w:line="250" w:lineRule="auto"/>
        <w:rPr>
          <w:sz w:val="20"/>
          <w:szCs w:val="20"/>
          <w:color w:val="auto"/>
        </w:rPr>
      </w:pPr>
      <w:r>
        <w:rPr>
          <w:rFonts w:ascii="Arial" w:cs="Arial" w:eastAsia="Arial" w:hAnsi="Arial"/>
          <w:sz w:val="18"/>
          <w:szCs w:val="18"/>
          <w:color w:val="auto"/>
        </w:rPr>
        <w:t>stock or a combination thereof) to be made to Clade securityholders upon the achievement of the milestone.</w:t>
      </w:r>
    </w:p>
    <w:p>
      <w:pPr>
        <w:spacing w:after="0" w:line="9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Pursuant to the Merger Agreement, we agreed to file a registration statement on Form S-3 to register for</w:t>
      </w:r>
    </w:p>
    <w:p>
      <w:pPr>
        <w:spacing w:after="0" w:line="25" w:lineRule="exact"/>
        <w:rPr>
          <w:sz w:val="20"/>
          <w:szCs w:val="20"/>
          <w:color w:val="auto"/>
        </w:rPr>
      </w:pPr>
    </w:p>
    <w:p>
      <w:pPr>
        <w:ind w:left="1260" w:right="699"/>
        <w:spacing w:after="0"/>
        <w:rPr>
          <w:sz w:val="20"/>
          <w:szCs w:val="20"/>
          <w:color w:val="auto"/>
        </w:rPr>
      </w:pPr>
      <w:r>
        <w:rPr>
          <w:rFonts w:ascii="Arial" w:cs="Arial" w:eastAsia="Arial" w:hAnsi="Arial"/>
          <w:sz w:val="17"/>
          <w:szCs w:val="17"/>
          <w:color w:val="auto"/>
        </w:rPr>
        <w:t>resale the Merger Shares no later than 90 days following the closing of the Merger. We agreed to use commercially reasonable efforts to have the registration statement declared effective as soon as</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practicable after the filing. This prospectus is part of that registration statement.</w:t>
      </w:r>
    </w:p>
    <w:p>
      <w:pPr>
        <w:spacing w:after="0" w:line="113" w:lineRule="exact"/>
        <w:rPr>
          <w:sz w:val="20"/>
          <w:szCs w:val="20"/>
          <w:color w:val="auto"/>
        </w:rPr>
      </w:pPr>
    </w:p>
    <w:p>
      <w:pPr>
        <w:ind w:left="1260" w:right="479"/>
        <w:spacing w:after="0" w:line="259" w:lineRule="auto"/>
        <w:rPr>
          <w:sz w:val="20"/>
          <w:szCs w:val="20"/>
          <w:color w:val="auto"/>
        </w:rPr>
      </w:pPr>
      <w:r>
        <w:rPr>
          <w:rFonts w:ascii="Arial" w:cs="Arial" w:eastAsia="Arial" w:hAnsi="Arial"/>
          <w:sz w:val="17"/>
          <w:szCs w:val="17"/>
          <w:color w:val="auto"/>
        </w:rPr>
        <w:t>Under the Merger Agreement, we also agreed to maintain the effectiveness of the registration statement until the earliest to occur of: (i) April 11, 2029, and (ii) the date that all Merger Shares covered by the</w:t>
      </w:r>
    </w:p>
    <w:p>
      <w:pPr>
        <w:spacing w:after="0" w:line="1" w:lineRule="exact"/>
        <w:rPr>
          <w:sz w:val="20"/>
          <w:szCs w:val="20"/>
          <w:color w:val="auto"/>
        </w:rPr>
      </w:pPr>
    </w:p>
    <w:p>
      <w:pPr>
        <w:ind w:left="1260" w:right="459"/>
        <w:spacing w:after="0" w:line="237" w:lineRule="auto"/>
        <w:rPr>
          <w:sz w:val="20"/>
          <w:szCs w:val="20"/>
          <w:color w:val="auto"/>
        </w:rPr>
      </w:pPr>
      <w:r>
        <w:rPr>
          <w:rFonts w:ascii="Arial" w:cs="Arial" w:eastAsia="Arial" w:hAnsi="Arial"/>
          <w:sz w:val="18"/>
          <w:szCs w:val="18"/>
          <w:color w:val="auto"/>
        </w:rPr>
        <w:t>registration statement are sold or are able to be sold by the holders thereof by relying on Rule 144 under the Securities Act without any restriction, including volume limitation.</w:t>
      </w:r>
    </w:p>
    <w:p>
      <w:pPr>
        <w:spacing w:after="0" w:line="113" w:lineRule="exact"/>
        <w:rPr>
          <w:sz w:val="20"/>
          <w:szCs w:val="20"/>
          <w:color w:val="auto"/>
        </w:rPr>
      </w:pPr>
    </w:p>
    <w:p>
      <w:pPr>
        <w:ind w:left="1260" w:right="459"/>
        <w:spacing w:after="0" w:line="251" w:lineRule="auto"/>
        <w:rPr>
          <w:sz w:val="20"/>
          <w:szCs w:val="20"/>
          <w:color w:val="auto"/>
        </w:rPr>
      </w:pPr>
      <w:r>
        <w:rPr>
          <w:rFonts w:ascii="Arial" w:cs="Arial" w:eastAsia="Arial" w:hAnsi="Arial"/>
          <w:sz w:val="17"/>
          <w:szCs w:val="17"/>
          <w:color w:val="auto"/>
        </w:rPr>
        <w:t>The description of the Merger Agreement is qualified in its entirety by reference to the Merger Agreement, which has been filed as an exhibit to our Current Report on Form 8-K filed on April 11, 2024.</w:t>
      </w:r>
    </w:p>
    <w:p>
      <w:pPr>
        <w:ind w:left="1260"/>
        <w:spacing w:after="0" w:line="235" w:lineRule="auto"/>
        <w:rPr>
          <w:sz w:val="20"/>
          <w:szCs w:val="20"/>
          <w:color w:val="auto"/>
        </w:rPr>
      </w:pPr>
      <w:r>
        <w:rPr>
          <w:rFonts w:ascii="Arial" w:cs="Arial" w:eastAsia="Arial" w:hAnsi="Arial"/>
          <w:sz w:val="18"/>
          <w:szCs w:val="18"/>
          <w:color w:val="auto"/>
        </w:rPr>
        <w:t>See “Where You Can Find More Information” and “Information Incorporated by Reference.” The</w:t>
      </w:r>
    </w:p>
    <w:p>
      <w:pPr>
        <w:ind w:left="1260" w:right="499"/>
        <w:spacing w:after="0"/>
        <w:rPr>
          <w:sz w:val="20"/>
          <w:szCs w:val="20"/>
          <w:color w:val="auto"/>
        </w:rPr>
      </w:pPr>
      <w:r>
        <w:rPr>
          <w:rFonts w:ascii="Arial" w:cs="Arial" w:eastAsia="Arial" w:hAnsi="Arial"/>
          <w:sz w:val="17"/>
          <w:szCs w:val="17"/>
          <w:color w:val="auto"/>
        </w:rPr>
        <w:t>representations, warranties and covenants made by us in the Merger Agreement were made solely for the benefit of the parties to such agreements, including, in some cases, for the purpose of allocating risk</w:t>
      </w:r>
    </w:p>
    <w:p>
      <w:pPr>
        <w:ind w:left="1260"/>
        <w:spacing w:after="0" w:line="235" w:lineRule="auto"/>
        <w:rPr>
          <w:sz w:val="20"/>
          <w:szCs w:val="20"/>
          <w:color w:val="auto"/>
        </w:rPr>
      </w:pPr>
      <w:r>
        <w:rPr>
          <w:rFonts w:ascii="Arial" w:cs="Arial" w:eastAsia="Arial" w:hAnsi="Arial"/>
          <w:sz w:val="18"/>
          <w:szCs w:val="18"/>
          <w:color w:val="auto"/>
        </w:rPr>
        <w:t>among the parties thereto, and should not be deemed to be a representation, warranty or covenant to</w:t>
      </w:r>
    </w:p>
    <w:p>
      <w:pPr>
        <w:ind w:left="1260" w:right="939"/>
        <w:spacing w:after="0"/>
        <w:rPr>
          <w:sz w:val="20"/>
          <w:szCs w:val="20"/>
          <w:color w:val="auto"/>
        </w:rPr>
      </w:pPr>
      <w:r>
        <w:rPr>
          <w:rFonts w:ascii="Arial" w:cs="Arial" w:eastAsia="Arial" w:hAnsi="Arial"/>
          <w:sz w:val="17"/>
          <w:szCs w:val="17"/>
          <w:color w:val="auto"/>
        </w:rPr>
        <w:t>you. Moreover, such representations, warranties or covenants were made as of an earlier date. Accordingly, such representations, warranties and covenants should not be relied on as accurately</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representing the current state of our affairs.</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Information</w:t>
      </w:r>
    </w:p>
    <w:p>
      <w:pPr>
        <w:spacing w:after="0" w:line="77" w:lineRule="exact"/>
        <w:rPr>
          <w:sz w:val="20"/>
          <w:szCs w:val="20"/>
          <w:color w:val="auto"/>
        </w:rPr>
      </w:pPr>
    </w:p>
    <w:p>
      <w:pPr>
        <w:ind w:left="1260" w:right="419"/>
        <w:spacing w:after="0" w:line="248" w:lineRule="auto"/>
        <w:rPr>
          <w:sz w:val="20"/>
          <w:szCs w:val="20"/>
          <w:color w:val="auto"/>
        </w:rPr>
      </w:pPr>
      <w:r>
        <w:rPr>
          <w:rFonts w:ascii="Arial" w:cs="Arial" w:eastAsia="Arial" w:hAnsi="Arial"/>
          <w:sz w:val="18"/>
          <w:szCs w:val="18"/>
          <w:color w:val="auto"/>
        </w:rPr>
        <w:t>Our primary executive offices are located at 25 North 38th Street, 11th Floor, Philadelphia, Pennsylvania 19104, and our telephone number is (267) 817-5790. Our corporate website is www.centurytx.com. The information contained on, or accessible through, our website is not incorporated by reference into this prospectus, and you should not consider any information contained in, or that can be accessed through, our website as part of this prospectus or in deciding whether to purchase our common stock.</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77" w:lineRule="exact"/>
        <w:rPr>
          <w:sz w:val="20"/>
          <w:szCs w:val="20"/>
          <w:color w:val="auto"/>
        </w:rPr>
      </w:pPr>
    </w:p>
    <w:p>
      <w:pPr>
        <w:ind w:left="1260" w:right="399"/>
        <w:spacing w:after="0" w:line="267"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We will remain an emerging growth company until the earliest of (1) December 31, 2026,</w:t>
      </w:r>
    </w:p>
    <w:p>
      <w:pPr>
        <w:spacing w:after="0" w:line="2" w:lineRule="exact"/>
        <w:rPr>
          <w:sz w:val="20"/>
          <w:szCs w:val="20"/>
          <w:color w:val="auto"/>
        </w:rPr>
      </w:pPr>
    </w:p>
    <w:p>
      <w:pPr>
        <w:ind w:left="1260" w:right="639"/>
        <w:spacing w:after="0" w:line="242" w:lineRule="auto"/>
        <w:tabs>
          <w:tab w:leader="none" w:pos="152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beginning of the first fiscal year after our annual gross revenue is $1.235 billion or more, (3) the date on which we have, during the previous three-year period, issued more than $1.0 billion in non-convertible debt securities and (4) as of the end of any fiscal year in which the market value of our common stock held by non-affiliates exceeded $700 million as of the end of the second quarter of that fiscal year.</w:t>
      </w:r>
    </w:p>
    <w:p>
      <w:pPr>
        <w:spacing w:after="0" w:line="36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For as long as we remain an “emerging growth company,” we may take advantage of certain exemptions from various reporting requirements that are applicable to public companies that are not “emerging growth companies” including, but not limited to, not being required to comply with the auditor attestation requirements of Section 404 of the Sarbanes-Oxley Act, reduced disclosure obligations regarding executive compensation and financial statements in our periodic reports and proxy statements, and exemptions from the requirements of holding a nonbinding advisory vote to approve executive compensation and shareholder approval of any golden parachute payments not previously approved. We will take advantage of these reporting exemptions until we are no longer an “emerging growth company.”</w:t>
      </w:r>
    </w:p>
    <w:p>
      <w:pPr>
        <w:spacing w:after="0" w:line="113" w:lineRule="exact"/>
        <w:rPr>
          <w:sz w:val="20"/>
          <w:szCs w:val="20"/>
          <w:color w:val="auto"/>
        </w:rPr>
      </w:pPr>
    </w:p>
    <w:p>
      <w:pPr>
        <w:ind w:left="1260" w:right="639"/>
        <w:spacing w:after="0" w:line="262" w:lineRule="auto"/>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We have irrevocably elected not to avail ourselves of this exemption and, therefore, we are subject to the same new or revised accounting standards as other public companies that are not “emerging growth companies.”</w:t>
      </w:r>
    </w:p>
    <w:p>
      <w:pPr>
        <w:spacing w:after="0" w:line="109"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We are also a “smaller reporting company,” as defined in Item 10(f)(1) of Regulation S-K.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RISK FACTORS</w:t>
      </w:r>
    </w:p>
    <w:p>
      <w:pPr>
        <w:spacing w:after="0" w:line="333" w:lineRule="exact"/>
        <w:rPr>
          <w:sz w:val="20"/>
          <w:szCs w:val="20"/>
          <w:color w:val="auto"/>
        </w:rPr>
      </w:pPr>
    </w:p>
    <w:p>
      <w:pPr>
        <w:ind w:left="1260" w:right="499"/>
        <w:spacing w:after="0" w:line="271" w:lineRule="auto"/>
        <w:rPr>
          <w:rFonts w:ascii="Arial" w:cs="Arial" w:eastAsia="Arial" w:hAnsi="Arial"/>
          <w:sz w:val="17"/>
          <w:szCs w:val="17"/>
          <w:color w:val="0000EE"/>
        </w:rPr>
      </w:pPr>
      <w:r>
        <w:rPr>
          <w:rFonts w:ascii="Arial" w:cs="Arial" w:eastAsia="Arial" w:hAnsi="Arial"/>
          <w:sz w:val="17"/>
          <w:szCs w:val="17"/>
          <w:color w:val="auto"/>
        </w:rPr>
        <w:t xml:space="preserve">Investing in our common stock involves a high degree of risk. Before making a decision to invest in our common stock, in addition to the other information contained in this prospectus, in any accompanying prospectus supplement or incorporated by reference herein or therein, you should carefully consider the </w:t>
      </w:r>
      <w:hyperlink r:id="rId30">
        <w:r>
          <w:rPr>
            <w:rFonts w:ascii="Arial" w:cs="Arial" w:eastAsia="Arial" w:hAnsi="Arial"/>
            <w:sz w:val="17"/>
            <w:szCs w:val="17"/>
            <w:color w:val="auto"/>
          </w:rPr>
          <w:t xml:space="preserve">risks set forth below and the risks described under “Risk Factors” contained in our </w:t>
        </w:r>
        <w:r>
          <w:rPr>
            <w:rFonts w:ascii="Arial" w:cs="Arial" w:eastAsia="Arial" w:hAnsi="Arial"/>
            <w:sz w:val="17"/>
            <w:szCs w:val="17"/>
            <w:u w:val="single" w:color="auto"/>
            <w:color w:val="0000EE"/>
          </w:rPr>
          <w:t>Annual Report on</w:t>
        </w:r>
      </w:hyperlink>
      <w:r>
        <w:rPr>
          <w:rFonts w:ascii="Arial" w:cs="Arial" w:eastAsia="Arial" w:hAnsi="Arial"/>
          <w:sz w:val="17"/>
          <w:szCs w:val="17"/>
          <w:color w:val="auto"/>
        </w:rPr>
        <w:t xml:space="preserve"> </w:t>
      </w:r>
      <w:hyperlink r:id="rId30">
        <w:r>
          <w:rPr>
            <w:rFonts w:ascii="Arial" w:cs="Arial" w:eastAsia="Arial" w:hAnsi="Arial"/>
            <w:sz w:val="17"/>
            <w:szCs w:val="17"/>
            <w:u w:val="single" w:color="auto"/>
            <w:color w:val="0000EE"/>
          </w:rPr>
          <w:t>Form 10-K for the year ended December 31, 2023</w:t>
        </w:r>
        <w:r>
          <w:rPr>
            <w:rFonts w:ascii="Arial" w:cs="Arial" w:eastAsia="Arial" w:hAnsi="Arial"/>
            <w:sz w:val="17"/>
            <w:szCs w:val="17"/>
            <w:color w:val="000000"/>
          </w:rPr>
          <w:t xml:space="preserve">, and our subsequent Quarterly Reports, as well </w:t>
        </w:r>
      </w:hyperlink>
      <w:r>
        <w:rPr>
          <w:rFonts w:ascii="Arial" w:cs="Arial" w:eastAsia="Arial" w:hAnsi="Arial"/>
          <w:sz w:val="17"/>
          <w:szCs w:val="17"/>
          <w:color w:val="0000EE"/>
        </w:rPr>
        <w:t xml:space="preserve">as </w:t>
      </w:r>
      <w:r>
        <w:rPr>
          <w:rFonts w:ascii="Arial" w:cs="Arial" w:eastAsia="Arial" w:hAnsi="Arial"/>
          <w:sz w:val="17"/>
          <w:szCs w:val="17"/>
          <w:color w:val="000000"/>
        </w:rPr>
        <w:t>any amendments thereto, which are incorporated by reference into this prospectus in their entirety, together with other information in this prospectus and any applicable prospectus supplement, the documents incorporated by reference, and any free writing prospectus that we may authorize for use in connection with a specific offering. See the section titled “Where You Can Find More Information.”</w:t>
      </w:r>
    </w:p>
    <w:p>
      <w:pPr>
        <w:spacing w:after="0" w:line="41" w:lineRule="exact"/>
        <w:rPr>
          <w:sz w:val="20"/>
          <w:szCs w:val="20"/>
          <w:color w:val="auto"/>
        </w:rPr>
      </w:pPr>
    </w:p>
    <w:p>
      <w:pPr>
        <w:ind w:left="1260" w:right="619"/>
        <w:spacing w:after="0" w:line="267" w:lineRule="auto"/>
        <w:rPr>
          <w:sz w:val="20"/>
          <w:szCs w:val="20"/>
          <w:color w:val="auto"/>
        </w:rPr>
      </w:pPr>
      <w:r>
        <w:rPr>
          <w:rFonts w:ascii="Arial" w:cs="Arial" w:eastAsia="Arial" w:hAnsi="Arial"/>
          <w:sz w:val="18"/>
          <w:szCs w:val="18"/>
          <w:b w:val="1"/>
          <w:bCs w:val="1"/>
          <w:i w:val="1"/>
          <w:iCs w:val="1"/>
          <w:color w:val="auto"/>
        </w:rPr>
        <w:t>Future sales of our common stock by the Selling Stockholders could cause our stock price to decline.</w:t>
      </w:r>
    </w:p>
    <w:p>
      <w:pPr>
        <w:ind w:left="1260" w:right="579"/>
        <w:spacing w:after="0" w:line="258" w:lineRule="auto"/>
        <w:rPr>
          <w:sz w:val="20"/>
          <w:szCs w:val="20"/>
          <w:color w:val="auto"/>
        </w:rPr>
      </w:pPr>
      <w:r>
        <w:rPr>
          <w:rFonts w:ascii="Arial" w:cs="Arial" w:eastAsia="Arial" w:hAnsi="Arial"/>
          <w:sz w:val="18"/>
          <w:szCs w:val="18"/>
          <w:color w:val="auto"/>
        </w:rPr>
        <w:t>Sales of a substantial number of shares of our common stock by the selling stockholders in the public market, or the perception that these sales might occur, could depress the market price of our common stock and could impair our ability to raise capital through the sale of additional equity securities or other securities convertible into or exchangeable for equity securities, regardless of whether there is any relationship between such sales and the performance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USE OF PROCEEDS</w:t>
      </w:r>
    </w:p>
    <w:p>
      <w:pPr>
        <w:spacing w:after="0" w:line="333" w:lineRule="exact"/>
        <w:rPr>
          <w:sz w:val="20"/>
          <w:szCs w:val="20"/>
          <w:color w:val="auto"/>
        </w:rPr>
      </w:pPr>
    </w:p>
    <w:p>
      <w:pPr>
        <w:ind w:left="1260" w:right="439"/>
        <w:spacing w:after="0" w:line="262" w:lineRule="auto"/>
        <w:rPr>
          <w:sz w:val="20"/>
          <w:szCs w:val="20"/>
          <w:color w:val="auto"/>
        </w:rPr>
      </w:pPr>
      <w:r>
        <w:rPr>
          <w:rFonts w:ascii="Arial" w:cs="Arial" w:eastAsia="Arial" w:hAnsi="Arial"/>
          <w:sz w:val="18"/>
          <w:szCs w:val="18"/>
          <w:color w:val="auto"/>
        </w:rPr>
        <w:t>We will not receive any of the proceeds from the sale of our common stock by the selling stockholders named in this prospectus. All proceeds from the resale of the shares of our common stock offered by this prospectus will belong to the selling stockholders identified in this prospectus under “Selling Stockholders.”</w:t>
      </w:r>
    </w:p>
    <w:p>
      <w:pPr>
        <w:spacing w:after="0" w:line="109" w:lineRule="exact"/>
        <w:rPr>
          <w:sz w:val="20"/>
          <w:szCs w:val="20"/>
          <w:color w:val="auto"/>
        </w:rPr>
      </w:pPr>
    </w:p>
    <w:p>
      <w:pPr>
        <w:ind w:left="1260" w:right="419"/>
        <w:spacing w:after="0" w:line="257" w:lineRule="auto"/>
        <w:rPr>
          <w:sz w:val="20"/>
          <w:szCs w:val="20"/>
          <w:color w:val="auto"/>
        </w:rPr>
      </w:pPr>
      <w:r>
        <w:rPr>
          <w:rFonts w:ascii="Arial" w:cs="Arial" w:eastAsia="Arial" w:hAnsi="Arial"/>
          <w:sz w:val="18"/>
          <w:szCs w:val="18"/>
          <w:color w:val="auto"/>
        </w:rPr>
        <w:t>We will pay all expenses associated with this prospectus and any amendments or supplements thereto, and any actions or filings necessary to maintain the effectiveness of this prospectus, including filing and printing fees, the fees and expenses of our counsel and accounting fees and expenses, costs associated with clearing the shares for sale under applicable state securities laws and listing fees, but excluding discounts, commissions, fees of underwriters, selling brokers, dealer managers or similar securities industry professionals with respect to the shares being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STOCKHOLDERS</w:t>
      </w:r>
    </w:p>
    <w:p>
      <w:pPr>
        <w:spacing w:after="0" w:line="333" w:lineRule="exact"/>
        <w:rPr>
          <w:sz w:val="20"/>
          <w:szCs w:val="20"/>
          <w:color w:val="auto"/>
        </w:rPr>
      </w:pPr>
    </w:p>
    <w:p>
      <w:pPr>
        <w:ind w:left="1260" w:right="1280"/>
        <w:spacing w:after="0" w:line="248" w:lineRule="auto"/>
        <w:rPr>
          <w:sz w:val="20"/>
          <w:szCs w:val="20"/>
          <w:color w:val="auto"/>
        </w:rPr>
      </w:pPr>
      <w:r>
        <w:rPr>
          <w:rFonts w:ascii="Arial" w:cs="Arial" w:eastAsia="Arial" w:hAnsi="Arial"/>
          <w:sz w:val="18"/>
          <w:szCs w:val="18"/>
          <w:color w:val="auto"/>
        </w:rPr>
        <w:t>This prospectus relates to the sale or other disposition of up to 7,868,666 shares of our common stock by the selling stockholders named below, and their donees, pledgees, transferees or other successors-in-interest selling shares of common stock or interests in shares of common stock received after the date of this prospectus from a selling stockholder as a gift, pledge, partnership distribution or other transfer, which are collectively referred to herein as the selling stockholders. These shares consist of the Merger Shares. See “About the Company—The Merger”.</w:t>
      </w:r>
    </w:p>
    <w:p>
      <w:pPr>
        <w:spacing w:after="0" w:line="10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table below sets forth information as of the date of this prospectus, to our knowledge, the selling</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stockholders and other information regarding the beneficial ownership (as determined under</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Section 13(d) of the Exchange Act and the rules and regulations thereunder) of the shares of common</w:t>
      </w:r>
    </w:p>
    <w:p>
      <w:pPr>
        <w:ind w:left="1260"/>
        <w:spacing w:after="0" w:line="234" w:lineRule="auto"/>
        <w:rPr>
          <w:sz w:val="20"/>
          <w:szCs w:val="20"/>
          <w:color w:val="auto"/>
        </w:rPr>
      </w:pPr>
      <w:r>
        <w:rPr>
          <w:rFonts w:ascii="Arial" w:cs="Arial" w:eastAsia="Arial" w:hAnsi="Arial"/>
          <w:sz w:val="18"/>
          <w:szCs w:val="18"/>
          <w:color w:val="auto"/>
        </w:rPr>
        <w:t>stock held by the selling stockholders. The second column lists the number of shares of common stock</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beneficially owned by the selling stockholders, as of June 13, 2024. The third column lists the maximum</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number of shares of common stock that may be sold or otherwise disposed of by the selling stockholders</w:t>
      </w:r>
    </w:p>
    <w:p>
      <w:pPr>
        <w:ind w:left="1260"/>
        <w:spacing w:after="0" w:line="234" w:lineRule="auto"/>
        <w:rPr>
          <w:sz w:val="20"/>
          <w:szCs w:val="20"/>
          <w:color w:val="auto"/>
        </w:rPr>
      </w:pPr>
      <w:r>
        <w:rPr>
          <w:rFonts w:ascii="Arial" w:cs="Arial" w:eastAsia="Arial" w:hAnsi="Arial"/>
          <w:sz w:val="18"/>
          <w:szCs w:val="18"/>
          <w:color w:val="auto"/>
        </w:rPr>
        <w:t>pursuant to the registration statement of which this prospectus forms a part. The selling stockholders</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may sell or otherwise dispose of some, all or none of their shares. Pursuant to Rules 13d-3 and 13d-5 of</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Exchange Act, beneficial ownership includes any shares of our common stock as to which a</w:t>
      </w:r>
    </w:p>
    <w:p>
      <w:pPr>
        <w:ind w:left="1260"/>
        <w:spacing w:after="0" w:line="234" w:lineRule="auto"/>
        <w:rPr>
          <w:sz w:val="20"/>
          <w:szCs w:val="20"/>
          <w:color w:val="auto"/>
        </w:rPr>
      </w:pPr>
      <w:r>
        <w:rPr>
          <w:rFonts w:ascii="Arial" w:cs="Arial" w:eastAsia="Arial" w:hAnsi="Arial"/>
          <w:sz w:val="18"/>
          <w:szCs w:val="18"/>
          <w:color w:val="auto"/>
        </w:rPr>
        <w:t>stockholder has sole or shared voting power or investment power, and also any shares of our common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 which the stockholder has the right to acquire within 60 days of June 13, 2024. The percent of</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beneficial ownership for the selling stockholders is based on 84,500,780 shares of our common stock</w:t>
      </w:r>
    </w:p>
    <w:p>
      <w:pPr>
        <w:ind w:left="1260"/>
        <w:spacing w:after="0" w:line="234" w:lineRule="auto"/>
        <w:rPr>
          <w:sz w:val="20"/>
          <w:szCs w:val="20"/>
          <w:color w:val="auto"/>
        </w:rPr>
      </w:pPr>
      <w:r>
        <w:rPr>
          <w:rFonts w:ascii="Arial" w:cs="Arial" w:eastAsia="Arial" w:hAnsi="Arial"/>
          <w:sz w:val="18"/>
          <w:szCs w:val="18"/>
          <w:color w:val="auto"/>
        </w:rPr>
        <w:t>outstanding as of June 13, 2024. Except as described below, to our knowledge, none of the selling</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stockholders have been an officer or director of ours or of our affiliates within the past three years or had</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any material relationship with us or our affiliates within the past three years. Our knowledge is based on</w:t>
      </w:r>
    </w:p>
    <w:p>
      <w:pPr>
        <w:ind w:left="1260"/>
        <w:spacing w:after="0" w:line="234" w:lineRule="auto"/>
        <w:rPr>
          <w:sz w:val="20"/>
          <w:szCs w:val="20"/>
          <w:color w:val="auto"/>
        </w:rPr>
      </w:pPr>
      <w:r>
        <w:rPr>
          <w:rFonts w:ascii="Arial" w:cs="Arial" w:eastAsia="Arial" w:hAnsi="Arial"/>
          <w:sz w:val="18"/>
          <w:szCs w:val="18"/>
          <w:color w:val="auto"/>
        </w:rPr>
        <w:t>information provided by the selling stockholders in investor questionnaires in connection with the Merger,</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well as information obtained from relevant Schedule 13D and 13G filings.</w:t>
      </w:r>
    </w:p>
    <w:p>
      <w:pPr>
        <w:spacing w:after="0" w:line="126" w:lineRule="exact"/>
        <w:rPr>
          <w:sz w:val="20"/>
          <w:szCs w:val="20"/>
          <w:color w:val="auto"/>
        </w:rPr>
      </w:pPr>
    </w:p>
    <w:p>
      <w:pPr>
        <w:ind w:left="1260" w:right="1380"/>
        <w:spacing w:after="0" w:line="266" w:lineRule="auto"/>
        <w:rPr>
          <w:sz w:val="20"/>
          <w:szCs w:val="20"/>
          <w:color w:val="auto"/>
        </w:rPr>
      </w:pPr>
      <w:r>
        <w:rPr>
          <w:rFonts w:ascii="Arial" w:cs="Arial" w:eastAsia="Arial" w:hAnsi="Arial"/>
          <w:sz w:val="17"/>
          <w:szCs w:val="17"/>
          <w:color w:val="auto"/>
        </w:rPr>
        <w:t>The shares of common stock being covered hereby may be sold or otherwise disposed of from time to time during the period the registration statement of which this prospectus is a part remains effective, by or for the account of the selling stockholders. After the date of effectiveness, the selling stockholders may have sold or transferred, in transactions covered by this prospectus or in transactions exempt from the registration requirements of the Securities Act, some or all of their common stock.</w:t>
      </w:r>
    </w:p>
    <w:p>
      <w:pPr>
        <w:spacing w:after="0" w:line="91" w:lineRule="exact"/>
        <w:rPr>
          <w:sz w:val="20"/>
          <w:szCs w:val="20"/>
          <w:color w:val="auto"/>
        </w:rPr>
      </w:pPr>
    </w:p>
    <w:p>
      <w:pPr>
        <w:jc w:val="both"/>
        <w:ind w:left="1260" w:right="1720"/>
        <w:spacing w:after="0" w:line="318" w:lineRule="auto"/>
        <w:rPr>
          <w:sz w:val="20"/>
          <w:szCs w:val="20"/>
          <w:color w:val="auto"/>
        </w:rPr>
      </w:pPr>
      <w:r>
        <w:rPr>
          <w:rFonts w:ascii="Arial" w:cs="Arial" w:eastAsia="Arial" w:hAnsi="Arial"/>
          <w:sz w:val="17"/>
          <w:szCs w:val="17"/>
          <w:color w:val="auto"/>
        </w:rPr>
        <w:t>Unless otherwise indicated below, the address of each beneficial owner listed in the tables below is c/o Century Therapeutics, Inc., 25 North 38th Street, 11th Floor, Philadelphia, Pennsylvania 19104.</w:t>
      </w:r>
    </w:p>
    <w:p>
      <w:pPr>
        <w:spacing w:after="0" w:line="49" w:lineRule="exact"/>
        <w:rPr>
          <w:sz w:val="20"/>
          <w:szCs w:val="20"/>
          <w:color w:val="auto"/>
        </w:rPr>
      </w:pPr>
    </w:p>
    <w:p>
      <w:pPr>
        <w:ind w:left="1260" w:right="1520"/>
        <w:spacing w:after="0" w:line="253" w:lineRule="auto"/>
        <w:rPr>
          <w:sz w:val="20"/>
          <w:szCs w:val="20"/>
          <w:color w:val="auto"/>
        </w:rPr>
      </w:pPr>
      <w:r>
        <w:rPr>
          <w:rFonts w:ascii="Arial" w:cs="Arial" w:eastAsia="Arial" w:hAnsi="Arial"/>
          <w:sz w:val="18"/>
          <w:szCs w:val="18"/>
          <w:color w:val="auto"/>
        </w:rPr>
        <w:t>Information about the selling stockholders may change over time. Any changed information will be set forth in an amendment to the registration statement or supplement to this prospectus, to the extent required by law.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Number of Shares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Maximum Number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gridSpan w:val="7"/>
            <w:vMerge w:val="restart"/>
          </w:tcPr>
          <w:p>
            <w:pPr>
              <w:jc w:val="center"/>
              <w:ind w:right="1295"/>
              <w:spacing w:after="0"/>
              <w:rPr>
                <w:sz w:val="20"/>
                <w:szCs w:val="20"/>
                <w:color w:val="auto"/>
              </w:rPr>
            </w:pPr>
            <w:r>
              <w:rPr>
                <w:rFonts w:ascii="Arial" w:cs="Arial" w:eastAsia="Arial" w:hAnsi="Arial"/>
                <w:sz w:val="14"/>
                <w:szCs w:val="14"/>
                <w:b w:val="1"/>
                <w:bCs w:val="1"/>
                <w:color w:val="auto"/>
              </w:rPr>
              <w:t>Number of Shares of</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of Shares of</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70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4"/>
            <w:vMerge w:val="restart"/>
          </w:tcPr>
          <w:p>
            <w:pPr>
              <w:jc w:val="center"/>
              <w:ind w:left="78"/>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Common</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4"/>
            <w:vMerge w:val="restart"/>
          </w:tcPr>
          <w:p>
            <w:pPr>
              <w:jc w:val="center"/>
              <w:ind w:left="78"/>
              <w:spacing w:after="0"/>
              <w:rPr>
                <w:sz w:val="20"/>
                <w:szCs w:val="20"/>
                <w:color w:val="auto"/>
              </w:rPr>
            </w:pPr>
            <w:r>
              <w:rPr>
                <w:rFonts w:ascii="Arial" w:cs="Arial" w:eastAsia="Arial" w:hAnsi="Arial"/>
                <w:sz w:val="14"/>
                <w:szCs w:val="14"/>
                <w:b w:val="1"/>
                <w:bCs w:val="1"/>
                <w:color w:val="auto"/>
              </w:rPr>
              <w:t>Owned</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Owned</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Prior to Offering</w:t>
            </w:r>
          </w:p>
        </w:tc>
        <w:tc>
          <w:tcPr>
            <w:tcW w:w="80" w:type="dxa"/>
            <w:vAlign w:val="bottom"/>
          </w:tcPr>
          <w:p>
            <w:pPr>
              <w:spacing w:after="0"/>
              <w:rPr>
                <w:sz w:val="9"/>
                <w:szCs w:val="9"/>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3"/>
            <w:vMerge w:val="continue"/>
          </w:tcPr>
          <w:p>
            <w:pPr>
              <w:spacing w:after="0"/>
              <w:rPr>
                <w:sz w:val="9"/>
                <w:szCs w:val="9"/>
                <w:color w:val="auto"/>
              </w:rPr>
            </w:pPr>
          </w:p>
        </w:tc>
        <w:tc>
          <w:tcPr>
            <w:tcW w:w="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9"/>
                <w:szCs w:val="9"/>
                <w:color w:val="auto"/>
              </w:rPr>
            </w:pPr>
          </w:p>
        </w:tc>
        <w:tc>
          <w:tcPr>
            <w:tcW w:w="1320" w:type="dxa"/>
            <w:vAlign w:val="bottom"/>
            <w:gridSpan w:val="4"/>
            <w:vMerge w:val="restart"/>
          </w:tcPr>
          <w:p>
            <w:pPr>
              <w:jc w:val="center"/>
              <w:ind w:left="36"/>
              <w:spacing w:after="0"/>
              <w:rPr>
                <w:sz w:val="20"/>
                <w:szCs w:val="20"/>
                <w:color w:val="auto"/>
              </w:rPr>
            </w:pPr>
            <w:r>
              <w:rPr>
                <w:rFonts w:ascii="Arial" w:cs="Arial" w:eastAsia="Arial" w:hAnsi="Arial"/>
                <w:sz w:val="14"/>
                <w:szCs w:val="14"/>
                <w:b w:val="1"/>
                <w:bCs w:val="1"/>
                <w:color w:val="auto"/>
              </w:rPr>
              <w:t>After Offering(1)</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vMerge w:val="restart"/>
          </w:tcPr>
          <w:p>
            <w:pPr>
              <w:jc w:val="right"/>
              <w:ind w:right="1215"/>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90"/>
        </w:trPr>
        <w:tc>
          <w:tcPr>
            <w:tcW w:w="1260" w:type="dxa"/>
            <w:vAlign w:val="bottom"/>
            <w:vMerge w:val="restart"/>
          </w:tcPr>
          <w:p>
            <w:pPr>
              <w:spacing w:after="0"/>
              <w:rPr>
                <w:sz w:val="7"/>
                <w:szCs w:val="7"/>
                <w:color w:val="auto"/>
              </w:rPr>
            </w:pPr>
          </w:p>
        </w:tc>
        <w:tc>
          <w:tcPr>
            <w:tcW w:w="3260" w:type="dxa"/>
            <w:vAlign w:val="bottom"/>
            <w:gridSpan w:val="2"/>
            <w:vMerge w:val="continue"/>
          </w:tcPr>
          <w:p>
            <w:pPr>
              <w:spacing w:after="0"/>
              <w:rPr>
                <w:sz w:val="7"/>
                <w:szCs w:val="7"/>
                <w:color w:val="auto"/>
              </w:rPr>
            </w:pPr>
          </w:p>
        </w:tc>
        <w:tc>
          <w:tcPr>
            <w:tcW w:w="200" w:type="dxa"/>
            <w:vAlign w:val="bottom"/>
            <w:gridSpan w:val="3"/>
            <w:vMerge w:val="continue"/>
          </w:tcPr>
          <w:p>
            <w:pPr>
              <w:spacing w:after="0"/>
              <w:rPr>
                <w:sz w:val="7"/>
                <w:szCs w:val="7"/>
                <w:color w:val="auto"/>
              </w:rPr>
            </w:pPr>
          </w:p>
        </w:tc>
        <w:tc>
          <w:tcPr>
            <w:tcW w:w="142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52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rPr>
              <w:t>to be Sold Pursuant</w:t>
            </w:r>
          </w:p>
        </w:tc>
        <w:tc>
          <w:tcPr>
            <w:tcW w:w="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1260" w:type="dxa"/>
            <w:vAlign w:val="bottom"/>
            <w:vMerge w:val="continue"/>
          </w:tcPr>
          <w:p>
            <w:pPr>
              <w:spacing w:after="0"/>
              <w:rPr>
                <w:sz w:val="3"/>
                <w:szCs w:val="3"/>
                <w:color w:val="auto"/>
              </w:rPr>
            </w:pPr>
          </w:p>
        </w:tc>
        <w:tc>
          <w:tcPr>
            <w:tcW w:w="32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880" w:type="dxa"/>
            <w:vAlign w:val="bottom"/>
            <w:tcBorders>
              <w:top w:val="single" w:sz="8" w:color="auto"/>
            </w:tcBorders>
            <w:gridSpan w:val="2"/>
            <w:vMerge w:val="restart"/>
          </w:tcPr>
          <w:p>
            <w:pPr>
              <w:jc w:val="center"/>
              <w:spacing w:after="0" w:line="210" w:lineRule="exact"/>
              <w:rPr>
                <w:sz w:val="20"/>
                <w:szCs w:val="20"/>
                <w:color w:val="auto"/>
              </w:rPr>
            </w:pPr>
            <w:r>
              <w:rPr>
                <w:rFonts w:ascii="Arial" w:cs="Arial" w:eastAsia="Arial" w:hAnsi="Arial"/>
                <w:sz w:val="13"/>
                <w:szCs w:val="13"/>
                <w:b w:val="1"/>
                <w:bCs w:val="1"/>
                <w:color w:val="auto"/>
              </w:rPr>
              <w:t xml:space="preserve">Number   </w:t>
            </w:r>
            <w:r>
              <w:rPr>
                <w:rFonts w:ascii="Arial" w:cs="Arial" w:eastAsia="Arial" w:hAnsi="Arial"/>
                <w:sz w:val="24"/>
                <w:szCs w:val="24"/>
                <w:b w:val="1"/>
                <w:bCs w:val="1"/>
                <w:color w:val="auto"/>
                <w:vertAlign w:val="subscript"/>
              </w:rPr>
              <w:t>​</w:t>
            </w: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0" w:type="dxa"/>
            <w:vAlign w:val="bottom"/>
            <w:vMerge w:val="continue"/>
          </w:tcPr>
          <w:p>
            <w:pPr>
              <w:spacing w:after="0"/>
              <w:rPr>
                <w:sz w:val="3"/>
                <w:szCs w:val="3"/>
                <w:color w:val="auto"/>
              </w:rPr>
            </w:pPr>
          </w:p>
        </w:tc>
        <w:tc>
          <w:tcPr>
            <w:tcW w:w="1520" w:type="dxa"/>
            <w:vAlign w:val="bottom"/>
            <w:gridSpan w:val="3"/>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26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Name of Selling Stockholder</w:t>
            </w:r>
          </w:p>
        </w:tc>
        <w:tc>
          <w:tcPr>
            <w:tcW w:w="200" w:type="dxa"/>
            <w:vAlign w:val="bottom"/>
            <w:gridSpan w:val="3"/>
          </w:tcPr>
          <w:p>
            <w:pPr>
              <w:ind w:left="10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continue"/>
          </w:tcPr>
          <w:p>
            <w:pPr>
              <w:spacing w:after="0"/>
              <w:rPr>
                <w:sz w:val="16"/>
                <w:szCs w:val="16"/>
                <w:color w:val="auto"/>
              </w:rPr>
            </w:pPr>
          </w:p>
        </w:tc>
        <w:tc>
          <w:tcPr>
            <w:tcW w:w="820" w:type="dxa"/>
            <w:vAlign w:val="bottom"/>
            <w:gridSpan w:val="5"/>
          </w:tcPr>
          <w:p>
            <w:pPr>
              <w:jc w:val="right"/>
              <w:spacing w:after="0" w:line="164"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1"/>
                <w:szCs w:val="11"/>
                <w:b w:val="1"/>
                <w:bCs w:val="1"/>
                <w:color w:val="auto"/>
              </w:rPr>
              <w:t xml:space="preserve"> Percent </w:t>
            </w:r>
            <w:r>
              <w:rPr>
                <w:rFonts w:ascii="Arial" w:cs="Arial" w:eastAsia="Arial" w:hAnsi="Arial"/>
                <w:sz w:val="19"/>
                <w:szCs w:val="19"/>
                <w:b w:val="1"/>
                <w:bCs w:val="1"/>
                <w:color w:val="auto"/>
                <w:vertAlign w:val="subscript"/>
              </w:rPr>
              <w:t>​ ​</w:t>
            </w:r>
          </w:p>
        </w:tc>
        <w:tc>
          <w:tcPr>
            <w:tcW w:w="1520" w:type="dxa"/>
            <w:vAlign w:val="bottom"/>
            <w:gridSpan w:val="3"/>
          </w:tcPr>
          <w:p>
            <w:pPr>
              <w:ind w:left="80"/>
              <w:spacing w:after="0" w:line="164" w:lineRule="exact"/>
              <w:rPr>
                <w:sz w:val="20"/>
                <w:szCs w:val="20"/>
                <w:color w:val="auto"/>
              </w:rPr>
            </w:pPr>
            <w:r>
              <w:rPr>
                <w:rFonts w:ascii="Arial" w:cs="Arial" w:eastAsia="Arial" w:hAnsi="Arial"/>
                <w:sz w:val="11"/>
                <w:szCs w:val="11"/>
                <w:b w:val="1"/>
                <w:bCs w:val="1"/>
                <w:color w:val="auto"/>
              </w:rPr>
              <w:t xml:space="preserve">to this Prospectus  </w:t>
            </w:r>
            <w:r>
              <w:rPr>
                <w:rFonts w:ascii="Arial" w:cs="Arial" w:eastAsia="Arial" w:hAnsi="Arial"/>
                <w:sz w:val="19"/>
                <w:szCs w:val="19"/>
                <w:b w:val="1"/>
                <w:bCs w:val="1"/>
                <w:color w:val="auto"/>
                <w:vertAlign w:val="subscript"/>
              </w:rPr>
              <w:t>​</w:t>
            </w:r>
          </w:p>
        </w:tc>
        <w:tc>
          <w:tcPr>
            <w:tcW w:w="840" w:type="dxa"/>
            <w:vAlign w:val="bottom"/>
            <w:gridSpan w:val="4"/>
          </w:tcPr>
          <w:p>
            <w:pPr>
              <w:ind w:left="20"/>
              <w:spacing w:after="0" w:line="164"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1"/>
                <w:szCs w:val="11"/>
                <w:b w:val="1"/>
                <w:bCs w:val="1"/>
                <w:color w:val="auto"/>
              </w:rPr>
              <w:t xml:space="preserve"> Number </w:t>
            </w:r>
            <w:r>
              <w:rPr>
                <w:rFonts w:ascii="Arial" w:cs="Arial" w:eastAsia="Arial" w:hAnsi="Arial"/>
                <w:sz w:val="19"/>
                <w:szCs w:val="19"/>
                <w:b w:val="1"/>
                <w:bCs w:val="1"/>
                <w:color w:val="auto"/>
                <w:vertAlign w:val="subscript"/>
              </w:rPr>
              <w:t>​</w:t>
            </w:r>
          </w:p>
        </w:tc>
        <w:tc>
          <w:tcPr>
            <w:tcW w:w="1940" w:type="dxa"/>
            <w:vAlign w:val="bottom"/>
            <w:gridSpan w:val="5"/>
          </w:tcPr>
          <w:p>
            <w:pPr>
              <w:jc w:val="right"/>
              <w:ind w:right="1215"/>
              <w:spacing w:after="0" w:line="164"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1"/>
                <w:szCs w:val="11"/>
                <w:b w:val="1"/>
                <w:bCs w:val="1"/>
                <w:color w:val="auto"/>
              </w:rPr>
              <w:t xml:space="preserve"> Percent </w:t>
            </w:r>
            <w:r>
              <w:rPr>
                <w:rFonts w:ascii="Arial" w:cs="Arial" w:eastAsia="Arial" w:hAnsi="Arial"/>
                <w:sz w:val="19"/>
                <w:szCs w:val="19"/>
                <w:b w:val="1"/>
                <w:bCs w:val="1"/>
                <w:color w:val="auto"/>
                <w:vertAlign w:val="subscript"/>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tcPr>
          <w:p>
            <w:pPr>
              <w:spacing w:after="0"/>
              <w:rPr>
                <w:sz w:val="22"/>
                <w:szCs w:val="22"/>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Syncona Portfolio Limited(2)</w:t>
            </w:r>
          </w:p>
        </w:tc>
        <w:tc>
          <w:tcPr>
            <w:tcW w:w="120" w:type="dxa"/>
            <w:vAlign w:val="bottom"/>
          </w:tcPr>
          <w:p>
            <w:pPr>
              <w:spacing w:after="0"/>
              <w:rPr>
                <w:sz w:val="22"/>
                <w:szCs w:val="22"/>
                <w:color w:val="auto"/>
              </w:rPr>
            </w:pPr>
          </w:p>
        </w:tc>
        <w:tc>
          <w:tcPr>
            <w:tcW w:w="960" w:type="dxa"/>
            <w:vAlign w:val="bottom"/>
            <w:gridSpan w:val="4"/>
          </w:tcPr>
          <w:p>
            <w:pPr>
              <w:ind w:lef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2,042,471​​</w:t>
            </w:r>
          </w:p>
        </w:tc>
        <w:tc>
          <w:tcPr>
            <w:tcW w:w="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2.4​​%​</w:t>
            </w:r>
          </w:p>
        </w:tc>
        <w:tc>
          <w:tcPr>
            <w:tcW w:w="1520" w:type="dxa"/>
            <w:vAlign w:val="bottom"/>
            <w:gridSpan w:val="3"/>
          </w:tcPr>
          <w:p>
            <w:pPr>
              <w:ind w:left="5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2,042,471​​</w:t>
            </w:r>
          </w:p>
        </w:tc>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w:t>
            </w:r>
          </w:p>
        </w:tc>
        <w:tc>
          <w:tcPr>
            <w:tcW w:w="5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195"/>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ECI Health Fund 3, LLC(3)</w:t>
            </w:r>
          </w:p>
        </w:tc>
        <w:tc>
          <w:tcPr>
            <w:tcW w:w="120" w:type="dxa"/>
            <w:vAlign w:val="bottom"/>
          </w:tcPr>
          <w:p>
            <w:pPr>
              <w:spacing w:after="0"/>
              <w:rPr>
                <w:sz w:val="24"/>
                <w:szCs w:val="24"/>
                <w:color w:val="auto"/>
              </w:rPr>
            </w:pPr>
          </w:p>
        </w:tc>
        <w:tc>
          <w:tcPr>
            <w:tcW w:w="960" w:type="dxa"/>
            <w:vAlign w:val="bottom"/>
            <w:gridSpan w:val="4"/>
          </w:tcPr>
          <w:p>
            <w:pPr>
              <w:ind w:lef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1,021,235​​</w:t>
            </w:r>
          </w:p>
        </w:tc>
        <w:tc>
          <w:tcPr>
            <w:tcW w:w="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1.2​​%​</w:t>
            </w:r>
          </w:p>
        </w:tc>
        <w:tc>
          <w:tcPr>
            <w:tcW w:w="1520" w:type="dxa"/>
            <w:vAlign w:val="bottom"/>
            <w:gridSpan w:val="3"/>
          </w:tcPr>
          <w:p>
            <w:pPr>
              <w:ind w:left="5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1,021,235​​</w:t>
            </w:r>
          </w:p>
        </w:tc>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w:t>
            </w:r>
          </w:p>
        </w:tc>
        <w:tc>
          <w:tcPr>
            <w:tcW w:w="5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195"/>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LifeSci Venture SPV XIII, LLC(4)</w:t>
            </w:r>
          </w:p>
        </w:tc>
        <w:tc>
          <w:tcPr>
            <w:tcW w:w="120" w:type="dxa"/>
            <w:vAlign w:val="bottom"/>
          </w:tcPr>
          <w:p>
            <w:pPr>
              <w:spacing w:after="0"/>
              <w:rPr>
                <w:sz w:val="24"/>
                <w:szCs w:val="24"/>
                <w:color w:val="auto"/>
              </w:rPr>
            </w:pPr>
          </w:p>
        </w:tc>
        <w:tc>
          <w:tcPr>
            <w:tcW w:w="8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953,152​​</w:t>
            </w:r>
          </w:p>
        </w:tc>
        <w:tc>
          <w:tcPr>
            <w:tcW w:w="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w:t>
            </w:r>
          </w:p>
        </w:tc>
        <w:tc>
          <w:tcPr>
            <w:tcW w:w="68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953,152​​</w:t>
            </w:r>
          </w:p>
        </w:tc>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w:t>
            </w:r>
          </w:p>
        </w:tc>
        <w:tc>
          <w:tcPr>
            <w:tcW w:w="5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195"/>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Bristol-Myers Squibb Company(5)</w:t>
            </w:r>
          </w:p>
        </w:tc>
        <w:tc>
          <w:tcPr>
            <w:tcW w:w="120" w:type="dxa"/>
            <w:vAlign w:val="bottom"/>
          </w:tcPr>
          <w:p>
            <w:pPr>
              <w:spacing w:after="0"/>
              <w:rPr>
                <w:sz w:val="24"/>
                <w:szCs w:val="24"/>
                <w:color w:val="auto"/>
              </w:rPr>
            </w:pPr>
          </w:p>
        </w:tc>
        <w:tc>
          <w:tcPr>
            <w:tcW w:w="8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4"/>
          </w:tcPr>
          <w:p>
            <w:pPr>
              <w:jc w:val="right"/>
              <w:ind w:right="280"/>
              <w:spacing w:after="0"/>
              <w:rPr>
                <w:sz w:val="20"/>
                <w:szCs w:val="20"/>
                <w:color w:val="auto"/>
              </w:rPr>
            </w:pPr>
            <w:r>
              <w:rPr>
                <w:rFonts w:ascii="Arial" w:cs="Arial" w:eastAsia="Arial" w:hAnsi="Arial"/>
                <w:sz w:val="18"/>
                <w:szCs w:val="18"/>
                <w:color w:val="auto"/>
              </w:rPr>
              <w:t>510,617​​ ​</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510,617​​ ​</w:t>
            </w:r>
          </w:p>
        </w:tc>
        <w:tc>
          <w:tcPr>
            <w:tcW w:w="132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 ​</w:t>
            </w:r>
          </w:p>
        </w:tc>
        <w:tc>
          <w:tcPr>
            <w:tcW w:w="1380" w:type="dxa"/>
            <w:vAlign w:val="bottom"/>
            <w:gridSpan w:val="3"/>
          </w:tcPr>
          <w:p>
            <w:pPr>
              <w:jc w:val="right"/>
              <w:ind w:right="1195"/>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126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James and Ashley Harmon 2012 Long-</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260" w:type="dxa"/>
            <w:vAlign w:val="bottom"/>
          </w:tcPr>
          <w:p>
            <w:pPr>
              <w:spacing w:after="0"/>
              <w:rPr>
                <w:sz w:val="20"/>
                <w:szCs w:val="20"/>
                <w:color w:val="auto"/>
              </w:rPr>
            </w:pPr>
          </w:p>
        </w:tc>
        <w:tc>
          <w:tcPr>
            <w:tcW w:w="3460" w:type="dxa"/>
            <w:vAlign w:val="bottom"/>
            <w:gridSpan w:val="5"/>
          </w:tcPr>
          <w:p>
            <w:pPr>
              <w:ind w:left="180"/>
              <w:spacing w:after="0"/>
              <w:rPr>
                <w:sz w:val="20"/>
                <w:szCs w:val="20"/>
                <w:color w:val="auto"/>
              </w:rPr>
            </w:pPr>
            <w:r>
              <w:rPr>
                <w:rFonts w:ascii="Arial" w:cs="Arial" w:eastAsia="Arial" w:hAnsi="Arial"/>
                <w:sz w:val="18"/>
                <w:szCs w:val="18"/>
                <w:color w:val="auto"/>
                <w:w w:val="99"/>
              </w:rPr>
              <w:t xml:space="preserve">Term Trust dated November 27, 2012(6) </w:t>
            </w:r>
            <w:r>
              <w:rPr>
                <w:rFonts w:ascii="Arial" w:cs="Arial" w:eastAsia="Arial" w:hAnsi="Arial"/>
                <w:sz w:val="18"/>
                <w:szCs w:val="18"/>
                <w:b w:val="1"/>
                <w:bCs w:val="1"/>
                <w:color w:val="auto"/>
                <w:w w:val="99"/>
              </w:rPr>
              <w:t>​</w:t>
            </w:r>
          </w:p>
        </w:tc>
        <w:tc>
          <w:tcPr>
            <w:tcW w:w="1240" w:type="dxa"/>
            <w:vAlign w:val="bottom"/>
            <w:gridSpan w:val="4"/>
          </w:tcPr>
          <w:p>
            <w:pPr>
              <w:jc w:val="right"/>
              <w:ind w:right="280"/>
              <w:spacing w:after="0"/>
              <w:rPr>
                <w:sz w:val="20"/>
                <w:szCs w:val="20"/>
                <w:color w:val="auto"/>
              </w:rPr>
            </w:pPr>
            <w:r>
              <w:rPr>
                <w:rFonts w:ascii="Arial" w:cs="Arial" w:eastAsia="Arial" w:hAnsi="Arial"/>
                <w:sz w:val="18"/>
                <w:szCs w:val="18"/>
                <w:color w:val="auto"/>
              </w:rPr>
              <w:t>413,513​​ ​</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413,513​​ ​</w:t>
            </w:r>
          </w:p>
        </w:tc>
        <w:tc>
          <w:tcPr>
            <w:tcW w:w="132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 ​</w:t>
            </w:r>
          </w:p>
        </w:tc>
        <w:tc>
          <w:tcPr>
            <w:tcW w:w="1380" w:type="dxa"/>
            <w:vAlign w:val="bottom"/>
            <w:gridSpan w:val="3"/>
          </w:tcPr>
          <w:p>
            <w:pPr>
              <w:jc w:val="right"/>
              <w:ind w:right="1195"/>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LifeSci Venture Partners II, LP(7)</w:t>
            </w:r>
          </w:p>
        </w:tc>
        <w:tc>
          <w:tcPr>
            <w:tcW w:w="120" w:type="dxa"/>
            <w:vAlign w:val="bottom"/>
          </w:tcPr>
          <w:p>
            <w:pPr>
              <w:spacing w:after="0"/>
              <w:rPr>
                <w:sz w:val="24"/>
                <w:szCs w:val="24"/>
                <w:color w:val="auto"/>
              </w:rPr>
            </w:pPr>
          </w:p>
        </w:tc>
        <w:tc>
          <w:tcPr>
            <w:tcW w:w="8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4"/>
          </w:tcPr>
          <w:p>
            <w:pPr>
              <w:jc w:val="right"/>
              <w:ind w:right="280"/>
              <w:spacing w:after="0"/>
              <w:rPr>
                <w:sz w:val="20"/>
                <w:szCs w:val="20"/>
                <w:color w:val="auto"/>
              </w:rPr>
            </w:pPr>
            <w:r>
              <w:rPr>
                <w:rFonts w:ascii="Arial" w:cs="Arial" w:eastAsia="Arial" w:hAnsi="Arial"/>
                <w:sz w:val="18"/>
                <w:szCs w:val="18"/>
                <w:color w:val="auto"/>
              </w:rPr>
              <w:t>408,494​​ ​</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408,494​​ ​</w:t>
            </w:r>
          </w:p>
        </w:tc>
        <w:tc>
          <w:tcPr>
            <w:tcW w:w="132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 ​</w:t>
            </w:r>
          </w:p>
        </w:tc>
        <w:tc>
          <w:tcPr>
            <w:tcW w:w="1380" w:type="dxa"/>
            <w:vAlign w:val="bottom"/>
            <w:gridSpan w:val="3"/>
          </w:tcPr>
          <w:p>
            <w:pPr>
              <w:jc w:val="right"/>
              <w:ind w:right="1195"/>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Index Ventures Life VI (Jersey) LP(8)</w:t>
            </w:r>
          </w:p>
        </w:tc>
        <w:tc>
          <w:tcPr>
            <w:tcW w:w="120" w:type="dxa"/>
            <w:vAlign w:val="bottom"/>
          </w:tcPr>
          <w:p>
            <w:pPr>
              <w:spacing w:after="0"/>
              <w:rPr>
                <w:sz w:val="24"/>
                <w:szCs w:val="24"/>
                <w:color w:val="auto"/>
              </w:rPr>
            </w:pPr>
          </w:p>
        </w:tc>
        <w:tc>
          <w:tcPr>
            <w:tcW w:w="8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4"/>
          </w:tcPr>
          <w:p>
            <w:pPr>
              <w:jc w:val="right"/>
              <w:ind w:right="280"/>
              <w:spacing w:after="0"/>
              <w:rPr>
                <w:sz w:val="20"/>
                <w:szCs w:val="20"/>
                <w:color w:val="auto"/>
              </w:rPr>
            </w:pPr>
            <w:r>
              <w:rPr>
                <w:rFonts w:ascii="Arial" w:cs="Arial" w:eastAsia="Arial" w:hAnsi="Arial"/>
                <w:sz w:val="18"/>
                <w:szCs w:val="18"/>
                <w:color w:val="auto"/>
              </w:rPr>
              <w:t>378,438​​ ​</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378,438​​ ​</w:t>
            </w:r>
          </w:p>
        </w:tc>
        <w:tc>
          <w:tcPr>
            <w:tcW w:w="132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 ​</w:t>
            </w:r>
          </w:p>
        </w:tc>
        <w:tc>
          <w:tcPr>
            <w:tcW w:w="1380" w:type="dxa"/>
            <w:vAlign w:val="bottom"/>
            <w:gridSpan w:val="3"/>
          </w:tcPr>
          <w:p>
            <w:pPr>
              <w:jc w:val="right"/>
              <w:ind w:right="1195"/>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8"/>
        </w:trPr>
        <w:tc>
          <w:tcPr>
            <w:tcW w:w="126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Alexandria Venture Investments, LLC(9)</w:t>
            </w:r>
          </w:p>
        </w:tc>
        <w:tc>
          <w:tcPr>
            <w:tcW w:w="120" w:type="dxa"/>
            <w:vAlign w:val="bottom"/>
          </w:tcPr>
          <w:p>
            <w:pPr>
              <w:spacing w:after="0"/>
              <w:rPr>
                <w:sz w:val="24"/>
                <w:szCs w:val="24"/>
                <w:color w:val="auto"/>
              </w:rPr>
            </w:pPr>
          </w:p>
        </w:tc>
        <w:tc>
          <w:tcPr>
            <w:tcW w:w="8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4"/>
          </w:tcPr>
          <w:p>
            <w:pPr>
              <w:jc w:val="right"/>
              <w:ind w:right="280"/>
              <w:spacing w:after="0"/>
              <w:rPr>
                <w:sz w:val="20"/>
                <w:szCs w:val="20"/>
                <w:color w:val="auto"/>
              </w:rPr>
            </w:pPr>
            <w:r>
              <w:rPr>
                <w:rFonts w:ascii="Arial" w:cs="Arial" w:eastAsia="Arial" w:hAnsi="Arial"/>
                <w:sz w:val="18"/>
                <w:szCs w:val="18"/>
                <w:color w:val="auto"/>
              </w:rPr>
              <w:t>241,647​​ ​</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241,647​​ ​</w:t>
            </w:r>
          </w:p>
        </w:tc>
        <w:tc>
          <w:tcPr>
            <w:tcW w:w="132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 ​</w:t>
            </w:r>
          </w:p>
        </w:tc>
        <w:tc>
          <w:tcPr>
            <w:tcW w:w="1380" w:type="dxa"/>
            <w:vAlign w:val="bottom"/>
            <w:gridSpan w:val="3"/>
          </w:tcPr>
          <w:p>
            <w:pPr>
              <w:jc w:val="right"/>
              <w:ind w:right="1195"/>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0"/>
        </w:trPr>
        <w:tc>
          <w:tcPr>
            <w:tcW w:w="1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2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-1910715</wp:posOffset>
            </wp:positionV>
            <wp:extent cx="521208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-1551305</wp:posOffset>
            </wp:positionV>
            <wp:extent cx="5212080" cy="325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212080" cy="3257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-1036955</wp:posOffset>
            </wp:positionV>
            <wp:extent cx="521208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-2279650</wp:posOffset>
            </wp:positionV>
            <wp:extent cx="521208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Maximum Number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4"/>
          </w:tcPr>
          <w:p>
            <w:pPr>
              <w:jc w:val="center"/>
              <w:ind w:right="8"/>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94"/>
        </w:trPr>
        <w:tc>
          <w:tcPr>
            <w:tcW w:w="19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700" w:type="dxa"/>
            <w:vAlign w:val="bottom"/>
            <w:gridSpan w:val="4"/>
            <w:vMerge w:val="restart"/>
          </w:tcPr>
          <w:p>
            <w:pPr>
              <w:jc w:val="center"/>
              <w:ind w:right="188"/>
              <w:spacing w:after="0"/>
              <w:rPr>
                <w:sz w:val="20"/>
                <w:szCs w:val="20"/>
                <w:color w:val="auto"/>
              </w:rPr>
            </w:pPr>
            <w:r>
              <w:rPr>
                <w:rFonts w:ascii="Arial" w:cs="Arial" w:eastAsia="Arial" w:hAnsi="Arial"/>
                <w:sz w:val="14"/>
                <w:szCs w:val="14"/>
                <w:b w:val="1"/>
                <w:bCs w:val="1"/>
                <w:color w:val="auto"/>
              </w:rPr>
              <w:t>Number of Shares of</w:t>
            </w:r>
          </w:p>
        </w:tc>
        <w:tc>
          <w:tcPr>
            <w:tcW w:w="14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gridSpan w:val="3"/>
            <w:vMerge w:val="restart"/>
          </w:tcPr>
          <w:p>
            <w:pPr>
              <w:jc w:val="center"/>
              <w:ind w:right="628"/>
              <w:spacing w:after="0"/>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700" w:type="dxa"/>
            <w:vAlign w:val="bottom"/>
            <w:gridSpan w:val="4"/>
            <w:vMerge w:val="continue"/>
          </w:tcPr>
          <w:p>
            <w:pPr>
              <w:spacing w:after="0"/>
              <w:rPr>
                <w:sz w:val="5"/>
                <w:szCs w:val="5"/>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of Shares of</w:t>
            </w: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9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700" w:type="dxa"/>
            <w:vAlign w:val="bottom"/>
            <w:gridSpan w:val="4"/>
            <w:vMerge w:val="restart"/>
          </w:tcPr>
          <w:p>
            <w:pPr>
              <w:jc w:val="center"/>
              <w:ind w:right="188"/>
              <w:spacing w:after="0"/>
              <w:rPr>
                <w:sz w:val="20"/>
                <w:szCs w:val="20"/>
                <w:color w:val="auto"/>
              </w:rPr>
            </w:pPr>
            <w:r>
              <w:rPr>
                <w:rFonts w:ascii="Arial" w:cs="Arial" w:eastAsia="Arial" w:hAnsi="Arial"/>
                <w:sz w:val="14"/>
                <w:szCs w:val="14"/>
                <w:b w:val="1"/>
                <w:bCs w:val="1"/>
                <w:color w:val="auto"/>
              </w:rPr>
              <w:t>Common Stock</w:t>
            </w:r>
          </w:p>
        </w:tc>
        <w:tc>
          <w:tcPr>
            <w:tcW w:w="14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4"/>
            <w:vMerge w:val="restart"/>
          </w:tcPr>
          <w:p>
            <w:pPr>
              <w:jc w:val="center"/>
              <w:ind w:right="8"/>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700" w:type="dxa"/>
            <w:vAlign w:val="bottom"/>
            <w:gridSpan w:val="4"/>
            <w:vMerge w:val="continue"/>
          </w:tcPr>
          <w:p>
            <w:pPr>
              <w:spacing w:after="0"/>
              <w:rPr>
                <w:sz w:val="5"/>
                <w:szCs w:val="5"/>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9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700" w:type="dxa"/>
            <w:vAlign w:val="bottom"/>
            <w:gridSpan w:val="4"/>
            <w:vMerge w:val="restart"/>
          </w:tcPr>
          <w:p>
            <w:pPr>
              <w:jc w:val="center"/>
              <w:ind w:right="188"/>
              <w:spacing w:after="0"/>
              <w:rPr>
                <w:sz w:val="20"/>
                <w:szCs w:val="20"/>
                <w:color w:val="auto"/>
              </w:rPr>
            </w:pPr>
            <w:r>
              <w:rPr>
                <w:rFonts w:ascii="Arial" w:cs="Arial" w:eastAsia="Arial" w:hAnsi="Arial"/>
                <w:sz w:val="14"/>
                <w:szCs w:val="14"/>
                <w:b w:val="1"/>
                <w:bCs w:val="1"/>
                <w:color w:val="auto"/>
              </w:rPr>
              <w:t>Owned</w:t>
            </w:r>
          </w:p>
        </w:tc>
        <w:tc>
          <w:tcPr>
            <w:tcW w:w="14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4"/>
            <w:vMerge w:val="restart"/>
          </w:tcPr>
          <w:p>
            <w:pPr>
              <w:jc w:val="center"/>
              <w:ind w:right="8"/>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700" w:type="dxa"/>
            <w:vAlign w:val="bottom"/>
            <w:gridSpan w:val="4"/>
            <w:vMerge w:val="continue"/>
          </w:tcPr>
          <w:p>
            <w:pPr>
              <w:spacing w:after="0"/>
              <w:rPr>
                <w:sz w:val="5"/>
                <w:szCs w:val="5"/>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9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50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rPr>
              <w:t>Prior to Offering</w:t>
            </w:r>
          </w:p>
        </w:tc>
        <w:tc>
          <w:tcPr>
            <w:tcW w:w="2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w:t>
            </w:r>
          </w:p>
        </w:tc>
        <w:tc>
          <w:tcPr>
            <w:tcW w:w="1400" w:type="dxa"/>
            <w:vAlign w:val="bottom"/>
            <w:vMerge w:val="continue"/>
          </w:tcPr>
          <w:p>
            <w:pPr>
              <w:spacing w:after="0"/>
              <w:rPr>
                <w:sz w:val="8"/>
                <w:szCs w:val="8"/>
                <w:color w:val="auto"/>
              </w:rPr>
            </w:pPr>
          </w:p>
        </w:tc>
        <w:tc>
          <w:tcPr>
            <w:tcW w:w="1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8"/>
                <w:szCs w:val="8"/>
                <w:color w:val="auto"/>
              </w:rPr>
            </w:pPr>
          </w:p>
        </w:tc>
        <w:tc>
          <w:tcPr>
            <w:tcW w:w="14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After Offering(1)</w:t>
            </w: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04"/>
        </w:trPr>
        <w:tc>
          <w:tcPr>
            <w:tcW w:w="196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4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to be Sold Pursuant</w:t>
            </w:r>
          </w:p>
        </w:tc>
        <w:tc>
          <w:tcPr>
            <w:tcW w:w="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1960" w:type="dxa"/>
            <w:vAlign w:val="bottom"/>
            <w:vMerge w:val="continue"/>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0" w:type="dxa"/>
            <w:vAlign w:val="bottom"/>
            <w:vMerge w:val="continue"/>
          </w:tcPr>
          <w:p>
            <w:pPr>
              <w:spacing w:after="0"/>
              <w:rPr>
                <w:sz w:val="2"/>
                <w:szCs w:val="2"/>
                <w:color w:val="auto"/>
              </w:rPr>
            </w:pPr>
          </w:p>
        </w:tc>
        <w:tc>
          <w:tcPr>
            <w:tcW w:w="140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960" w:type="dxa"/>
            <w:vAlign w:val="bottom"/>
          </w:tcPr>
          <w:p>
            <w:pPr>
              <w:spacing w:after="0"/>
              <w:rPr>
                <w:sz w:val="20"/>
                <w:szCs w:val="20"/>
                <w:color w:val="auto"/>
              </w:rPr>
            </w:pPr>
            <w:r>
              <w:rPr>
                <w:rFonts w:ascii="Arial" w:cs="Arial" w:eastAsia="Arial" w:hAnsi="Arial"/>
                <w:sz w:val="14"/>
                <w:szCs w:val="14"/>
                <w:b w:val="1"/>
                <w:bCs w:val="1"/>
                <w:color w:val="auto"/>
              </w:rPr>
              <w:t>Name of Selling Stockholder</w:t>
            </w:r>
          </w:p>
        </w:tc>
        <w:tc>
          <w:tcPr>
            <w:tcW w:w="1500" w:type="dxa"/>
            <w:vAlign w:val="bottom"/>
          </w:tcPr>
          <w:p>
            <w:pPr>
              <w:ind w:left="1440"/>
              <w:spacing w:after="0"/>
              <w:rPr>
                <w:sz w:val="20"/>
                <w:szCs w:val="20"/>
                <w:color w:val="auto"/>
              </w:rPr>
            </w:pPr>
            <w:r>
              <w:rPr>
                <w:rFonts w:ascii="Arial" w:cs="Arial" w:eastAsia="Arial" w:hAnsi="Arial"/>
                <w:sz w:val="14"/>
                <w:szCs w:val="14"/>
                <w:b w:val="1"/>
                <w:bCs w:val="1"/>
                <w:color w:val="auto"/>
              </w:rPr>
              <w:t>​</w:t>
            </w:r>
          </w:p>
        </w:tc>
        <w:tc>
          <w:tcPr>
            <w:tcW w:w="1700" w:type="dxa"/>
            <w:vAlign w:val="bottom"/>
            <w:gridSpan w:val="4"/>
          </w:tcPr>
          <w:p>
            <w:pPr>
              <w:ind w:left="100"/>
              <w:spacing w:after="0" w:line="199" w:lineRule="exact"/>
              <w:rPr>
                <w:sz w:val="20"/>
                <w:szCs w:val="20"/>
                <w:color w:val="auto"/>
              </w:rPr>
            </w:pPr>
            <w:r>
              <w:rPr>
                <w:rFonts w:ascii="Arial" w:cs="Arial" w:eastAsia="Arial" w:hAnsi="Arial"/>
                <w:sz w:val="12"/>
                <w:szCs w:val="12"/>
                <w:b w:val="1"/>
                <w:bCs w:val="1"/>
                <w:color w:val="auto"/>
              </w:rPr>
              <w:t xml:space="preserve">Number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Percent </w:t>
            </w:r>
            <w:r>
              <w:rPr>
                <w:rFonts w:ascii="Arial" w:cs="Arial" w:eastAsia="Arial" w:hAnsi="Arial"/>
                <w:sz w:val="22"/>
                <w:szCs w:val="22"/>
                <w:b w:val="1"/>
                <w:bCs w:val="1"/>
                <w:color w:val="auto"/>
                <w:vertAlign w:val="subscript"/>
              </w:rPr>
              <w:t>​ ​</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to this Prospectus</w:t>
            </w:r>
          </w:p>
        </w:tc>
        <w:tc>
          <w:tcPr>
            <w:tcW w:w="1680" w:type="dxa"/>
            <w:vAlign w:val="bottom"/>
            <w:gridSpan w:val="6"/>
          </w:tcPr>
          <w:p>
            <w:pPr>
              <w:jc w:val="right"/>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Number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Percent </w:t>
            </w:r>
            <w:r>
              <w:rPr>
                <w:rFonts w:ascii="Arial" w:cs="Arial" w:eastAsia="Arial" w:hAnsi="Arial"/>
                <w:sz w:val="22"/>
                <w:szCs w:val="22"/>
                <w:b w:val="1"/>
                <w:bCs w:val="1"/>
                <w:color w:val="auto"/>
                <w:vertAlign w:val="subscript"/>
              </w:rPr>
              <w:t>​</w:t>
            </w:r>
          </w:p>
        </w:tc>
        <w:tc>
          <w:tcPr>
            <w:tcW w:w="0" w:type="dxa"/>
            <w:vAlign w:val="bottom"/>
          </w:tcPr>
          <w:p>
            <w:pPr>
              <w:spacing w:after="0"/>
              <w:rPr>
                <w:sz w:val="1"/>
                <w:szCs w:val="1"/>
                <w:color w:val="auto"/>
              </w:rPr>
            </w:pPr>
          </w:p>
        </w:tc>
      </w:tr>
      <w:tr>
        <w:trPr>
          <w:trHeight w:val="27"/>
        </w:trPr>
        <w:tc>
          <w:tcPr>
            <w:tcW w:w="1960" w:type="dxa"/>
            <w:vAlign w:val="bottom"/>
            <w:shd w:val="clear" w:color="auto" w:fill="000000"/>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tbl>
      <w:tblPr>
        <w:tblLayout w:type="fixed"/>
        <w:tblInd w:w="1260" w:type="dxa"/>
        <w:tblCellMar>
          <w:top w:w="0" w:type="dxa"/>
          <w:left w:w="0" w:type="dxa"/>
          <w:bottom w:w="0" w:type="dxa"/>
          <w:right w:w="0" w:type="dxa"/>
        </w:tblCellMar>
      </w:tblPr>
      <w:tr>
        <w:trPr>
          <w:trHeight w:val="257"/>
        </w:trPr>
        <w:tc>
          <w:tcPr>
            <w:tcW w:w="3380" w:type="dxa"/>
            <w:vAlign w:val="bottom"/>
          </w:tcPr>
          <w:p>
            <w:pPr>
              <w:spacing w:after="0"/>
              <w:rPr>
                <w:sz w:val="20"/>
                <w:szCs w:val="20"/>
                <w:color w:val="auto"/>
              </w:rPr>
            </w:pPr>
            <w:r>
              <w:rPr>
                <w:rFonts w:ascii="Arial" w:cs="Arial" w:eastAsia="Arial" w:hAnsi="Arial"/>
                <w:sz w:val="18"/>
                <w:szCs w:val="18"/>
                <w:color w:val="auto"/>
              </w:rPr>
              <w:t>Sami Busch</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194,780​​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Daniel Vasella(10)</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110,039​​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Janet Burrows James Revocable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2"/>
        </w:trPr>
        <w:tc>
          <w:tcPr>
            <w:tcW w:w="3380" w:type="dxa"/>
            <w:vAlign w:val="bottom"/>
          </w:tcPr>
          <w:p>
            <w:pPr>
              <w:ind w:left="180"/>
              <w:spacing w:after="0"/>
              <w:rPr>
                <w:sz w:val="20"/>
                <w:szCs w:val="20"/>
                <w:color w:val="auto"/>
              </w:rPr>
            </w:pPr>
            <w:r>
              <w:rPr>
                <w:rFonts w:ascii="Arial" w:cs="Arial" w:eastAsia="Arial" w:hAnsi="Arial"/>
                <w:sz w:val="18"/>
                <w:szCs w:val="18"/>
                <w:color w:val="auto"/>
              </w:rPr>
              <w:t>Trust(11)</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83,559​​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4"/>
        </w:trPr>
        <w:tc>
          <w:tcPr>
            <w:tcW w:w="3380" w:type="dxa"/>
            <w:vAlign w:val="bottom"/>
          </w:tcPr>
          <w:p>
            <w:pPr>
              <w:spacing w:after="0"/>
              <w:rPr>
                <w:sz w:val="20"/>
                <w:szCs w:val="20"/>
                <w:color w:val="auto"/>
              </w:rPr>
            </w:pPr>
            <w:r>
              <w:rPr>
                <w:rFonts w:ascii="Arial" w:cs="Arial" w:eastAsia="Arial" w:hAnsi="Arial"/>
                <w:sz w:val="18"/>
                <w:szCs w:val="18"/>
                <w:color w:val="auto"/>
              </w:rPr>
              <w:t>John Whitehead</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80,378​​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66"/>
        </w:trPr>
        <w:tc>
          <w:tcPr>
            <w:tcW w:w="3380" w:type="dxa"/>
            <w:vAlign w:val="bottom"/>
          </w:tcPr>
          <w:p>
            <w:pPr>
              <w:spacing w:after="0"/>
              <w:rPr>
                <w:sz w:val="20"/>
                <w:szCs w:val="20"/>
                <w:color w:val="auto"/>
              </w:rPr>
            </w:pPr>
            <w:r>
              <w:rPr>
                <w:rFonts w:ascii="Arial" w:cs="Arial" w:eastAsia="Arial" w:hAnsi="Arial"/>
                <w:sz w:val="18"/>
                <w:szCs w:val="18"/>
                <w:color w:val="auto"/>
              </w:rPr>
              <w:t>George F. McCabe Trust(12)</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70,167​​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Walter C. Donovan</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69,507​​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John N. Irwin III</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68,525​​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Samambaia Investments Limited(13)</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59,684​​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SRB Investments, LLC(14)</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42,292​​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James W. Westphal</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34,754​​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61"/>
        </w:trPr>
        <w:tc>
          <w:tcPr>
            <w:tcW w:w="3380" w:type="dxa"/>
            <w:vAlign w:val="bottom"/>
          </w:tcPr>
          <w:p>
            <w:pPr>
              <w:spacing w:after="0"/>
              <w:rPr>
                <w:sz w:val="20"/>
                <w:szCs w:val="20"/>
                <w:color w:val="auto"/>
              </w:rPr>
            </w:pPr>
            <w:r>
              <w:rPr>
                <w:rFonts w:ascii="Arial" w:cs="Arial" w:eastAsia="Arial" w:hAnsi="Arial"/>
                <w:sz w:val="18"/>
                <w:szCs w:val="18"/>
                <w:color w:val="auto"/>
              </w:rPr>
              <w:t>Peter J. Smail</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27,780​​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1970 Delaware Trust FBO John N.</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2"/>
        </w:trPr>
        <w:tc>
          <w:tcPr>
            <w:tcW w:w="3380" w:type="dxa"/>
            <w:vAlign w:val="bottom"/>
          </w:tcPr>
          <w:p>
            <w:pPr>
              <w:ind w:left="180"/>
              <w:spacing w:after="0"/>
              <w:rPr>
                <w:sz w:val="20"/>
                <w:szCs w:val="20"/>
                <w:color w:val="auto"/>
              </w:rPr>
            </w:pPr>
            <w:r>
              <w:rPr>
                <w:rFonts w:ascii="Arial" w:cs="Arial" w:eastAsia="Arial" w:hAnsi="Arial"/>
                <w:sz w:val="18"/>
                <w:szCs w:val="18"/>
                <w:color w:val="auto"/>
              </w:rPr>
              <w:t>Irwin III(15)</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27,233​​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34"/>
        </w:trPr>
        <w:tc>
          <w:tcPr>
            <w:tcW w:w="3380" w:type="dxa"/>
            <w:vAlign w:val="bottom"/>
          </w:tcPr>
          <w:p>
            <w:pPr>
              <w:spacing w:after="0"/>
              <w:rPr>
                <w:sz w:val="20"/>
                <w:szCs w:val="20"/>
                <w:color w:val="auto"/>
              </w:rPr>
            </w:pPr>
            <w:r>
              <w:rPr>
                <w:rFonts w:ascii="Arial" w:cs="Arial" w:eastAsia="Arial" w:hAnsi="Arial"/>
                <w:sz w:val="18"/>
                <w:szCs w:val="18"/>
                <w:color w:val="auto"/>
              </w:rPr>
              <w:t>The Cowan Investment Nominee</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2"/>
        </w:trPr>
        <w:tc>
          <w:tcPr>
            <w:tcW w:w="3380" w:type="dxa"/>
            <w:vAlign w:val="bottom"/>
          </w:tcPr>
          <w:p>
            <w:pPr>
              <w:ind w:left="180"/>
              <w:spacing w:after="0"/>
              <w:rPr>
                <w:sz w:val="20"/>
                <w:szCs w:val="20"/>
                <w:color w:val="auto"/>
              </w:rPr>
            </w:pPr>
            <w:r>
              <w:rPr>
                <w:rFonts w:ascii="Arial" w:cs="Arial" w:eastAsia="Arial" w:hAnsi="Arial"/>
                <w:sz w:val="18"/>
                <w:szCs w:val="18"/>
                <w:color w:val="auto"/>
              </w:rPr>
              <w:t>Trust(16)</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21,831​​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97"/>
        </w:trPr>
        <w:tc>
          <w:tcPr>
            <w:tcW w:w="3380" w:type="dxa"/>
            <w:vAlign w:val="bottom"/>
          </w:tcPr>
          <w:p>
            <w:pPr>
              <w:spacing w:after="0"/>
              <w:rPr>
                <w:sz w:val="20"/>
                <w:szCs w:val="20"/>
                <w:color w:val="auto"/>
              </w:rPr>
            </w:pPr>
            <w:r>
              <w:rPr>
                <w:rFonts w:ascii="Arial" w:cs="Arial" w:eastAsia="Arial" w:hAnsi="Arial"/>
                <w:sz w:val="18"/>
                <w:szCs w:val="18"/>
                <w:color w:val="auto"/>
              </w:rPr>
              <w:t>David J. Watson</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21,145​​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Peter S. Lynch Revocable Trust(17)</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20,968​​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The Lynch Foundation(18)</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20,968​​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2012 Donovan Family Trust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17,375​​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61"/>
        </w:trPr>
        <w:tc>
          <w:tcPr>
            <w:tcW w:w="3380" w:type="dxa"/>
            <w:vAlign w:val="bottom"/>
          </w:tcPr>
          <w:p>
            <w:pPr>
              <w:spacing w:after="0"/>
              <w:rPr>
                <w:sz w:val="20"/>
                <w:szCs w:val="20"/>
                <w:color w:val="auto"/>
              </w:rPr>
            </w:pPr>
            <w:r>
              <w:rPr>
                <w:rFonts w:ascii="Arial" w:cs="Arial" w:eastAsia="Arial" w:hAnsi="Arial"/>
                <w:sz w:val="18"/>
                <w:szCs w:val="18"/>
                <w:color w:val="auto"/>
              </w:rPr>
              <w:t>Kite Pharma Inc.(19)</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9,675​​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Peter &amp; Carolyn Lynch CLUT Article II</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2"/>
        </w:trPr>
        <w:tc>
          <w:tcPr>
            <w:tcW w:w="3380" w:type="dxa"/>
            <w:vAlign w:val="bottom"/>
          </w:tcPr>
          <w:p>
            <w:pPr>
              <w:ind w:left="180"/>
              <w:spacing w:after="0"/>
              <w:rPr>
                <w:sz w:val="20"/>
                <w:szCs w:val="20"/>
                <w:color w:val="auto"/>
              </w:rPr>
            </w:pPr>
            <w:r>
              <w:rPr>
                <w:rFonts w:ascii="Arial" w:cs="Arial" w:eastAsia="Arial" w:hAnsi="Arial"/>
                <w:sz w:val="18"/>
                <w:szCs w:val="18"/>
                <w:color w:val="auto"/>
              </w:rPr>
              <w:t>Trust(20)</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6,345​​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97"/>
        </w:trPr>
        <w:tc>
          <w:tcPr>
            <w:tcW w:w="3380" w:type="dxa"/>
            <w:vAlign w:val="bottom"/>
          </w:tcPr>
          <w:p>
            <w:pPr>
              <w:spacing w:after="0"/>
              <w:rPr>
                <w:sz w:val="20"/>
                <w:szCs w:val="20"/>
                <w:color w:val="auto"/>
              </w:rPr>
            </w:pPr>
            <w:r>
              <w:rPr>
                <w:rFonts w:ascii="Arial" w:cs="Arial" w:eastAsia="Arial" w:hAnsi="Arial"/>
                <w:sz w:val="18"/>
                <w:szCs w:val="18"/>
                <w:color w:val="auto"/>
              </w:rPr>
              <w:t>Mary Witkowski Revocable Trust(21)</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5,523​​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Yucca (Jersey) SLP(22)</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5,763​​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GC&amp;H Investments LP(23)</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3,403​​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GC&amp;H Investments, L.P.(24)</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3,403​​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61"/>
        </w:trPr>
        <w:tc>
          <w:tcPr>
            <w:tcW w:w="3380" w:type="dxa"/>
            <w:vAlign w:val="bottom"/>
          </w:tcPr>
          <w:p>
            <w:pPr>
              <w:spacing w:after="0"/>
              <w:rPr>
                <w:sz w:val="20"/>
                <w:szCs w:val="20"/>
                <w:color w:val="auto"/>
              </w:rPr>
            </w:pPr>
            <w:r>
              <w:rPr>
                <w:rFonts w:ascii="Arial" w:cs="Arial" w:eastAsia="Arial" w:hAnsi="Arial"/>
                <w:sz w:val="18"/>
                <w:szCs w:val="18"/>
                <w:color w:val="auto"/>
              </w:rPr>
              <w:t>Gadeta Founders B.V.(25)</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5,090​​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w w:val="99"/>
              </w:rPr>
              <w:t>Peter &amp; Carolyn Lynch Clat Article III Trust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2"/>
        </w:trPr>
        <w:tc>
          <w:tcPr>
            <w:tcW w:w="3380" w:type="dxa"/>
            <w:vAlign w:val="bottom"/>
          </w:tcPr>
          <w:p>
            <w:pPr>
              <w:ind w:left="180"/>
              <w:spacing w:after="0"/>
              <w:rPr>
                <w:sz w:val="20"/>
                <w:szCs w:val="20"/>
                <w:color w:val="auto"/>
              </w:rPr>
            </w:pPr>
            <w:r>
              <w:rPr>
                <w:rFonts w:ascii="Arial" w:cs="Arial" w:eastAsia="Arial" w:hAnsi="Arial"/>
                <w:sz w:val="18"/>
                <w:szCs w:val="18"/>
                <w:color w:val="auto"/>
              </w:rPr>
              <w:t>FBO A Lukowski(26)</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475​​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34"/>
        </w:trPr>
        <w:tc>
          <w:tcPr>
            <w:tcW w:w="3380" w:type="dxa"/>
            <w:vAlign w:val="bottom"/>
          </w:tcPr>
          <w:p>
            <w:pPr>
              <w:spacing w:after="0"/>
              <w:rPr>
                <w:sz w:val="20"/>
                <w:szCs w:val="20"/>
                <w:color w:val="auto"/>
              </w:rPr>
            </w:pPr>
            <w:r>
              <w:rPr>
                <w:rFonts w:ascii="Arial" w:cs="Arial" w:eastAsia="Arial" w:hAnsi="Arial"/>
                <w:sz w:val="18"/>
                <w:szCs w:val="18"/>
                <w:color w:val="auto"/>
                <w:w w:val="99"/>
              </w:rPr>
              <w:t>Peter &amp; Carolyn Lynch Clat Article III Trust</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2"/>
        </w:trPr>
        <w:tc>
          <w:tcPr>
            <w:tcW w:w="3380" w:type="dxa"/>
            <w:vAlign w:val="bottom"/>
          </w:tcPr>
          <w:p>
            <w:pPr>
              <w:ind w:left="180"/>
              <w:spacing w:after="0"/>
              <w:rPr>
                <w:sz w:val="20"/>
                <w:szCs w:val="20"/>
                <w:color w:val="auto"/>
              </w:rPr>
            </w:pPr>
            <w:r>
              <w:rPr>
                <w:rFonts w:ascii="Arial" w:cs="Arial" w:eastAsia="Arial" w:hAnsi="Arial"/>
                <w:sz w:val="18"/>
                <w:szCs w:val="18"/>
                <w:color w:val="auto"/>
              </w:rPr>
              <w:t>FBO DE Montrichard(27)</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475​​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34"/>
        </w:trPr>
        <w:tc>
          <w:tcPr>
            <w:tcW w:w="3380" w:type="dxa"/>
            <w:vAlign w:val="bottom"/>
          </w:tcPr>
          <w:p>
            <w:pPr>
              <w:spacing w:after="0"/>
              <w:rPr>
                <w:sz w:val="20"/>
                <w:szCs w:val="20"/>
                <w:color w:val="auto"/>
              </w:rPr>
            </w:pPr>
            <w:r>
              <w:rPr>
                <w:rFonts w:ascii="Arial" w:cs="Arial" w:eastAsia="Arial" w:hAnsi="Arial"/>
                <w:sz w:val="18"/>
                <w:szCs w:val="18"/>
                <w:color w:val="auto"/>
                <w:w w:val="99"/>
              </w:rPr>
              <w:t>Peter &amp; Carolyn Lynch Clat Article III Trust</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2"/>
        </w:trPr>
        <w:tc>
          <w:tcPr>
            <w:tcW w:w="3380" w:type="dxa"/>
            <w:vAlign w:val="bottom"/>
          </w:tcPr>
          <w:p>
            <w:pPr>
              <w:ind w:left="180"/>
              <w:spacing w:after="0"/>
              <w:rPr>
                <w:sz w:val="20"/>
                <w:szCs w:val="20"/>
                <w:color w:val="auto"/>
              </w:rPr>
            </w:pPr>
            <w:r>
              <w:rPr>
                <w:rFonts w:ascii="Arial" w:cs="Arial" w:eastAsia="Arial" w:hAnsi="Arial"/>
                <w:sz w:val="18"/>
                <w:szCs w:val="18"/>
                <w:color w:val="auto"/>
              </w:rPr>
              <w:t>FBO M Witkowski(28)</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475​​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97"/>
        </w:trPr>
        <w:tc>
          <w:tcPr>
            <w:tcW w:w="3380" w:type="dxa"/>
            <w:vAlign w:val="bottom"/>
          </w:tcPr>
          <w:p>
            <w:pPr>
              <w:spacing w:after="0"/>
              <w:rPr>
                <w:sz w:val="20"/>
                <w:szCs w:val="20"/>
                <w:color w:val="auto"/>
              </w:rPr>
            </w:pPr>
            <w:r>
              <w:rPr>
                <w:rFonts w:ascii="Arial" w:cs="Arial" w:eastAsia="Arial" w:hAnsi="Arial"/>
                <w:sz w:val="18"/>
                <w:szCs w:val="18"/>
                <w:color w:val="auto"/>
              </w:rPr>
              <w:t>Chad Cowan(29)</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377,181​​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James Glasheen(30)</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377,181​​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Derek Hei(31)</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44,374​​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Leandro Vetcher(32)</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44,374​​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Ritikesh Kumar</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22,186​​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Howard Young</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22,186​​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-6268085</wp:posOffset>
            </wp:positionV>
            <wp:extent cx="5212080"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212080" cy="3003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-5805170</wp:posOffset>
            </wp:positionV>
            <wp:extent cx="521208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-5471160</wp:posOffset>
            </wp:positionV>
            <wp:extent cx="52120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-5128260</wp:posOffset>
            </wp:positionV>
            <wp:extent cx="52120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-4785360</wp:posOffset>
            </wp:positionV>
            <wp:extent cx="52120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-4305300</wp:posOffset>
            </wp:positionV>
            <wp:extent cx="5212080" cy="308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-3825240</wp:posOffset>
            </wp:positionV>
            <wp:extent cx="521208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-3482340</wp:posOffset>
            </wp:positionV>
            <wp:extent cx="521208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-3139440</wp:posOffset>
            </wp:positionV>
            <wp:extent cx="5212080" cy="308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-2659380</wp:posOffset>
            </wp:positionV>
            <wp:extent cx="52120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-2316480</wp:posOffset>
            </wp:positionV>
            <wp:extent cx="52120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-1973580</wp:posOffset>
            </wp:positionV>
            <wp:extent cx="5212080"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-1356360</wp:posOffset>
            </wp:positionV>
            <wp:extent cx="5212080" cy="308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-876300</wp:posOffset>
            </wp:positionV>
            <wp:extent cx="521208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-533400</wp:posOffset>
            </wp:positionV>
            <wp:extent cx="521208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-190500</wp:posOffset>
            </wp:positionV>
            <wp:extent cx="521208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 194,780​​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66"/>
        </w:trPr>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 110,039​​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44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83,559​​ ​</w:t>
            </w:r>
          </w:p>
        </w:tc>
        <w:tc>
          <w:tcPr>
            <w:tcW w:w="84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80,378​​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6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70,167​​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69,507​​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68,525​​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59,684​​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42,292​​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34,754​​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27,780​​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459"/>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27,233​​ ​</w:t>
            </w:r>
          </w:p>
        </w:tc>
        <w:tc>
          <w:tcPr>
            <w:tcW w:w="84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48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21,831​​ ​</w:t>
            </w:r>
          </w:p>
        </w:tc>
        <w:tc>
          <w:tcPr>
            <w:tcW w:w="84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21,145​​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20,968​​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20,968​​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17,375​​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9,675​​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459"/>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6,345​​ ​</w:t>
            </w:r>
          </w:p>
        </w:tc>
        <w:tc>
          <w:tcPr>
            <w:tcW w:w="84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5,523​​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5,763​​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3,403​​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3,403​​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5,090​​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459"/>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475​​ ​</w:t>
            </w:r>
          </w:p>
        </w:tc>
        <w:tc>
          <w:tcPr>
            <w:tcW w:w="84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48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475​​ ​</w:t>
            </w:r>
          </w:p>
        </w:tc>
        <w:tc>
          <w:tcPr>
            <w:tcW w:w="84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48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475​​ ​</w:t>
            </w:r>
          </w:p>
        </w:tc>
        <w:tc>
          <w:tcPr>
            <w:tcW w:w="84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97"/>
        </w:trPr>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 377,181​​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 377,181​​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44,374​​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44,374​​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22,186​​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22,186​​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2">
            <w:col w:w="6420" w:space="600"/>
            <w:col w:w="2859"/>
          </w:cols>
          <w:pgMar w:left="580" w:top="97" w:right="1440" w:bottom="1440" w:gutter="0" w:footer="0" w:header="0"/>
          <w:type w:val="continuous"/>
        </w:sectPr>
      </w:pPr>
    </w:p>
    <w:p>
      <w:pPr>
        <w:spacing w:after="0" w:line="15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3716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620" w:hanging="36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1620" w:hanging="360"/>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Assumes the sale of all shares offered pursuant to this prospectus.</w:t>
      </w:r>
    </w:p>
    <w:p>
      <w:pPr>
        <w:spacing w:after="0" w:line="76" w:lineRule="exact"/>
        <w:rPr>
          <w:rFonts w:ascii="Arial" w:cs="Arial" w:eastAsia="Arial" w:hAnsi="Arial"/>
          <w:sz w:val="18"/>
          <w:szCs w:val="18"/>
          <w:color w:val="auto"/>
        </w:rPr>
      </w:pPr>
    </w:p>
    <w:p>
      <w:pPr>
        <w:ind w:left="1620" w:right="499" w:hanging="360"/>
        <w:spacing w:after="0" w:line="255"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Syncona Portfolio Limited is a controlled subsidiary of Syncona Holdings Limited, which in turn is a controlled subsidiary of Syncona Limited. Each of Syncona Holdings Limited and Syncona Limited may be deemed to have voting and investment power over the shares held by Syncona Portfolio Limited. Voting and investment decisions with respect to these shares are made by Syncona Portfolio Limited acting upon the recommendation of an investment committee of Syncona Investment Management Limited, also a subsidiary of Syncona Holdings Limited. The members of this investment committee consist of Nigel Keen, Martin Murphy and Chris Hollowood. The address for Syncona Portfolio Limited is Arnold House, PO Box 273, St Julian’s Avenue, St Peter Port, Guernsey, GY1 3RD, Channel Islands.</w:t>
      </w:r>
    </w:p>
    <w:p>
      <w:pPr>
        <w:spacing w:after="0" w:line="32" w:lineRule="exact"/>
        <w:rPr>
          <w:rFonts w:ascii="Arial" w:cs="Arial" w:eastAsia="Arial" w:hAnsi="Arial"/>
          <w:sz w:val="18"/>
          <w:szCs w:val="18"/>
          <w:color w:val="auto"/>
        </w:rPr>
      </w:pPr>
    </w:p>
    <w:p>
      <w:pPr>
        <w:jc w:val="both"/>
        <w:ind w:left="1620" w:right="439" w:hanging="360"/>
        <w:spacing w:after="0" w:line="268"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Steve McDermid has voting and investment power over the shares held by ECI Health Fund 3, LLC. The address of the principal business office of Steve McDermid and ECI Health Fund 3, LLC is 555 Bryant Street #259, Palo Alto, CA 94301.</w:t>
      </w:r>
    </w:p>
    <w:p>
      <w:pPr>
        <w:spacing w:after="0" w:line="22" w:lineRule="exact"/>
        <w:rPr>
          <w:rFonts w:ascii="Arial" w:cs="Arial" w:eastAsia="Arial" w:hAnsi="Arial"/>
          <w:sz w:val="18"/>
          <w:szCs w:val="18"/>
          <w:color w:val="auto"/>
        </w:rPr>
      </w:pPr>
    </w:p>
    <w:p>
      <w:pPr>
        <w:ind w:left="1620" w:right="479" w:hanging="360"/>
        <w:spacing w:after="0" w:line="291" w:lineRule="auto"/>
        <w:tabs>
          <w:tab w:leader="none" w:pos="1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Paul Yook as Managing Member of LifeSci Venture SPV XIII, LLC has voting and investment power over the shares held by LifeSci Venture SPV XIII, LLC. The business address of each of LifeSci Venture SPV XIII, LLC and Mr. Yook is 250 West 55th Street, 34th Floor, New York, NY 10019.</w:t>
      </w:r>
    </w:p>
    <w:p>
      <w:pPr>
        <w:spacing w:after="0" w:line="4" w:lineRule="exact"/>
        <w:rPr>
          <w:rFonts w:ascii="Arial" w:cs="Arial" w:eastAsia="Arial" w:hAnsi="Arial"/>
          <w:sz w:val="17"/>
          <w:szCs w:val="17"/>
          <w:color w:val="auto"/>
        </w:rPr>
      </w:pPr>
    </w:p>
    <w:p>
      <w:pPr>
        <w:ind w:left="1620" w:right="499" w:hanging="360"/>
        <w:spacing w:after="0" w:line="268"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Bristol-Myers Squibb Company has sole voting and investment power over 303,263 shares of common stock. The address of Bristol-Myers Squibb Company is Route 206 &amp; Province Line Road, Princeton, New Jersey 08543.</w:t>
      </w:r>
    </w:p>
    <w:p>
      <w:pPr>
        <w:spacing w:after="0" w:line="22" w:lineRule="exact"/>
        <w:rPr>
          <w:rFonts w:ascii="Arial" w:cs="Arial" w:eastAsia="Arial" w:hAnsi="Arial"/>
          <w:sz w:val="18"/>
          <w:szCs w:val="18"/>
          <w:color w:val="auto"/>
        </w:rPr>
      </w:pPr>
    </w:p>
    <w:p>
      <w:pPr>
        <w:ind w:left="1620" w:right="539" w:hanging="360"/>
        <w:spacing w:after="0" w:line="257"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trustee of James and Ashley Harmon 2012 Long-Term Trust dated November 27, 2012 is Ashley Harmon. This individual may be deemed to have voting and investment power of the securities held by James and Ashley Harmon 2012 Long-Term Trust dated November 27, 2012. Ashley Harmon will disclaim beneficial ownership of such securities, except to the extent of her pecuniary interest therein. The address of James and Ashley Harmon 2012 Long-Term Trust dated November 27, 2012 is 130 Warren Street, Brookline, MA 02445.</w:t>
      </w:r>
    </w:p>
    <w:p>
      <w:pPr>
        <w:spacing w:after="0" w:line="33" w:lineRule="exact"/>
        <w:rPr>
          <w:rFonts w:ascii="Arial" w:cs="Arial" w:eastAsia="Arial" w:hAnsi="Arial"/>
          <w:sz w:val="18"/>
          <w:szCs w:val="18"/>
          <w:color w:val="auto"/>
        </w:rPr>
      </w:pPr>
    </w:p>
    <w:p>
      <w:pPr>
        <w:ind w:left="1620" w:right="459" w:hanging="360"/>
        <w:spacing w:after="0" w:line="291" w:lineRule="auto"/>
        <w:tabs>
          <w:tab w:leader="none" w:pos="1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Paul Yook as Managing Member of LifeSci Venture Partners II, LP has voting and investment power over the shares held by LifeSci Venture Partners II, LP. The business address of each of LifeSci Venture Partners II, LP and Mr. Yook is 250 West 55th Street, 34th Floor, New York, NY 10019.</w:t>
      </w:r>
    </w:p>
    <w:p>
      <w:pPr>
        <w:spacing w:after="0" w:line="4" w:lineRule="exact"/>
        <w:rPr>
          <w:rFonts w:ascii="Arial" w:cs="Arial" w:eastAsia="Arial" w:hAnsi="Arial"/>
          <w:sz w:val="17"/>
          <w:szCs w:val="17"/>
          <w:color w:val="auto"/>
        </w:rPr>
      </w:pPr>
    </w:p>
    <w:p>
      <w:pPr>
        <w:ind w:left="1620" w:right="499" w:hanging="360"/>
        <w:spacing w:after="0" w:line="268" w:lineRule="auto"/>
        <w:tabs>
          <w:tab w:leader="none" w:pos="1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Index Venture Life Associates VI Limited, a Jersey limited liability company (“Index Venture Life VI GP”), is the managing general partner of Index Ventures Life VI (Jersey) LP (“Index Venture Life VI”). Yucca (Jersey) SLP, a Jersey separate limited partnership (“Yucca”) administers the Index Ventures Life VI co-investment vehicle that is contractually required to mirror the investment in the shares by Index Ventures Life VI. Index Venture Life VI GP may be deemed to have voting and dispositive power over the shares held by Index Ventures Life VI and Yucca. David Hall, Phil Balderson, Brendan Boyle and Luke Aubert are members of the board of directors of Index Venture Life VI GP, and investment and voting decisions with respect to the shares held by Index Ventures Life VI are made by such directors collectively and investment and voting decisions with respect to the shares held by Yucca are deemed to be made by such directors collectively. Medicxi Ventures (UK) LLP and Medicxi Ventures (Jersey) Limited act as sub-advisers to Index Ventures Life VI (Jersey) Limited, which acts as the adviser to Index Ventures Life VI, and as such the Medicxi Funds, Index Ventures Life VI and Yucca may be deemed to be members of a “group” as defined in Rule 13d-5 of the Exchange Act. The share ownership reported by Index Ventures Life VI and Yucca does not include any shares beneficially owned by the Medicxi Funds, and each of Index Ventures Life VI and Yucca and their affiliates disclaim beneficial ownership of the securities beneficially owned by the Medicxi Funds and their affiliates. The address of the principal business office of Index Ventures Life VI is c/o Intertrust Fund Services (Jersey) Limited, 44 Esplanade, St. Helier, Jersey JE4 9WG. The address of the principal business office of Yucca is c/o Intertrust Employee Benefit Services Limited, 44 Esplanade, St Helier, Jersey, JE4 9WG.</w:t>
      </w:r>
    </w:p>
    <w:p>
      <w:pPr>
        <w:spacing w:after="0" w:line="21" w:lineRule="exact"/>
        <w:rPr>
          <w:rFonts w:ascii="Arial" w:cs="Arial" w:eastAsia="Arial" w:hAnsi="Arial"/>
          <w:sz w:val="17"/>
          <w:szCs w:val="17"/>
          <w:color w:val="auto"/>
        </w:rPr>
      </w:pPr>
    </w:p>
    <w:p>
      <w:pPr>
        <w:ind w:left="1620" w:right="639" w:hanging="360"/>
        <w:spacing w:after="0" w:line="291" w:lineRule="auto"/>
        <w:tabs>
          <w:tab w:leader="none" w:pos="1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Alexandria Venture Investments LLC and Alexandria Real Estate Equities Inc. have shared voting and dispositive power over the 143,518 shares of common stock owned by Alexandria Venture Investments LLC. Joel S. Marcus is the Executive Chairman of ARE-QRS Corp., the general</w:t>
      </w:r>
    </w:p>
    <w:p>
      <w:pPr>
        <w:sectPr>
          <w:pgSz w:w="11900" w:h="16838" w:orient="portrait"/>
          <w:cols w:equalWidth="0" w:num="1">
            <w:col w:w="9879"/>
          </w:cols>
          <w:pgMar w:left="580" w:top="97" w:right="1440" w:bottom="1440" w:gutter="0" w:footer="0" w:header="0"/>
        </w:sectPr>
      </w:pPr>
    </w:p>
    <w:p>
      <w:pPr>
        <w:spacing w:after="0" w:line="34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839"/>
        <w:spacing w:after="0" w:line="281" w:lineRule="auto"/>
        <w:rPr>
          <w:sz w:val="20"/>
          <w:szCs w:val="20"/>
          <w:color w:val="auto"/>
        </w:rPr>
      </w:pPr>
      <w:r>
        <w:rPr>
          <w:rFonts w:ascii="Arial" w:cs="Arial" w:eastAsia="Arial" w:hAnsi="Arial"/>
          <w:sz w:val="17"/>
          <w:szCs w:val="17"/>
          <w:color w:val="auto"/>
        </w:rPr>
        <w:t>partner of Alexandria Real Estate Equities Inc., which is the managing member of ARE-Special Services, LLC, which is the managing member of Alexandria Venture Investments LLC. The address of Alexandria Venture Investments LLC is 26 N. Euclid Avenue, Pasadena, CA 91101.</w:t>
      </w:r>
    </w:p>
    <w:p>
      <w:pPr>
        <w:spacing w:after="0" w:line="2" w:lineRule="exact"/>
        <w:rPr>
          <w:sz w:val="20"/>
          <w:szCs w:val="20"/>
          <w:color w:val="auto"/>
        </w:rPr>
      </w:pPr>
    </w:p>
    <w:p>
      <w:pPr>
        <w:ind w:left="1620" w:hanging="36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 Vasella served as a member of the board of directors of Clade until the Merger.</w:t>
      </w:r>
    </w:p>
    <w:p>
      <w:pPr>
        <w:spacing w:after="0" w:line="76" w:lineRule="exact"/>
        <w:rPr>
          <w:rFonts w:ascii="Arial" w:cs="Arial" w:eastAsia="Arial" w:hAnsi="Arial"/>
          <w:sz w:val="18"/>
          <w:szCs w:val="18"/>
          <w:color w:val="auto"/>
        </w:rPr>
      </w:pPr>
    </w:p>
    <w:p>
      <w:pPr>
        <w:ind w:left="1620" w:right="499" w:hanging="360"/>
        <w:spacing w:after="0" w:line="259"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trustee of Janet Burrows James Revocable Trust is Janet Burrows James. This individual may be deemed to have voting and investment power of the securities held by Janet Burrows James Revocable Trust. Janet Burrows James will disclaim beneficial ownership of such securities, except to the extent of her pecuniary interest therein. The address of Janet Burrows James Revocable Trust is 10 Golfview Road, Palm Beach, FL 33480.</w:t>
      </w:r>
    </w:p>
    <w:p>
      <w:pPr>
        <w:spacing w:after="0" w:line="30" w:lineRule="exact"/>
        <w:rPr>
          <w:rFonts w:ascii="Arial" w:cs="Arial" w:eastAsia="Arial" w:hAnsi="Arial"/>
          <w:sz w:val="18"/>
          <w:szCs w:val="18"/>
          <w:color w:val="auto"/>
        </w:rPr>
      </w:pPr>
    </w:p>
    <w:p>
      <w:pPr>
        <w:ind w:left="1620" w:right="419" w:hanging="360"/>
        <w:spacing w:after="0" w:line="259"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trustee of George F. McCabe Trust is George McCabe. This individual may be deemed to have voting and investment power of the securities held by George F. McCabe Trust. George McCabe will disclaim beneficial ownership of such securities, except to the extent of his pecuniary interest therein. The address of George F. McCabe Trust is 2 International Place, Suite 2630, Boston, MA 02110.</w:t>
      </w:r>
    </w:p>
    <w:p>
      <w:pPr>
        <w:spacing w:after="0" w:line="30" w:lineRule="exact"/>
        <w:rPr>
          <w:rFonts w:ascii="Arial" w:cs="Arial" w:eastAsia="Arial" w:hAnsi="Arial"/>
          <w:sz w:val="18"/>
          <w:szCs w:val="18"/>
          <w:color w:val="auto"/>
        </w:rPr>
      </w:pPr>
    </w:p>
    <w:p>
      <w:pPr>
        <w:ind w:left="1620" w:right="459" w:hanging="360"/>
        <w:spacing w:after="0" w:line="287"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principal business address of Samambaia Investments Limited is The Lake Building, Suite 120, Wickhams Cay 1, Road Town, VG.</w:t>
      </w:r>
    </w:p>
    <w:p>
      <w:pPr>
        <w:spacing w:after="0" w:line="4" w:lineRule="exact"/>
        <w:rPr>
          <w:rFonts w:ascii="Arial" w:cs="Arial" w:eastAsia="Arial" w:hAnsi="Arial"/>
          <w:sz w:val="18"/>
          <w:szCs w:val="18"/>
          <w:color w:val="auto"/>
        </w:rPr>
      </w:pPr>
    </w:p>
    <w:p>
      <w:pPr>
        <w:jc w:val="both"/>
        <w:ind w:left="1620" w:right="959" w:hanging="360"/>
        <w:spacing w:after="0" w:line="268"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Thomas P. Salice as Manager has voting and investment power over the shares held by SRB Investments, LLC. The address of the principal business office of Thomas P. Salice and SRB Investments, LLC is 4 Lakeside Drive, Rye, NY 10580.</w:t>
      </w:r>
    </w:p>
    <w:p>
      <w:pPr>
        <w:spacing w:after="0" w:line="22" w:lineRule="exact"/>
        <w:rPr>
          <w:rFonts w:ascii="Arial" w:cs="Arial" w:eastAsia="Arial" w:hAnsi="Arial"/>
          <w:sz w:val="18"/>
          <w:szCs w:val="18"/>
          <w:color w:val="auto"/>
        </w:rPr>
      </w:pPr>
    </w:p>
    <w:p>
      <w:pPr>
        <w:ind w:left="1620" w:right="479" w:hanging="360"/>
        <w:spacing w:after="0" w:line="274" w:lineRule="auto"/>
        <w:tabs>
          <w:tab w:leader="none" w:pos="1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trustee of The 1970 Delaware Trust FBO John N. Irwin III is the U.S. Trust Company of Delaware and the Investment Advisor is John Irwin III. This individual may be deemed to have voting and investment power over the securities held by The 1970 Delaware Trust FBO John N. Irwin III. The U.S. Trust Company of Delaware will disclaim beneficial ownership of such securities, except to the extent of his pecuniary interest therein. The address of The 1970 Delaware Trust FBO John N. Irwin III is U.S. Trust Company of Delaware, Trustee, 2951 Centerville Road, Suite 200, Wilmington, DE 19808, c/o : The 1970 Delaware Trust for John N. Irwin III.</w:t>
      </w:r>
    </w:p>
    <w:p>
      <w:pPr>
        <w:spacing w:after="0" w:line="17" w:lineRule="exact"/>
        <w:rPr>
          <w:rFonts w:ascii="Arial" w:cs="Arial" w:eastAsia="Arial" w:hAnsi="Arial"/>
          <w:sz w:val="17"/>
          <w:szCs w:val="17"/>
          <w:color w:val="auto"/>
        </w:rPr>
      </w:pPr>
    </w:p>
    <w:p>
      <w:pPr>
        <w:ind w:left="1620" w:right="739" w:hanging="360"/>
        <w:spacing w:after="0" w:line="259"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trustee of The Cowan Investment Nominee Trust is Chad Cowan. This individual may be deemed to have voting and investment power of the securities held by The Cowan Investment Nominee Trust. Chad Cowan will disclaim beneficial ownership of such securities, except to the extent of his pecuniary interest therein. The address of The Cowan Investment Nominee Trust is 722 Washington Street, Gloucester, MA 01930.</w:t>
      </w:r>
    </w:p>
    <w:p>
      <w:pPr>
        <w:spacing w:after="0" w:line="44" w:lineRule="exact"/>
        <w:rPr>
          <w:rFonts w:ascii="Arial" w:cs="Arial" w:eastAsia="Arial" w:hAnsi="Arial"/>
          <w:sz w:val="18"/>
          <w:szCs w:val="18"/>
          <w:color w:val="auto"/>
        </w:rPr>
      </w:pPr>
    </w:p>
    <w:p>
      <w:pPr>
        <w:ind w:left="1620" w:right="419" w:hanging="360"/>
        <w:spacing w:after="0" w:line="259"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trustee of Peter S. Lynch Revocable Trust is Peter S. Lynch. This individual may be deemed to have voting and investment power over the securities held by Peter S. Lynch Revocable Trust. Peter S. Lynch will disclaim beneficial ownership of such securities, except to the extent of his pecuniary interest therein. The address of Peter S. Lynch Revocable Trust is 429 Ocean Avenue, Marblehead, MA 01945.</w:t>
      </w:r>
    </w:p>
    <w:p>
      <w:pPr>
        <w:spacing w:after="0" w:line="30" w:lineRule="exact"/>
        <w:rPr>
          <w:rFonts w:ascii="Arial" w:cs="Arial" w:eastAsia="Arial" w:hAnsi="Arial"/>
          <w:sz w:val="18"/>
          <w:szCs w:val="18"/>
          <w:color w:val="auto"/>
        </w:rPr>
      </w:pPr>
    </w:p>
    <w:p>
      <w:pPr>
        <w:ind w:left="1620" w:right="439" w:hanging="360"/>
        <w:spacing w:after="0" w:line="262"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Peter S. Lynch has sole voting and sole dispositive power over the shares of stock owned by The Lynch Foundation. Peter S. Lynch will disclaim beneficial ownership of such securities, except to the extent of his pecuniary interest therein. The address of The Lynch Foundation is 429 Ocean Avenue, Marblehead, MA 01945.</w:t>
      </w:r>
    </w:p>
    <w:p>
      <w:pPr>
        <w:spacing w:after="0" w:line="27" w:lineRule="exact"/>
        <w:rPr>
          <w:rFonts w:ascii="Arial" w:cs="Arial" w:eastAsia="Arial" w:hAnsi="Arial"/>
          <w:sz w:val="18"/>
          <w:szCs w:val="18"/>
          <w:color w:val="auto"/>
        </w:rPr>
      </w:pPr>
    </w:p>
    <w:p>
      <w:pPr>
        <w:ind w:left="1620" w:hanging="36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principal business address of Kite Pharma Inc. is 333 Lakeside Drive, Foster City, CA 94404.</w:t>
      </w:r>
    </w:p>
    <w:p>
      <w:pPr>
        <w:spacing w:after="0" w:line="76" w:lineRule="exact"/>
        <w:rPr>
          <w:rFonts w:ascii="Arial" w:cs="Arial" w:eastAsia="Arial" w:hAnsi="Arial"/>
          <w:sz w:val="18"/>
          <w:szCs w:val="18"/>
          <w:color w:val="auto"/>
        </w:rPr>
      </w:pPr>
    </w:p>
    <w:p>
      <w:pPr>
        <w:ind w:left="1620" w:right="479" w:hanging="360"/>
        <w:spacing w:after="0" w:line="287"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address of Peter &amp; Carolyn Lynch CLUT Article II Trust is 429 Ocean Avenue, Marblehead, MA 01945.</w:t>
      </w:r>
    </w:p>
    <w:p>
      <w:pPr>
        <w:spacing w:after="0" w:line="4" w:lineRule="exact"/>
        <w:rPr>
          <w:rFonts w:ascii="Arial" w:cs="Arial" w:eastAsia="Arial" w:hAnsi="Arial"/>
          <w:sz w:val="18"/>
          <w:szCs w:val="18"/>
          <w:color w:val="auto"/>
        </w:rPr>
      </w:pPr>
    </w:p>
    <w:p>
      <w:pPr>
        <w:ind w:left="1620" w:hanging="36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address of Mary Witkowski Revocable Trust is 429 Ocean Avenue, Marblehead, MA 01945.</w:t>
      </w:r>
    </w:p>
    <w:p>
      <w:pPr>
        <w:spacing w:after="0" w:line="76" w:lineRule="exact"/>
        <w:rPr>
          <w:rFonts w:ascii="Arial" w:cs="Arial" w:eastAsia="Arial" w:hAnsi="Arial"/>
          <w:sz w:val="18"/>
          <w:szCs w:val="18"/>
          <w:color w:val="auto"/>
        </w:rPr>
      </w:pPr>
    </w:p>
    <w:p>
      <w:pPr>
        <w:ind w:left="1620" w:right="499" w:hanging="360"/>
        <w:spacing w:after="0" w:line="255"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Index Venture Life Associates VI Limited, a Jersey limited liability company (“Index Venture Life VI GP”), is the managing general partner of Index Ventures Life VI (Jersey) LP (“Index Venture Life VI”). Yucca (Jersey) SLP, a Jersey separate limited partnership (“Yucca”) administers the Index Ventures Life VI co-investment vehicle that is contractually required to mirror the investment in the shares by Index Ventures Life VI. Index Venture Life VI GP may be deemed to have voting and dispositive power over the shares held by Index Ventures Life VI and Yucca. David Hall, Phil Balderson, Brendan Boyle and Luke Aubert are members of the board of directors of Index Venture Life VI GP, and investment and voting decisions with respect to the shares held by Index Ventures Life VI</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19"/>
        <w:spacing w:after="0" w:line="253" w:lineRule="auto"/>
        <w:rPr>
          <w:sz w:val="20"/>
          <w:szCs w:val="20"/>
          <w:color w:val="auto"/>
        </w:rPr>
      </w:pPr>
      <w:r>
        <w:rPr>
          <w:rFonts w:ascii="Arial" w:cs="Arial" w:eastAsia="Arial" w:hAnsi="Arial"/>
          <w:sz w:val="18"/>
          <w:szCs w:val="18"/>
          <w:color w:val="auto"/>
        </w:rPr>
        <w:t>are made by such directors collectively and investment and voting decisions with respect to the shares held by Yucca are deemed to be made by such directors collectively. Medicxi Ventures (UK) LLP and Medicxi Ventures (Jersey) Limited act as sub-advisers to Index Ventures Life VI (Jersey) Limited, which acts as the adviser to Index Ventures Life VI, and as such the Medicxi Funds, Index Ventures Life VI and Yucca may be deemed to be members of a “group” as defined in Rule 13d-5 of the Exchange Act. The share ownership reported by Index Ventures Life VI and Yucca does not include any shares beneficially owned by the Medicxi Funds, and each of Index Ventures Life VI and Yucca and their affiliates disclaim beneficial ownership of the securities beneficially owned by the Medicxi Funds and their affiliates. The address of the principal business office of Index Ventures Life VI is c/o Intertrust Fund Services (Jersey) Limited, 44 Esplanade, St. Helier, Jersey JE4 9WG. The address of the principal business office of Yucca is c/o Intertrust Employee Benefit Services Limited, 44 Esplanade, St Helier, Jersey, JE4 9WG.</w:t>
      </w:r>
    </w:p>
    <w:p>
      <w:pPr>
        <w:spacing w:after="0" w:line="55" w:lineRule="exact"/>
        <w:rPr>
          <w:sz w:val="20"/>
          <w:szCs w:val="20"/>
          <w:color w:val="auto"/>
        </w:rPr>
      </w:pPr>
    </w:p>
    <w:p>
      <w:pPr>
        <w:ind w:left="1620" w:right="419" w:hanging="360"/>
        <w:spacing w:after="0" w:line="251"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authorized signatory of GC&amp;H Investments LP is Melissa Roque. This individual may be deemed to have voting and investment power of the securities held by GC&amp;H Investments LP. Melissa Roque will disclaim beneficial ownership of such securities, except to the extent of her pecuniary interest therein. The address of the principal business office of GC&amp;H Investments LP is 3 Embarcadero Center, 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San Francisco, CA 94111.</w:t>
      </w:r>
    </w:p>
    <w:p>
      <w:pPr>
        <w:ind w:left="1620" w:right="459" w:hanging="360"/>
        <w:spacing w:after="0" w:line="24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authorized signatory of GC&amp;H Investments, L.P. is Melissa Roque. This individual may be deemed to have voting and investment power of the securities held by GC&amp;H Investments LP. Melissa Roque will disclaim beneficial ownership of such securities, except to the extent of her pecuniary interest therein. The address of the principal business office of GC&amp;H Investments, L.P. is 3 Embarcadero Center, 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San Francisco, CA 94111.</w:t>
      </w:r>
    </w:p>
    <w:p>
      <w:pPr>
        <w:spacing w:after="0" w:line="1" w:lineRule="exact"/>
        <w:rPr>
          <w:rFonts w:ascii="Arial" w:cs="Arial" w:eastAsia="Arial" w:hAnsi="Arial"/>
          <w:sz w:val="18"/>
          <w:szCs w:val="18"/>
          <w:color w:val="auto"/>
        </w:rPr>
      </w:pPr>
    </w:p>
    <w:p>
      <w:pPr>
        <w:ind w:left="1620" w:right="479" w:hanging="360"/>
        <w:spacing w:after="0" w:line="258"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 De Boer has voting and investment power over the shares held by Gadeta Founders B.V. The address of the principal business office of Mark de Boer and Gadeta Founders B.V. is Yalelaan 46, 3584CM Utrecht, Utrecht, the Netherlands.</w:t>
      </w:r>
    </w:p>
    <w:p>
      <w:pPr>
        <w:spacing w:after="0" w:line="43" w:lineRule="exact"/>
        <w:rPr>
          <w:rFonts w:ascii="Arial" w:cs="Arial" w:eastAsia="Arial" w:hAnsi="Arial"/>
          <w:sz w:val="18"/>
          <w:szCs w:val="18"/>
          <w:color w:val="auto"/>
        </w:rPr>
      </w:pPr>
    </w:p>
    <w:p>
      <w:pPr>
        <w:ind w:left="1620" w:right="579" w:hanging="360"/>
        <w:spacing w:after="0" w:line="28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address of Peter &amp; Carolyn Lynch Clat Article III Trust FBO A Lukowski is 429 Ocean Avenue, Marblehead, MA 01945.</w:t>
      </w:r>
    </w:p>
    <w:p>
      <w:pPr>
        <w:spacing w:after="0" w:line="4" w:lineRule="exact"/>
        <w:rPr>
          <w:rFonts w:ascii="Arial" w:cs="Arial" w:eastAsia="Arial" w:hAnsi="Arial"/>
          <w:sz w:val="18"/>
          <w:szCs w:val="18"/>
          <w:color w:val="auto"/>
        </w:rPr>
      </w:pPr>
    </w:p>
    <w:p>
      <w:pPr>
        <w:ind w:left="1620" w:right="939" w:hanging="360"/>
        <w:spacing w:after="0" w:line="28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address of Peter &amp; Carolyn Lynch Clat Article III Trust FBO DE Montrichard is 429 Ocean Avenue, Marblehead, MA 01945.</w:t>
      </w:r>
    </w:p>
    <w:p>
      <w:pPr>
        <w:spacing w:after="0" w:line="4" w:lineRule="exact"/>
        <w:rPr>
          <w:rFonts w:ascii="Arial" w:cs="Arial" w:eastAsia="Arial" w:hAnsi="Arial"/>
          <w:sz w:val="18"/>
          <w:szCs w:val="18"/>
          <w:color w:val="auto"/>
        </w:rPr>
      </w:pPr>
    </w:p>
    <w:p>
      <w:pPr>
        <w:ind w:left="1620" w:right="479" w:hanging="360"/>
        <w:spacing w:after="0" w:line="28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address of Peter &amp; Carolyn Lynch Clat Article III Trust FBO M Witkowski is 429 Ocean Avenue, Marblehead, MA 01945.</w:t>
      </w:r>
    </w:p>
    <w:p>
      <w:pPr>
        <w:spacing w:after="0" w:line="17" w:lineRule="exact"/>
        <w:rPr>
          <w:rFonts w:ascii="Arial" w:cs="Arial" w:eastAsia="Arial" w:hAnsi="Arial"/>
          <w:sz w:val="18"/>
          <w:szCs w:val="18"/>
          <w:color w:val="auto"/>
        </w:rPr>
      </w:pPr>
    </w:p>
    <w:p>
      <w:pPr>
        <w:ind w:left="1620" w:right="659" w:hanging="360"/>
        <w:spacing w:after="0" w:line="28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Dr. Cowan served as a member of the board of directors and the Chief Executive Officer of Clade until the Merger.</w:t>
      </w:r>
    </w:p>
    <w:p>
      <w:pPr>
        <w:spacing w:after="0" w:line="4" w:lineRule="exact"/>
        <w:rPr>
          <w:rFonts w:ascii="Arial" w:cs="Arial" w:eastAsia="Arial" w:hAnsi="Arial"/>
          <w:sz w:val="18"/>
          <w:szCs w:val="18"/>
          <w:color w:val="auto"/>
        </w:rPr>
      </w:pPr>
    </w:p>
    <w:p>
      <w:pPr>
        <w:ind w:left="1620" w:right="499" w:hanging="360"/>
        <w:spacing w:after="0" w:line="28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Dr. Glasheen served as a member of the board of directors and the Chief Business Officer of Clade until the Merger.</w:t>
      </w:r>
    </w:p>
    <w:p>
      <w:pPr>
        <w:spacing w:after="0" w:line="4" w:lineRule="exact"/>
        <w:rPr>
          <w:rFonts w:ascii="Arial" w:cs="Arial" w:eastAsia="Arial" w:hAnsi="Arial"/>
          <w:sz w:val="18"/>
          <w:szCs w:val="18"/>
          <w:color w:val="auto"/>
        </w:rPr>
      </w:pPr>
    </w:p>
    <w:p>
      <w:pPr>
        <w:ind w:left="1620" w:hanging="36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Dr. Hei served as the Chief Technology Officer of Clade until the Merger.</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Vetcher served as the Chief Operating Officer of Clade until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PLAN OF DISTRIBUTION</w:t>
      </w:r>
    </w:p>
    <w:p>
      <w:pPr>
        <w:spacing w:after="0" w:line="333" w:lineRule="exact"/>
        <w:rPr>
          <w:sz w:val="20"/>
          <w:szCs w:val="20"/>
          <w:color w:val="auto"/>
        </w:rPr>
      </w:pPr>
    </w:p>
    <w:p>
      <w:pPr>
        <w:ind w:left="1260" w:right="559"/>
        <w:spacing w:after="0" w:line="255" w:lineRule="auto"/>
        <w:rPr>
          <w:sz w:val="20"/>
          <w:szCs w:val="20"/>
          <w:color w:val="auto"/>
        </w:rPr>
      </w:pPr>
      <w:r>
        <w:rPr>
          <w:rFonts w:ascii="Arial" w:cs="Arial" w:eastAsia="Arial" w:hAnsi="Arial"/>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17" w:lineRule="exact"/>
        <w:rPr>
          <w:sz w:val="20"/>
          <w:szCs w:val="20"/>
          <w:color w:val="auto"/>
        </w:rPr>
      </w:pPr>
    </w:p>
    <w:p>
      <w:pPr>
        <w:ind w:left="1260" w:right="459"/>
        <w:spacing w:after="0" w:line="273" w:lineRule="auto"/>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2" w:lineRule="exact"/>
        <w:rPr>
          <w:sz w:val="20"/>
          <w:szCs w:val="20"/>
          <w:color w:val="auto"/>
        </w:rPr>
      </w:pPr>
    </w:p>
    <w:p>
      <w:pPr>
        <w:ind w:left="1620" w:hanging="360"/>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63" w:lineRule="exact"/>
        <w:rPr>
          <w:rFonts w:ascii="Arial" w:cs="Arial" w:eastAsia="Arial" w:hAnsi="Arial"/>
          <w:sz w:val="18"/>
          <w:szCs w:val="18"/>
          <w:color w:val="auto"/>
        </w:rPr>
      </w:pPr>
    </w:p>
    <w:p>
      <w:pPr>
        <w:ind w:left="1620" w:right="439" w:hanging="360"/>
        <w:spacing w:after="0" w:line="281"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 w:lineRule="exact"/>
        <w:rPr>
          <w:rFonts w:ascii="Arial" w:cs="Arial" w:eastAsia="Arial" w:hAnsi="Arial"/>
          <w:sz w:val="18"/>
          <w:szCs w:val="18"/>
          <w:color w:val="auto"/>
        </w:rPr>
      </w:pPr>
    </w:p>
    <w:p>
      <w:pPr>
        <w:ind w:left="1620" w:hanging="360"/>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63" w:lineRule="exact"/>
        <w:rPr>
          <w:rFonts w:ascii="Arial" w:cs="Arial" w:eastAsia="Arial" w:hAnsi="Arial"/>
          <w:sz w:val="18"/>
          <w:szCs w:val="18"/>
          <w:color w:val="auto"/>
        </w:rPr>
      </w:pPr>
    </w:p>
    <w:p>
      <w:pPr>
        <w:ind w:left="1620" w:hanging="360"/>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63" w:lineRule="exact"/>
        <w:rPr>
          <w:rFonts w:ascii="Arial" w:cs="Arial" w:eastAsia="Arial" w:hAnsi="Arial"/>
          <w:sz w:val="18"/>
          <w:szCs w:val="18"/>
          <w:color w:val="auto"/>
        </w:rPr>
      </w:pPr>
    </w:p>
    <w:p>
      <w:pPr>
        <w:ind w:left="1620" w:hanging="360"/>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63" w:lineRule="exact"/>
        <w:rPr>
          <w:rFonts w:ascii="Arial" w:cs="Arial" w:eastAsia="Arial" w:hAnsi="Arial"/>
          <w:sz w:val="18"/>
          <w:szCs w:val="18"/>
          <w:color w:val="auto"/>
        </w:rPr>
      </w:pPr>
    </w:p>
    <w:p>
      <w:pPr>
        <w:ind w:left="1620" w:hanging="360"/>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short sales and settlement of short sales;</w:t>
      </w:r>
    </w:p>
    <w:p>
      <w:pPr>
        <w:spacing w:after="0" w:line="63" w:lineRule="exact"/>
        <w:rPr>
          <w:rFonts w:ascii="Arial" w:cs="Arial" w:eastAsia="Arial" w:hAnsi="Arial"/>
          <w:sz w:val="18"/>
          <w:szCs w:val="18"/>
          <w:color w:val="auto"/>
        </w:rPr>
      </w:pPr>
    </w:p>
    <w:p>
      <w:pPr>
        <w:ind w:left="1620" w:right="959" w:hanging="360"/>
        <w:spacing w:after="0" w:line="281"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 w:lineRule="exact"/>
        <w:rPr>
          <w:rFonts w:ascii="Arial" w:cs="Arial" w:eastAsia="Arial" w:hAnsi="Arial"/>
          <w:sz w:val="18"/>
          <w:szCs w:val="18"/>
          <w:color w:val="auto"/>
        </w:rPr>
      </w:pPr>
    </w:p>
    <w:p>
      <w:pPr>
        <w:ind w:left="1620" w:right="539" w:hanging="360"/>
        <w:spacing w:after="0" w:line="281"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1" w:lineRule="exact"/>
        <w:rPr>
          <w:rFonts w:ascii="Arial" w:cs="Arial" w:eastAsia="Arial" w:hAnsi="Arial"/>
          <w:sz w:val="18"/>
          <w:szCs w:val="18"/>
          <w:color w:val="auto"/>
        </w:rPr>
      </w:pPr>
    </w:p>
    <w:p>
      <w:pPr>
        <w:ind w:left="1620" w:hanging="360"/>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63" w:lineRule="exact"/>
        <w:rPr>
          <w:rFonts w:ascii="Arial" w:cs="Arial" w:eastAsia="Arial" w:hAnsi="Arial"/>
          <w:sz w:val="18"/>
          <w:szCs w:val="18"/>
          <w:color w:val="auto"/>
        </w:rPr>
      </w:pPr>
    </w:p>
    <w:p>
      <w:pPr>
        <w:ind w:left="1620" w:hanging="360"/>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method permitted by applicable law.</w:t>
      </w:r>
    </w:p>
    <w:p>
      <w:pPr>
        <w:spacing w:after="0" w:line="144"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of 1933, as amended, or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spacing w:after="0" w:line="113" w:lineRule="exact"/>
        <w:rPr>
          <w:sz w:val="20"/>
          <w:szCs w:val="20"/>
          <w:color w:val="auto"/>
        </w:rPr>
      </w:pPr>
    </w:p>
    <w:p>
      <w:pPr>
        <w:ind w:left="1260" w:right="559"/>
        <w:spacing w:after="0" w:line="254" w:lineRule="auto"/>
        <w:rPr>
          <w:sz w:val="20"/>
          <w:szCs w:val="20"/>
          <w:color w:val="auto"/>
        </w:rPr>
      </w:pPr>
      <w:r>
        <w:rPr>
          <w:rFonts w:ascii="Arial" w:cs="Arial" w:eastAsia="Arial" w:hAnsi="Arial"/>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18"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839"/>
        <w:spacing w:after="0" w:line="268"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of 1933, provided that they meet the criteria and conform to the requirements of that rule.</w:t>
      </w:r>
    </w:p>
    <w:p>
      <w:pPr>
        <w:spacing w:after="0" w:line="103"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deemed “underwriters” within the meaning of Section 2(11) of the Securities Act will be subject to the prospectus delivery requirements of the Securities Act.</w:t>
      </w:r>
    </w:p>
    <w:p>
      <w:pPr>
        <w:spacing w:after="0" w:line="115" w:lineRule="exact"/>
        <w:rPr>
          <w:sz w:val="20"/>
          <w:szCs w:val="20"/>
          <w:color w:val="auto"/>
        </w:rPr>
      </w:pPr>
    </w:p>
    <w:p>
      <w:pPr>
        <w:ind w:left="1260" w:right="419"/>
        <w:spacing w:after="0" w:line="259" w:lineRule="auto"/>
        <w:rPr>
          <w:sz w:val="20"/>
          <w:szCs w:val="20"/>
          <w:color w:val="auto"/>
        </w:rPr>
      </w:pPr>
      <w:r>
        <w:rPr>
          <w:rFonts w:ascii="Arial" w:cs="Arial" w:eastAsia="Arial" w:hAnsi="Arial"/>
          <w:sz w:val="18"/>
          <w:szCs w:val="18"/>
          <w:color w:val="auto"/>
        </w:rPr>
        <w:t>To the extent required, the shares of our common stock to be sold, the names of the selling stockholders, the respective purchase prices and public offering prices, the names of any agents, dealers or underwriters,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98" w:lineRule="exact"/>
        <w:rPr>
          <w:sz w:val="20"/>
          <w:szCs w:val="20"/>
          <w:color w:val="auto"/>
        </w:rPr>
      </w:pPr>
    </w:p>
    <w:p>
      <w:pPr>
        <w:ind w:left="1260" w:right="579"/>
        <w:spacing w:after="0" w:line="262"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09" w:lineRule="exact"/>
        <w:rPr>
          <w:sz w:val="20"/>
          <w:szCs w:val="20"/>
          <w:color w:val="auto"/>
        </w:rPr>
      </w:pPr>
    </w:p>
    <w:p>
      <w:pPr>
        <w:ind w:left="1260" w:right="499"/>
        <w:spacing w:after="0" w:line="274" w:lineRule="auto"/>
        <w:rPr>
          <w:sz w:val="20"/>
          <w:szCs w:val="20"/>
          <w:color w:val="auto"/>
        </w:rPr>
      </w:pPr>
      <w:r>
        <w:rPr>
          <w:rFonts w:ascii="Arial" w:cs="Arial" w:eastAsia="Arial" w:hAnsi="Arial"/>
          <w:sz w:val="17"/>
          <w:szCs w:val="17"/>
          <w:color w:val="auto"/>
        </w:rPr>
        <w:t>We have advised the selling stockholders that the anti-manipulation rules of Regulation M under the Securities Exchange Act of 1934, as amended,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98" w:lineRule="exact"/>
        <w:rPr>
          <w:sz w:val="20"/>
          <w:szCs w:val="20"/>
          <w:color w:val="auto"/>
        </w:rPr>
      </w:pPr>
    </w:p>
    <w:p>
      <w:pPr>
        <w:ind w:left="1260" w:right="799"/>
        <w:spacing w:after="0" w:line="268" w:lineRule="auto"/>
        <w:rPr>
          <w:sz w:val="20"/>
          <w:szCs w:val="20"/>
          <w:color w:val="auto"/>
        </w:rPr>
      </w:pPr>
      <w:r>
        <w:rPr>
          <w:rFonts w:ascii="Arial" w:cs="Arial" w:eastAsia="Arial" w:hAnsi="Arial"/>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90"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color w:val="auto"/>
        </w:rPr>
        <w:t>We have agreed with the selling stockholders to use commercially reasonable efforts to cause the registration statement of which this prospectus constitutes a part to remain continuously effective until the earlier of (1) such time as all of the shares covered by this prospectus have been disposed of pursuant to and in accordance with such registration statement or (2) the date on which all of the shares may be sold without restriction pursuant to Rule 144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DESCRIPTION OF CAPITAL STOCK</w:t>
      </w:r>
    </w:p>
    <w:p>
      <w:pPr>
        <w:spacing w:after="0" w:line="335"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second amended and restated certificate of incorporation, which has been publicly filed with the SEC. See “Where You Can Find More Information.” For a complete description, you should refer to our second amended and restated certificate of incorporation, as amended from time to time, and second amended and restated bylaws, as amended from time to time, copies of which are incorporated by reference as exhibits to the registration statement of which this prospectus is a part.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90" w:lineRule="exact"/>
        <w:rPr>
          <w:sz w:val="20"/>
          <w:szCs w:val="20"/>
          <w:color w:val="auto"/>
        </w:rPr>
      </w:pPr>
    </w:p>
    <w:p>
      <w:pPr>
        <w:ind w:left="1260" w:right="539"/>
        <w:spacing w:after="0" w:line="262" w:lineRule="auto"/>
        <w:rPr>
          <w:sz w:val="20"/>
          <w:szCs w:val="20"/>
          <w:color w:val="auto"/>
        </w:rPr>
      </w:pPr>
      <w:r>
        <w:rPr>
          <w:rFonts w:ascii="Arial" w:cs="Arial" w:eastAsia="Arial" w:hAnsi="Arial"/>
          <w:sz w:val="18"/>
          <w:szCs w:val="18"/>
          <w:color w:val="auto"/>
        </w:rPr>
        <w:t>Under our second amended and restated certificate of incorporation, or the Certificate of Incorporation, our authorized capital stock consists of 300,000,000 shares of common stock, par value $0.0001 per share, and 10,000,000 shares of preferred stock, par value $0.0001 per share. As of June 13, 2024, we had 84,500,780 shares of common stock outstanding.</w:t>
      </w:r>
    </w:p>
    <w:p>
      <w:pPr>
        <w:spacing w:after="0" w:line="95"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Each holder of common stock is entitled to one vote for each share on all matters submitted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two-thirds of the voting power of all of the then outstanding voting stock will be required to take certain actions, including amending certain provisions of our Certificate of Incorporation, such as the provisions relating to amending our second amended and restated bylaws, or the Bylaws, procedures for our stockholder meetings, the classified board, director liability, and exclusive forum for proceedings.</w:t>
      </w:r>
    </w:p>
    <w:p>
      <w:pPr>
        <w:spacing w:after="0" w:line="117" w:lineRule="exact"/>
        <w:rPr>
          <w:sz w:val="20"/>
          <w:szCs w:val="20"/>
          <w:color w:val="auto"/>
        </w:rPr>
      </w:pPr>
    </w:p>
    <w:p>
      <w:pPr>
        <w:ind w:left="1260" w:right="679"/>
        <w:spacing w:after="0" w:line="268"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Subject to preferences that may be applicable to any then outstanding 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our common stock are entitled to receive dividends, if any, as may be declared from time to time by our board of directors out of legally available funds.</w:t>
      </w:r>
    </w:p>
    <w:p>
      <w:pPr>
        <w:spacing w:after="0" w:line="103" w:lineRule="exact"/>
        <w:rPr>
          <w:sz w:val="20"/>
          <w:szCs w:val="20"/>
          <w:color w:val="auto"/>
        </w:rPr>
      </w:pPr>
    </w:p>
    <w:p>
      <w:pPr>
        <w:ind w:left="1260" w:right="799"/>
        <w:spacing w:after="0" w:line="262" w:lineRule="auto"/>
        <w:rPr>
          <w:sz w:val="20"/>
          <w:szCs w:val="20"/>
          <w:color w:val="auto"/>
        </w:rPr>
      </w:pPr>
      <w:r>
        <w:rPr>
          <w:rFonts w:ascii="Arial" w:cs="Arial" w:eastAsia="Arial" w:hAnsi="Arial"/>
          <w:sz w:val="18"/>
          <w:szCs w:val="18"/>
          <w:i w:val="1"/>
          <w:iCs w:val="1"/>
          <w:color w:val="auto"/>
        </w:rPr>
        <w:t>Liquidation and Dissolution</w:t>
      </w:r>
      <w:r>
        <w:rPr>
          <w:rFonts w:ascii="Arial" w:cs="Arial" w:eastAsia="Arial" w:hAnsi="Arial"/>
          <w:sz w:val="18"/>
          <w:szCs w:val="18"/>
          <w:color w:val="auto"/>
        </w:rPr>
        <w:t>. In the event of our liquidation, dissolution or winding up, holders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95"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i w:val="1"/>
          <w:iCs w:val="1"/>
          <w:color w:val="auto"/>
        </w:rPr>
        <w:t>Other Rights and Restrictions</w:t>
      </w:r>
      <w:r>
        <w:rPr>
          <w:rFonts w:ascii="Arial" w:cs="Arial" w:eastAsia="Arial" w:hAnsi="Arial"/>
          <w:sz w:val="18"/>
          <w:szCs w:val="18"/>
          <w:color w:val="auto"/>
        </w:rPr>
        <w:t>. Holders of our common stock have no preemptive,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designated in the future.</w:t>
      </w:r>
    </w:p>
    <w:p>
      <w:pPr>
        <w:spacing w:after="0" w:line="112" w:lineRule="exact"/>
        <w:rPr>
          <w:sz w:val="20"/>
          <w:szCs w:val="20"/>
          <w:color w:val="auto"/>
        </w:rPr>
      </w:pPr>
    </w:p>
    <w:p>
      <w:pPr>
        <w:ind w:left="1260"/>
        <w:spacing w:after="0"/>
        <w:tabs>
          <w:tab w:leader="none" w:pos="1960" w:val="left"/>
        </w:tabs>
        <w:rPr>
          <w:sz w:val="20"/>
          <w:szCs w:val="20"/>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Our common stock is listed on the Nasdaq Global Select Market under the symbol “IPSC.”</w:t>
      </w:r>
    </w:p>
    <w:p>
      <w:pPr>
        <w:spacing w:after="0" w:line="158" w:lineRule="exact"/>
        <w:rPr>
          <w:sz w:val="20"/>
          <w:szCs w:val="20"/>
          <w:color w:val="auto"/>
        </w:rPr>
      </w:pPr>
    </w:p>
    <w:p>
      <w:pPr>
        <w:ind w:left="1260" w:right="639"/>
        <w:spacing w:after="0" w:line="287" w:lineRule="auto"/>
        <w:rPr>
          <w:sz w:val="20"/>
          <w:szCs w:val="20"/>
          <w:color w:val="auto"/>
        </w:rPr>
      </w:pPr>
      <w:r>
        <w:rPr>
          <w:rFonts w:ascii="Arial" w:cs="Arial" w:eastAsia="Arial" w:hAnsi="Arial"/>
          <w:sz w:val="18"/>
          <w:szCs w:val="18"/>
          <w:i w:val="1"/>
          <w:iCs w:val="1"/>
          <w:color w:val="auto"/>
        </w:rPr>
        <w:t>Transfer Agent and Registrar</w:t>
      </w:r>
      <w:r>
        <w:rPr>
          <w:rFonts w:ascii="Arial" w:cs="Arial" w:eastAsia="Arial" w:hAnsi="Arial"/>
          <w:sz w:val="18"/>
          <w:szCs w:val="18"/>
          <w:color w:val="auto"/>
        </w:rPr>
        <w:t>. The transfer agent and registrar for our common stock is Equiniti Trust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LLC.</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77"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The authorized shares of preferred stock are available for issuance without further action by our stockholders unless required by law or by the rules and regulations of any stock exchange on which our common stock may be listed. Our Certificate of Incorporation authorizes our board of directors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 Our board of directors is authorized to increase or decrease the number of shares of any series of preferred stock, but not below the number of shares of that series of preferred stock then outstanding, without any further vote or action by the stockholders.</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46" w:lineRule="auto"/>
        <w:rPr>
          <w:sz w:val="20"/>
          <w:szCs w:val="20"/>
          <w:color w:val="auto"/>
        </w:rPr>
      </w:pPr>
      <w:r>
        <w:rPr>
          <w:rFonts w:ascii="Arial" w:cs="Arial" w:eastAsia="Arial" w:hAnsi="Arial"/>
          <w:sz w:val="18"/>
          <w:szCs w:val="18"/>
          <w:color w:val="auto"/>
        </w:rPr>
        <w:t>The issuance of preferred stock could adversely affect the voting power of holders of common stock and the likelihood that such holders will receive dividend payments and payments upon liquidation. In addition, the existence of unissued and unreserved common stock or preferred stock may enable our board of directors to issue shares to persons friendly to current management, which could render more difficult or discourage an attempt to obtain control of us by means of a merger, tender offer, proxy contest or otherwise, and could thereby protect the continuity of our management and possibly deprive stockholders of opportunities to sell their shares of common stock at prices higher than prevailing market prices.</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of June 13, 2024, we had no shares of preferred stock outstanding.</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Anti-Takeover Provisions of Delaware Law and Our Charter Documents</w:t>
      </w:r>
    </w:p>
    <w:p>
      <w:pPr>
        <w:spacing w:after="0" w:line="77" w:lineRule="exact"/>
        <w:rPr>
          <w:sz w:val="20"/>
          <w:szCs w:val="20"/>
          <w:color w:val="auto"/>
        </w:rPr>
      </w:pPr>
    </w:p>
    <w:p>
      <w:pPr>
        <w:ind w:left="1260" w:right="499"/>
        <w:spacing w:after="0" w:line="265" w:lineRule="auto"/>
        <w:rPr>
          <w:sz w:val="20"/>
          <w:szCs w:val="20"/>
          <w:color w:val="auto"/>
        </w:rPr>
      </w:pPr>
      <w:r>
        <w:rPr>
          <w:rFonts w:ascii="Arial" w:cs="Arial" w:eastAsia="Arial" w:hAnsi="Arial"/>
          <w:sz w:val="17"/>
          <w:szCs w:val="17"/>
          <w:color w:val="auto"/>
        </w:rPr>
        <w:t>Some provisions of Delaware law and our Certificate of Incorporation and our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95" w:lineRule="exact"/>
        <w:rPr>
          <w:sz w:val="20"/>
          <w:szCs w:val="20"/>
          <w:color w:val="auto"/>
        </w:rPr>
      </w:pPr>
    </w:p>
    <w:p>
      <w:pPr>
        <w:ind w:left="1260" w:right="519"/>
        <w:spacing w:after="0" w:line="245"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09" w:lineRule="exact"/>
        <w:rPr>
          <w:sz w:val="20"/>
          <w:szCs w:val="20"/>
          <w:color w:val="auto"/>
        </w:rPr>
      </w:pPr>
    </w:p>
    <w:p>
      <w:pPr>
        <w:ind w:left="1260"/>
        <w:spacing w:after="0"/>
        <w:tabs>
          <w:tab w:leader="none" w:pos="5760" w:val="left"/>
        </w:tabs>
        <w:rPr>
          <w:sz w:val="20"/>
          <w:szCs w:val="20"/>
          <w:color w:val="auto"/>
        </w:rPr>
      </w:pPr>
      <w:r>
        <w:rPr>
          <w:rFonts w:ascii="Arial" w:cs="Arial" w:eastAsia="Arial" w:hAnsi="Arial"/>
          <w:sz w:val="18"/>
          <w:szCs w:val="18"/>
          <w:i w:val="1"/>
          <w:iCs w:val="1"/>
          <w:color w:val="auto"/>
        </w:rPr>
        <w:t>Section 203 of the Delaware General Corporation Law</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We are subject to Section 203 of the Delaware</w:t>
      </w:r>
    </w:p>
    <w:p>
      <w:pPr>
        <w:spacing w:after="0" w:line="27" w:lineRule="exact"/>
        <w:rPr>
          <w:sz w:val="20"/>
          <w:szCs w:val="20"/>
          <w:color w:val="auto"/>
        </w:rPr>
      </w:pPr>
    </w:p>
    <w:p>
      <w:pPr>
        <w:ind w:left="1260" w:right="419"/>
        <w:spacing w:after="0" w:line="256" w:lineRule="auto"/>
        <w:rPr>
          <w:sz w:val="20"/>
          <w:szCs w:val="20"/>
          <w:color w:val="auto"/>
        </w:rPr>
      </w:pPr>
      <w:r>
        <w:rPr>
          <w:rFonts w:ascii="Arial" w:cs="Arial" w:eastAsia="Arial" w:hAnsi="Arial"/>
          <w:sz w:val="17"/>
          <w:szCs w:val="17"/>
          <w:color w:val="auto"/>
        </w:rPr>
        <w:t>General Corporation Law, or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05" w:lineRule="exact"/>
        <w:rPr>
          <w:sz w:val="20"/>
          <w:szCs w:val="20"/>
          <w:color w:val="auto"/>
        </w:rPr>
      </w:pPr>
    </w:p>
    <w:p>
      <w:pPr>
        <w:ind w:left="1260" w:right="519"/>
        <w:spacing w:after="0" w:line="252" w:lineRule="auto"/>
        <w:rPr>
          <w:sz w:val="20"/>
          <w:szCs w:val="20"/>
          <w:color w:val="auto"/>
        </w:rPr>
      </w:pPr>
      <w:r>
        <w:rPr>
          <w:rFonts w:ascii="Arial" w:cs="Arial" w:eastAsia="Arial" w:hAnsi="Arial"/>
          <w:sz w:val="18"/>
          <w:szCs w:val="18"/>
          <w:i w:val="1"/>
          <w:iCs w:val="1"/>
          <w:color w:val="auto"/>
        </w:rPr>
        <w:t>Elimination of Stockholder Action by Written Consent</w:t>
      </w:r>
      <w:r>
        <w:rPr>
          <w:rFonts w:ascii="Arial" w:cs="Arial" w:eastAsia="Arial" w:hAnsi="Arial"/>
          <w:sz w:val="18"/>
          <w:szCs w:val="18"/>
          <w:color w:val="auto"/>
        </w:rPr>
        <w:t>. Our Certificate of Incorporation provides that all</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actions must be effected at a duly called meeting of stockholders and not by consent in writing. A special meeting of stockholders may be called only by a majority of our board of directors, the chair of our board of directors, or our chief executive officer.</w:t>
      </w:r>
    </w:p>
    <w:p>
      <w:pPr>
        <w:spacing w:after="0" w:line="103" w:lineRule="exact"/>
        <w:rPr>
          <w:sz w:val="20"/>
          <w:szCs w:val="20"/>
          <w:color w:val="auto"/>
        </w:rPr>
      </w:pPr>
    </w:p>
    <w:p>
      <w:pPr>
        <w:ind w:left="1260" w:right="499"/>
        <w:spacing w:after="0" w:line="271" w:lineRule="auto"/>
        <w:rPr>
          <w:sz w:val="20"/>
          <w:szCs w:val="20"/>
          <w:color w:val="auto"/>
        </w:rPr>
      </w:pPr>
      <w:r>
        <w:rPr>
          <w:rFonts w:ascii="Arial" w:cs="Arial" w:eastAsia="Arial" w:hAnsi="Arial"/>
          <w:sz w:val="17"/>
          <w:szCs w:val="17"/>
          <w:i w:val="1"/>
          <w:iCs w:val="1"/>
          <w:color w:val="auto"/>
        </w:rPr>
        <w:t xml:space="preserve">Undesignated Preferred Stock. </w:t>
      </w:r>
      <w:r>
        <w:rPr>
          <w:rFonts w:ascii="Arial" w:cs="Arial" w:eastAsia="Arial" w:hAnsi="Arial"/>
          <w:sz w:val="17"/>
          <w:szCs w:val="17"/>
          <w:color w:val="auto"/>
        </w:rPr>
        <w:t>The ability to authorize undesignated preferred stock makes it possible</w:t>
      </w:r>
      <w:r>
        <w:rPr>
          <w:rFonts w:ascii="Arial" w:cs="Arial" w:eastAsia="Arial" w:hAnsi="Arial"/>
          <w:sz w:val="17"/>
          <w:szCs w:val="17"/>
          <w:i w:val="1"/>
          <w:iCs w:val="1"/>
          <w:color w:val="auto"/>
        </w:rPr>
        <w:t xml:space="preserve"> </w:t>
      </w:r>
      <w:r>
        <w:rPr>
          <w:rFonts w:ascii="Arial" w:cs="Arial" w:eastAsia="Arial" w:hAnsi="Arial"/>
          <w:sz w:val="17"/>
          <w:szCs w:val="17"/>
          <w:color w:val="auto"/>
        </w:rPr>
        <w:t>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89" w:lineRule="exact"/>
        <w:rPr>
          <w:sz w:val="20"/>
          <w:szCs w:val="20"/>
          <w:color w:val="auto"/>
        </w:rPr>
      </w:pPr>
    </w:p>
    <w:p>
      <w:pPr>
        <w:ind w:left="1260" w:right="499"/>
        <w:spacing w:after="0" w:line="270" w:lineRule="auto"/>
        <w:rPr>
          <w:sz w:val="20"/>
          <w:szCs w:val="20"/>
          <w:color w:val="auto"/>
        </w:rPr>
      </w:pPr>
      <w:r>
        <w:rPr>
          <w:rFonts w:ascii="Arial" w:cs="Arial" w:eastAsia="Arial" w:hAnsi="Arial"/>
          <w:sz w:val="17"/>
          <w:szCs w:val="17"/>
          <w:i w:val="1"/>
          <w:iCs w:val="1"/>
          <w:color w:val="auto"/>
        </w:rPr>
        <w:t xml:space="preserve">Amendment of Charter Provisions. </w:t>
      </w:r>
      <w:r>
        <w:rPr>
          <w:rFonts w:ascii="Arial" w:cs="Arial" w:eastAsia="Arial" w:hAnsi="Arial"/>
          <w:sz w:val="17"/>
          <w:szCs w:val="17"/>
          <w:color w:val="auto"/>
        </w:rPr>
        <w:t>Our Certificate of Incorporation provides that the affirmative vote of</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at least 66</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the voting power of all of the then outstanding shares of voting stock, voting</w:t>
      </w:r>
    </w:p>
    <w:p>
      <w:pPr>
        <w:spacing w:after="0" w:line="2" w:lineRule="exact"/>
        <w:rPr>
          <w:sz w:val="20"/>
          <w:szCs w:val="20"/>
          <w:color w:val="auto"/>
        </w:rPr>
      </w:pPr>
    </w:p>
    <w:p>
      <w:pPr>
        <w:ind w:left="1260" w:right="559"/>
        <w:spacing w:after="0" w:line="249" w:lineRule="auto"/>
        <w:rPr>
          <w:sz w:val="20"/>
          <w:szCs w:val="20"/>
          <w:color w:val="auto"/>
        </w:rPr>
      </w:pPr>
      <w:r>
        <w:rPr>
          <w:rFonts w:ascii="Arial" w:cs="Arial" w:eastAsia="Arial" w:hAnsi="Arial"/>
          <w:sz w:val="17"/>
          <w:szCs w:val="17"/>
          <w:color w:val="auto"/>
        </w:rPr>
        <w:t>as a single class, will be required to amend certain provisions of our Certificate of Incorporation, including provisions relating to the size of the board, removal of directors, special meetings, actions by written consent, and cumulative voting. The affirmative vote of holders of at least 66</w:t>
      </w:r>
      <w:r>
        <w:rPr>
          <w:rFonts w:ascii="Arial" w:cs="Arial" w:eastAsia="Arial" w:hAnsi="Arial"/>
          <w:sz w:val="24"/>
          <w:szCs w:val="24"/>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voting power of all of the then outstanding shares of voting stock, voting as a single class, will be required to amend or repeal our Bylaws unless such action is recommended by our board of directors at an annual or special meeting of stockholders, which would then require the affirmative vote of a majority</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the voting power of all of the then outstanding shares of voting stock, voting as a single class.</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Additionally, our Bylaws may be amended by a simple majority vote of our board of directors.</w:t>
      </w:r>
    </w:p>
    <w:p>
      <w:pPr>
        <w:spacing w:after="0" w:line="140" w:lineRule="exact"/>
        <w:rPr>
          <w:sz w:val="20"/>
          <w:szCs w:val="20"/>
          <w:color w:val="auto"/>
        </w:rPr>
      </w:pPr>
    </w:p>
    <w:p>
      <w:pPr>
        <w:ind w:left="1260" w:right="519"/>
        <w:spacing w:after="0" w:line="259" w:lineRule="auto"/>
        <w:rPr>
          <w:sz w:val="20"/>
          <w:szCs w:val="20"/>
          <w:color w:val="auto"/>
        </w:rPr>
      </w:pPr>
      <w:r>
        <w:rPr>
          <w:rFonts w:ascii="Arial" w:cs="Arial" w:eastAsia="Arial" w:hAnsi="Arial"/>
          <w:sz w:val="18"/>
          <w:szCs w:val="18"/>
          <w:i w:val="1"/>
          <w:iCs w:val="1"/>
          <w:color w:val="auto"/>
        </w:rPr>
        <w:t>Classified Board; Election and Removal of Directors</w:t>
      </w:r>
      <w:r>
        <w:rPr>
          <w:rFonts w:ascii="Arial" w:cs="Arial" w:eastAsia="Arial" w:hAnsi="Arial"/>
          <w:sz w:val="18"/>
          <w:szCs w:val="18"/>
          <w:color w:val="auto"/>
        </w:rPr>
        <w:t>. Our Certificate of Incorporation provides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is divided into three classes, Class I, Class II, and Class III, with each class serving staggered terms, and will give our board of directors the exclusive right to expand the size of our board of directors and to elect directors to fill a vacancy created by the expansion of the board of directors or the resignation, death, or removal of a director.</w:t>
      </w:r>
    </w:p>
    <w:p>
      <w:pPr>
        <w:spacing w:after="0" w:line="112"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i w:val="1"/>
          <w:iCs w:val="1"/>
          <w:color w:val="auto"/>
        </w:rPr>
        <w:t xml:space="preserve">Choice of Forum. </w:t>
      </w:r>
      <w:r>
        <w:rPr>
          <w:rFonts w:ascii="Arial" w:cs="Arial" w:eastAsia="Arial" w:hAnsi="Arial"/>
          <w:sz w:val="18"/>
          <w:szCs w:val="18"/>
          <w:color w:val="auto"/>
        </w:rPr>
        <w:t>Our Certificate of Incorporation provides that, unless we consent in writing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selection of an alternative forum, the Court of Chancery of the State of Delaware (or, if the Court of Chancery does not have jurisdiction, another state court located within the State of Delaware or, if no state court located within the State of Delaware has jurisdiction, the federal district court for the District of Delaware) will be the sole and exclusive forum for (i) any derivative action or proceeding brought on behalf of us, (ii) any action asserting a claim of breach of a fiduciary duty owed by any current or former director, officer, stockholder, employee, or agent of ours to us or our stockholders, (iii) any action asserting a claim arising pursuant to any provision of the DGCL, our Certificate of Incorporation or our Bylaws (in each case, as may be amended from time to time), (iv) any action asserting a claim governed by the internal affairs doctrine of the State of Delaware, or (v) any other action asserting an “internal corporate claim,” as defined in Section 115 of the DGCL, in all cases subject to the court having personal jurisdiction over all indispensable parties named as defendants.</w:t>
      </w:r>
    </w:p>
    <w:p>
      <w:pPr>
        <w:spacing w:after="0" w:line="109"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LEGAL MATTERS</w:t>
      </w:r>
    </w:p>
    <w:p>
      <w:pPr>
        <w:spacing w:after="0" w:line="333" w:lineRule="exact"/>
        <w:rPr>
          <w:sz w:val="20"/>
          <w:szCs w:val="20"/>
          <w:color w:val="auto"/>
        </w:rPr>
      </w:pPr>
    </w:p>
    <w:p>
      <w:pPr>
        <w:ind w:left="1260" w:right="519"/>
        <w:spacing w:after="0" w:line="287" w:lineRule="auto"/>
        <w:rPr>
          <w:sz w:val="20"/>
          <w:szCs w:val="20"/>
          <w:color w:val="auto"/>
        </w:rPr>
      </w:pPr>
      <w:r>
        <w:rPr>
          <w:rFonts w:ascii="Arial" w:cs="Arial" w:eastAsia="Arial" w:hAnsi="Arial"/>
          <w:sz w:val="18"/>
          <w:szCs w:val="18"/>
          <w:color w:val="auto"/>
        </w:rPr>
        <w:t>The validity of the shares of common stock being offered hereby will be passed upon for us by Goodwin Procter LLP, Philadelphia, Pennsylvania.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EXPERTS</w:t>
      </w:r>
    </w:p>
    <w:p>
      <w:pPr>
        <w:spacing w:after="0" w:line="333" w:lineRule="exact"/>
        <w:rPr>
          <w:sz w:val="20"/>
          <w:szCs w:val="20"/>
          <w:color w:val="auto"/>
        </w:rPr>
      </w:pPr>
    </w:p>
    <w:p>
      <w:pPr>
        <w:ind w:left="1260" w:right="519"/>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Century Therapeutics, Inc. appearing in Century Therapeutics, Inc.’s </w:t>
      </w:r>
      <w:hyperlink r:id="rId30">
        <w:r>
          <w:rPr>
            <w:rFonts w:ascii="Arial" w:cs="Arial" w:eastAsia="Arial" w:hAnsi="Arial"/>
            <w:sz w:val="18"/>
            <w:szCs w:val="18"/>
            <w:u w:val="single" w:color="auto"/>
            <w:color w:val="0000EE"/>
          </w:rPr>
          <w:t>Annual Report (Form 10-K) for the year ended December 31, 2023</w:t>
        </w:r>
      </w:hyperlink>
      <w:r>
        <w:rPr>
          <w:rFonts w:ascii="Arial" w:cs="Arial" w:eastAsia="Arial" w:hAnsi="Arial"/>
          <w:sz w:val="18"/>
          <w:szCs w:val="18"/>
          <w:color w:val="auto"/>
        </w:rPr>
        <w:t>,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333"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This prospectus is part of the registration statement on Form S-3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w:t>
      </w:r>
    </w:p>
    <w:p>
      <w:pPr>
        <w:spacing w:after="0" w:line="115" w:lineRule="exact"/>
        <w:rPr>
          <w:sz w:val="20"/>
          <w:szCs w:val="20"/>
          <w:color w:val="auto"/>
        </w:rPr>
      </w:pPr>
    </w:p>
    <w:p>
      <w:pPr>
        <w:ind w:left="1260" w:right="519"/>
        <w:spacing w:after="0" w:line="257" w:lineRule="auto"/>
        <w:rPr>
          <w:sz w:val="20"/>
          <w:szCs w:val="20"/>
          <w:color w:val="auto"/>
        </w:rPr>
      </w:pPr>
      <w:r>
        <w:rPr>
          <w:rFonts w:ascii="Arial" w:cs="Arial" w:eastAsia="Arial" w:hAnsi="Arial"/>
          <w:sz w:val="18"/>
          <w:szCs w:val="18"/>
          <w:color w:val="auto"/>
        </w:rPr>
        <w:t>We are currently subject to the reporting requirements of the Securities Exchange Act of 1934, as amended, or the Exchange Act, and in accordance therewith file periodic reports, proxy statements and other information with the SEC. Our SEC filings are available to you on the SEC’s website at http://www.sec.gov and in the “Investors” section of our website at www.centurytx.com. Our website and the information contained on that site, or connected to that site, are not incorporated into and are not a part of this prospectus.</w:t>
      </w:r>
    </w:p>
    <w:p>
      <w:pPr>
        <w:spacing w:after="0" w:line="182"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333"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23" w:lineRule="exact"/>
        <w:rPr>
          <w:sz w:val="20"/>
          <w:szCs w:val="20"/>
          <w:color w:val="auto"/>
        </w:rPr>
      </w:pPr>
    </w:p>
    <w:p>
      <w:pPr>
        <w:ind w:left="1620" w:right="859" w:hanging="360"/>
        <w:spacing w:after="0" w:line="281" w:lineRule="auto"/>
        <w:tabs>
          <w:tab w:leader="none" w:pos="1620" w:val="left"/>
        </w:tabs>
        <w:numPr>
          <w:ilvl w:val="0"/>
          <w:numId w:val="11"/>
        </w:numPr>
        <w:rPr>
          <w:rFonts w:ascii="Arial" w:cs="Arial" w:eastAsia="Arial" w:hAnsi="Arial"/>
          <w:sz w:val="18"/>
          <w:szCs w:val="18"/>
          <w:u w:val="single" w:color="auto"/>
          <w:color w:val="0000EE"/>
        </w:rPr>
      </w:pPr>
      <w:hyperlink r:id="rId30">
        <w:r>
          <w:rPr>
            <w:rFonts w:ascii="Arial" w:cs="Arial" w:eastAsia="Arial" w:hAnsi="Arial"/>
            <w:sz w:val="18"/>
            <w:szCs w:val="18"/>
            <w:u w:val="single" w:color="auto"/>
            <w:color w:val="0000EE"/>
          </w:rPr>
          <w:t>Our Annual Report on Form 10-K for the year ended December 31, 2023 filed with the SEC on</w:t>
        </w:r>
      </w:hyperlink>
      <w:r>
        <w:rPr>
          <w:rFonts w:ascii="Arial" w:cs="Arial" w:eastAsia="Arial" w:hAnsi="Arial"/>
          <w:sz w:val="18"/>
          <w:szCs w:val="18"/>
          <w:u w:val="single" w:color="auto"/>
          <w:color w:val="0000EE"/>
        </w:rPr>
        <w:t xml:space="preserve"> </w:t>
      </w:r>
      <w:hyperlink r:id="rId30">
        <w:r>
          <w:rPr>
            <w:rFonts w:ascii="Arial" w:cs="Arial" w:eastAsia="Arial" w:hAnsi="Arial"/>
            <w:sz w:val="18"/>
            <w:szCs w:val="18"/>
            <w:u w:val="single" w:color="auto"/>
            <w:color w:val="0000EE"/>
          </w:rPr>
          <w:t>March 14, 2024;</w:t>
        </w:r>
      </w:hyperlink>
    </w:p>
    <w:p>
      <w:pPr>
        <w:spacing w:after="0" w:line="1" w:lineRule="exact"/>
        <w:rPr>
          <w:rFonts w:ascii="Arial" w:cs="Arial" w:eastAsia="Arial" w:hAnsi="Arial"/>
          <w:sz w:val="18"/>
          <w:szCs w:val="18"/>
          <w:u w:val="single" w:color="auto"/>
          <w:color w:val="0000EE"/>
        </w:rPr>
      </w:pPr>
    </w:p>
    <w:p>
      <w:pPr>
        <w:ind w:left="1620" w:right="739" w:hanging="360"/>
        <w:spacing w:after="0" w:line="281" w:lineRule="auto"/>
        <w:tabs>
          <w:tab w:leader="none" w:pos="1620" w:val="left"/>
        </w:tabs>
        <w:numPr>
          <w:ilvl w:val="0"/>
          <w:numId w:val="11"/>
        </w:numPr>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Our Quarterly Report on Form 10-Q for the quarter ended March 31, 2024, filed with the SEC on</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May 9, 2024;</w:t>
        </w:r>
      </w:hyperlink>
    </w:p>
    <w:p>
      <w:pPr>
        <w:spacing w:after="0" w:line="1" w:lineRule="exact"/>
        <w:rPr>
          <w:rFonts w:ascii="Arial" w:cs="Arial" w:eastAsia="Arial" w:hAnsi="Arial"/>
          <w:sz w:val="18"/>
          <w:szCs w:val="18"/>
          <w:u w:val="single" w:color="auto"/>
          <w:color w:val="0000EE"/>
        </w:rPr>
      </w:pPr>
    </w:p>
    <w:p>
      <w:pPr>
        <w:ind w:left="1620" w:right="559" w:hanging="360"/>
        <w:spacing w:after="0" w:line="268"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2023 from our </w:t>
      </w:r>
      <w:hyperlink r:id="rId69">
        <w:r>
          <w:rPr>
            <w:rFonts w:ascii="Arial" w:cs="Arial" w:eastAsia="Arial" w:hAnsi="Arial"/>
            <w:sz w:val="18"/>
            <w:szCs w:val="18"/>
            <w:u w:val="single" w:color="auto"/>
            <w:color w:val="0000EE"/>
          </w:rPr>
          <w:t>Definitive Proxy Statement on Form DEF 14-A</w:t>
        </w:r>
      </w:hyperlink>
      <w:r>
        <w:rPr>
          <w:rFonts w:ascii="Arial" w:cs="Arial" w:eastAsia="Arial" w:hAnsi="Arial"/>
          <w:sz w:val="18"/>
          <w:szCs w:val="18"/>
          <w:color w:val="auto"/>
        </w:rPr>
        <w:t>, filed on April 26, 2024;</w:t>
      </w:r>
    </w:p>
    <w:p>
      <w:pPr>
        <w:spacing w:after="0" w:line="8" w:lineRule="exact"/>
        <w:rPr>
          <w:rFonts w:ascii="Arial" w:cs="Arial" w:eastAsia="Arial" w:hAnsi="Arial"/>
          <w:sz w:val="18"/>
          <w:szCs w:val="18"/>
          <w:color w:val="auto"/>
        </w:rPr>
      </w:pPr>
    </w:p>
    <w:p>
      <w:pPr>
        <w:ind w:left="1620" w:right="699" w:hanging="360"/>
        <w:spacing w:after="0" w:line="281" w:lineRule="auto"/>
        <w:tabs>
          <w:tab w:leader="none" w:pos="1620" w:val="left"/>
        </w:tabs>
        <w:numPr>
          <w:ilvl w:val="0"/>
          <w:numId w:val="11"/>
        </w:numPr>
        <w:rPr>
          <w:rFonts w:ascii="Arial" w:cs="Arial" w:eastAsia="Arial" w:hAnsi="Arial"/>
          <w:sz w:val="18"/>
          <w:szCs w:val="18"/>
          <w:color w:val="0000EE"/>
        </w:rPr>
      </w:pPr>
      <w:hyperlink r:id="rId70">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January 19, 2024</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9, 2024</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11,</w:t>
        </w:r>
      </w:hyperlink>
      <w:r>
        <w:rPr>
          <w:rFonts w:ascii="Arial" w:cs="Arial" w:eastAsia="Arial" w:hAnsi="Arial"/>
          <w:sz w:val="18"/>
          <w:szCs w:val="18"/>
          <w:color w:val="auto"/>
        </w:rPr>
        <w:t xml:space="preserve"> </w:t>
      </w:r>
      <w:hyperlink r:id="rId70">
        <w:r>
          <w:rPr>
            <w:rFonts w:ascii="Arial" w:cs="Arial" w:eastAsia="Arial" w:hAnsi="Arial"/>
            <w:sz w:val="18"/>
            <w:szCs w:val="18"/>
            <w:u w:val="single" w:color="auto"/>
            <w:color w:val="0000EE"/>
          </w:rPr>
          <w:t>2024</w:t>
        </w:r>
        <w:r>
          <w:rPr>
            <w:rFonts w:ascii="Arial" w:cs="Arial" w:eastAsia="Arial" w:hAnsi="Arial"/>
            <w:sz w:val="18"/>
            <w:szCs w:val="18"/>
            <w:color w:val="0000EE"/>
          </w:rPr>
          <w:t xml:space="preserve"> </w:t>
        </w:r>
        <w:r>
          <w:rPr>
            <w:rFonts w:ascii="Arial" w:cs="Arial" w:eastAsia="Arial" w:hAnsi="Arial"/>
            <w:sz w:val="18"/>
            <w:szCs w:val="18"/>
            <w:color w:val="000000"/>
          </w:rPr>
          <w:t>(</w:t>
        </w:r>
      </w:hyperlink>
      <w:hyperlink r:id="rId71">
        <w:r>
          <w:rPr>
            <w:rFonts w:ascii="Arial" w:cs="Arial" w:eastAsia="Arial" w:hAnsi="Arial"/>
            <w:sz w:val="18"/>
            <w:szCs w:val="18"/>
            <w:u w:val="single" w:color="auto"/>
            <w:color w:val="0000EE"/>
          </w:rPr>
          <w:t>two filings</w:t>
        </w:r>
      </w:hyperlink>
      <w:hyperlink r:id="rId7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72">
        <w:r>
          <w:rPr>
            <w:rFonts w:ascii="Arial" w:cs="Arial" w:eastAsia="Arial" w:hAnsi="Arial"/>
            <w:sz w:val="18"/>
            <w:szCs w:val="18"/>
            <w:u w:val="single" w:color="auto"/>
            <w:color w:val="0000EE"/>
          </w:rPr>
          <w:t>May 9, 2024</w:t>
        </w:r>
      </w:hyperlink>
      <w:hyperlink r:id="rId70">
        <w:r>
          <w:rPr>
            <w:rFonts w:ascii="Arial" w:cs="Arial" w:eastAsia="Arial" w:hAnsi="Arial"/>
            <w:sz w:val="18"/>
            <w:szCs w:val="18"/>
            <w:color w:val="000000"/>
          </w:rPr>
          <w:t>, and</w:t>
        </w:r>
        <w:r>
          <w:rPr>
            <w:rFonts w:ascii="Arial" w:cs="Arial" w:eastAsia="Arial" w:hAnsi="Arial"/>
            <w:sz w:val="18"/>
            <w:szCs w:val="18"/>
            <w:color w:val="0000EE"/>
          </w:rPr>
          <w:t xml:space="preserve"> </w:t>
        </w:r>
      </w:hyperlink>
      <w:hyperlink r:id="rId73">
        <w:r>
          <w:rPr>
            <w:rFonts w:ascii="Arial" w:cs="Arial" w:eastAsia="Arial" w:hAnsi="Arial"/>
            <w:sz w:val="18"/>
            <w:szCs w:val="18"/>
            <w:u w:val="single" w:color="auto"/>
            <w:color w:val="0000EE"/>
          </w:rPr>
          <w:t>June 3, 2024</w:t>
        </w:r>
      </w:hyperlink>
      <w:hyperlink r:id="rId70">
        <w:r>
          <w:rPr>
            <w:rFonts w:ascii="Arial" w:cs="Arial" w:eastAsia="Arial" w:hAnsi="Arial"/>
            <w:sz w:val="18"/>
            <w:szCs w:val="18"/>
            <w:color w:val="000000"/>
          </w:rPr>
          <w:t>; and</w:t>
        </w:r>
      </w:hyperlink>
    </w:p>
    <w:p>
      <w:pPr>
        <w:spacing w:after="0" w:line="1" w:lineRule="exact"/>
        <w:rPr>
          <w:rFonts w:ascii="Arial" w:cs="Arial" w:eastAsia="Arial" w:hAnsi="Arial"/>
          <w:sz w:val="18"/>
          <w:szCs w:val="18"/>
          <w:color w:val="0000EE"/>
        </w:rPr>
      </w:pPr>
    </w:p>
    <w:p>
      <w:pPr>
        <w:ind w:left="1620" w:right="539" w:hanging="360"/>
        <w:spacing w:after="0" w:line="268"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74">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001- 40498) filed with the SEC on June 14, 2021, under the Exchange Act, including any amendment or report filed for the purpose of updating such description.</w:t>
      </w:r>
    </w:p>
    <w:p>
      <w:pPr>
        <w:spacing w:after="0" w:line="90" w:lineRule="exact"/>
        <w:rPr>
          <w:rFonts w:ascii="Arial" w:cs="Arial" w:eastAsia="Arial" w:hAnsi="Arial"/>
          <w:sz w:val="18"/>
          <w:szCs w:val="18"/>
          <w:color w:val="0000EE"/>
        </w:rPr>
      </w:pPr>
    </w:p>
    <w:p>
      <w:pPr>
        <w:ind w:left="1260" w:right="499"/>
        <w:spacing w:after="0" w:line="253" w:lineRule="auto"/>
        <w:rPr>
          <w:sz w:val="20"/>
          <w:szCs w:val="20"/>
          <w:color w:val="auto"/>
        </w:rPr>
      </w:pPr>
      <w:r>
        <w:rPr>
          <w:rFonts w:ascii="Arial" w:cs="Arial" w:eastAsia="Arial" w:hAnsi="Arial"/>
          <w:sz w:val="18"/>
          <w:szCs w:val="18"/>
          <w:color w:val="auto"/>
        </w:rPr>
        <w:t>We also incorporate by reference any future filings (other than any filings or portions of such reports that are not deemed “filed” under the Exchange Act in accordance with the Exchange Act and applicable SEC rules, including current reports furnished under Item 2.02 or Item 7.01 of Form 8-K and exhibits furnished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the effectiveness of the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ectPr>
          <w:pgSz w:w="11900" w:h="16838" w:orient="portrait"/>
          <w:cols w:equalWidth="0" w:num="1">
            <w:col w:w="9879"/>
          </w:cols>
          <w:pgMar w:left="580" w:top="97" w:right="1440" w:bottom="1440" w:gutter="0" w:footer="0" w:header="0"/>
        </w:sectPr>
      </w:pPr>
    </w:p>
    <w:p>
      <w:pPr>
        <w:spacing w:after="0" w:line="374" w:lineRule="exact"/>
        <w:rPr>
          <w:rFonts w:ascii="Arial" w:cs="Arial" w:eastAsia="Arial" w:hAnsi="Arial"/>
          <w:sz w:val="18"/>
          <w:szCs w:val="18"/>
          <w:color w:val="0000EE"/>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699"/>
        <w:spacing w:after="0" w:line="262" w:lineRule="auto"/>
        <w:rPr>
          <w:sz w:val="20"/>
          <w:szCs w:val="20"/>
          <w:color w:val="auto"/>
        </w:rPr>
      </w:pPr>
      <w:r>
        <w:rPr>
          <w:rFonts w:ascii="Arial" w:cs="Arial" w:eastAsia="Arial" w:hAnsi="Arial"/>
          <w:sz w:val="18"/>
          <w:szCs w:val="18"/>
          <w:color w:val="auto"/>
        </w:rPr>
        <w:t>We will furnish without charge to you, on written or oral request, a copy of any or all of the documents incorporated by reference in this prospectus, including exhibits to these documents. You should direct any requests for documents to Century Therapeutics, Inc., Attn: Corporate Secretary, 25 North 38th Street, 11th Floor, Philadelphia, Pennsylvania 19104.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90" w:lineRule="exact"/>
        <w:rPr>
          <w:sz w:val="20"/>
          <w:szCs w:val="20"/>
          <w:color w:val="auto"/>
        </w:rPr>
      </w:pPr>
    </w:p>
    <w:p>
      <w:pPr>
        <w:ind w:left="1260" w:right="479"/>
        <w:spacing w:after="0" w:line="259" w:lineRule="auto"/>
        <w:rPr>
          <w:sz w:val="20"/>
          <w:szCs w:val="20"/>
          <w:color w:val="auto"/>
        </w:rPr>
      </w:pPr>
      <w:r>
        <w:rPr>
          <w:rFonts w:ascii="Arial" w:cs="Arial" w:eastAsia="Arial" w:hAnsi="Arial"/>
          <w:sz w:val="18"/>
          <w:szCs w:val="18"/>
          <w:color w:val="auto"/>
        </w:rPr>
        <w:t>The following table sets forth an estimate of the fees and expenses payable by us in connection with the issuance and distribution of the shares of common stock being registered by this registration statement. None of the expenses listed below are to be borne by any of the selling stockholders named in the prospectus that forms a part of this registration statement. All the amounts shown are estimates, except for the SEC registration fee.</w:t>
      </w: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208"/>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40" w:type="dxa"/>
            <w:vAlign w:val="bottom"/>
            <w:gridSpan w:val="2"/>
          </w:tcPr>
          <w:p>
            <w:pPr>
              <w:spacing w:after="0" w:line="202" w:lineRule="exact"/>
              <w:rPr>
                <w:sz w:val="20"/>
                <w:szCs w:val="20"/>
                <w:color w:val="auto"/>
              </w:rPr>
            </w:pPr>
            <w:r>
              <w:rPr>
                <w:rFonts w:ascii="Arial" w:cs="Arial" w:eastAsia="Arial" w:hAnsi="Arial"/>
                <w:sz w:val="18"/>
                <w:szCs w:val="18"/>
                <w:color w:val="auto"/>
              </w:rPr>
              <w:t>Printing expenses</w:t>
            </w:r>
          </w:p>
        </w:tc>
        <w:tc>
          <w:tcPr>
            <w:tcW w:w="1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7540" w:type="dxa"/>
            <w:vAlign w:val="bottom"/>
            <w:gridSpan w:val="2"/>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Pr>
          <w:p>
            <w:pPr>
              <w:spacing w:after="0" w:line="54" w:lineRule="exact"/>
              <w:rPr>
                <w:sz w:val="20"/>
                <w:szCs w:val="20"/>
                <w:color w:val="auto"/>
              </w:rPr>
            </w:pPr>
            <w:r>
              <w:rPr>
                <w:rFonts w:ascii="Arial" w:cs="Arial" w:eastAsia="Arial" w:hAnsi="Arial"/>
                <w:sz w:val="6"/>
                <w:szCs w:val="6"/>
                <w:b w:val="1"/>
                <w:bCs w:val="1"/>
                <w:color w:val="auto"/>
              </w:rPr>
              <w:t>​</w:t>
            </w:r>
          </w:p>
        </w:tc>
        <w:tc>
          <w:tcPr>
            <w:tcW w:w="5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$60,000</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7540" w:type="dxa"/>
            <w:vAlign w:val="bottom"/>
            <w:gridSpan w:val="2"/>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shd w:val="clear" w:color="auto" w:fill="CCEEFF"/>
          </w:tcPr>
          <w:p>
            <w:pPr>
              <w:spacing w:after="0" w:line="54" w:lineRule="exact"/>
              <w:rPr>
                <w:sz w:val="20"/>
                <w:szCs w:val="20"/>
                <w:color w:val="auto"/>
              </w:rPr>
            </w:pPr>
            <w:r>
              <w:rPr>
                <w:rFonts w:ascii="Arial" w:cs="Arial" w:eastAsia="Arial" w:hAnsi="Arial"/>
                <w:sz w:val="6"/>
                <w:szCs w:val="6"/>
                <w:b w:val="1"/>
                <w:bCs w:val="1"/>
                <w:color w:val="auto"/>
              </w:rPr>
              <w:t>​</w:t>
            </w:r>
          </w:p>
        </w:tc>
        <w:tc>
          <w:tcPr>
            <w:tcW w:w="50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540" w:type="dxa"/>
            <w:vAlign w:val="bottom"/>
            <w:gridSpan w:val="2"/>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8"/>
              </w:rPr>
              <w:t>$20,000</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7540" w:type="dxa"/>
            <w:vAlign w:val="bottom"/>
            <w:gridSpan w:val="2"/>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Pr>
          <w:p>
            <w:pPr>
              <w:spacing w:after="0" w:line="54" w:lineRule="exact"/>
              <w:rPr>
                <w:sz w:val="20"/>
                <w:szCs w:val="20"/>
                <w:color w:val="auto"/>
              </w:rPr>
            </w:pPr>
            <w:r>
              <w:rPr>
                <w:rFonts w:ascii="Arial" w:cs="Arial" w:eastAsia="Arial" w:hAnsi="Arial"/>
                <w:sz w:val="6"/>
                <w:szCs w:val="6"/>
                <w:b w:val="1"/>
                <w:bCs w:val="1"/>
                <w:color w:val="auto"/>
              </w:rPr>
              <w:t>​</w:t>
            </w:r>
          </w:p>
        </w:tc>
        <w:tc>
          <w:tcPr>
            <w:tcW w:w="5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7520" w:type="dxa"/>
            <w:vAlign w:val="bottom"/>
            <w:tcBorders>
              <w:bottom w:val="single" w:sz="8" w:color="CCEEFF"/>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line="68" w:lineRule="exact"/>
              <w:rPr>
                <w:sz w:val="20"/>
                <w:szCs w:val="20"/>
                <w:color w:val="auto"/>
              </w:rPr>
            </w:pPr>
            <w:r>
              <w:rPr>
                <w:rFonts w:ascii="Arial" w:cs="Arial" w:eastAsia="Arial" w:hAnsi="Arial"/>
                <w:sz w:val="7"/>
                <w:szCs w:val="7"/>
                <w:b w:val="1"/>
                <w:bCs w:val="1"/>
                <w:color w:val="auto"/>
              </w:rPr>
              <w:t>​</w:t>
            </w:r>
          </w:p>
        </w:tc>
        <w:tc>
          <w:tcPr>
            <w:tcW w:w="500" w:type="dxa"/>
            <w:vAlign w:val="bottom"/>
            <w:tcBorders>
              <w:bottom w:val="single" w:sz="8" w:color="auto"/>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88,717</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7540" w:type="dxa"/>
            <w:vAlign w:val="bottom"/>
            <w:gridSpan w:val="2"/>
          </w:tcPr>
          <w:p>
            <w:pPr>
              <w:spacing w:after="0"/>
              <w:rPr>
                <w:sz w:val="20"/>
                <w:szCs w:val="20"/>
                <w:color w:val="auto"/>
              </w:rPr>
            </w:pPr>
            <w:r>
              <w:rPr>
                <w:rFonts w:ascii="Arial" w:cs="Arial" w:eastAsia="Arial" w:hAnsi="Arial"/>
                <w:sz w:val="3"/>
                <w:szCs w:val="3"/>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3"/>
                <w:szCs w:val="3"/>
                <w:b w:val="1"/>
                <w:bCs w:val="1"/>
                <w:color w:val="auto"/>
              </w:rPr>
              <w:t>​</w:t>
            </w:r>
          </w:p>
        </w:tc>
        <w:tc>
          <w:tcPr>
            <w:tcW w:w="500" w:type="dxa"/>
            <w:vAlign w:val="bottom"/>
            <w:tcBorders>
              <w:bottom w:val="single" w:sz="8" w:color="auto"/>
            </w:tcBorders>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5574665</wp:posOffset>
            </wp:positionH>
            <wp:positionV relativeFrom="paragraph">
              <wp:posOffset>-213995</wp:posOffset>
            </wp:positionV>
            <wp:extent cx="171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77" w:lineRule="exact"/>
        <w:rPr>
          <w:sz w:val="20"/>
          <w:szCs w:val="20"/>
          <w:color w:val="auto"/>
        </w:rPr>
      </w:pPr>
    </w:p>
    <w:p>
      <w:pPr>
        <w:ind w:left="1260" w:right="579"/>
        <w:spacing w:after="0" w:line="257" w:lineRule="auto"/>
        <w:rPr>
          <w:sz w:val="20"/>
          <w:szCs w:val="20"/>
          <w:color w:val="auto"/>
        </w:rPr>
      </w:pPr>
      <w:r>
        <w:rPr>
          <w:rFonts w:ascii="Arial" w:cs="Arial" w:eastAsia="Arial" w:hAnsi="Arial"/>
          <w:sz w:val="18"/>
          <w:szCs w:val="18"/>
          <w:color w:val="auto"/>
        </w:rPr>
        <w:t>As permitted by Section 102 of the DGCL, our Certificate of Incorporation and Bylaws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the Company or our stockholders for monetary damages for breach of fiduciary duty as a director, except for liability for:</w:t>
      </w:r>
    </w:p>
    <w:p>
      <w:pPr>
        <w:spacing w:after="0" w:line="7" w:lineRule="exact"/>
        <w:rPr>
          <w:sz w:val="20"/>
          <w:szCs w:val="20"/>
          <w:color w:val="auto"/>
        </w:rPr>
      </w:pPr>
    </w:p>
    <w:p>
      <w:pPr>
        <w:ind w:left="1620" w:hanging="360"/>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Company or our stockholders;</w:t>
      </w:r>
    </w:p>
    <w:p>
      <w:pPr>
        <w:spacing w:after="0" w:line="49" w:lineRule="exact"/>
        <w:rPr>
          <w:rFonts w:ascii="Arial" w:cs="Arial" w:eastAsia="Arial" w:hAnsi="Arial"/>
          <w:sz w:val="18"/>
          <w:szCs w:val="18"/>
          <w:color w:val="auto"/>
        </w:rPr>
      </w:pPr>
    </w:p>
    <w:p>
      <w:pPr>
        <w:ind w:left="1620" w:right="439" w:hanging="360"/>
        <w:spacing w:after="0" w:line="273"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 w:lineRule="exact"/>
        <w:rPr>
          <w:rFonts w:ascii="Arial" w:cs="Arial" w:eastAsia="Arial" w:hAnsi="Arial"/>
          <w:sz w:val="18"/>
          <w:szCs w:val="18"/>
          <w:color w:val="auto"/>
        </w:rPr>
      </w:pPr>
    </w:p>
    <w:p>
      <w:pPr>
        <w:ind w:left="1620" w:right="819" w:hanging="360"/>
        <w:spacing w:after="0" w:line="273"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act related to unlawful stock repurchases, redemptions, or other distributions or payment of dividends; or</w:t>
      </w:r>
    </w:p>
    <w:p>
      <w:pPr>
        <w:spacing w:after="0" w:line="1" w:lineRule="exact"/>
        <w:rPr>
          <w:rFonts w:ascii="Arial" w:cs="Arial" w:eastAsia="Arial" w:hAnsi="Arial"/>
          <w:sz w:val="18"/>
          <w:szCs w:val="18"/>
          <w:color w:val="auto"/>
        </w:rPr>
      </w:pPr>
    </w:p>
    <w:p>
      <w:pPr>
        <w:ind w:left="1620" w:hanging="360"/>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58" w:lineRule="exact"/>
        <w:rPr>
          <w:sz w:val="20"/>
          <w:szCs w:val="20"/>
          <w:color w:val="auto"/>
        </w:rPr>
      </w:pPr>
    </w:p>
    <w:p>
      <w:pPr>
        <w:ind w:left="1260" w:right="519"/>
        <w:spacing w:after="0" w:line="268" w:lineRule="auto"/>
        <w:rPr>
          <w:sz w:val="20"/>
          <w:szCs w:val="20"/>
          <w:color w:val="auto"/>
        </w:rPr>
      </w:pPr>
      <w:r>
        <w:rPr>
          <w:rFonts w:ascii="Arial" w:cs="Arial" w:eastAsia="Arial" w:hAnsi="Arial"/>
          <w:sz w:val="18"/>
          <w:szCs w:val="18"/>
          <w:color w:val="auto"/>
        </w:rPr>
        <w:t>These limitations of liability do not affect the availability of equitable remedies such as injunctive relief or rescission. Our Certificate of Incorporation authorizes us to indemnify our officers, directors and other agents to the fullest extent permitted under Delaware law.</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permitted by Section 145 of the DGCL, our Bylaws provide that:</w:t>
      </w:r>
    </w:p>
    <w:p>
      <w:pPr>
        <w:spacing w:after="0" w:line="50" w:lineRule="exact"/>
        <w:rPr>
          <w:sz w:val="20"/>
          <w:szCs w:val="20"/>
          <w:color w:val="auto"/>
        </w:rPr>
      </w:pPr>
    </w:p>
    <w:p>
      <w:pPr>
        <w:ind w:left="1620" w:right="999" w:hanging="360"/>
        <w:spacing w:after="0" w:line="266"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indemnify our directors, officers, and employees to the fullest extent permitted by the DGCL, subject to limited exceptions;</w:t>
      </w:r>
    </w:p>
    <w:p>
      <w:pPr>
        <w:ind w:left="1620" w:right="899" w:hanging="360"/>
        <w:spacing w:after="0" w:line="290" w:lineRule="auto"/>
        <w:tabs>
          <w:tab w:leader="none" w:pos="1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advance expenses to our directors, officers, and employees in connection with a legal proceeding to the fullest extent permitted by the DGCL, subject to limited exceptions; and</w:t>
      </w:r>
    </w:p>
    <w:p>
      <w:pPr>
        <w:ind w:left="1620" w:hanging="360"/>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rights provided in our Bylaws are not exclusive.</w:t>
      </w:r>
    </w:p>
    <w:p>
      <w:pPr>
        <w:spacing w:after="0" w:line="158" w:lineRule="exact"/>
        <w:rPr>
          <w:sz w:val="20"/>
          <w:szCs w:val="20"/>
          <w:color w:val="auto"/>
        </w:rPr>
      </w:pPr>
    </w:p>
    <w:p>
      <w:pPr>
        <w:ind w:left="1260" w:right="579"/>
        <w:spacing w:after="0" w:line="271" w:lineRule="auto"/>
        <w:rPr>
          <w:sz w:val="20"/>
          <w:szCs w:val="20"/>
          <w:color w:val="auto"/>
        </w:rPr>
      </w:pPr>
      <w:r>
        <w:rPr>
          <w:rFonts w:ascii="Arial" w:cs="Arial" w:eastAsia="Arial" w:hAnsi="Arial"/>
          <w:sz w:val="17"/>
          <w:szCs w:val="17"/>
          <w:color w:val="auto"/>
        </w:rPr>
        <w:t>Our Certificate of Incorporation and our Bylaws provide for the indemnification provisions described above and elsewhere herein. We have entered into indemnification agreements with our directors and officers that may be broader than the specific indemnification provisions contained in the DGCL.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w:t>
      </w:r>
    </w:p>
    <w:p>
      <w:pPr>
        <w:sectPr>
          <w:pgSz w:w="11900" w:h="16838" w:orient="portrait"/>
          <w:cols w:equalWidth="0" w:num="1">
            <w:col w:w="9879"/>
          </w:cols>
          <w:pgMar w:left="580" w:top="97" w:right="1440" w:bottom="1440" w:gutter="0" w:footer="0" w:header="0"/>
        </w:sectPr>
      </w:pPr>
    </w:p>
    <w:p>
      <w:pPr>
        <w:spacing w:after="0" w:line="344"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276860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599"/>
        <w:spacing w:after="0" w:line="261" w:lineRule="auto"/>
        <w:rPr>
          <w:sz w:val="20"/>
          <w:szCs w:val="20"/>
          <w:color w:val="auto"/>
        </w:rPr>
      </w:pPr>
      <w:r>
        <w:rPr>
          <w:rFonts w:ascii="Arial" w:cs="Arial" w:eastAsia="Arial" w:hAnsi="Arial"/>
          <w:sz w:val="18"/>
          <w:szCs w:val="18"/>
          <w:color w:val="auto"/>
        </w:rPr>
        <w:t>We have purchased and we currently intend to maintain insurance on behalf of each and every person who is or was our director or officer against any loss arising from any claim asserted against him or her and incurred by him or her in any such capacity, subject to certain exclusions.</w:t>
      </w:r>
    </w:p>
    <w:p>
      <w:pPr>
        <w:spacing w:after="0" w:line="94" w:lineRule="exact"/>
        <w:rPr>
          <w:sz w:val="20"/>
          <w:szCs w:val="20"/>
          <w:color w:val="auto"/>
        </w:rPr>
      </w:pPr>
    </w:p>
    <w:p>
      <w:pPr>
        <w:ind w:left="1260" w:right="739"/>
        <w:spacing w:after="0" w:line="252" w:lineRule="auto"/>
        <w:rPr>
          <w:sz w:val="20"/>
          <w:szCs w:val="20"/>
          <w:color w:val="auto"/>
        </w:rPr>
      </w:pPr>
      <w:r>
        <w:rPr>
          <w:rFonts w:ascii="Arial" w:cs="Arial" w:eastAsia="Arial" w:hAnsi="Arial"/>
          <w:sz w:val="18"/>
          <w:szCs w:val="18"/>
          <w:color w:val="auto"/>
        </w:rPr>
        <w:t>In any underwriting agreement we enter into in connection with the sale of securities being registered hereby, the underwriters will agree to indemnify, under certain conditions, the Company, our directors and officers and persons who control the Company within the meaning of the Securities Act against certain liabilities.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16.  Exhibits.</w:t>
      </w:r>
    </w:p>
    <w:p>
      <w:pPr>
        <w:spacing w:after="0" w:line="92" w:lineRule="exact"/>
        <w:rPr>
          <w:sz w:val="20"/>
          <w:szCs w:val="20"/>
          <w:color w:val="auto"/>
        </w:rPr>
      </w:pPr>
    </w:p>
    <w:p>
      <w:pPr>
        <w:ind w:left="1620" w:hanging="360"/>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3"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EXHIBIT INDEX</w:t>
      </w:r>
    </w:p>
    <w:p>
      <w:pPr>
        <w:spacing w:after="0" w:line="38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20"/>
                <w:szCs w:val="20"/>
                <w:color w:val="auto"/>
              </w:rPr>
            </w:pPr>
            <w:r>
              <w:rPr>
                <w:rFonts w:ascii="Arial" w:cs="Arial" w:eastAsia="Arial" w:hAnsi="Arial"/>
                <w:sz w:val="14"/>
                <w:szCs w:val="14"/>
                <w:b w:val="1"/>
                <w:bCs w:val="1"/>
                <w:color w:val="auto"/>
              </w:rPr>
              <w:t>​ ​</w:t>
            </w: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40" w:type="dxa"/>
            <w:vAlign w:val="bottom"/>
            <w:tcBorders>
              <w:bottom w:val="single" w:sz="8" w:color="auto"/>
            </w:tcBorders>
            <w:gridSpan w:val="19"/>
          </w:tcPr>
          <w:p>
            <w:pPr>
              <w:ind w:left="1640"/>
              <w:spacing w:after="0"/>
              <w:rPr>
                <w:sz w:val="20"/>
                <w:szCs w:val="20"/>
                <w:color w:val="auto"/>
              </w:rPr>
            </w:pPr>
            <w:r>
              <w:rPr>
                <w:rFonts w:ascii="Arial" w:cs="Arial" w:eastAsia="Arial" w:hAnsi="Arial"/>
                <w:sz w:val="14"/>
                <w:szCs w:val="14"/>
                <w:b w:val="1"/>
                <w:bCs w:val="1"/>
                <w:color w:val="auto"/>
              </w:rPr>
              <w:t>Description of Exhibit</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640" w:type="dxa"/>
            <w:vAlign w:val="bottom"/>
          </w:tcPr>
          <w:p>
            <w:pPr>
              <w:jc w:val="right"/>
              <w:spacing w:after="0" w:line="169" w:lineRule="exact"/>
              <w:rPr>
                <w:sz w:val="20"/>
                <w:szCs w:val="20"/>
                <w:color w:val="auto"/>
              </w:rPr>
            </w:pPr>
            <w:r>
              <w:rPr>
                <w:rFonts w:ascii="Arial" w:cs="Arial" w:eastAsia="Arial" w:hAnsi="Arial"/>
                <w:sz w:val="18"/>
                <w:szCs w:val="18"/>
                <w:color w:val="auto"/>
              </w:rPr>
              <w:t>2.1*^</w:t>
            </w:r>
          </w:p>
        </w:tc>
        <w:tc>
          <w:tcPr>
            <w:tcW w:w="220" w:type="dxa"/>
            <w:vAlign w:val="bottom"/>
          </w:tcPr>
          <w:p>
            <w:pPr>
              <w:spacing w:after="0" w:line="169" w:lineRule="exact"/>
              <w:rPr>
                <w:sz w:val="20"/>
                <w:szCs w:val="20"/>
                <w:color w:val="auto"/>
              </w:rPr>
            </w:pPr>
            <w:r>
              <w:rPr>
                <w:rFonts w:ascii="Arial" w:cs="Arial" w:eastAsia="Arial" w:hAnsi="Arial"/>
                <w:sz w:val="18"/>
                <w:szCs w:val="18"/>
                <w:color w:val="auto"/>
              </w:rPr>
              <w:t>​ ​</w:t>
            </w:r>
          </w:p>
        </w:tc>
        <w:tc>
          <w:tcPr>
            <w:tcW w:w="20" w:type="dxa"/>
            <w:vAlign w:val="bottom"/>
          </w:tcPr>
          <w:p>
            <w:pPr>
              <w:spacing w:after="0"/>
              <w:rPr>
                <w:sz w:val="14"/>
                <w:szCs w:val="14"/>
                <w:color w:val="auto"/>
              </w:rPr>
            </w:pPr>
          </w:p>
        </w:tc>
        <w:tc>
          <w:tcPr>
            <w:tcW w:w="7320" w:type="dxa"/>
            <w:vAlign w:val="bottom"/>
            <w:gridSpan w:val="22"/>
          </w:tcPr>
          <w:p>
            <w:pPr>
              <w:spacing w:after="0" w:line="169" w:lineRule="exact"/>
              <w:rPr>
                <w:rFonts w:ascii="Arial" w:cs="Arial" w:eastAsia="Arial" w:hAnsi="Arial"/>
                <w:sz w:val="18"/>
                <w:szCs w:val="18"/>
                <w:color w:val="0000EE"/>
              </w:rPr>
            </w:pPr>
            <w:hyperlink r:id="rId79">
              <w:r>
                <w:rPr>
                  <w:rFonts w:ascii="Arial" w:cs="Arial" w:eastAsia="Arial" w:hAnsi="Arial"/>
                  <w:sz w:val="18"/>
                  <w:szCs w:val="18"/>
                  <w:color w:val="0000EE"/>
                </w:rPr>
                <w:t>Agreement and Plan of Merger, dated April 11, 2024, by and among the Company and the</w:t>
              </w:r>
            </w:hyperlink>
          </w:p>
        </w:tc>
        <w:tc>
          <w:tcPr>
            <w:tcW w:w="60" w:type="dxa"/>
            <w:vAlign w:val="bottom"/>
          </w:tcPr>
          <w:p>
            <w:pPr>
              <w:spacing w:after="0" w:line="16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other parties thereto (incorporated by reference to Exhibit 2.1 of the Company’s Current</w:t>
              </w:r>
            </w:hyperlink>
          </w:p>
        </w:tc>
        <w:tc>
          <w:tcPr>
            <w:tcW w:w="300" w:type="dxa"/>
            <w:vAlign w:val="bottom"/>
            <w:gridSpan w:val="7"/>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7"/>
              </w:rPr>
            </w:pPr>
            <w:hyperlink r:id="rId79">
              <w:r>
                <w:rPr>
                  <w:rFonts w:ascii="Arial" w:cs="Arial" w:eastAsia="Arial" w:hAnsi="Arial"/>
                  <w:sz w:val="18"/>
                  <w:szCs w:val="18"/>
                  <w:color w:val="0000EE"/>
                  <w:w w:val="97"/>
                </w:rPr>
                <w:t>Report on Form 8-K (File No. 001-40498) filed on April 11, 2024).</w:t>
              </w:r>
            </w:hyperlink>
          </w:p>
        </w:tc>
        <w:tc>
          <w:tcPr>
            <w:tcW w:w="1740" w:type="dxa"/>
            <w:vAlign w:val="bottom"/>
            <w:tcBorders>
              <w:top w:val="single" w:sz="8" w:color="0000EE"/>
            </w:tcBorders>
            <w:gridSpan w:val="5"/>
          </w:tcPr>
          <w:p>
            <w:pPr>
              <w:spacing w:after="0"/>
              <w:rPr>
                <w:sz w:val="17"/>
                <w:szCs w:val="17"/>
                <w:color w:val="auto"/>
              </w:rPr>
            </w:pPr>
          </w:p>
        </w:tc>
        <w:tc>
          <w:tcPr>
            <w:tcW w:w="500" w:type="dxa"/>
            <w:vAlign w:val="bottom"/>
            <w:gridSpan w:val="11"/>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0" w:type="dxa"/>
            <w:vAlign w:val="bottom"/>
          </w:tcPr>
          <w:p>
            <w:pPr>
              <w:jc w:val="right"/>
              <w:ind w:right="113"/>
              <w:spacing w:after="0"/>
              <w:rPr>
                <w:sz w:val="20"/>
                <w:szCs w:val="20"/>
                <w:color w:val="auto"/>
              </w:rPr>
            </w:pPr>
            <w:r>
              <w:rPr>
                <w:rFonts w:ascii="Arial" w:cs="Arial" w:eastAsia="Arial" w:hAnsi="Arial"/>
                <w:sz w:val="18"/>
                <w:szCs w:val="18"/>
                <w:color w:val="auto"/>
              </w:rPr>
              <w:t>3.1</w:t>
            </w:r>
          </w:p>
        </w:tc>
        <w:tc>
          <w:tcPr>
            <w:tcW w:w="7560" w:type="dxa"/>
            <w:vAlign w:val="bottom"/>
            <w:gridSpan w:val="24"/>
          </w:tcPr>
          <w:p>
            <w:pPr>
              <w:spacing w:after="0"/>
              <w:rPr>
                <w:rFonts w:ascii="Arial" w:cs="Arial" w:eastAsia="Arial" w:hAnsi="Arial"/>
                <w:sz w:val="18"/>
                <w:szCs w:val="18"/>
                <w:color w:val="auto"/>
              </w:rPr>
            </w:pPr>
            <w:r>
              <w:rPr>
                <w:rFonts w:ascii="Arial" w:cs="Arial" w:eastAsia="Arial" w:hAnsi="Arial"/>
                <w:sz w:val="18"/>
                <w:szCs w:val="18"/>
                <w:color w:val="auto"/>
              </w:rPr>
              <w:t xml:space="preserve">​ ​ </w:t>
            </w:r>
            <w:hyperlink r:id="rId80">
              <w:r>
                <w:rPr>
                  <w:rFonts w:ascii="Arial" w:cs="Arial" w:eastAsia="Arial" w:hAnsi="Arial"/>
                  <w:sz w:val="18"/>
                  <w:szCs w:val="18"/>
                  <w:color w:val="0000EE"/>
                </w:rPr>
                <w:t>Second Amended and Restated Certificate of Incorporation (incorporated by reference to</w:t>
              </w:r>
            </w:hyperlink>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7"/>
              </w:rPr>
            </w:pPr>
            <w:hyperlink r:id="rId80">
              <w:r>
                <w:rPr>
                  <w:rFonts w:ascii="Arial" w:cs="Arial" w:eastAsia="Arial" w:hAnsi="Arial"/>
                  <w:sz w:val="18"/>
                  <w:szCs w:val="18"/>
                  <w:color w:val="0000EE"/>
                  <w:w w:val="97"/>
                </w:rPr>
                <w:t>Exhibit 3.1 of the Company’s Current Report on Form 8-K (File No. 001-40498) filed on</w:t>
              </w:r>
            </w:hyperlink>
          </w:p>
        </w:tc>
        <w:tc>
          <w:tcPr>
            <w:tcW w:w="160" w:type="dxa"/>
            <w:vAlign w:val="bottom"/>
            <w:tcBorders>
              <w:top w:val="single" w:sz="8" w:color="0000EE"/>
            </w:tcBorders>
            <w:gridSpan w:val="4"/>
          </w:tcPr>
          <w:p>
            <w:pPr>
              <w:spacing w:after="0"/>
              <w:rPr>
                <w:sz w:val="17"/>
                <w:szCs w:val="17"/>
                <w:color w:val="auto"/>
              </w:rPr>
            </w:pPr>
          </w:p>
        </w:tc>
        <w:tc>
          <w:tcPr>
            <w:tcW w:w="380" w:type="dxa"/>
            <w:vAlign w:val="bottom"/>
            <w:gridSpan w:val="9"/>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r:id="rId80">
              <w:r>
                <w:rPr>
                  <w:rFonts w:ascii="Arial" w:cs="Arial" w:eastAsia="Arial" w:hAnsi="Arial"/>
                  <w:sz w:val="18"/>
                  <w:szCs w:val="18"/>
                  <w:color w:val="0000EE"/>
                  <w:w w:val="99"/>
                </w:rPr>
                <w:t>June 25, 2021).</w:t>
              </w:r>
            </w:hyperlink>
          </w:p>
        </w:tc>
        <w:tc>
          <w:tcPr>
            <w:tcW w:w="6040" w:type="dxa"/>
            <w:vAlign w:val="bottom"/>
            <w:gridSpan w:val="19"/>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0" w:type="dxa"/>
            <w:vAlign w:val="bottom"/>
          </w:tcPr>
          <w:p>
            <w:pPr>
              <w:jc w:val="right"/>
              <w:ind w:right="113"/>
              <w:spacing w:after="0"/>
              <w:rPr>
                <w:sz w:val="20"/>
                <w:szCs w:val="20"/>
                <w:color w:val="auto"/>
              </w:rPr>
            </w:pPr>
            <w:r>
              <w:rPr>
                <w:rFonts w:ascii="Arial" w:cs="Arial" w:eastAsia="Arial" w:hAnsi="Arial"/>
                <w:sz w:val="18"/>
                <w:szCs w:val="18"/>
                <w:color w:val="auto"/>
              </w:rPr>
              <w:t>3.2</w:t>
            </w:r>
          </w:p>
        </w:tc>
        <w:tc>
          <w:tcPr>
            <w:tcW w:w="7560" w:type="dxa"/>
            <w:vAlign w:val="bottom"/>
            <w:gridSpan w:val="24"/>
          </w:tcPr>
          <w:p>
            <w:pPr>
              <w:spacing w:after="0"/>
              <w:rPr>
                <w:rFonts w:ascii="Arial" w:cs="Arial" w:eastAsia="Arial" w:hAnsi="Arial"/>
                <w:sz w:val="18"/>
                <w:szCs w:val="18"/>
                <w:color w:val="auto"/>
              </w:rPr>
            </w:pPr>
            <w:r>
              <w:rPr>
                <w:rFonts w:ascii="Arial" w:cs="Arial" w:eastAsia="Arial" w:hAnsi="Arial"/>
                <w:sz w:val="18"/>
                <w:szCs w:val="18"/>
                <w:color w:val="auto"/>
              </w:rPr>
              <w:t xml:space="preserve">​ ​ </w:t>
            </w:r>
            <w:hyperlink r:id="rId81">
              <w:r>
                <w:rPr>
                  <w:rFonts w:ascii="Arial" w:cs="Arial" w:eastAsia="Arial" w:hAnsi="Arial"/>
                  <w:sz w:val="18"/>
                  <w:szCs w:val="18"/>
                  <w:color w:val="0000EE"/>
                </w:rPr>
                <w:t>Second Amended and Restated Bylaws (incorporated by reference to Exhibit 3.2 of the</w:t>
              </w:r>
            </w:hyperlink>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20" w:type="dxa"/>
            <w:vAlign w:val="bottom"/>
            <w:gridSpan w:val="22"/>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Company’s Annual Report on Form 10-K (File No. 001-40498) filed on March 16, 2023).</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jc w:val="right"/>
              <w:ind w:right="113"/>
              <w:spacing w:after="0"/>
              <w:rPr>
                <w:sz w:val="20"/>
                <w:szCs w:val="20"/>
                <w:color w:val="auto"/>
              </w:rPr>
            </w:pPr>
            <w:r>
              <w:rPr>
                <w:rFonts w:ascii="Arial" w:cs="Arial" w:eastAsia="Arial" w:hAnsi="Arial"/>
                <w:sz w:val="18"/>
                <w:szCs w:val="18"/>
                <w:color w:val="auto"/>
              </w:rPr>
              <w:t>4.1</w:t>
            </w:r>
          </w:p>
        </w:tc>
        <w:tc>
          <w:tcPr>
            <w:tcW w:w="7620" w:type="dxa"/>
            <w:vAlign w:val="bottom"/>
            <w:gridSpan w:val="25"/>
          </w:tcPr>
          <w:p>
            <w:pPr>
              <w:spacing w:after="0"/>
              <w:rPr>
                <w:rFonts w:ascii="Arial" w:cs="Arial" w:eastAsia="Arial" w:hAnsi="Arial"/>
                <w:sz w:val="18"/>
                <w:szCs w:val="18"/>
                <w:color w:val="auto"/>
              </w:rPr>
            </w:pPr>
            <w:r>
              <w:rPr>
                <w:rFonts w:ascii="Arial" w:cs="Arial" w:eastAsia="Arial" w:hAnsi="Arial"/>
                <w:sz w:val="18"/>
                <w:szCs w:val="18"/>
                <w:color w:val="auto"/>
              </w:rPr>
              <w:t xml:space="preserve">​ ​ </w:t>
            </w:r>
            <w:hyperlink r:id="rId82">
              <w:r>
                <w:rPr>
                  <w:rFonts w:ascii="Arial" w:cs="Arial" w:eastAsia="Arial" w:hAnsi="Arial"/>
                  <w:sz w:val="18"/>
                  <w:szCs w:val="18"/>
                  <w:color w:val="0000EE"/>
                </w:rPr>
                <w:t>Specimen Common Stock Certificate of Company (incorporated by reference to Exhibit 4.1 to</w:t>
              </w:r>
              <w:r>
                <w:rPr>
                  <w:rFonts w:ascii="Arial" w:cs="Arial" w:eastAsia="Arial" w:hAnsi="Arial"/>
                  <w:sz w:val="18"/>
                  <w:szCs w:val="18"/>
                  <w:color w:val="auto"/>
                </w:rPr>
                <w:t xml:space="preserve"> </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6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7"/>
              </w:rPr>
            </w:pPr>
            <w:hyperlink r:id="rId82">
              <w:r>
                <w:rPr>
                  <w:rFonts w:ascii="Arial" w:cs="Arial" w:eastAsia="Arial" w:hAnsi="Arial"/>
                  <w:sz w:val="18"/>
                  <w:szCs w:val="18"/>
                  <w:color w:val="0000EE"/>
                  <w:w w:val="97"/>
                </w:rPr>
                <w:t>the Company’s Registration Statement on Form S-1/A (File No. 333-256648), dated June 14,</w:t>
              </w:r>
            </w:hyperlink>
          </w:p>
        </w:tc>
        <w:tc>
          <w:tcPr>
            <w:tcW w:w="20" w:type="dxa"/>
            <w:vAlign w:val="bottom"/>
            <w:tcBorders>
              <w:top w:val="single" w:sz="8" w:color="0000EE"/>
            </w:tcBorders>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2"/>
          </w:tcPr>
          <w:p>
            <w:pPr>
              <w:spacing w:after="0" w:line="196" w:lineRule="exact"/>
              <w:rPr>
                <w:rFonts w:ascii="Arial" w:cs="Arial" w:eastAsia="Arial" w:hAnsi="Arial"/>
                <w:sz w:val="18"/>
                <w:szCs w:val="18"/>
                <w:color w:val="0000EE"/>
                <w:w w:val="93"/>
              </w:rPr>
            </w:pPr>
            <w:hyperlink r:id="rId82">
              <w:r>
                <w:rPr>
                  <w:rFonts w:ascii="Arial" w:cs="Arial" w:eastAsia="Arial" w:hAnsi="Arial"/>
                  <w:sz w:val="18"/>
                  <w:szCs w:val="18"/>
                  <w:color w:val="0000EE"/>
                  <w:w w:val="93"/>
                </w:rPr>
                <w:t>2021).</w:t>
              </w:r>
            </w:hyperlink>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jc w:val="right"/>
              <w:ind w:right="113"/>
              <w:spacing w:after="0"/>
              <w:rPr>
                <w:sz w:val="20"/>
                <w:szCs w:val="20"/>
                <w:color w:val="auto"/>
              </w:rPr>
            </w:pPr>
            <w:r>
              <w:rPr>
                <w:rFonts w:ascii="Arial" w:cs="Arial" w:eastAsia="Arial" w:hAnsi="Arial"/>
                <w:sz w:val="18"/>
                <w:szCs w:val="18"/>
                <w:color w:val="auto"/>
              </w:rPr>
              <w:t>4.2</w:t>
            </w:r>
          </w:p>
        </w:tc>
        <w:tc>
          <w:tcPr>
            <w:tcW w:w="7620" w:type="dxa"/>
            <w:vAlign w:val="bottom"/>
            <w:gridSpan w:val="25"/>
          </w:tcPr>
          <w:p>
            <w:pPr>
              <w:spacing w:after="0"/>
              <w:rPr>
                <w:rFonts w:ascii="Arial" w:cs="Arial" w:eastAsia="Arial" w:hAnsi="Arial"/>
                <w:sz w:val="18"/>
                <w:szCs w:val="18"/>
                <w:color w:val="auto"/>
              </w:rPr>
            </w:pPr>
            <w:r>
              <w:rPr>
                <w:rFonts w:ascii="Arial" w:cs="Arial" w:eastAsia="Arial" w:hAnsi="Arial"/>
                <w:sz w:val="18"/>
                <w:szCs w:val="18"/>
                <w:color w:val="auto"/>
              </w:rPr>
              <w:t xml:space="preserve">​ ​ </w:t>
            </w:r>
            <w:hyperlink r:id="rId83">
              <w:r>
                <w:rPr>
                  <w:rFonts w:ascii="Arial" w:cs="Arial" w:eastAsia="Arial" w:hAnsi="Arial"/>
                  <w:sz w:val="18"/>
                  <w:szCs w:val="18"/>
                  <w:color w:val="0000EE"/>
                </w:rPr>
                <w:t>Investors’ Rights Agreement, by and among the Company and each of the investors listed on</w:t>
              </w:r>
              <w:r>
                <w:rPr>
                  <w:rFonts w:ascii="Arial" w:cs="Arial" w:eastAsia="Arial" w:hAnsi="Arial"/>
                  <w:sz w:val="18"/>
                  <w:szCs w:val="18"/>
                  <w:color w:val="auto"/>
                </w:rPr>
                <w:t xml:space="preserve"> </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60" w:type="dxa"/>
            <w:vAlign w:val="bottom"/>
            <w:tcBorders>
              <w:top w:val="single" w:sz="8" w:color="0000EE"/>
            </w:tcBorders>
            <w:gridSpan w:val="19"/>
          </w:tcPr>
          <w:p>
            <w:pPr>
              <w:spacing w:after="0" w:line="196" w:lineRule="exact"/>
              <w:rPr>
                <w:rFonts w:ascii="Arial" w:cs="Arial" w:eastAsia="Arial" w:hAnsi="Arial"/>
                <w:sz w:val="18"/>
                <w:szCs w:val="18"/>
                <w:color w:val="0000EE"/>
                <w:w w:val="98"/>
              </w:rPr>
            </w:pPr>
            <w:hyperlink r:id="rId83">
              <w:r>
                <w:rPr>
                  <w:rFonts w:ascii="Arial" w:cs="Arial" w:eastAsia="Arial" w:hAnsi="Arial"/>
                  <w:sz w:val="18"/>
                  <w:szCs w:val="18"/>
                  <w:color w:val="0000EE"/>
                  <w:w w:val="98"/>
                </w:rPr>
                <w:t>Schedule A thereto, dated February 25, 2021 (incorporated by reference to Exhibit 4.2 to the</w:t>
              </w:r>
            </w:hyperlink>
          </w:p>
        </w:tc>
        <w:tc>
          <w:tcPr>
            <w:tcW w:w="6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00" w:type="dxa"/>
            <w:vAlign w:val="bottom"/>
            <w:tcBorders>
              <w:bottom w:val="single" w:sz="8" w:color="0000EE"/>
            </w:tcBorders>
            <w:gridSpan w:val="21"/>
          </w:tcPr>
          <w:p>
            <w:pPr>
              <w:spacing w:after="0" w:line="196" w:lineRule="exact"/>
              <w:rPr>
                <w:rFonts w:ascii="Arial" w:cs="Arial" w:eastAsia="Arial" w:hAnsi="Arial"/>
                <w:sz w:val="18"/>
                <w:szCs w:val="18"/>
                <w:color w:val="0000EE"/>
                <w:w w:val="97"/>
              </w:rPr>
            </w:pPr>
            <w:hyperlink r:id="rId83">
              <w:r>
                <w:rPr>
                  <w:rFonts w:ascii="Arial" w:cs="Arial" w:eastAsia="Arial" w:hAnsi="Arial"/>
                  <w:sz w:val="18"/>
                  <w:szCs w:val="18"/>
                  <w:color w:val="0000EE"/>
                  <w:w w:val="97"/>
                </w:rPr>
                <w:t>Company’s Registration Statement on Form S-1 (File No. 333-256648), dated May 28, 2021).</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0" w:type="dxa"/>
            <w:vAlign w:val="bottom"/>
          </w:tcPr>
          <w:p>
            <w:pPr>
              <w:jc w:val="right"/>
              <w:ind w:right="113"/>
              <w:spacing w:after="0"/>
              <w:rPr>
                <w:sz w:val="20"/>
                <w:szCs w:val="20"/>
                <w:color w:val="auto"/>
              </w:rPr>
            </w:pPr>
            <w:r>
              <w:rPr>
                <w:rFonts w:ascii="Arial" w:cs="Arial" w:eastAsia="Arial" w:hAnsi="Arial"/>
                <w:sz w:val="18"/>
                <w:szCs w:val="18"/>
                <w:color w:val="auto"/>
              </w:rPr>
              <w:t>4.3</w:t>
            </w:r>
          </w:p>
        </w:tc>
        <w:tc>
          <w:tcPr>
            <w:tcW w:w="7560" w:type="dxa"/>
            <w:vAlign w:val="bottom"/>
            <w:gridSpan w:val="24"/>
          </w:tcPr>
          <w:p>
            <w:pPr>
              <w:spacing w:after="0"/>
              <w:rPr>
                <w:rFonts w:ascii="Arial" w:cs="Arial" w:eastAsia="Arial" w:hAnsi="Arial"/>
                <w:sz w:val="18"/>
                <w:szCs w:val="18"/>
                <w:color w:val="auto"/>
              </w:rPr>
            </w:pPr>
            <w:r>
              <w:rPr>
                <w:rFonts w:ascii="Arial" w:cs="Arial" w:eastAsia="Arial" w:hAnsi="Arial"/>
                <w:sz w:val="18"/>
                <w:szCs w:val="18"/>
                <w:color w:val="auto"/>
              </w:rPr>
              <w:t xml:space="preserve">​ ​ </w:t>
            </w:r>
            <w:hyperlink r:id="rId84">
              <w:r>
                <w:rPr>
                  <w:rFonts w:ascii="Arial" w:cs="Arial" w:eastAsia="Arial" w:hAnsi="Arial"/>
                  <w:sz w:val="18"/>
                  <w:szCs w:val="18"/>
                  <w:color w:val="0000EE"/>
                </w:rPr>
                <w:t>Warrant to Purchase Units of Century Therapeutics, LLC, in favor of Hercules Technology</w:t>
              </w:r>
            </w:hyperlink>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tcBorders>
              <w:bottom w:val="single" w:sz="8" w:color="0000EE"/>
            </w:tcBorders>
            <w:gridSpan w:val="17"/>
          </w:tcPr>
          <w:p>
            <w:pPr>
              <w:spacing w:after="0" w:line="196" w:lineRule="exact"/>
              <w:rPr>
                <w:rFonts w:ascii="Arial" w:cs="Arial" w:eastAsia="Arial" w:hAnsi="Arial"/>
                <w:sz w:val="18"/>
                <w:szCs w:val="18"/>
                <w:color w:val="0000EE"/>
                <w:w w:val="97"/>
              </w:rPr>
            </w:pPr>
            <w:hyperlink r:id="rId84">
              <w:r>
                <w:rPr>
                  <w:rFonts w:ascii="Arial" w:cs="Arial" w:eastAsia="Arial" w:hAnsi="Arial"/>
                  <w:sz w:val="18"/>
                  <w:szCs w:val="18"/>
                  <w:color w:val="0000EE"/>
                  <w:w w:val="97"/>
                </w:rPr>
                <w:t>Management Co II, Inc., dated September 14, 2020 (incorporated by reference to Exhibit 4.3</w:t>
              </w:r>
            </w:hyperlink>
          </w:p>
        </w:tc>
        <w:tc>
          <w:tcPr>
            <w:tcW w:w="100" w:type="dxa"/>
            <w:vAlign w:val="bottom"/>
            <w:gridSpan w:val="5"/>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4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r:id="rId84">
              <w:r>
                <w:rPr>
                  <w:rFonts w:ascii="Arial" w:cs="Arial" w:eastAsia="Arial" w:hAnsi="Arial"/>
                  <w:sz w:val="18"/>
                  <w:szCs w:val="18"/>
                  <w:color w:val="0000EE"/>
                  <w:w w:val="97"/>
                </w:rPr>
                <w:t>to the Company's Registration Statement on Form S-1 (File No. 333-256648), dated May 28,</w:t>
              </w:r>
            </w:hyperlink>
          </w:p>
        </w:tc>
        <w:tc>
          <w:tcPr>
            <w:tcW w:w="80" w:type="dxa"/>
            <w:vAlign w:val="bottom"/>
            <w:gridSpan w:val="4"/>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2"/>
          </w:tcPr>
          <w:p>
            <w:pPr>
              <w:spacing w:after="0" w:line="196" w:lineRule="exact"/>
              <w:rPr>
                <w:rFonts w:ascii="Arial" w:cs="Arial" w:eastAsia="Arial" w:hAnsi="Arial"/>
                <w:sz w:val="18"/>
                <w:szCs w:val="18"/>
                <w:color w:val="0000EE"/>
                <w:w w:val="93"/>
              </w:rPr>
            </w:pPr>
            <w:hyperlink r:id="rId84">
              <w:r>
                <w:rPr>
                  <w:rFonts w:ascii="Arial" w:cs="Arial" w:eastAsia="Arial" w:hAnsi="Arial"/>
                  <w:sz w:val="18"/>
                  <w:szCs w:val="18"/>
                  <w:color w:val="0000EE"/>
                  <w:w w:val="93"/>
                </w:rPr>
                <w:t>2021).</w:t>
              </w:r>
            </w:hyperlink>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gridSpan w:val="1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0" w:type="dxa"/>
            <w:vAlign w:val="bottom"/>
          </w:tcPr>
          <w:p>
            <w:pPr>
              <w:jc w:val="right"/>
              <w:ind w:right="113"/>
              <w:spacing w:after="0"/>
              <w:rPr>
                <w:sz w:val="20"/>
                <w:szCs w:val="20"/>
                <w:color w:val="auto"/>
              </w:rPr>
            </w:pPr>
            <w:r>
              <w:rPr>
                <w:rFonts w:ascii="Arial" w:cs="Arial" w:eastAsia="Arial" w:hAnsi="Arial"/>
                <w:sz w:val="18"/>
                <w:szCs w:val="18"/>
                <w:color w:val="auto"/>
              </w:rPr>
              <w:t>5.1</w:t>
            </w:r>
          </w:p>
        </w:tc>
        <w:tc>
          <w:tcPr>
            <w:tcW w:w="7560" w:type="dxa"/>
            <w:vAlign w:val="bottom"/>
            <w:gridSpan w:val="24"/>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Opinion of Goodwin Procter LLP (filed herewith).</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0" w:type="dxa"/>
            <w:vAlign w:val="bottom"/>
            <w:vMerge w:val="restart"/>
          </w:tcPr>
          <w:p>
            <w:pPr>
              <w:jc w:val="right"/>
              <w:ind w:right="113"/>
              <w:spacing w:after="0"/>
              <w:rPr>
                <w:sz w:val="20"/>
                <w:szCs w:val="20"/>
                <w:color w:val="auto"/>
              </w:rPr>
            </w:pPr>
            <w:r>
              <w:rPr>
                <w:rFonts w:ascii="Arial" w:cs="Arial" w:eastAsia="Arial" w:hAnsi="Arial"/>
                <w:sz w:val="18"/>
                <w:szCs w:val="18"/>
                <w:color w:val="auto"/>
              </w:rPr>
              <w:t>23.1</w:t>
            </w:r>
          </w:p>
        </w:tc>
        <w:tc>
          <w:tcPr>
            <w:tcW w:w="240" w:type="dxa"/>
            <w:vAlign w:val="bottom"/>
            <w:gridSpan w:val="2"/>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gridSpan w:val="14"/>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96"/>
        </w:trPr>
        <w:tc>
          <w:tcPr>
            <w:tcW w:w="640" w:type="dxa"/>
            <w:vAlign w:val="bottom"/>
            <w:vMerge w:val="continue"/>
          </w:tcPr>
          <w:p>
            <w:pPr>
              <w:spacing w:after="0"/>
              <w:rPr>
                <w:sz w:val="17"/>
                <w:szCs w:val="17"/>
                <w:color w:val="auto"/>
              </w:rPr>
            </w:pPr>
          </w:p>
        </w:tc>
        <w:tc>
          <w:tcPr>
            <w:tcW w:w="7560" w:type="dxa"/>
            <w:vAlign w:val="bottom"/>
            <w:gridSpan w:val="24"/>
          </w:tcPr>
          <w:p>
            <w:pPr>
              <w:spacing w:after="0" w:line="196" w:lineRule="exact"/>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Consent of Ernst &amp; Young, LLP, independent registered public accounting firm (filed</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0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herewith).</w:t>
            </w:r>
          </w:p>
        </w:tc>
        <w:tc>
          <w:tcPr>
            <w:tcW w:w="820" w:type="dxa"/>
            <w:vAlign w:val="bottom"/>
            <w:gridSpan w:val="14"/>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340" w:type="dxa"/>
            <w:vAlign w:val="bottom"/>
            <w:gridSpan w:val="1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 w:type="dxa"/>
            <w:vAlign w:val="bottom"/>
          </w:tcPr>
          <w:p>
            <w:pPr>
              <w:jc w:val="right"/>
              <w:ind w:right="113"/>
              <w:spacing w:after="0"/>
              <w:rPr>
                <w:sz w:val="20"/>
                <w:szCs w:val="20"/>
                <w:color w:val="auto"/>
              </w:rPr>
            </w:pPr>
            <w:r>
              <w:rPr>
                <w:rFonts w:ascii="Arial" w:cs="Arial" w:eastAsia="Arial" w:hAnsi="Arial"/>
                <w:sz w:val="18"/>
                <w:szCs w:val="18"/>
                <w:color w:val="auto"/>
              </w:rPr>
              <w:t>23.2</w:t>
            </w:r>
          </w:p>
        </w:tc>
        <w:tc>
          <w:tcPr>
            <w:tcW w:w="7560" w:type="dxa"/>
            <w:vAlign w:val="bottom"/>
            <w:gridSpan w:val="24"/>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Consent of Goodwin Procter LLP (included in Exhibit 5.1).</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gridSpan w:val="2"/>
            <w:vMerge w:val="restart"/>
          </w:tcPr>
          <w:p>
            <w:pPr>
              <w:spacing w:after="0"/>
              <w:rPr>
                <w:sz w:val="20"/>
                <w:szCs w:val="20"/>
                <w:color w:val="auto"/>
              </w:rPr>
            </w:pPr>
            <w:r>
              <w:rPr>
                <w:rFonts w:ascii="Arial" w:cs="Arial" w:eastAsia="Arial" w:hAnsi="Arial"/>
                <w:sz w:val="18"/>
                <w:szCs w:val="18"/>
                <w:color w:val="auto"/>
              </w:rPr>
              <w:t>​ ​</w:t>
            </w:r>
          </w:p>
        </w:tc>
        <w:tc>
          <w:tcPr>
            <w:tcW w:w="1280" w:type="dxa"/>
            <w:vAlign w:val="bottom"/>
            <w:tcBorders>
              <w:right w:val="single" w:sz="8" w:color="0000EE"/>
            </w:tcBorders>
            <w:gridSpan w:val="3"/>
            <w:shd w:val="clear" w:color="auto" w:fill="0000EE"/>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340" w:type="dxa"/>
            <w:vAlign w:val="bottom"/>
            <w:gridSpan w:val="15"/>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9"/>
        </w:trPr>
        <w:tc>
          <w:tcPr>
            <w:tcW w:w="640" w:type="dxa"/>
            <w:vAlign w:val="bottom"/>
          </w:tcPr>
          <w:p>
            <w:pPr>
              <w:jc w:val="right"/>
              <w:ind w:right="113"/>
              <w:spacing w:after="0"/>
              <w:rPr>
                <w:sz w:val="20"/>
                <w:szCs w:val="20"/>
                <w:color w:val="auto"/>
              </w:rPr>
            </w:pPr>
            <w:r>
              <w:rPr>
                <w:rFonts w:ascii="Arial" w:cs="Arial" w:eastAsia="Arial" w:hAnsi="Arial"/>
                <w:sz w:val="18"/>
                <w:szCs w:val="18"/>
                <w:color w:val="auto"/>
              </w:rPr>
              <w:t>24.1</w:t>
            </w:r>
          </w:p>
        </w:tc>
        <w:tc>
          <w:tcPr>
            <w:tcW w:w="240" w:type="dxa"/>
            <w:vAlign w:val="bottom"/>
            <w:gridSpan w:val="2"/>
            <w:vMerge w:val="continue"/>
          </w:tcPr>
          <w:p>
            <w:pPr>
              <w:spacing w:after="0"/>
              <w:rPr>
                <w:sz w:val="18"/>
                <w:szCs w:val="18"/>
                <w:color w:val="auto"/>
              </w:rPr>
            </w:pPr>
          </w:p>
        </w:tc>
        <w:tc>
          <w:tcPr>
            <w:tcW w:w="7320" w:type="dxa"/>
            <w:vAlign w:val="bottom"/>
            <w:gridSpan w:val="22"/>
          </w:tcPr>
          <w:p>
            <w:pPr>
              <w:spacing w:after="0"/>
              <w:rPr>
                <w:sz w:val="20"/>
                <w:szCs w:val="20"/>
                <w:color w:val="auto"/>
              </w:rPr>
            </w:pPr>
            <w:r>
              <w:rPr>
                <w:rFonts w:ascii="Arial" w:cs="Arial" w:eastAsia="Arial" w:hAnsi="Arial"/>
                <w:sz w:val="18"/>
                <w:szCs w:val="18"/>
                <w:color w:val="0000EE"/>
              </w:rPr>
              <w:t>Powers of Attorney (incorporated by reference to the signature page hereto).</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107</w:t>
            </w:r>
          </w:p>
        </w:tc>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598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Filing Fee Table.</w:t>
            </w:r>
          </w:p>
        </w:tc>
        <w:tc>
          <w:tcPr>
            <w:tcW w:w="1340" w:type="dxa"/>
            <w:vAlign w:val="bottom"/>
            <w:gridSpan w:val="15"/>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13716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366" w:lineRule="exact"/>
        <w:rPr>
          <w:sz w:val="20"/>
          <w:szCs w:val="20"/>
          <w:color w:val="auto"/>
        </w:rPr>
      </w:pPr>
    </w:p>
    <w:p>
      <w:pPr>
        <w:ind w:left="1620" w:right="1419" w:hanging="360"/>
        <w:spacing w:after="0" w:line="287"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schedules, annexes or exhibits have been omitted pursuant to Item 601(a)(5) of Regulation S-K, but will be furnished supplementally to the SEC upon request.</w:t>
      </w:r>
    </w:p>
    <w:p>
      <w:pPr>
        <w:spacing w:after="0" w:line="4" w:lineRule="exact"/>
        <w:rPr>
          <w:sz w:val="20"/>
          <w:szCs w:val="20"/>
          <w:color w:val="auto"/>
        </w:rPr>
      </w:pPr>
    </w:p>
    <w:p>
      <w:pPr>
        <w:jc w:val="both"/>
        <w:ind w:left="1620" w:right="539" w:hanging="360"/>
        <w:spacing w:after="0" w:line="268"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portions of this Exhibit have been redacted pursuant to Item 601(b)(10)(iv) of Regulation S-K. The Company hereby agrees to furnish supplementally an unredacted copy of the exhibit to the SEC upon its request.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17.  Undertakings.</w:t>
      </w:r>
    </w:p>
    <w:p>
      <w:pPr>
        <w:spacing w:after="0" w:line="90" w:lineRule="exact"/>
        <w:rPr>
          <w:sz w:val="20"/>
          <w:szCs w:val="20"/>
          <w:color w:val="auto"/>
        </w:rPr>
      </w:pPr>
    </w:p>
    <w:p>
      <w:pPr>
        <w:ind w:left="1980" w:hanging="360"/>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44" w:lineRule="exact"/>
        <w:rPr>
          <w:rFonts w:ascii="Arial" w:cs="Arial" w:eastAsia="Arial" w:hAnsi="Arial"/>
          <w:sz w:val="18"/>
          <w:szCs w:val="18"/>
          <w:color w:val="auto"/>
        </w:rPr>
      </w:pPr>
    </w:p>
    <w:p>
      <w:pPr>
        <w:ind w:left="2340" w:right="1199" w:hanging="360"/>
        <w:spacing w:after="0" w:line="287" w:lineRule="auto"/>
        <w:tabs>
          <w:tab w:leader="none" w:pos="23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85" w:lineRule="exact"/>
        <w:rPr>
          <w:rFonts w:ascii="Arial" w:cs="Arial" w:eastAsia="Arial" w:hAnsi="Arial"/>
          <w:sz w:val="18"/>
          <w:szCs w:val="18"/>
          <w:color w:val="auto"/>
        </w:rPr>
      </w:pPr>
    </w:p>
    <w:p>
      <w:pPr>
        <w:ind w:left="234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700" w:right="439" w:hanging="360"/>
        <w:spacing w:after="0" w:line="254" w:lineRule="auto"/>
        <w:tabs>
          <w:tab w:leader="none" w:pos="2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14" w:lineRule="exact"/>
        <w:rPr>
          <w:rFonts w:ascii="Arial" w:cs="Arial" w:eastAsia="Arial" w:hAnsi="Arial"/>
          <w:sz w:val="18"/>
          <w:szCs w:val="18"/>
          <w:color w:val="auto"/>
        </w:rPr>
      </w:pPr>
    </w:p>
    <w:p>
      <w:pPr>
        <w:ind w:left="2700" w:right="899" w:hanging="360"/>
        <w:spacing w:after="0" w:line="268" w:lineRule="auto"/>
        <w:tabs>
          <w:tab w:leader="none" w:pos="2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3" w:lineRule="exact"/>
        <w:rPr>
          <w:sz w:val="20"/>
          <w:szCs w:val="20"/>
          <w:color w:val="auto"/>
        </w:rPr>
      </w:pPr>
    </w:p>
    <w:p>
      <w:pPr>
        <w:ind w:left="1260" w:right="459"/>
        <w:spacing w:after="0" w:line="259"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(a)(1)(ii) and (a)(1)(iii) of this section do not apply if the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98" w:lineRule="exact"/>
        <w:rPr>
          <w:sz w:val="20"/>
          <w:szCs w:val="20"/>
          <w:color w:val="auto"/>
        </w:rPr>
      </w:pPr>
    </w:p>
    <w:p>
      <w:pPr>
        <w:ind w:left="2340" w:right="539" w:hanging="360"/>
        <w:spacing w:after="0" w:line="262" w:lineRule="auto"/>
        <w:tabs>
          <w:tab w:leader="none" w:pos="23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08" w:lineRule="exact"/>
        <w:rPr>
          <w:rFonts w:ascii="Arial" w:cs="Arial" w:eastAsia="Arial" w:hAnsi="Arial"/>
          <w:sz w:val="18"/>
          <w:szCs w:val="18"/>
          <w:color w:val="auto"/>
        </w:rPr>
      </w:pPr>
    </w:p>
    <w:p>
      <w:pPr>
        <w:ind w:left="2340" w:right="519" w:hanging="360"/>
        <w:spacing w:after="0" w:line="287" w:lineRule="auto"/>
        <w:tabs>
          <w:tab w:leader="none" w:pos="23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85" w:lineRule="exact"/>
        <w:rPr>
          <w:rFonts w:ascii="Arial" w:cs="Arial" w:eastAsia="Arial" w:hAnsi="Arial"/>
          <w:sz w:val="18"/>
          <w:szCs w:val="18"/>
          <w:color w:val="auto"/>
        </w:rPr>
      </w:pPr>
    </w:p>
    <w:p>
      <w:pPr>
        <w:ind w:left="2340" w:hanging="360"/>
        <w:spacing w:after="0"/>
        <w:tabs>
          <w:tab w:leader="none" w:pos="23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44" w:lineRule="exact"/>
        <w:rPr>
          <w:rFonts w:ascii="Arial" w:cs="Arial" w:eastAsia="Arial" w:hAnsi="Arial"/>
          <w:sz w:val="18"/>
          <w:szCs w:val="18"/>
          <w:color w:val="auto"/>
        </w:rPr>
      </w:pPr>
    </w:p>
    <w:p>
      <w:pPr>
        <w:ind w:left="2700" w:right="499" w:hanging="360"/>
        <w:spacing w:after="0" w:line="268" w:lineRule="auto"/>
        <w:tabs>
          <w:tab w:leader="none" w:pos="27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3" w:lineRule="exact"/>
        <w:rPr>
          <w:rFonts w:ascii="Arial" w:cs="Arial" w:eastAsia="Arial" w:hAnsi="Arial"/>
          <w:sz w:val="18"/>
          <w:szCs w:val="18"/>
          <w:color w:val="auto"/>
        </w:rPr>
      </w:pPr>
    </w:p>
    <w:p>
      <w:pPr>
        <w:ind w:left="2700" w:right="479" w:hanging="360"/>
        <w:spacing w:after="0" w:line="252" w:lineRule="auto"/>
        <w:tabs>
          <w:tab w:leader="none" w:pos="27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3" w:lineRule="exact"/>
        <w:rPr>
          <w:rFonts w:ascii="Arial" w:cs="Arial" w:eastAsia="Arial" w:hAnsi="Arial"/>
          <w:sz w:val="18"/>
          <w:szCs w:val="18"/>
          <w:color w:val="auto"/>
        </w:rPr>
      </w:pPr>
    </w:p>
    <w:p>
      <w:pPr>
        <w:ind w:left="1980" w:right="599" w:hanging="360"/>
        <w:spacing w:after="0" w:line="318" w:lineRule="auto"/>
        <w:tabs>
          <w:tab w:leader="none" w:pos="1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each filing of the registrant’s annual report pursuant to Section 13(a)</w:t>
      </w:r>
    </w:p>
    <w:p>
      <w:pPr>
        <w:sectPr>
          <w:pgSz w:w="11900" w:h="16838" w:orient="portrait"/>
          <w:cols w:equalWidth="0" w:num="1">
            <w:col w:w="9879"/>
          </w:cols>
          <w:pgMar w:left="580" w:top="97" w:right="1440" w:bottom="1440" w:gutter="0" w:footer="0" w:header="0"/>
        </w:sectPr>
      </w:pPr>
    </w:p>
    <w:p>
      <w:pPr>
        <w:spacing w:after="0" w:line="30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80" w:right="439"/>
        <w:spacing w:after="0" w:line="259" w:lineRule="auto"/>
        <w:rPr>
          <w:sz w:val="20"/>
          <w:szCs w:val="20"/>
          <w:color w:val="auto"/>
        </w:rPr>
      </w:pPr>
      <w:r>
        <w:rPr>
          <w:rFonts w:ascii="Arial" w:cs="Arial" w:eastAsia="Arial" w:hAnsi="Arial"/>
          <w:sz w:val="18"/>
          <w:szCs w:val="18"/>
          <w:color w:val="auto"/>
        </w:rPr>
        <w:t xml:space="preserve">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2" w:lineRule="exact"/>
        <w:rPr>
          <w:sz w:val="20"/>
          <w:szCs w:val="20"/>
          <w:color w:val="auto"/>
        </w:rPr>
      </w:pPr>
    </w:p>
    <w:p>
      <w:pPr>
        <w:ind w:left="1980" w:right="499" w:hanging="360"/>
        <w:spacing w:after="0" w:line="253"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SIGNATURES</w:t>
      </w:r>
    </w:p>
    <w:p>
      <w:pPr>
        <w:spacing w:after="0" w:line="333" w:lineRule="exact"/>
        <w:rPr>
          <w:sz w:val="20"/>
          <w:szCs w:val="20"/>
          <w:color w:val="auto"/>
        </w:rPr>
      </w:pPr>
    </w:p>
    <w:p>
      <w:pPr>
        <w:ind w:left="1260" w:right="579"/>
        <w:spacing w:after="0" w:line="282" w:lineRule="auto"/>
        <w:rPr>
          <w:sz w:val="20"/>
          <w:szCs w:val="20"/>
          <w:color w:val="auto"/>
        </w:rPr>
      </w:pPr>
      <w:r>
        <w:rPr>
          <w:rFonts w:ascii="Arial" w:cs="Arial" w:eastAsia="Arial" w:hAnsi="Arial"/>
          <w:sz w:val="17"/>
          <w:szCs w:val="17"/>
          <w:color w:val="auto"/>
        </w:rPr>
        <w:t>Pursuant to the requirements of the Securities Act, as amended, the Company certifies that it has reasonable grounds to believe that it meets all of the requirements for filing on Form S-3 and has duly caused this registration statement to be signed on its behalf by the undersigned, thereunto duly authorized, in the City of Philadelphia, Commonwealth of Pennsylvania, on the 18th day of June, 2024.</w:t>
      </w:r>
    </w:p>
    <w:p>
      <w:pPr>
        <w:spacing w:after="0" w:line="116" w:lineRule="exact"/>
        <w:rPr>
          <w:sz w:val="20"/>
          <w:szCs w:val="20"/>
          <w:color w:val="auto"/>
        </w:rPr>
      </w:pPr>
    </w:p>
    <w:tbl>
      <w:tblPr>
        <w:tblLayout w:type="fixed"/>
        <w:tblInd w:w="472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 ​</w:t>
            </w:r>
          </w:p>
        </w:tc>
        <w:tc>
          <w:tcPr>
            <w:tcW w:w="36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tcPr>
          <w:p>
            <w:pPr>
              <w:ind w:left="220"/>
              <w:spacing w:after="0"/>
              <w:rPr>
                <w:sz w:val="20"/>
                <w:szCs w:val="20"/>
                <w:color w:val="auto"/>
              </w:rPr>
            </w:pPr>
            <w:r>
              <w:rPr>
                <w:rFonts w:ascii="Arial" w:cs="Arial" w:eastAsia="Arial" w:hAnsi="Arial"/>
                <w:sz w:val="18"/>
                <w:szCs w:val="18"/>
                <w:color w:val="auto"/>
              </w:rPr>
              <w:t>Century Therapeutics, Inc.</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860" w:type="dxa"/>
            <w:vAlign w:val="bottom"/>
          </w:tcPr>
          <w:p>
            <w:pPr>
              <w:spacing w:after="0"/>
              <w:rPr>
                <w:sz w:val="20"/>
                <w:szCs w:val="20"/>
                <w:color w:val="auto"/>
              </w:rPr>
            </w:pPr>
            <w:r>
              <w:rPr>
                <w:rFonts w:ascii="Arial" w:cs="Arial" w:eastAsia="Arial" w:hAnsi="Arial"/>
                <w:sz w:val="18"/>
                <w:szCs w:val="18"/>
                <w:color w:val="auto"/>
              </w:rPr>
              <w:t>​ ​</w:t>
            </w:r>
          </w:p>
        </w:tc>
        <w:tc>
          <w:tcPr>
            <w:tcW w:w="3680" w:type="dxa"/>
            <w:vAlign w:val="bottom"/>
          </w:tcPr>
          <w:p>
            <w:pPr>
              <w:spacing w:after="0"/>
              <w:rPr>
                <w:sz w:val="21"/>
                <w:szCs w:val="21"/>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860" w:type="dxa"/>
            <w:vAlign w:val="bottom"/>
          </w:tcPr>
          <w:p>
            <w:pPr>
              <w:ind w:left="220"/>
              <w:spacing w:after="0"/>
              <w:rPr>
                <w:sz w:val="20"/>
                <w:szCs w:val="20"/>
                <w:color w:val="auto"/>
              </w:rPr>
            </w:pPr>
            <w:r>
              <w:rPr>
                <w:rFonts w:ascii="Arial" w:cs="Arial" w:eastAsia="Arial" w:hAnsi="Arial"/>
                <w:sz w:val="18"/>
                <w:szCs w:val="18"/>
                <w:color w:val="auto"/>
              </w:rPr>
              <w:t>By:</w:t>
            </w:r>
          </w:p>
        </w:tc>
        <w:tc>
          <w:tcPr>
            <w:tcW w:w="3680" w:type="dxa"/>
            <w:vAlign w:val="bottom"/>
          </w:tcPr>
          <w:p>
            <w:pPr>
              <w:spacing w:after="0"/>
              <w:rPr>
                <w:sz w:val="20"/>
                <w:szCs w:val="20"/>
                <w:color w:val="auto"/>
              </w:rPr>
            </w:pPr>
            <w:r>
              <w:rPr>
                <w:rFonts w:ascii="Arial" w:cs="Arial" w:eastAsia="Arial" w:hAnsi="Arial"/>
                <w:sz w:val="18"/>
                <w:szCs w:val="18"/>
                <w:color w:val="auto"/>
              </w:rPr>
              <w:t>/s/ Brent Pfeiffenberger, Pharm.D.</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860" w:type="dxa"/>
            <w:vAlign w:val="bottom"/>
            <w:vMerge w:val="restart"/>
          </w:tcPr>
          <w:p>
            <w:pPr>
              <w:spacing w:after="0" w:line="300" w:lineRule="exact"/>
              <w:rPr>
                <w:sz w:val="20"/>
                <w:szCs w:val="20"/>
                <w:color w:val="auto"/>
              </w:rPr>
            </w:pPr>
            <w:r>
              <w:rPr>
                <w:rFonts w:ascii="Arial" w:cs="Arial" w:eastAsia="Arial" w:hAnsi="Arial"/>
                <w:sz w:val="34"/>
                <w:szCs w:val="34"/>
                <w:color w:val="auto"/>
                <w:vertAlign w:val="superscript"/>
              </w:rPr>
              <w:t>​ ​</w:t>
            </w:r>
            <w:r>
              <w:rPr>
                <w:rFonts w:ascii="Arial" w:cs="Arial" w:eastAsia="Arial" w:hAnsi="Arial"/>
                <w:sz w:val="18"/>
                <w:szCs w:val="18"/>
                <w:color w:val="auto"/>
              </w:rPr>
              <w:t xml:space="preserve"> Name:</w:t>
            </w:r>
          </w:p>
        </w:tc>
        <w:tc>
          <w:tcPr>
            <w:tcW w:w="3680" w:type="dxa"/>
            <w:vAlign w:val="bottom"/>
            <w:tcBorders>
              <w:bottom w:val="single" w:sz="8" w:color="auto"/>
            </w:tcBorders>
          </w:tcPr>
          <w:p>
            <w:pPr>
              <w:spacing w:after="0"/>
              <w:rPr>
                <w:sz w:val="2"/>
                <w:szCs w:val="2"/>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58"/>
        </w:trPr>
        <w:tc>
          <w:tcPr>
            <w:tcW w:w="860" w:type="dxa"/>
            <w:vAlign w:val="bottom"/>
            <w:vMerge w:val="continue"/>
          </w:tcPr>
          <w:p>
            <w:pPr>
              <w:spacing w:after="0"/>
              <w:rPr>
                <w:sz w:val="22"/>
                <w:szCs w:val="22"/>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Brent Pfeiffenberger, Pharm.D.</w:t>
            </w:r>
          </w:p>
        </w:tc>
        <w:tc>
          <w:tcPr>
            <w:tcW w:w="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860" w:type="dxa"/>
            <w:vAlign w:val="bottom"/>
          </w:tcPr>
          <w:p>
            <w:pPr>
              <w:spacing w:after="0"/>
              <w:rPr>
                <w:sz w:val="20"/>
                <w:szCs w:val="20"/>
                <w:color w:val="auto"/>
              </w:rPr>
            </w:pPr>
            <w:r>
              <w:rPr>
                <w:rFonts w:ascii="Arial" w:cs="Arial" w:eastAsia="Arial" w:hAnsi="Arial"/>
                <w:sz w:val="18"/>
                <w:szCs w:val="18"/>
                <w:color w:val="auto"/>
              </w:rPr>
              <w:t>​ ​ Title:</w:t>
            </w:r>
          </w:p>
        </w:tc>
        <w:tc>
          <w:tcPr>
            <w:tcW w:w="394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6216650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POWER OF ATTORNEY</w:t>
      </w:r>
    </w:p>
    <w:p>
      <w:pPr>
        <w:spacing w:after="0" w:line="333" w:lineRule="exact"/>
        <w:rPr>
          <w:sz w:val="20"/>
          <w:szCs w:val="20"/>
          <w:color w:val="auto"/>
        </w:rPr>
      </w:pPr>
    </w:p>
    <w:p>
      <w:pPr>
        <w:ind w:left="1260" w:right="460"/>
        <w:spacing w:after="0" w:line="254" w:lineRule="auto"/>
        <w:rPr>
          <w:sz w:val="20"/>
          <w:szCs w:val="20"/>
          <w:color w:val="auto"/>
        </w:rPr>
      </w:pPr>
      <w:r>
        <w:rPr>
          <w:rFonts w:ascii="Arial" w:cs="Arial" w:eastAsia="Arial" w:hAnsi="Arial"/>
          <w:sz w:val="18"/>
          <w:szCs w:val="18"/>
          <w:color w:val="auto"/>
        </w:rPr>
        <w:t>We, the undersigned officers and directors of Century Therapeutics, Inc., hereby severally constitute and appoint each of Brent Pfeiffenberger, Pharm.D. and Douglas Carr our true and lawful attorney-in-fact and agent, with full power of substitution and resubstitution in her or him for her or him and in her or his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or necessary to be done in and about the premises, as full to all intents and purposes as she or he might or could do in person, hereby ratifying and confirming all that said attorney-in-fact and agent, or her or his substitute or substitutes, may lawfully do or cause to be done by virtue hereof.</w:t>
      </w:r>
    </w:p>
    <w:p>
      <w:pPr>
        <w:spacing w:after="0" w:line="118" w:lineRule="exact"/>
        <w:rPr>
          <w:sz w:val="20"/>
          <w:szCs w:val="20"/>
          <w:color w:val="auto"/>
        </w:rPr>
      </w:pPr>
    </w:p>
    <w:p>
      <w:pPr>
        <w:ind w:left="1260" w:right="660" w:firstLine="360"/>
        <w:spacing w:after="0" w:line="263"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jc w:val="both"/>
        <w:ind w:left="1260"/>
        <w:spacing w:after="0"/>
        <w:tabs>
          <w:tab w:leader="none" w:pos="2520" w:val="left"/>
          <w:tab w:leader="none" w:pos="4540" w:val="left"/>
          <w:tab w:leader="none" w:pos="6420" w:val="left"/>
          <w:tab w:leader="none" w:pos="8500" w:val="left"/>
          <w:tab w:leader="none" w:pos="9100" w:val="left"/>
          <w:tab w:leader="none" w:pos="9840" w:val="left"/>
        </w:tabs>
        <w:rPr>
          <w:sz w:val="20"/>
          <w:szCs w:val="20"/>
          <w:color w:val="auto"/>
        </w:rPr>
      </w:pPr>
      <w:r>
        <w:rPr>
          <w:rFonts w:ascii="Arial" w:cs="Arial" w:eastAsia="Arial" w:hAnsi="Arial"/>
          <w:sz w:val="22"/>
          <w:szCs w:val="22"/>
          <w:b w:val="1"/>
          <w:bCs w:val="1"/>
          <w:color w:val="auto"/>
          <w:vertAlign w:val="subscript"/>
        </w:rPr>
        <w:t>​</w:t>
      </w:r>
      <w:r>
        <w:rPr>
          <w:sz w:val="20"/>
          <w:szCs w:val="20"/>
          <w:color w:val="auto"/>
        </w:rPr>
        <w:tab/>
      </w:r>
      <w:r>
        <w:rPr>
          <w:rFonts w:ascii="Arial" w:cs="Arial" w:eastAsia="Arial" w:hAnsi="Arial"/>
          <w:sz w:val="12"/>
          <w:szCs w:val="12"/>
          <w:b w:val="1"/>
          <w:bCs w:val="1"/>
          <w:color w:val="auto"/>
        </w:rPr>
        <w:t>Signature</w:t>
      </w:r>
      <w:r>
        <w:rPr>
          <w:sz w:val="20"/>
          <w:szCs w:val="20"/>
          <w:color w:val="auto"/>
        </w:rPr>
        <w:tab/>
      </w:r>
      <w:r>
        <w:rPr>
          <w:rFonts w:ascii="Arial" w:cs="Arial" w:eastAsia="Arial" w:hAnsi="Arial"/>
          <w:sz w:val="29"/>
          <w:szCs w:val="29"/>
          <w:b w:val="1"/>
          <w:bCs w:val="1"/>
          <w:color w:val="auto"/>
          <w:vertAlign w:val="subscript"/>
        </w:rPr>
        <w:t>​ ​</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29"/>
          <w:szCs w:val="29"/>
          <w:b w:val="1"/>
          <w:bCs w:val="1"/>
          <w:color w:val="auto"/>
          <w:vertAlign w:val="subscript"/>
        </w:rPr>
        <w:t>​ ​</w:t>
      </w:r>
      <w:r>
        <w:rPr>
          <w:sz w:val="20"/>
          <w:szCs w:val="20"/>
          <w:color w:val="auto"/>
        </w:rPr>
        <w:tab/>
      </w:r>
      <w:r>
        <w:rPr>
          <w:rFonts w:ascii="Arial" w:cs="Arial" w:eastAsia="Arial" w:hAnsi="Arial"/>
          <w:sz w:val="14"/>
          <w:szCs w:val="14"/>
          <w:b w:val="1"/>
          <w:bCs w:val="1"/>
          <w:color w:val="auto"/>
        </w:rPr>
        <w:t>Date</w:t>
      </w:r>
      <w:r>
        <w:rPr>
          <w:sz w:val="20"/>
          <w:szCs w:val="20"/>
          <w:color w:val="auto"/>
        </w:rPr>
        <w:tab/>
      </w:r>
      <w:r>
        <w:rPr>
          <w:rFonts w:ascii="Arial" w:cs="Arial" w:eastAsia="Arial" w:hAnsi="Arial"/>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4521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p>
      <w:pPr>
        <w:spacing w:after="0" w:line="265" w:lineRule="exact"/>
        <w:rPr>
          <w:sz w:val="20"/>
          <w:szCs w:val="20"/>
          <w:color w:val="auto"/>
        </w:rPr>
      </w:pPr>
    </w:p>
    <w:p>
      <w:pPr>
        <w:jc w:val="center"/>
        <w:ind w:left="1640" w:hanging="380"/>
        <w:spacing w:after="0" w:line="388" w:lineRule="auto"/>
        <w:tabs>
          <w:tab w:leader="none" w:pos="1523" w:val="left"/>
        </w:tabs>
        <w:numPr>
          <w:ilvl w:val="0"/>
          <w:numId w:val="22"/>
        </w:numPr>
        <w:rPr>
          <w:rFonts w:ascii="Arial" w:cs="Arial" w:eastAsia="Arial" w:hAnsi="Arial"/>
          <w:sz w:val="17"/>
          <w:szCs w:val="17"/>
          <w:color w:val="auto"/>
        </w:rPr>
      </w:pPr>
      <w:r>
        <w:rPr>
          <w:rFonts w:ascii="Arial" w:cs="Arial" w:eastAsia="Arial" w:hAnsi="Arial"/>
          <w:sz w:val="17"/>
          <w:szCs w:val="17"/>
          <w:color w:val="auto"/>
        </w:rPr>
        <w:t>/s/ Brent Pfeiffenberger, Pharm.D., Brent Pfeiffenberger, Pharm.D.,</w:t>
      </w:r>
    </w:p>
    <w:p>
      <w:pPr>
        <w:spacing w:after="0" w:line="29" w:lineRule="exact"/>
        <w:rPr>
          <w:rFonts w:ascii="Arial" w:cs="Arial" w:eastAsia="Arial" w:hAnsi="Arial"/>
          <w:sz w:val="17"/>
          <w:szCs w:val="17"/>
          <w:color w:val="auto"/>
        </w:rPr>
      </w:pPr>
    </w:p>
    <w:p>
      <w:pPr>
        <w:ind w:left="2240" w:hanging="980"/>
        <w:spacing w:after="0"/>
        <w:tabs>
          <w:tab w:leader="none" w:pos="2240" w:val="left"/>
        </w:tabs>
        <w:numPr>
          <w:ilvl w:val="0"/>
          <w:numId w:val="22"/>
        </w:numPr>
        <w:rPr>
          <w:rFonts w:ascii="Arial" w:cs="Arial" w:eastAsia="Arial" w:hAnsi="Arial"/>
          <w:sz w:val="36"/>
          <w:szCs w:val="36"/>
          <w:color w:val="auto"/>
          <w:vertAlign w:val="subscript"/>
        </w:rPr>
      </w:pPr>
      <w:r>
        <w:rPr>
          <w:rFonts w:ascii="Arial" w:cs="Arial" w:eastAsia="Arial" w:hAnsi="Arial"/>
          <w:sz w:val="18"/>
          <w:szCs w:val="18"/>
          <w:color w:val="auto"/>
        </w:rPr>
        <w:t>/s/ Douglas Carr</w:t>
      </w:r>
    </w:p>
    <w:p>
      <w:pPr>
        <w:spacing w:after="0" w:line="85" w:lineRule="exact"/>
        <w:rPr>
          <w:rFonts w:ascii="Arial" w:cs="Arial" w:eastAsia="Arial" w:hAnsi="Arial"/>
          <w:sz w:val="36"/>
          <w:szCs w:val="36"/>
          <w:color w:val="auto"/>
          <w:vertAlign w:val="subscript"/>
        </w:rPr>
      </w:pPr>
    </w:p>
    <w:p>
      <w:pPr>
        <w:ind w:left="2360"/>
        <w:spacing w:after="0"/>
        <w:rPr>
          <w:rFonts w:ascii="Arial" w:cs="Arial" w:eastAsia="Arial" w:hAnsi="Arial"/>
          <w:sz w:val="36"/>
          <w:szCs w:val="36"/>
          <w:color w:val="auto"/>
          <w:vertAlign w:val="subscript"/>
        </w:rPr>
      </w:pPr>
      <w:r>
        <w:rPr>
          <w:rFonts w:ascii="Arial" w:cs="Arial" w:eastAsia="Arial" w:hAnsi="Arial"/>
          <w:sz w:val="18"/>
          <w:szCs w:val="18"/>
          <w:color w:val="auto"/>
        </w:rPr>
        <w:t>Douglas Carr</w:t>
      </w:r>
    </w:p>
    <w:p>
      <w:pPr>
        <w:spacing w:after="0" w:line="319" w:lineRule="exact"/>
        <w:rPr>
          <w:rFonts w:ascii="Arial" w:cs="Arial" w:eastAsia="Arial" w:hAnsi="Arial"/>
          <w:sz w:val="36"/>
          <w:szCs w:val="36"/>
          <w:color w:val="auto"/>
          <w:vertAlign w:val="subscript"/>
        </w:rPr>
      </w:pPr>
    </w:p>
    <w:p>
      <w:pPr>
        <w:ind w:left="1780" w:hanging="520"/>
        <w:spacing w:after="0"/>
        <w:tabs>
          <w:tab w:leader="none" w:pos="1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 Kimberly Blackwell, M.D.</w:t>
      </w:r>
    </w:p>
    <w:p>
      <w:pPr>
        <w:spacing w:after="0" w:line="117"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color w:val="auto"/>
        </w:rPr>
        <w:t>Kimberly Blackwell, M.D.</w:t>
      </w:r>
    </w:p>
    <w:p>
      <w:pPr>
        <w:spacing w:after="0" w:line="238" w:lineRule="exact"/>
        <w:rPr>
          <w:rFonts w:ascii="Arial" w:cs="Arial" w:eastAsia="Arial" w:hAnsi="Arial"/>
          <w:sz w:val="18"/>
          <w:szCs w:val="18"/>
          <w:color w:val="auto"/>
        </w:rPr>
      </w:pPr>
    </w:p>
    <w:p>
      <w:pPr>
        <w:ind w:left="2180" w:hanging="920"/>
        <w:spacing w:after="0"/>
        <w:tabs>
          <w:tab w:leader="none" w:pos="2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 Cynthia Butitta</w:t>
      </w:r>
    </w:p>
    <w:p>
      <w:pPr>
        <w:spacing w:after="0" w:line="117" w:lineRule="exact"/>
        <w:rPr>
          <w:rFonts w:ascii="Arial" w:cs="Arial" w:eastAsia="Arial" w:hAnsi="Arial"/>
          <w:sz w:val="18"/>
          <w:szCs w:val="18"/>
          <w:color w:val="auto"/>
        </w:rPr>
      </w:pPr>
    </w:p>
    <w:p>
      <w:pPr>
        <w:ind w:left="2300"/>
        <w:spacing w:after="0"/>
        <w:rPr>
          <w:rFonts w:ascii="Arial" w:cs="Arial" w:eastAsia="Arial" w:hAnsi="Arial"/>
          <w:sz w:val="18"/>
          <w:szCs w:val="18"/>
          <w:color w:val="auto"/>
        </w:rPr>
      </w:pPr>
      <w:r>
        <w:rPr>
          <w:rFonts w:ascii="Arial" w:cs="Arial" w:eastAsia="Arial" w:hAnsi="Arial"/>
          <w:sz w:val="18"/>
          <w:szCs w:val="18"/>
          <w:color w:val="auto"/>
        </w:rPr>
        <w:t>Cynthia Butitta</w:t>
      </w:r>
    </w:p>
    <w:p>
      <w:pPr>
        <w:spacing w:after="0" w:line="238" w:lineRule="exact"/>
        <w:rPr>
          <w:rFonts w:ascii="Arial" w:cs="Arial" w:eastAsia="Arial" w:hAnsi="Arial"/>
          <w:sz w:val="18"/>
          <w:szCs w:val="18"/>
          <w:color w:val="auto"/>
        </w:rPr>
      </w:pPr>
    </w:p>
    <w:p>
      <w:pPr>
        <w:ind w:left="2120" w:hanging="860"/>
        <w:spacing w:after="0"/>
        <w:tabs>
          <w:tab w:leader="none" w:pos="2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 Joseph Jimenez</w:t>
      </w:r>
    </w:p>
    <w:p>
      <w:pPr>
        <w:spacing w:after="0" w:line="117"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Joseph Jimenez</w:t>
      </w:r>
    </w:p>
    <w:p>
      <w:pPr>
        <w:spacing w:after="0" w:line="238" w:lineRule="exact"/>
        <w:rPr>
          <w:rFonts w:ascii="Arial" w:cs="Arial" w:eastAsia="Arial" w:hAnsi="Arial"/>
          <w:sz w:val="18"/>
          <w:szCs w:val="18"/>
          <w:color w:val="auto"/>
        </w:rPr>
      </w:pPr>
    </w:p>
    <w:p>
      <w:pPr>
        <w:ind w:left="1880" w:hanging="620"/>
        <w:spacing w:after="0"/>
        <w:tabs>
          <w:tab w:leader="none" w:pos="1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 Alessandro Riva, M.D.</w:t>
      </w:r>
    </w:p>
    <w:p>
      <w:pPr>
        <w:spacing w:after="0" w:line="117" w:lineRule="exact"/>
        <w:rPr>
          <w:rFonts w:ascii="Arial" w:cs="Arial" w:eastAsia="Arial" w:hAnsi="Arial"/>
          <w:sz w:val="18"/>
          <w:szCs w:val="18"/>
          <w:color w:val="auto"/>
        </w:rPr>
      </w:pPr>
    </w:p>
    <w:p>
      <w:pPr>
        <w:ind w:left="2000"/>
        <w:spacing w:after="0"/>
        <w:rPr>
          <w:rFonts w:ascii="Arial" w:cs="Arial" w:eastAsia="Arial" w:hAnsi="Arial"/>
          <w:sz w:val="18"/>
          <w:szCs w:val="18"/>
          <w:color w:val="auto"/>
        </w:rPr>
      </w:pPr>
      <w:r>
        <w:rPr>
          <w:rFonts w:ascii="Arial" w:cs="Arial" w:eastAsia="Arial" w:hAnsi="Arial"/>
          <w:sz w:val="18"/>
          <w:szCs w:val="18"/>
          <w:color w:val="auto"/>
        </w:rPr>
        <w:t>Alessandro Riva, M.D.</w:t>
      </w:r>
    </w:p>
    <w:p>
      <w:pPr>
        <w:spacing w:after="0" w:line="238" w:lineRule="exact"/>
        <w:rPr>
          <w:rFonts w:ascii="Arial" w:cs="Arial" w:eastAsia="Arial" w:hAnsi="Arial"/>
          <w:sz w:val="18"/>
          <w:szCs w:val="18"/>
          <w:color w:val="auto"/>
        </w:rPr>
      </w:pPr>
    </w:p>
    <w:p>
      <w:pPr>
        <w:ind w:left="1960" w:hanging="700"/>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 Carlo Rizzuto, Ph.D.</w:t>
      </w:r>
    </w:p>
    <w:p>
      <w:pPr>
        <w:spacing w:after="0" w:line="117" w:lineRule="exact"/>
        <w:rPr>
          <w:rFonts w:ascii="Arial" w:cs="Arial" w:eastAsia="Arial" w:hAnsi="Arial"/>
          <w:sz w:val="18"/>
          <w:szCs w:val="18"/>
          <w:color w:val="auto"/>
        </w:rPr>
      </w:pPr>
    </w:p>
    <w:p>
      <w:pPr>
        <w:ind w:left="2080"/>
        <w:spacing w:after="0"/>
        <w:rPr>
          <w:rFonts w:ascii="Arial" w:cs="Arial" w:eastAsia="Arial" w:hAnsi="Arial"/>
          <w:sz w:val="18"/>
          <w:szCs w:val="18"/>
          <w:color w:val="auto"/>
        </w:rPr>
      </w:pPr>
      <w:r>
        <w:rPr>
          <w:rFonts w:ascii="Arial" w:cs="Arial" w:eastAsia="Arial" w:hAnsi="Arial"/>
          <w:sz w:val="18"/>
          <w:szCs w:val="18"/>
          <w:color w:val="auto"/>
        </w:rPr>
        <w:t>Carlo Rizzuto, Ph.D.</w:t>
      </w:r>
    </w:p>
    <w:p>
      <w:pPr>
        <w:spacing w:after="0" w:line="238" w:lineRule="exact"/>
        <w:rPr>
          <w:rFonts w:ascii="Arial" w:cs="Arial" w:eastAsia="Arial" w:hAnsi="Arial"/>
          <w:sz w:val="18"/>
          <w:szCs w:val="18"/>
          <w:color w:val="auto"/>
        </w:rPr>
      </w:pPr>
    </w:p>
    <w:p>
      <w:pPr>
        <w:ind w:left="2120" w:hanging="860"/>
        <w:spacing w:after="0"/>
        <w:tabs>
          <w:tab w:leader="none" w:pos="2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 Timothy Walbert</w:t>
      </w:r>
    </w:p>
    <w:p>
      <w:pPr>
        <w:spacing w:after="0" w:line="117"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Timothy Walbert</w:t>
      </w:r>
    </w:p>
    <w:p>
      <w:pPr>
        <w:spacing w:after="0" w:line="238" w:lineRule="exact"/>
        <w:rPr>
          <w:rFonts w:ascii="Arial" w:cs="Arial" w:eastAsia="Arial" w:hAnsi="Arial"/>
          <w:sz w:val="18"/>
          <w:szCs w:val="18"/>
          <w:color w:val="auto"/>
        </w:rPr>
      </w:pPr>
    </w:p>
    <w:p>
      <w:pPr>
        <w:ind w:left="2200" w:hanging="940"/>
        <w:spacing w:after="0"/>
        <w:tabs>
          <w:tab w:leader="none" w:pos="2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 Daphne Quimi</w:t>
      </w:r>
    </w:p>
    <w:p>
      <w:pPr>
        <w:spacing w:after="0" w:line="117" w:lineRule="exact"/>
        <w:rPr>
          <w:rFonts w:ascii="Arial" w:cs="Arial" w:eastAsia="Arial" w:hAnsi="Arial"/>
          <w:sz w:val="18"/>
          <w:szCs w:val="18"/>
          <w:color w:val="auto"/>
        </w:rPr>
      </w:pPr>
    </w:p>
    <w:p>
      <w:pPr>
        <w:ind w:left="2320"/>
        <w:spacing w:after="0"/>
        <w:rPr>
          <w:rFonts w:ascii="Arial" w:cs="Arial" w:eastAsia="Arial" w:hAnsi="Arial"/>
          <w:sz w:val="18"/>
          <w:szCs w:val="18"/>
          <w:color w:val="auto"/>
        </w:rPr>
      </w:pPr>
      <w:r>
        <w:rPr>
          <w:rFonts w:ascii="Arial" w:cs="Arial" w:eastAsia="Arial" w:hAnsi="Arial"/>
          <w:sz w:val="18"/>
          <w:szCs w:val="18"/>
          <w:color w:val="auto"/>
        </w:rPr>
        <w:t>Daphne Quimi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-4156710</wp:posOffset>
            </wp:positionV>
            <wp:extent cx="20574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20574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-3625215</wp:posOffset>
            </wp:positionV>
            <wp:extent cx="20574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20574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-3084830</wp:posOffset>
            </wp:positionV>
            <wp:extent cx="20574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20574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-2596515</wp:posOffset>
            </wp:positionV>
            <wp:extent cx="20574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20574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-2107565</wp:posOffset>
            </wp:positionV>
            <wp:extent cx="20574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20574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-1619250</wp:posOffset>
            </wp:positionV>
            <wp:extent cx="20574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20574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-1130300</wp:posOffset>
            </wp:positionV>
            <wp:extent cx="20574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20574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-641985</wp:posOffset>
            </wp:positionV>
            <wp:extent cx="20574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20574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-153035</wp:posOffset>
            </wp:positionV>
            <wp:extent cx="20574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02"/>
        </w:trPr>
        <w:tc>
          <w:tcPr>
            <w:tcW w:w="340" w:type="dxa"/>
            <w:vAlign w:val="bottom"/>
          </w:tcPr>
          <w:p>
            <w:pPr>
              <w:spacing w:after="0"/>
              <w:rPr>
                <w:sz w:val="20"/>
                <w:szCs w:val="20"/>
                <w:color w:val="auto"/>
              </w:rPr>
            </w:pPr>
            <w:r>
              <w:rPr>
                <w:rFonts w:ascii="Arial" w:cs="Arial" w:eastAsia="Arial" w:hAnsi="Arial"/>
                <w:sz w:val="18"/>
                <w:szCs w:val="18"/>
                <w:color w:val="auto"/>
              </w:rPr>
              <w:t>​ ​</w:t>
            </w:r>
          </w:p>
        </w:tc>
        <w:tc>
          <w:tcPr>
            <w:tcW w:w="3560" w:type="dxa"/>
            <w:vAlign w:val="bottom"/>
          </w:tcPr>
          <w:p>
            <w:pPr>
              <w:jc w:val="center"/>
              <w:ind w:right="130"/>
              <w:spacing w:after="0"/>
              <w:rPr>
                <w:sz w:val="20"/>
                <w:szCs w:val="20"/>
                <w:color w:val="auto"/>
              </w:rPr>
            </w:pPr>
            <w:r>
              <w:rPr>
                <w:rFonts w:ascii="Arial" w:cs="Arial" w:eastAsia="Arial" w:hAnsi="Arial"/>
                <w:sz w:val="18"/>
                <w:szCs w:val="18"/>
                <w:color w:val="auto"/>
                <w:w w:val="98"/>
              </w:rPr>
              <w:t>Chief Executive Officer and Director</w:t>
            </w:r>
          </w:p>
        </w:tc>
        <w:tc>
          <w:tcPr>
            <w:tcW w:w="940" w:type="dxa"/>
            <w:vAlign w:val="bottom"/>
            <w:gridSpan w:val="2"/>
          </w:tcPr>
          <w:p>
            <w:pPr>
              <w:ind w:left="6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June 18,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2024</w:t>
            </w:r>
            <w:r>
              <w:rPr>
                <w:rFonts w:ascii="Arial" w:cs="Arial" w:eastAsia="Arial" w:hAnsi="Arial"/>
                <w:sz w:val="35"/>
                <w:szCs w:val="35"/>
                <w:color w:val="auto"/>
                <w:vertAlign w:val="superscript"/>
              </w:rPr>
              <w:t>​</w:t>
            </w: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3560" w:type="dxa"/>
            <w:vAlign w:val="bottom"/>
          </w:tcPr>
          <w:p>
            <w:pPr>
              <w:jc w:val="center"/>
              <w:ind w:right="90"/>
              <w:spacing w:after="0"/>
              <w:rPr>
                <w:sz w:val="20"/>
                <w:szCs w:val="20"/>
                <w:color w:val="auto"/>
              </w:rPr>
            </w:pPr>
            <w:r>
              <w:rPr>
                <w:rFonts w:ascii="Arial" w:cs="Arial" w:eastAsia="Arial" w:hAnsi="Arial"/>
                <w:sz w:val="18"/>
                <w:szCs w:val="18"/>
                <w:color w:val="auto"/>
                <w:w w:val="98"/>
              </w:rPr>
              <w:t>(principal executive officer)</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3900" w:type="dxa"/>
            <w:vAlign w:val="bottom"/>
            <w:gridSpan w:val="2"/>
          </w:tcPr>
          <w:p>
            <w:pPr>
              <w:spacing w:after="0"/>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Senior Vice President, Finance and Operations</w:t>
            </w:r>
          </w:p>
        </w:tc>
        <w:tc>
          <w:tcPr>
            <w:tcW w:w="240" w:type="dxa"/>
            <w:vAlign w:val="bottom"/>
          </w:tcPr>
          <w:p>
            <w:pPr>
              <w:ind w:left="60"/>
              <w:spacing w:after="0"/>
              <w:rPr>
                <w:sz w:val="20"/>
                <w:szCs w:val="20"/>
                <w:color w:val="auto"/>
              </w:rPr>
            </w:pPr>
            <w:r>
              <w:rPr>
                <w:rFonts w:ascii="Arial" w:cs="Arial" w:eastAsia="Arial" w:hAnsi="Arial"/>
                <w:sz w:val="18"/>
                <w:szCs w:val="18"/>
                <w:color w:val="auto"/>
              </w:rPr>
              <w:t>​ ​</w:t>
            </w:r>
          </w:p>
        </w:tc>
        <w:tc>
          <w:tcPr>
            <w:tcW w:w="700" w:type="dxa"/>
            <w:vAlign w:val="bottom"/>
            <w:vMerge w:val="restart"/>
          </w:tcPr>
          <w:p>
            <w:pPr>
              <w:spacing w:after="0"/>
              <w:rPr>
                <w:sz w:val="20"/>
                <w:szCs w:val="20"/>
                <w:color w:val="auto"/>
              </w:rPr>
            </w:pPr>
            <w:r>
              <w:rPr>
                <w:rFonts w:ascii="Arial" w:cs="Arial" w:eastAsia="Arial" w:hAnsi="Arial"/>
                <w:sz w:val="18"/>
                <w:szCs w:val="18"/>
                <w:color w:val="auto"/>
                <w:w w:val="98"/>
              </w:rPr>
              <w:t>June 18,</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w w:val="99"/>
              </w:rPr>
              <w:t>2024</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3560" w:type="dxa"/>
            <w:vAlign w:val="bottom"/>
          </w:tcPr>
          <w:p>
            <w:pPr>
              <w:jc w:val="center"/>
              <w:ind w:right="130"/>
              <w:spacing w:after="0" w:line="198" w:lineRule="exact"/>
              <w:rPr>
                <w:sz w:val="20"/>
                <w:szCs w:val="20"/>
                <w:color w:val="auto"/>
              </w:rPr>
            </w:pPr>
            <w:r>
              <w:rPr>
                <w:rFonts w:ascii="Arial" w:cs="Arial" w:eastAsia="Arial" w:hAnsi="Arial"/>
                <w:sz w:val="18"/>
                <w:szCs w:val="18"/>
                <w:color w:val="auto"/>
                <w:w w:val="97"/>
              </w:rPr>
              <w:t>(principal financial officer and principal</w:t>
            </w:r>
          </w:p>
        </w:tc>
        <w:tc>
          <w:tcPr>
            <w:tcW w:w="2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3560" w:type="dxa"/>
            <w:vAlign w:val="bottom"/>
          </w:tcPr>
          <w:p>
            <w:pPr>
              <w:jc w:val="center"/>
              <w:ind w:right="70"/>
              <w:spacing w:after="0"/>
              <w:rPr>
                <w:sz w:val="20"/>
                <w:szCs w:val="20"/>
                <w:color w:val="auto"/>
              </w:rPr>
            </w:pPr>
            <w:r>
              <w:rPr>
                <w:rFonts w:ascii="Arial" w:cs="Arial" w:eastAsia="Arial" w:hAnsi="Arial"/>
                <w:sz w:val="18"/>
                <w:szCs w:val="18"/>
                <w:color w:val="auto"/>
                <w:w w:val="97"/>
              </w:rPr>
              <w:t>accounting officer)</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7"/>
        </w:trPr>
        <w:tc>
          <w:tcPr>
            <w:tcW w:w="340" w:type="dxa"/>
            <w:vAlign w:val="bottom"/>
          </w:tcPr>
          <w:p>
            <w:pPr>
              <w:spacing w:after="0"/>
              <w:rPr>
                <w:sz w:val="20"/>
                <w:szCs w:val="20"/>
                <w:color w:val="auto"/>
              </w:rPr>
            </w:pPr>
            <w:r>
              <w:rPr>
                <w:rFonts w:ascii="Arial" w:cs="Arial" w:eastAsia="Arial" w:hAnsi="Arial"/>
                <w:sz w:val="18"/>
                <w:szCs w:val="18"/>
                <w:color w:val="auto"/>
              </w:rPr>
              <w:t>​ ​</w:t>
            </w:r>
          </w:p>
        </w:tc>
        <w:tc>
          <w:tcPr>
            <w:tcW w:w="3560" w:type="dxa"/>
            <w:vAlign w:val="bottom"/>
          </w:tcPr>
          <w:p>
            <w:pPr>
              <w:jc w:val="center"/>
              <w:ind w:right="90"/>
              <w:spacing w:after="0"/>
              <w:rPr>
                <w:sz w:val="20"/>
                <w:szCs w:val="20"/>
                <w:color w:val="auto"/>
              </w:rPr>
            </w:pPr>
            <w:r>
              <w:rPr>
                <w:rFonts w:ascii="Arial" w:cs="Arial" w:eastAsia="Arial" w:hAnsi="Arial"/>
                <w:sz w:val="18"/>
                <w:szCs w:val="18"/>
                <w:color w:val="auto"/>
                <w:w w:val="98"/>
              </w:rPr>
              <w:t>Director</w:t>
            </w:r>
          </w:p>
        </w:tc>
        <w:tc>
          <w:tcPr>
            <w:tcW w:w="940" w:type="dxa"/>
            <w:vAlign w:val="bottom"/>
            <w:gridSpan w:val="2"/>
          </w:tcPr>
          <w:p>
            <w:pPr>
              <w:ind w:left="6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June 18,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2024</w:t>
            </w:r>
            <w:r>
              <w:rPr>
                <w:rFonts w:ascii="Arial" w:cs="Arial" w:eastAsia="Arial" w:hAnsi="Arial"/>
                <w:sz w:val="35"/>
                <w:szCs w:val="35"/>
                <w:color w:val="auto"/>
                <w:vertAlign w:val="superscript"/>
              </w:rPr>
              <w:t>​</w:t>
            </w:r>
          </w:p>
        </w:tc>
        <w:tc>
          <w:tcPr>
            <w:tcW w:w="0" w:type="dxa"/>
            <w:vAlign w:val="bottom"/>
          </w:tcPr>
          <w:p>
            <w:pPr>
              <w:spacing w:after="0"/>
              <w:rPr>
                <w:sz w:val="1"/>
                <w:szCs w:val="1"/>
                <w:color w:val="auto"/>
              </w:rPr>
            </w:pPr>
          </w:p>
        </w:tc>
      </w:tr>
      <w:tr>
        <w:trPr>
          <w:trHeight w:val="770"/>
        </w:trPr>
        <w:tc>
          <w:tcPr>
            <w:tcW w:w="340" w:type="dxa"/>
            <w:vAlign w:val="bottom"/>
          </w:tcPr>
          <w:p>
            <w:pPr>
              <w:spacing w:after="0"/>
              <w:rPr>
                <w:sz w:val="20"/>
                <w:szCs w:val="20"/>
                <w:color w:val="auto"/>
              </w:rPr>
            </w:pPr>
            <w:r>
              <w:rPr>
                <w:rFonts w:ascii="Arial" w:cs="Arial" w:eastAsia="Arial" w:hAnsi="Arial"/>
                <w:sz w:val="18"/>
                <w:szCs w:val="18"/>
                <w:color w:val="auto"/>
              </w:rPr>
              <w:t>​ ​</w:t>
            </w:r>
          </w:p>
        </w:tc>
        <w:tc>
          <w:tcPr>
            <w:tcW w:w="3560" w:type="dxa"/>
            <w:vAlign w:val="bottom"/>
          </w:tcPr>
          <w:p>
            <w:pPr>
              <w:jc w:val="center"/>
              <w:ind w:right="90"/>
              <w:spacing w:after="0"/>
              <w:rPr>
                <w:sz w:val="20"/>
                <w:szCs w:val="20"/>
                <w:color w:val="auto"/>
              </w:rPr>
            </w:pPr>
            <w:r>
              <w:rPr>
                <w:rFonts w:ascii="Arial" w:cs="Arial" w:eastAsia="Arial" w:hAnsi="Arial"/>
                <w:sz w:val="18"/>
                <w:szCs w:val="18"/>
                <w:color w:val="auto"/>
                <w:w w:val="98"/>
              </w:rPr>
              <w:t>Director</w:t>
            </w:r>
          </w:p>
        </w:tc>
        <w:tc>
          <w:tcPr>
            <w:tcW w:w="940" w:type="dxa"/>
            <w:vAlign w:val="bottom"/>
            <w:gridSpan w:val="2"/>
          </w:tcPr>
          <w:p>
            <w:pPr>
              <w:ind w:left="6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June 18,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2024</w:t>
            </w:r>
            <w:r>
              <w:rPr>
                <w:rFonts w:ascii="Arial" w:cs="Arial" w:eastAsia="Arial" w:hAnsi="Arial"/>
                <w:sz w:val="35"/>
                <w:szCs w:val="35"/>
                <w:color w:val="auto"/>
                <w:vertAlign w:val="superscript"/>
              </w:rPr>
              <w:t>​</w:t>
            </w:r>
          </w:p>
        </w:tc>
        <w:tc>
          <w:tcPr>
            <w:tcW w:w="0" w:type="dxa"/>
            <w:vAlign w:val="bottom"/>
          </w:tcPr>
          <w:p>
            <w:pPr>
              <w:spacing w:after="0"/>
              <w:rPr>
                <w:sz w:val="1"/>
                <w:szCs w:val="1"/>
                <w:color w:val="auto"/>
              </w:rPr>
            </w:pPr>
          </w:p>
        </w:tc>
      </w:tr>
      <w:tr>
        <w:trPr>
          <w:trHeight w:val="769"/>
        </w:trPr>
        <w:tc>
          <w:tcPr>
            <w:tcW w:w="340" w:type="dxa"/>
            <w:vAlign w:val="bottom"/>
          </w:tcPr>
          <w:p>
            <w:pPr>
              <w:spacing w:after="0"/>
              <w:rPr>
                <w:sz w:val="20"/>
                <w:szCs w:val="20"/>
                <w:color w:val="auto"/>
              </w:rPr>
            </w:pPr>
            <w:r>
              <w:rPr>
                <w:rFonts w:ascii="Arial" w:cs="Arial" w:eastAsia="Arial" w:hAnsi="Arial"/>
                <w:sz w:val="18"/>
                <w:szCs w:val="18"/>
                <w:color w:val="auto"/>
              </w:rPr>
              <w:t>​ ​</w:t>
            </w:r>
          </w:p>
        </w:tc>
        <w:tc>
          <w:tcPr>
            <w:tcW w:w="3560" w:type="dxa"/>
            <w:vAlign w:val="bottom"/>
          </w:tcPr>
          <w:p>
            <w:pPr>
              <w:jc w:val="center"/>
              <w:ind w:right="90"/>
              <w:spacing w:after="0"/>
              <w:rPr>
                <w:sz w:val="20"/>
                <w:szCs w:val="20"/>
                <w:color w:val="auto"/>
              </w:rPr>
            </w:pPr>
            <w:r>
              <w:rPr>
                <w:rFonts w:ascii="Arial" w:cs="Arial" w:eastAsia="Arial" w:hAnsi="Arial"/>
                <w:sz w:val="18"/>
                <w:szCs w:val="18"/>
                <w:color w:val="auto"/>
                <w:w w:val="98"/>
              </w:rPr>
              <w:t>Director, Chairman of the Board</w:t>
            </w:r>
          </w:p>
        </w:tc>
        <w:tc>
          <w:tcPr>
            <w:tcW w:w="940" w:type="dxa"/>
            <w:vAlign w:val="bottom"/>
            <w:gridSpan w:val="2"/>
          </w:tcPr>
          <w:p>
            <w:pPr>
              <w:ind w:left="6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June 18,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2024</w:t>
            </w:r>
            <w:r>
              <w:rPr>
                <w:rFonts w:ascii="Arial" w:cs="Arial" w:eastAsia="Arial" w:hAnsi="Arial"/>
                <w:sz w:val="35"/>
                <w:szCs w:val="35"/>
                <w:color w:val="auto"/>
                <w:vertAlign w:val="superscript"/>
              </w:rPr>
              <w:t>​</w:t>
            </w:r>
          </w:p>
        </w:tc>
        <w:tc>
          <w:tcPr>
            <w:tcW w:w="0" w:type="dxa"/>
            <w:vAlign w:val="bottom"/>
          </w:tcPr>
          <w:p>
            <w:pPr>
              <w:spacing w:after="0"/>
              <w:rPr>
                <w:sz w:val="1"/>
                <w:szCs w:val="1"/>
                <w:color w:val="auto"/>
              </w:rPr>
            </w:pPr>
          </w:p>
        </w:tc>
      </w:tr>
      <w:tr>
        <w:trPr>
          <w:trHeight w:val="769"/>
        </w:trPr>
        <w:tc>
          <w:tcPr>
            <w:tcW w:w="340" w:type="dxa"/>
            <w:vAlign w:val="bottom"/>
          </w:tcPr>
          <w:p>
            <w:pPr>
              <w:spacing w:after="0"/>
              <w:rPr>
                <w:sz w:val="20"/>
                <w:szCs w:val="20"/>
                <w:color w:val="auto"/>
              </w:rPr>
            </w:pPr>
            <w:r>
              <w:rPr>
                <w:rFonts w:ascii="Arial" w:cs="Arial" w:eastAsia="Arial" w:hAnsi="Arial"/>
                <w:sz w:val="18"/>
                <w:szCs w:val="18"/>
                <w:color w:val="auto"/>
              </w:rPr>
              <w:t>​ ​</w:t>
            </w:r>
          </w:p>
        </w:tc>
        <w:tc>
          <w:tcPr>
            <w:tcW w:w="3560" w:type="dxa"/>
            <w:vAlign w:val="bottom"/>
          </w:tcPr>
          <w:p>
            <w:pPr>
              <w:jc w:val="center"/>
              <w:ind w:right="90"/>
              <w:spacing w:after="0"/>
              <w:rPr>
                <w:sz w:val="20"/>
                <w:szCs w:val="20"/>
                <w:color w:val="auto"/>
              </w:rPr>
            </w:pPr>
            <w:r>
              <w:rPr>
                <w:rFonts w:ascii="Arial" w:cs="Arial" w:eastAsia="Arial" w:hAnsi="Arial"/>
                <w:sz w:val="18"/>
                <w:szCs w:val="18"/>
                <w:color w:val="auto"/>
                <w:w w:val="98"/>
              </w:rPr>
              <w:t>Director</w:t>
            </w:r>
          </w:p>
        </w:tc>
        <w:tc>
          <w:tcPr>
            <w:tcW w:w="940" w:type="dxa"/>
            <w:vAlign w:val="bottom"/>
            <w:gridSpan w:val="2"/>
          </w:tcPr>
          <w:p>
            <w:pPr>
              <w:ind w:left="6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June 18,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2024</w:t>
            </w:r>
            <w:r>
              <w:rPr>
                <w:rFonts w:ascii="Arial" w:cs="Arial" w:eastAsia="Arial" w:hAnsi="Arial"/>
                <w:sz w:val="35"/>
                <w:szCs w:val="35"/>
                <w:color w:val="auto"/>
                <w:vertAlign w:val="superscript"/>
              </w:rPr>
              <w:t>​</w:t>
            </w:r>
          </w:p>
        </w:tc>
        <w:tc>
          <w:tcPr>
            <w:tcW w:w="0" w:type="dxa"/>
            <w:vAlign w:val="bottom"/>
          </w:tcPr>
          <w:p>
            <w:pPr>
              <w:spacing w:after="0"/>
              <w:rPr>
                <w:sz w:val="1"/>
                <w:szCs w:val="1"/>
                <w:color w:val="auto"/>
              </w:rPr>
            </w:pPr>
          </w:p>
        </w:tc>
      </w:tr>
      <w:tr>
        <w:trPr>
          <w:trHeight w:val="770"/>
        </w:trPr>
        <w:tc>
          <w:tcPr>
            <w:tcW w:w="340" w:type="dxa"/>
            <w:vAlign w:val="bottom"/>
          </w:tcPr>
          <w:p>
            <w:pPr>
              <w:spacing w:after="0"/>
              <w:rPr>
                <w:sz w:val="20"/>
                <w:szCs w:val="20"/>
                <w:color w:val="auto"/>
              </w:rPr>
            </w:pPr>
            <w:r>
              <w:rPr>
                <w:rFonts w:ascii="Arial" w:cs="Arial" w:eastAsia="Arial" w:hAnsi="Arial"/>
                <w:sz w:val="18"/>
                <w:szCs w:val="18"/>
                <w:color w:val="auto"/>
              </w:rPr>
              <w:t>​ ​</w:t>
            </w:r>
          </w:p>
        </w:tc>
        <w:tc>
          <w:tcPr>
            <w:tcW w:w="3560" w:type="dxa"/>
            <w:vAlign w:val="bottom"/>
          </w:tcPr>
          <w:p>
            <w:pPr>
              <w:jc w:val="center"/>
              <w:ind w:right="90"/>
              <w:spacing w:after="0"/>
              <w:rPr>
                <w:sz w:val="20"/>
                <w:szCs w:val="20"/>
                <w:color w:val="auto"/>
              </w:rPr>
            </w:pPr>
            <w:r>
              <w:rPr>
                <w:rFonts w:ascii="Arial" w:cs="Arial" w:eastAsia="Arial" w:hAnsi="Arial"/>
                <w:sz w:val="18"/>
                <w:szCs w:val="18"/>
                <w:color w:val="auto"/>
                <w:w w:val="98"/>
              </w:rPr>
              <w:t>Director</w:t>
            </w:r>
          </w:p>
        </w:tc>
        <w:tc>
          <w:tcPr>
            <w:tcW w:w="940" w:type="dxa"/>
            <w:vAlign w:val="bottom"/>
            <w:gridSpan w:val="2"/>
          </w:tcPr>
          <w:p>
            <w:pPr>
              <w:ind w:left="6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June 18,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2024</w:t>
            </w:r>
            <w:r>
              <w:rPr>
                <w:rFonts w:ascii="Arial" w:cs="Arial" w:eastAsia="Arial" w:hAnsi="Arial"/>
                <w:sz w:val="35"/>
                <w:szCs w:val="35"/>
                <w:color w:val="auto"/>
                <w:vertAlign w:val="superscript"/>
              </w:rPr>
              <w:t>​</w:t>
            </w:r>
          </w:p>
        </w:tc>
        <w:tc>
          <w:tcPr>
            <w:tcW w:w="0" w:type="dxa"/>
            <w:vAlign w:val="bottom"/>
          </w:tcPr>
          <w:p>
            <w:pPr>
              <w:spacing w:after="0"/>
              <w:rPr>
                <w:sz w:val="1"/>
                <w:szCs w:val="1"/>
                <w:color w:val="auto"/>
              </w:rPr>
            </w:pPr>
          </w:p>
        </w:tc>
      </w:tr>
      <w:tr>
        <w:trPr>
          <w:trHeight w:val="769"/>
        </w:trPr>
        <w:tc>
          <w:tcPr>
            <w:tcW w:w="340" w:type="dxa"/>
            <w:vAlign w:val="bottom"/>
          </w:tcPr>
          <w:p>
            <w:pPr>
              <w:spacing w:after="0"/>
              <w:rPr>
                <w:sz w:val="20"/>
                <w:szCs w:val="20"/>
                <w:color w:val="auto"/>
              </w:rPr>
            </w:pPr>
            <w:r>
              <w:rPr>
                <w:rFonts w:ascii="Arial" w:cs="Arial" w:eastAsia="Arial" w:hAnsi="Arial"/>
                <w:sz w:val="18"/>
                <w:szCs w:val="18"/>
                <w:color w:val="auto"/>
              </w:rPr>
              <w:t>​ ​</w:t>
            </w:r>
          </w:p>
        </w:tc>
        <w:tc>
          <w:tcPr>
            <w:tcW w:w="3560" w:type="dxa"/>
            <w:vAlign w:val="bottom"/>
          </w:tcPr>
          <w:p>
            <w:pPr>
              <w:jc w:val="center"/>
              <w:ind w:right="90"/>
              <w:spacing w:after="0"/>
              <w:rPr>
                <w:sz w:val="20"/>
                <w:szCs w:val="20"/>
                <w:color w:val="auto"/>
              </w:rPr>
            </w:pPr>
            <w:r>
              <w:rPr>
                <w:rFonts w:ascii="Arial" w:cs="Arial" w:eastAsia="Arial" w:hAnsi="Arial"/>
                <w:sz w:val="18"/>
                <w:szCs w:val="18"/>
                <w:color w:val="auto"/>
                <w:w w:val="98"/>
              </w:rPr>
              <w:t>Director</w:t>
            </w:r>
          </w:p>
        </w:tc>
        <w:tc>
          <w:tcPr>
            <w:tcW w:w="940" w:type="dxa"/>
            <w:vAlign w:val="bottom"/>
            <w:gridSpan w:val="2"/>
          </w:tcPr>
          <w:p>
            <w:pPr>
              <w:ind w:left="6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June 18,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2024</w:t>
            </w:r>
            <w:r>
              <w:rPr>
                <w:rFonts w:ascii="Arial" w:cs="Arial" w:eastAsia="Arial" w:hAnsi="Arial"/>
                <w:sz w:val="35"/>
                <w:szCs w:val="35"/>
                <w:color w:val="auto"/>
                <w:vertAlign w:val="superscript"/>
              </w:rPr>
              <w:t>​</w:t>
            </w:r>
          </w:p>
        </w:tc>
        <w:tc>
          <w:tcPr>
            <w:tcW w:w="0" w:type="dxa"/>
            <w:vAlign w:val="bottom"/>
          </w:tcPr>
          <w:p>
            <w:pPr>
              <w:spacing w:after="0"/>
              <w:rPr>
                <w:sz w:val="1"/>
                <w:szCs w:val="1"/>
                <w:color w:val="auto"/>
              </w:rPr>
            </w:pPr>
          </w:p>
        </w:tc>
      </w:tr>
      <w:tr>
        <w:trPr>
          <w:trHeight w:val="769"/>
        </w:trPr>
        <w:tc>
          <w:tcPr>
            <w:tcW w:w="340" w:type="dxa"/>
            <w:vAlign w:val="bottom"/>
          </w:tcPr>
          <w:p>
            <w:pPr>
              <w:spacing w:after="0"/>
              <w:rPr>
                <w:sz w:val="20"/>
                <w:szCs w:val="20"/>
                <w:color w:val="auto"/>
              </w:rPr>
            </w:pPr>
            <w:r>
              <w:rPr>
                <w:rFonts w:ascii="Arial" w:cs="Arial" w:eastAsia="Arial" w:hAnsi="Arial"/>
                <w:sz w:val="18"/>
                <w:szCs w:val="18"/>
                <w:color w:val="auto"/>
              </w:rPr>
              <w:t>​ ​</w:t>
            </w:r>
          </w:p>
        </w:tc>
        <w:tc>
          <w:tcPr>
            <w:tcW w:w="3560" w:type="dxa"/>
            <w:vAlign w:val="bottom"/>
          </w:tcPr>
          <w:p>
            <w:pPr>
              <w:jc w:val="center"/>
              <w:ind w:right="90"/>
              <w:spacing w:after="0"/>
              <w:rPr>
                <w:sz w:val="20"/>
                <w:szCs w:val="20"/>
                <w:color w:val="auto"/>
              </w:rPr>
            </w:pPr>
            <w:r>
              <w:rPr>
                <w:rFonts w:ascii="Arial" w:cs="Arial" w:eastAsia="Arial" w:hAnsi="Arial"/>
                <w:sz w:val="18"/>
                <w:szCs w:val="18"/>
                <w:color w:val="auto"/>
                <w:w w:val="98"/>
              </w:rPr>
              <w:t>Director</w:t>
            </w:r>
          </w:p>
        </w:tc>
        <w:tc>
          <w:tcPr>
            <w:tcW w:w="940" w:type="dxa"/>
            <w:vAlign w:val="bottom"/>
            <w:gridSpan w:val="2"/>
          </w:tcPr>
          <w:p>
            <w:pPr>
              <w:ind w:left="6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June 18,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2024</w:t>
            </w:r>
            <w:r>
              <w:rPr>
                <w:rFonts w:ascii="Arial" w:cs="Arial" w:eastAsia="Arial" w:hAnsi="Arial"/>
                <w:sz w:val="35"/>
                <w:szCs w:val="35"/>
                <w:color w:val="auto"/>
                <w:vertAlign w:val="super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1346835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4240" w:space="320"/>
            <w:col w:w="5340"/>
          </w:cols>
          <w:pgMar w:left="580" w:top="97" w:right="1419" w:bottom="1440" w:gutter="0" w:footer="0" w:header="0"/>
          <w:type w:val="continuous"/>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Century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North 38th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19104</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w:t>
      </w:r>
      <w:r>
        <w:rPr>
          <w:rFonts w:ascii="Times New Roman" w:cs="Times New Roman" w:eastAsia="Times New Roman" w:hAnsi="Times New Roman"/>
          <w:sz w:val="18"/>
          <w:szCs w:val="18"/>
          <w:u w:val="single" w:color="auto"/>
          <w:color w:val="auto"/>
        </w:rPr>
        <w:t>  Securities Registered under Registration Statement on Form S-3</w:t>
      </w:r>
    </w:p>
    <w:p>
      <w:pPr>
        <w:spacing w:after="0" w:line="2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S-3 (as amended or supplemented, the “</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 filed on June 18, 2024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pursuant to the Securities Act of 1933, as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relating to the registration of the offering by Century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of up to an aggregate of 7,868,666 shares of the Company’s common stock, par value $0.0001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consisting of (i) 3,741,646 shares that were privately issued pursuant to an Agreement and Plan of Merger, dated as of April 11, 2024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by and among the Company, Clarent Intermediate Sub, Inc., a wholly owned subsidiary of Company, Clarent Merger Sub, Inc., a wholly owned subsidiary of Intermediate Sub, Inc., Clade Therapeutics, Inc. (“</w:t>
      </w:r>
      <w:r>
        <w:rPr>
          <w:rFonts w:ascii="Times New Roman" w:cs="Times New Roman" w:eastAsia="Times New Roman" w:hAnsi="Times New Roman"/>
          <w:sz w:val="18"/>
          <w:szCs w:val="18"/>
          <w:b w:val="1"/>
          <w:bCs w:val="1"/>
          <w:i w:val="1"/>
          <w:iCs w:val="1"/>
          <w:color w:val="auto"/>
        </w:rPr>
        <w:t>Clade</w:t>
      </w:r>
      <w:r>
        <w:rPr>
          <w:rFonts w:ascii="Times New Roman" w:cs="Times New Roman" w:eastAsia="Times New Roman" w:hAnsi="Times New Roman"/>
          <w:sz w:val="18"/>
          <w:szCs w:val="18"/>
          <w:color w:val="auto"/>
        </w:rPr>
        <w:t>”), and Fortis Advisors LLC, solely in its capacity as securityholders’ agent, in connection with the Company’s acquisition of Clade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Selling Stockholder Shares</w:t>
      </w:r>
      <w:r>
        <w:rPr>
          <w:rFonts w:ascii="Times New Roman" w:cs="Times New Roman" w:eastAsia="Times New Roman" w:hAnsi="Times New Roman"/>
          <w:sz w:val="18"/>
          <w:szCs w:val="18"/>
          <w:color w:val="auto"/>
        </w:rPr>
        <w:t>”), (ii) 793,687 shares that were withheld at the closing of the Merger as recourse to satisfy certain indemnification obligations of the Clade securityholders under the Merger Agreement (the “</w:t>
      </w:r>
      <w:r>
        <w:rPr>
          <w:rFonts w:ascii="Times New Roman" w:cs="Times New Roman" w:eastAsia="Times New Roman" w:hAnsi="Times New Roman"/>
          <w:sz w:val="18"/>
          <w:szCs w:val="18"/>
          <w:b w:val="1"/>
          <w:bCs w:val="1"/>
          <w:i w:val="1"/>
          <w:iCs w:val="1"/>
          <w:color w:val="auto"/>
        </w:rPr>
        <w:t>Indemnification Shares</w:t>
      </w:r>
      <w:r>
        <w:rPr>
          <w:rFonts w:ascii="Times New Roman" w:cs="Times New Roman" w:eastAsia="Times New Roman" w:hAnsi="Times New Roman"/>
          <w:sz w:val="18"/>
          <w:szCs w:val="18"/>
          <w:color w:val="auto"/>
        </w:rPr>
        <w:t>”), and (iii) 3,333,333 shares that may be issued to the Clade securityholders upon the potential achievement of a clinical development milestone (the “</w:t>
      </w:r>
      <w:r>
        <w:rPr>
          <w:rFonts w:ascii="Times New Roman" w:cs="Times New Roman" w:eastAsia="Times New Roman" w:hAnsi="Times New Roman"/>
          <w:sz w:val="18"/>
          <w:szCs w:val="18"/>
          <w:b w:val="1"/>
          <w:bCs w:val="1"/>
          <w:i w:val="1"/>
          <w:iCs w:val="1"/>
          <w:color w:val="auto"/>
        </w:rPr>
        <w:t>Milestone Shares</w:t>
      </w:r>
      <w:r>
        <w:rPr>
          <w:rFonts w:ascii="Times New Roman" w:cs="Times New Roman" w:eastAsia="Times New Roman" w:hAnsi="Times New Roman"/>
          <w:sz w:val="18"/>
          <w:szCs w:val="18"/>
          <w:color w:val="auto"/>
        </w:rPr>
        <w:t>” and together with the Indemnification Shares, the “</w:t>
      </w:r>
      <w:r>
        <w:rPr>
          <w:rFonts w:ascii="Times New Roman" w:cs="Times New Roman" w:eastAsia="Times New Roman" w:hAnsi="Times New Roman"/>
          <w:sz w:val="18"/>
          <w:szCs w:val="18"/>
          <w:b w:val="1"/>
          <w:bCs w:val="1"/>
          <w:i w:val="1"/>
          <w:iCs w:val="1"/>
          <w:color w:val="auto"/>
        </w:rPr>
        <w:t>Future Shares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Selling Stockholder Shares have been duly authorized and validly issued and are fully paid and non-assessable.</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Assuming the Future Shares were issued today in accordance with the terms of the Merger Agreement, the Future Shares would be validly issued, fully paid and non-assessable.</w:t>
      </w:r>
    </w:p>
    <w:p>
      <w:pPr>
        <w:spacing w:after="0" w:line="160"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Century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904" w:right="5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consent to the reference of our firm under the caption “Experts” in the Registration Statement (Form S-3) and related Prospectus of Century Therapeutics, Inc. for the registration of 7,868,666 shares of its common stock and to the incorporation by reference therein of our report dated March 14, 2024, with respect to the consolidated financial statements of Century Therapeutics, Inc., included in its Annual Report (Form 10-K) for the year ended December 31, 2023,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154305</wp:posOffset>
            </wp:positionV>
            <wp:extent cx="8255" cy="22542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8255" cy="2254250"/>
                    </a:xfrm>
                    <a:prstGeom prst="rect">
                      <a:avLst/>
                    </a:prstGeom>
                    <a:noFill/>
                  </pic:spPr>
                </pic:pic>
              </a:graphicData>
            </a:graphic>
          </wp:anchor>
        </w:drawing>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640" w:type="dxa"/>
            <w:vAlign w:val="bottom"/>
            <w:tcBorders>
              <w:top w:val="single" w:sz="8" w:color="auto"/>
              <w:left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spacing w:after="0"/>
              <w:rPr>
                <w:sz w:val="18"/>
                <w:szCs w:val="18"/>
                <w:color w:val="auto"/>
              </w:rPr>
            </w:pPr>
          </w:p>
        </w:tc>
        <w:tc>
          <w:tcPr>
            <w:tcW w:w="1130" w:type="dxa"/>
            <w:vAlign w:val="bottom"/>
            <w:tcBorders>
              <w:top w:val="single" w:sz="8" w:color="auto"/>
            </w:tcBorders>
          </w:tcPr>
          <w:p>
            <w:pPr>
              <w:spacing w:after="0"/>
              <w:rPr>
                <w:sz w:val="18"/>
                <w:szCs w:val="18"/>
                <w:color w:val="auto"/>
              </w:rPr>
            </w:pPr>
          </w:p>
        </w:tc>
        <w:tc>
          <w:tcPr>
            <w:tcW w:w="790" w:type="dxa"/>
            <w:vAlign w:val="bottom"/>
            <w:tcBorders>
              <w:top w:val="single" w:sz="8" w:color="auto"/>
              <w:right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c>
          <w:tcPr>
            <w:tcW w:w="620" w:type="dxa"/>
            <w:vAlign w:val="bottom"/>
            <w:tcBorders>
              <w:top w:val="single" w:sz="8" w:color="auto"/>
              <w:right w:val="single" w:sz="8" w:color="auto"/>
            </w:tcBorders>
          </w:tcPr>
          <w:p>
            <w:pPr>
              <w:spacing w:after="0"/>
              <w:rPr>
                <w:sz w:val="18"/>
                <w:szCs w:val="18"/>
                <w:color w:val="auto"/>
              </w:rPr>
            </w:pPr>
          </w:p>
        </w:tc>
        <w:tc>
          <w:tcPr>
            <w:tcW w:w="640" w:type="dxa"/>
            <w:vAlign w:val="bottom"/>
            <w:tcBorders>
              <w:top w:val="single" w:sz="8" w:color="auto"/>
              <w:right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Filing Fee</w:t>
            </w:r>
          </w:p>
        </w:tc>
      </w:tr>
      <w:tr>
        <w:trPr>
          <w:trHeight w:val="216"/>
        </w:trPr>
        <w:tc>
          <w:tcPr>
            <w:tcW w:w="64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30" w:type="dxa"/>
            <w:vAlign w:val="bottom"/>
          </w:tcPr>
          <w:p>
            <w:pPr>
              <w:spacing w:after="0"/>
              <w:rPr>
                <w:sz w:val="18"/>
                <w:szCs w:val="18"/>
                <w:color w:val="auto"/>
              </w:rPr>
            </w:pPr>
          </w:p>
        </w:tc>
        <w:tc>
          <w:tcPr>
            <w:tcW w:w="79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Previously</w:t>
            </w:r>
          </w:p>
        </w:tc>
      </w:tr>
      <w:tr>
        <w:trPr>
          <w:trHeight w:val="216"/>
        </w:trPr>
        <w:tc>
          <w:tcPr>
            <w:tcW w:w="64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30" w:type="dxa"/>
            <w:vAlign w:val="bottom"/>
          </w:tcPr>
          <w:p>
            <w:pPr>
              <w:spacing w:after="0"/>
              <w:rPr>
                <w:sz w:val="18"/>
                <w:szCs w:val="18"/>
                <w:color w:val="auto"/>
              </w:rPr>
            </w:pPr>
          </w:p>
        </w:tc>
        <w:tc>
          <w:tcPr>
            <w:tcW w:w="79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Paid In</w:t>
            </w:r>
          </w:p>
        </w:tc>
      </w:tr>
      <w:tr>
        <w:trPr>
          <w:trHeight w:val="216"/>
        </w:trPr>
        <w:tc>
          <w:tcPr>
            <w:tcW w:w="64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30" w:type="dxa"/>
            <w:vAlign w:val="bottom"/>
          </w:tcPr>
          <w:p>
            <w:pPr>
              <w:spacing w:after="0"/>
              <w:rPr>
                <w:sz w:val="18"/>
                <w:szCs w:val="18"/>
                <w:color w:val="auto"/>
              </w:rPr>
            </w:pPr>
          </w:p>
        </w:tc>
        <w:tc>
          <w:tcPr>
            <w:tcW w:w="79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Connection</w:t>
            </w:r>
          </w:p>
        </w:tc>
      </w:tr>
      <w:tr>
        <w:trPr>
          <w:trHeight w:val="216"/>
        </w:trPr>
        <w:tc>
          <w:tcPr>
            <w:tcW w:w="64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30" w:type="dxa"/>
            <w:vAlign w:val="bottom"/>
          </w:tcPr>
          <w:p>
            <w:pPr>
              <w:spacing w:after="0"/>
              <w:rPr>
                <w:sz w:val="18"/>
                <w:szCs w:val="18"/>
                <w:color w:val="auto"/>
              </w:rPr>
            </w:pPr>
          </w:p>
        </w:tc>
        <w:tc>
          <w:tcPr>
            <w:tcW w:w="79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r>
      <w:tr>
        <w:trPr>
          <w:trHeight w:val="216"/>
        </w:trPr>
        <w:tc>
          <w:tcPr>
            <w:tcW w:w="64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10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Proposed</w:t>
            </w:r>
          </w:p>
        </w:tc>
        <w:tc>
          <w:tcPr>
            <w:tcW w:w="1130" w:type="dxa"/>
            <w:vAlign w:val="bottom"/>
          </w:tcPr>
          <w:p>
            <w:pPr>
              <w:spacing w:after="0"/>
              <w:rPr>
                <w:sz w:val="18"/>
                <w:szCs w:val="18"/>
                <w:color w:val="auto"/>
              </w:rPr>
            </w:pPr>
          </w:p>
        </w:tc>
        <w:tc>
          <w:tcPr>
            <w:tcW w:w="79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Carry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Unsold</w:t>
            </w:r>
          </w:p>
        </w:tc>
      </w:tr>
      <w:tr>
        <w:trPr>
          <w:trHeight w:val="216"/>
        </w:trPr>
        <w:tc>
          <w:tcPr>
            <w:tcW w:w="64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Calculation</w:t>
            </w:r>
          </w:p>
        </w:tc>
        <w:tc>
          <w:tcPr>
            <w:tcW w:w="10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113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79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Carry</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Carry</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r>
      <w:tr>
        <w:trPr>
          <w:trHeight w:val="216"/>
        </w:trPr>
        <w:tc>
          <w:tcPr>
            <w:tcW w:w="64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Security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Carry</w:t>
            </w:r>
          </w:p>
        </w:tc>
        <w:tc>
          <w:tcPr>
            <w:tcW w:w="10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Offering</w:t>
            </w:r>
          </w:p>
        </w:tc>
        <w:tc>
          <w:tcPr>
            <w:tcW w:w="113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Aggregate</w:t>
            </w:r>
          </w:p>
        </w:tc>
        <w:tc>
          <w:tcPr>
            <w:tcW w:w="79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Forward</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Initial</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to be</w:t>
            </w:r>
          </w:p>
        </w:tc>
      </w:tr>
      <w:tr>
        <w:trPr>
          <w:trHeight w:val="216"/>
        </w:trPr>
        <w:tc>
          <w:tcPr>
            <w:tcW w:w="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Class</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Amount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Price Per</w:t>
            </w:r>
          </w:p>
        </w:tc>
        <w:tc>
          <w:tcPr>
            <w:tcW w:w="113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79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Registration</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Form</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File</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Effective</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Carried</w:t>
            </w:r>
          </w:p>
        </w:tc>
      </w:tr>
      <w:tr>
        <w:trPr>
          <w:trHeight w:val="234"/>
        </w:trPr>
        <w:tc>
          <w:tcPr>
            <w:tcW w:w="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Type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Registered (1)</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 (2)</w:t>
            </w:r>
          </w:p>
        </w:tc>
        <w:tc>
          <w:tcPr>
            <w:tcW w:w="113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Price</w:t>
            </w:r>
          </w:p>
        </w:tc>
        <w:tc>
          <w:tcPr>
            <w:tcW w:w="79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Fee (2)</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Type</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r>
      <w:tr>
        <w:trPr>
          <w:trHeight w:val="191"/>
        </w:trPr>
        <w:tc>
          <w:tcPr>
            <w:tcW w:w="64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Equity</w:t>
            </w:r>
          </w:p>
        </w:tc>
        <w:tc>
          <w:tcPr>
            <w:tcW w:w="22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$0.0001 par</w:t>
            </w:r>
          </w:p>
        </w:tc>
        <w:tc>
          <w:tcPr>
            <w:tcW w:w="8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7,868,666</w:t>
            </w:r>
          </w:p>
        </w:tc>
        <w:tc>
          <w:tcPr>
            <w:tcW w:w="780" w:type="dxa"/>
            <w:vAlign w:val="bottom"/>
            <w:tcBorders>
              <w:right w:val="single" w:sz="8" w:color="auto"/>
            </w:tcBorders>
          </w:tcPr>
          <w:p>
            <w:pPr>
              <w:spacing w:after="0"/>
              <w:rPr>
                <w:sz w:val="16"/>
                <w:szCs w:val="16"/>
                <w:color w:val="auto"/>
              </w:rPr>
            </w:pPr>
          </w:p>
        </w:tc>
        <w:tc>
          <w:tcPr>
            <w:tcW w:w="1130" w:type="dxa"/>
            <w:vAlign w:val="bottom"/>
          </w:tcPr>
          <w:p>
            <w:pPr>
              <w:spacing w:after="0"/>
              <w:rPr>
                <w:sz w:val="16"/>
                <w:szCs w:val="16"/>
                <w:color w:val="auto"/>
              </w:rPr>
            </w:pPr>
          </w:p>
        </w:tc>
        <w:tc>
          <w:tcPr>
            <w:tcW w:w="79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r>
      <w:tr>
        <w:trPr>
          <w:trHeight w:val="234"/>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value per share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$3.20</w:t>
            </w:r>
          </w:p>
        </w:tc>
        <w:tc>
          <w:tcPr>
            <w:tcW w:w="19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$25,179,731.200.0001476</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$3,716.53</w:t>
            </w:r>
          </w:p>
        </w:tc>
        <w:tc>
          <w:tcPr>
            <w:tcW w:w="62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r>
      <w:tr>
        <w:trPr>
          <w:trHeight w:val="210"/>
        </w:trPr>
        <w:tc>
          <w:tcPr>
            <w:tcW w:w="640" w:type="dxa"/>
            <w:vAlign w:val="bottom"/>
            <w:tcBorders>
              <w:left w:val="single" w:sz="8" w:color="auto"/>
              <w:bottom w:val="single" w:sz="8" w:color="auto"/>
            </w:tcBorders>
          </w:tcPr>
          <w:p>
            <w:pPr>
              <w:spacing w:after="0"/>
              <w:rPr>
                <w:sz w:val="18"/>
                <w:szCs w:val="18"/>
                <w:color w:val="auto"/>
              </w:rPr>
            </w:pPr>
          </w:p>
        </w:tc>
        <w:tc>
          <w:tcPr>
            <w:tcW w:w="3120" w:type="dxa"/>
            <w:vAlign w:val="bottom"/>
            <w:tcBorders>
              <w:bottom w:val="single" w:sz="8" w:color="auto"/>
            </w:tcBorders>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0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113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$25,179,731.20</w:t>
            </w:r>
          </w:p>
        </w:tc>
        <w:tc>
          <w:tcPr>
            <w:tcW w:w="79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640" w:type="dxa"/>
            <w:vAlign w:val="bottom"/>
            <w:tcBorders>
              <w:left w:val="single" w:sz="8" w:color="auto"/>
              <w:bottom w:val="single" w:sz="8" w:color="auto"/>
            </w:tcBorders>
          </w:tcPr>
          <w:p>
            <w:pPr>
              <w:spacing w:after="0"/>
              <w:rPr>
                <w:sz w:val="18"/>
                <w:szCs w:val="18"/>
                <w:color w:val="auto"/>
              </w:rPr>
            </w:pPr>
          </w:p>
        </w:tc>
        <w:tc>
          <w:tcPr>
            <w:tcW w:w="3120" w:type="dxa"/>
            <w:vAlign w:val="bottom"/>
            <w:tcBorders>
              <w:bottom w:val="single" w:sz="8" w:color="auto"/>
            </w:tcBorders>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10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1130" w:type="dxa"/>
            <w:vAlign w:val="bottom"/>
            <w:tcBorders>
              <w:bottom w:val="single" w:sz="8" w:color="auto"/>
            </w:tcBorders>
          </w:tcPr>
          <w:p>
            <w:pPr>
              <w:spacing w:after="0"/>
              <w:rPr>
                <w:sz w:val="18"/>
                <w:szCs w:val="18"/>
                <w:color w:val="auto"/>
              </w:rPr>
            </w:pPr>
          </w:p>
        </w:tc>
        <w:tc>
          <w:tcPr>
            <w:tcW w:w="79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640" w:type="dxa"/>
            <w:vAlign w:val="bottom"/>
            <w:tcBorders>
              <w:left w:val="single" w:sz="8" w:color="auto"/>
              <w:bottom w:val="single" w:sz="8" w:color="auto"/>
            </w:tcBorders>
          </w:tcPr>
          <w:p>
            <w:pPr>
              <w:spacing w:after="0"/>
              <w:rPr>
                <w:sz w:val="18"/>
                <w:szCs w:val="18"/>
                <w:color w:val="auto"/>
              </w:rPr>
            </w:pPr>
          </w:p>
        </w:tc>
        <w:tc>
          <w:tcPr>
            <w:tcW w:w="3120" w:type="dxa"/>
            <w:vAlign w:val="bottom"/>
            <w:tcBorders>
              <w:bottom w:val="single" w:sz="8" w:color="auto"/>
            </w:tcBorders>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0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1130" w:type="dxa"/>
            <w:vAlign w:val="bottom"/>
            <w:tcBorders>
              <w:bottom w:val="single" w:sz="8" w:color="auto"/>
            </w:tcBorders>
          </w:tcPr>
          <w:p>
            <w:pPr>
              <w:spacing w:after="0"/>
              <w:rPr>
                <w:sz w:val="18"/>
                <w:szCs w:val="18"/>
                <w:color w:val="auto"/>
              </w:rPr>
            </w:pPr>
          </w:p>
        </w:tc>
        <w:tc>
          <w:tcPr>
            <w:tcW w:w="79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640" w:type="dxa"/>
            <w:vAlign w:val="bottom"/>
            <w:tcBorders>
              <w:left w:val="single" w:sz="8" w:color="auto"/>
              <w:bottom w:val="single" w:sz="8" w:color="auto"/>
            </w:tcBorders>
          </w:tcPr>
          <w:p>
            <w:pPr>
              <w:spacing w:after="0"/>
              <w:rPr>
                <w:sz w:val="18"/>
                <w:szCs w:val="18"/>
                <w:color w:val="auto"/>
              </w:rPr>
            </w:pPr>
          </w:p>
        </w:tc>
        <w:tc>
          <w:tcPr>
            <w:tcW w:w="2280" w:type="dxa"/>
            <w:vAlign w:val="bottom"/>
            <w:tcBorders>
              <w:bottom w:val="single" w:sz="8" w:color="auto"/>
            </w:tcBorders>
          </w:tcPr>
          <w:p>
            <w:pPr>
              <w:jc w:val="center"/>
              <w:ind w:left="1210"/>
              <w:spacing w:after="0"/>
              <w:rPr>
                <w:sz w:val="20"/>
                <w:szCs w:val="20"/>
                <w:color w:val="auto"/>
              </w:rPr>
            </w:pPr>
            <w:r>
              <w:rPr>
                <w:rFonts w:ascii="Times New Roman" w:cs="Times New Roman" w:eastAsia="Times New Roman" w:hAnsi="Times New Roman"/>
                <w:sz w:val="18"/>
                <w:szCs w:val="18"/>
                <w:color w:val="auto"/>
                <w:w w:val="98"/>
              </w:rPr>
              <w:t>Net Fee Due</w:t>
            </w:r>
          </w:p>
        </w:tc>
        <w:tc>
          <w:tcPr>
            <w:tcW w:w="8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1130" w:type="dxa"/>
            <w:vAlign w:val="bottom"/>
            <w:tcBorders>
              <w:bottom w:val="single" w:sz="8" w:color="auto"/>
            </w:tcBorders>
          </w:tcPr>
          <w:p>
            <w:pPr>
              <w:spacing w:after="0"/>
              <w:rPr>
                <w:sz w:val="18"/>
                <w:szCs w:val="18"/>
                <w:color w:val="auto"/>
              </w:rPr>
            </w:pPr>
          </w:p>
        </w:tc>
        <w:tc>
          <w:tcPr>
            <w:tcW w:w="79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$3,716.53</w:t>
            </w:r>
          </w:p>
        </w:tc>
        <w:tc>
          <w:tcPr>
            <w:tcW w:w="6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ind w:left="220" w:right="360" w:hanging="215"/>
        <w:spacing w:after="0" w:line="261" w:lineRule="auto"/>
        <w:rPr>
          <w:sz w:val="20"/>
          <w:szCs w:val="20"/>
          <w:color w:val="auto"/>
        </w:rPr>
      </w:pPr>
      <w:r>
        <w:rPr>
          <w:rFonts w:ascii="Times New Roman" w:cs="Times New Roman" w:eastAsia="Times New Roman" w:hAnsi="Times New Roman"/>
          <w:sz w:val="18"/>
          <w:szCs w:val="18"/>
          <w:color w:val="auto"/>
        </w:rPr>
        <w:t>(1)Pursuant to Rule 416(a) of the Securities Act of 1933, as amended, this registration statement also covers such additional shares as may hereafter be offered or issued to prevent dilution resulting from stock splits, stock dividends, recapitalizations or certain other capital adjustments.</w:t>
      </w:r>
    </w:p>
    <w:p>
      <w:pPr>
        <w:jc w:val="both"/>
        <w:ind w:left="220" w:right="280" w:hanging="215"/>
        <w:spacing w:after="0" w:line="255" w:lineRule="auto"/>
        <w:rPr>
          <w:sz w:val="20"/>
          <w:szCs w:val="20"/>
          <w:color w:val="auto"/>
        </w:rPr>
      </w:pPr>
      <w:r>
        <w:rPr>
          <w:rFonts w:ascii="Times New Roman" w:cs="Times New Roman" w:eastAsia="Times New Roman" w:hAnsi="Times New Roman"/>
          <w:sz w:val="18"/>
          <w:szCs w:val="18"/>
          <w:color w:val="auto"/>
        </w:rPr>
        <w:t>(2)Estimated solely for the purpose of calculating the registration fee in accordance with Rule 457(c) under the Securities Act of 1933, as amended. The price per share and aggregate offering price are based on the average of the high and low prices of the registrant’s common stock on June 14, 2024 as reported on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lowerRoman"/>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2"/>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0"/>
    </w:lvl>
  </w:abstractNum>
  <w:abstractNum w:abstractNumId="8">
    <w:nsid w:val="41A7C4C9"/>
    <w:multiLevelType w:val="hybridMultilevel"/>
    <w:lvl w:ilvl="0">
      <w:lvlJc w:val="left"/>
      <w:lvlText w:val="(%1)"/>
      <w:numFmt w:val="decimal"/>
      <w:start w:val="23"/>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lowerLetter"/>
      <w:start w:val="1"/>
    </w:lvl>
    <w:lvl w:ilvl="1">
      <w:lvlJc w:val="left"/>
      <w:lvlText w:val="(%2)"/>
      <w:numFmt w:val="decimal"/>
      <w:start w:val="1"/>
    </w:lvl>
  </w:abstractNum>
  <w:abstractNum w:abstractNumId="17">
    <w:nsid w:val="62BBD95A"/>
    <w:multiLevelType w:val="hybridMultilevel"/>
    <w:lvl w:ilvl="0">
      <w:lvlJc w:val="left"/>
      <w:lvlText w:val="(%1)"/>
      <w:numFmt w:val="lowerRoman"/>
      <w:start w:val="2"/>
    </w:lvl>
  </w:abstractNum>
  <w:abstractNum w:abstractNumId="18">
    <w:nsid w:val="436C6125"/>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19">
    <w:nsid w:val="628C895D"/>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0">
    <w:nsid w:val="333AB105"/>
    <w:multiLevelType w:val="hybridMultilevel"/>
    <w:lvl w:ilvl="0">
      <w:lvlJc w:val="left"/>
      <w:lvlText w:val="(%1)"/>
      <w:numFmt w:val="lowerLetter"/>
      <w:start w:val="3"/>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30" Type="http://schemas.openxmlformats.org/officeDocument/2006/relationships/hyperlink" Target="http://www.sec.gov/ix?doc=/Archives/edgar/data/1850119/000155837024003165/ipsc-20231231x10k.htm" TargetMode="External"/><Relationship Id="rId68" Type="http://schemas.openxmlformats.org/officeDocument/2006/relationships/hyperlink" Target="http://www.sec.gov/ix?doc=/Archives/edgar/data/1850119/000155837024007469/ipsc-20240331x10q.htm" TargetMode="External"/><Relationship Id="rId69" Type="http://schemas.openxmlformats.org/officeDocument/2006/relationships/hyperlink" Target="http://www.sec.gov/Archives/edgar/data/1850119/000110465924052924/tm242867-3_def14a.htm" TargetMode="External"/><Relationship Id="rId70" Type="http://schemas.openxmlformats.org/officeDocument/2006/relationships/hyperlink" Target="http://www.sec.gov/ix?doc=/Archives/edgar/data/1850119/000110465924046247/tm2411557d2_8k.htm" TargetMode="External"/><Relationship Id="rId71" Type="http://schemas.openxmlformats.org/officeDocument/2006/relationships/hyperlink" Target="http://www.sec.gov/ix?doc=/Archives/edgar/data/1850119/000110465924046373/tm2411557d1_8k.htm" TargetMode="External"/><Relationship Id="rId72" Type="http://schemas.openxmlformats.org/officeDocument/2006/relationships/hyperlink" Target="http://www.sec.gov/ix?doc=/Archives/edgar/data/1850119/000110465924059124/tm2413916d1_8k.htm" TargetMode="External"/><Relationship Id="rId73" Type="http://schemas.openxmlformats.org/officeDocument/2006/relationships/hyperlink" Target="http://www.sec.gov/ix?doc=/Archives/edgar/data/1850119/000110465924067446/tm2416244d1_8k.htm" TargetMode="External"/><Relationship Id="rId74" Type="http://schemas.openxmlformats.org/officeDocument/2006/relationships/hyperlink" Target="http://www.sec.gov/Archives/edgar/data/1850119/000110465921080760/tm218551d12_8a12b.htm" TargetMode="External"/><Relationship Id="rId79" Type="http://schemas.openxmlformats.org/officeDocument/2006/relationships/hyperlink" Target="http://www.sec.gov/Archives/edgar/data/1850119/000110465924046373/tm2411557d1_ex2-1.htm" TargetMode="External"/><Relationship Id="rId80" Type="http://schemas.openxmlformats.org/officeDocument/2006/relationships/hyperlink" Target="http://www.sec.gov/Archives/edgar/data/1850119/000110465921085744/tm2120666d1_ex3-1.htm" TargetMode="External"/><Relationship Id="rId81" Type="http://schemas.openxmlformats.org/officeDocument/2006/relationships/hyperlink" Target="http://www.sec.gov/Archives/edgar/data/1850119/000155837023003962/ipsc-20221231xex3d2.htm" TargetMode="External"/><Relationship Id="rId82" Type="http://schemas.openxmlformats.org/officeDocument/2006/relationships/hyperlink" Target="http://www.sec.gov/Archives/edgar/data/1850119/000110465921080429/tm218551d10_ex4-1.htm" TargetMode="External"/><Relationship Id="rId83" Type="http://schemas.openxmlformats.org/officeDocument/2006/relationships/hyperlink" Target="http://www.sec.gov/Archives/edgar/data/1850119/000110465921074278/tm218551d7_ex4-2.htm" TargetMode="External"/><Relationship Id="rId84" Type="http://schemas.openxmlformats.org/officeDocument/2006/relationships/hyperlink" Target="https://www.sec.gov/Archives/edgar/data/1850119/000110465921074278/tm218551d7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2024-06-18T15:57:59Z</dcterms:created>
  <dcterms:modified xsi:type="dcterms:W3CDTF">2024-06-18T15:57:59Z</dcterms:modified>
</cp:coreProperties>
</file>